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lang w:val="en-GB"/>
        </w:rPr>
        <w:id w:val="40653065"/>
        <w:docPartObj>
          <w:docPartGallery w:val="Cover Pages"/>
          <w:docPartUnique/>
        </w:docPartObj>
      </w:sdtPr>
      <w:sdtEndPr>
        <w:rPr>
          <w:b/>
          <w:sz w:val="28"/>
          <w:szCs w:val="28"/>
        </w:rPr>
      </w:sdtEndPr>
      <w:sdtContent>
        <w:p w:rsidR="00E83151" w:rsidRPr="00277328" w:rsidRDefault="00E93150" w:rsidP="00E83151">
          <w:pPr>
            <w:pStyle w:val="NoSpacing"/>
            <w:rPr>
              <w:b/>
              <w:sz w:val="24"/>
              <w:szCs w:val="24"/>
              <w:lang w:val="en-GB"/>
            </w:rPr>
          </w:pPr>
          <w:r>
            <w:rPr>
              <w:b/>
              <w:noProof/>
              <w:sz w:val="24"/>
              <w:szCs w:val="24"/>
              <w:lang w:val="en-US"/>
            </w:rPr>
            <w:pict>
              <v:rect id="Rectangle 306" o:spid="_x0000_s1026" style="position:absolute;margin-left:0;margin-top:0;width:533.75pt;height:96.1pt;z-index:251662336;visibility:visible;mso-width-percent:900;mso-height-percent:73;mso-top-percent:250;mso-position-horizontal:left;mso-position-horizontal-relative:page;mso-position-vertical-relative:page;mso-width-percent:900;mso-height-percent:73;mso-top-percent:2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8Zx3gIAAEYGAAAOAAAAZHJzL2Uyb0RvYy54bWysVMlu2zAQvRfoPxC8O1q8SBAiB45jFwW6&#10;BE2LnmmSsohSpErSltKi/94hZTtOUyBFER0EDpeZN2/mzeVV30i058YKrUqcXMQYcUU1E2pb4i+f&#10;16McI+uIYkRqxUt8zy2+mr9+ddm1BU91rSXjBoETZYuuLXHtXFtEkaU1b4i90C1XcFhp0xAHptlG&#10;zJAOvDcySuN4FnXasNZoyq2F3ZvhEM+D/6ri1H2sKssdkiUGbC78Tfhv/D+aX5Jia0hbC3qAQf4D&#10;RUOEgqAnVzfEEbQz4omrRlCjra7cBdVNpKtKUB5ygGyS+I9s7mrS8pALkGPbE0325dzSD/tbgwSD&#10;2iUYKdJAjT4Ba0RtJUfjeOYZ6lpbwMW79tb4HG37TtNvFim9rOEeXxiju5oTBrgSfz969MAbFp6i&#10;TfdeM/BPdk4HsvrKNN4h0ID6UJP7U0147xCFzVmW5bN0ihGFsyRN40kWqhaR4vi8Nda94bpBflFi&#10;A/CDe7J/Z52HQ4rjlQBfS8HWQspg+EbjS2nQnkCLEEq5ckl4LncN4B32k9h/Q7fAPvTUsH+EEvrV&#10;uwnR7HkEqVDnkWfw/rnwm+2Lhm6EA3FJ0ZQ4P0vAl2qlWGh9R4Qc1sCSVB4gD7IZqAOrd7AM+1CR&#10;0NI/F+tpnE3G+SjLpuPRZLyKR9f5ejlaLJPZLFtdL69XyS+fbDIpasEYV6vg0x4Vlkz+rYMPWh+0&#10;cdLYCaBHpXeQ413NOsSEr/50nOcpBgNE7jn3ZUNEbmE6UWcwMtp9Fa4O0vLN5n2cqjcU9W9VyKfe&#10;UaDs+fqfMIVuOIMbPWFkuNEDwcD/keugHy+ZQXqu3/QQ2etoo9k9KAmSCHKBwQuLWpsfGHUwxEps&#10;v++I4RjJt8qrMU/z3I+9YE2mWQqGeXS0OT8iioKzA1ODsXTDtNy1RmxriDZ0qG0XoOK1CPp6QAZp&#10;eAOGVUjoMFj9NDy3w62H8T//DQAA//8DAFBLAwQUAAYACAAAACEAPPMcCdwAAAAGAQAADwAAAGRy&#10;cy9kb3ducmV2LnhtbEyPQU/DMAyF70j8h8hI3FhCEYOVphMa4oAQhw0krm5j2kLiVE3aFX492S5w&#10;sZ71rPc+F+vZWTHREDrPGi4XCgRx7U3HjYa318eLWxAhIhu0nknDNwVYl6cnBebG73lL0y42IoVw&#10;yFFDG2OfSxnqlhyGhe+Jk/fhB4cxrUMjzYD7FO6szJRaSocdp4YWe9q0VH/tRqdh82xeZt6uVD39&#10;PAwVPl19jvZd6/Oz+f4ORKQ5/h3DAT+hQ5mYKj+yCcJqSI/E4zx4anlzDaJKapVlIMtC/scvfwEA&#10;AP//AwBQSwECLQAUAAYACAAAACEAtoM4kv4AAADhAQAAEwAAAAAAAAAAAAAAAAAAAAAAW0NvbnRl&#10;bnRfVHlwZXNdLnhtbFBLAQItABQABgAIAAAAIQA4/SH/1gAAAJQBAAALAAAAAAAAAAAAAAAAAC8B&#10;AABfcmVscy8ucmVsc1BLAQItABQABgAIAAAAIQBfA8Zx3gIAAEYGAAAOAAAAAAAAAAAAAAAAAC4C&#10;AABkcnMvZTJvRG9jLnhtbFBLAQItABQABgAIAAAAIQA88xwJ3AAAAAYBAAAPAAAAAAAAAAAAAAAA&#10;ADgFAABkcnMvZG93bnJldi54bWxQSwUGAAAAAAQABADzAAAAQQYAAAAA&#10;" o:allowincell="f" fillcolor="#4f81bd [3204]" strokecolor="white [3212]" strokeweight="1pt">
                <v:shadow color="#d8d8d8 [2732]" offset="3pt,3pt"/>
                <v:textbox style="mso-fit-shape-to-text:t" inset="14.4pt,,14.4pt">
                  <w:txbxContent>
                    <w:sdt>
                      <w:sdtPr>
                        <w:rPr>
                          <w:rFonts w:eastAsiaTheme="majorEastAsia" w:cstheme="minorHAnsi"/>
                          <w:color w:val="FFFFFF" w:themeColor="background1"/>
                          <w:sz w:val="48"/>
                          <w:szCs w:val="48"/>
                        </w:rPr>
                        <w:alias w:val="Τίτλος"/>
                        <w:id w:val="103676091"/>
                        <w:dataBinding w:prefixMappings="xmlns:ns0='http://schemas.openxmlformats.org/package/2006/metadata/core-properties' xmlns:ns1='http://purl.org/dc/elements/1.1/'" w:xpath="/ns0:coreProperties[1]/ns1:title[1]" w:storeItemID="{6C3C8BC8-F283-45AE-878A-BAB7291924A1}"/>
                        <w:text/>
                      </w:sdtPr>
                      <w:sdtContent>
                        <w:p w:rsidR="00B571F4" w:rsidRPr="00E83151" w:rsidRDefault="00B571F4">
                          <w:pPr>
                            <w:pStyle w:val="NoSpacing"/>
                            <w:jc w:val="right"/>
                            <w:rPr>
                              <w:rFonts w:asciiTheme="majorHAnsi" w:eastAsiaTheme="majorEastAsia" w:hAnsiTheme="majorHAnsi" w:cstheme="majorBidi"/>
                              <w:color w:val="FFFFFF" w:themeColor="background1"/>
                              <w:sz w:val="72"/>
                              <w:szCs w:val="72"/>
                              <w:lang w:val="en-US"/>
                            </w:rPr>
                          </w:pPr>
                          <w:r w:rsidRPr="00E83151">
                            <w:rPr>
                              <w:rFonts w:eastAsiaTheme="majorEastAsia" w:cstheme="minorHAnsi"/>
                              <w:color w:val="FFFFFF" w:themeColor="background1"/>
                              <w:sz w:val="48"/>
                              <w:szCs w:val="48"/>
                              <w:lang w:val="en-US"/>
                            </w:rPr>
                            <w:t>Priority setting in the Spanish health system: A discrete choice experiment discussing mental health</w:t>
                          </w:r>
                        </w:p>
                      </w:sdtContent>
                    </w:sdt>
                  </w:txbxContent>
                </v:textbox>
                <w10:wrap anchorx="page" anchory="page"/>
              </v:rect>
            </w:pict>
          </w:r>
          <w:r>
            <w:rPr>
              <w:b/>
              <w:noProof/>
              <w:sz w:val="24"/>
              <w:szCs w:val="24"/>
              <w:lang w:val="en-US"/>
            </w:rPr>
            <w:pict>
              <v:group id="Group 300" o:spid="_x0000_s1027" style="position:absolute;margin-left:582.05pt;margin-top:0;width:237.75pt;height:841.55pt;z-index:251660288;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m4cLgUAACkXAAAOAAAAZHJzL2Uyb0RvYy54bWzsWFtzozYUfu9M/wPDOzEYYS4TZyfxZacz&#10;2Xan6eVZBhmYAqJCjp12+t97dASYXDdxvNndmfUDRiCkcz595ztHOn23Kwvjmokm59XUdE5s02BV&#10;zJO8Sqfm778trcA0GkmrhBa8YlPzhjXmu7Mffzjd1hEb84wXCRMGDFI10baempmUdTQaNXHGStqc&#10;8JpV8HLNRUklNEU6SgTdwuhlMRrb9mS05SKpBY9Z08DTuX5pnuH46zWL5S/rdcOkUUxNsE3iVeB1&#10;pa6js1MapYLWWR63ZtADrChpXsGk/VBzKqmxEfm9oco8Frzha3kS83LE1+s8ZugDeOPYd7x5L/im&#10;Rl/SaJvWPUwA7R2cDh42/vn6ozDyZGq6plHREpYIZzVcG8HZ1mkEfd6L+qr+KLSHcHvJ478awG50&#10;971qp7qzsdp+4AkMSDeSIzi7tSjVEOC2scM1uOnXgO2kEcND13ZCMvZMI4Z3jj0J/Eng6WWKM1hL&#10;9aHvjkPT2H8bZ4v2axI6TvupFxD0YEQjPS/a2tqm+NEaqm/3OEzu4uCo2e/6qVb6WDj4LiFDdzoo&#10;SBCCMYhD5wyN9iB4EyD0gyD4sHa3v3sUBIi6Zk+s5nXEuspozZCvjSJNSyy/A/RXiEZapQUDco01&#10;qNivY1ajaWVUfJZBP3YuBN9mjCZgFi4CrODgA9VogJSf5Jnve8CnPVI9vp7d8azDt8eJRrVo5HvG&#10;S0PdTE0BxiOJ6fVlIxX1910Upxte5MkyLwpsKPlis0IY1xSEh8Yxq6SLnxebEqJCP3ds9dPkhueK&#10;3di/4y2qoBoGZ7s1Q1GpeSquZtTG6CfgG5in3ikvUYH+DZ0xsS/GobWEaLLIknhW6NuBBZF2EU5s&#10;EpL58j9lnEOiLE8SVl3mFevU0CHPI0Wry1rHUA+N7dQMPYhlhOQJfFapcw+bwDsUmjKXkFKKvJya&#10;wQBgRaRFlQBYNJI0L/T96LbTCDQg1/0jlkg7xTQlA0204skNsE5wYAXEGSQ/uMm4+Mc0tpBIpmbz&#10;94YKZhrFTxUwN3QICJEhsUE8fwwNMXyzGr6hVQxDTU1pGvp2JnW22tQiTzOYSUNV8XNQ1XWOTNxb&#10;BXarBsS0tvWzBzekd501hsENqSRhTQyGXyqbEaI8psVbxnynjoEOry7mnXAf8sBMHTpdXnphyNdU&#10;ShV/rUIU8g+gAhJ5nWLQgiocQQhoRIs6o1oa/BB+rdn94MjWfs5VP7lIV70GLfGH1j02nO6Og7Vj&#10;KI1rnVRh86joYKGlZRGF56uSIGes8uEhGvQKfT6OCA1V/Hzp2T5xAwvSmWsRd2FbF8FyZp3PnMnE&#10;X1zMLhbObRVf4LI0rxdyhR3r1lg1+AYk9ipLtkaSq+TouUEwhqDPIeQV2kq6DVqksCWIpQC94/LP&#10;XGZYHyjRxMW4HRqvzgG9TVq79+YOJL5FRPf4ClQewXmtzu/r2jfSfKi972s+eUtx/2TB7IYeCv/h&#10;9VxfWj0hew/VWna4CBYBsch4srCIPZ9b58sZsSZLx/fm7nw2m9+JUswgegMMtcihtdbR5e2ZWWdQ&#10;lA7iTNfBAD6WUkMV+5K16DecCDSUD1Wjcrfa4f693aa+uD51J56vdpK6QHWCcRD0FWrX0iVq1+pq&#10;1NU3UqM64M99wcLiTxXLsFP97DvQ7sACDjS0MOmYUAceJAhAUNUun5AJbou/i1a7b36oJniyJvsu&#10;Wsc5XThO9foM0eqPgV64qf6iooUFF5zHYhnZnh2rA99hG+6HJ9xn/wMAAP//AwBQSwMEFAAGAAgA&#10;AAAhAFl2boTdAAAABgEAAA8AAABkcnMvZG93bnJldi54bWxMj8FOwzAQRO9I/IO1SNyoU6BpE+JU&#10;CCniwoW2h3Jz4iVJsddR7Lbp37NwgctIqxnNvC3Wk7PihGPoPSmYzxIQSI03PbUKdtvqbgUiRE1G&#10;W0+o4IIB1uX1VaFz48/0jqdNbAWXUMi1gi7GIZcyNB06HWZ+QGLv049ORz7HVppRn7ncWXmfJKl0&#10;uide6PSALx02X5ujU+D2h2pvd1n7UdllnR622eXtNVPq9mZ6fgIRcYp/YfjBZ3Qoman2RzJBWAX8&#10;SPxV9h6XiwWImkPp6mEOsizkf/zyGwAA//8DAFBLAQItABQABgAIAAAAIQC2gziS/gAAAOEBAAAT&#10;AAAAAAAAAAAAAAAAAAAAAABbQ29udGVudF9UeXBlc10ueG1sUEsBAi0AFAAGAAgAAAAhADj9If/W&#10;AAAAlAEAAAsAAAAAAAAAAAAAAAAALwEAAF9yZWxzLy5yZWxzUEsBAi0AFAAGAAgAAAAhADPabhwu&#10;BQAAKRcAAA4AAAAAAAAAAAAAAAAALgIAAGRycy9lMm9Eb2MueG1sUEsBAi0AFAAGAAgAAAAhAFl2&#10;boTdAAAABgEAAA8AAAAAAAAAAAAAAAAAiAcAAGRycy9kb3ducmV2LnhtbFBLBQYAAAAABAAEAPMA&#10;AACSCAAAAAA=&#10;" o:allowincell="f">
                <v:group id="Group 301" o:spid="_x0000_s1028"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302" o:spid="_x0000_s1029" style="position:absolute;left:7755;width:4505;height:158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y5Er8A&#10;AADaAAAADwAAAGRycy9kb3ducmV2LnhtbESPzQrCMBCE74LvEFbwpqkeqlajiCiI4ME/8Lg0a1ts&#10;NqWJWt/eCILHYWa+YWaLxpTiSbUrLCsY9CMQxKnVBWcKzqdNbwzCeWSNpWVS8CYHi3m7NcNE2xcf&#10;6Hn0mQgQdgkqyL2vEildmpNB17cVcfButjbog6wzqWt8Bbgp5TCKYmmw4LCQY0WrnNL78WEUTOJd&#10;ZGS1jDeXa4n7gbv74X6tVLfTLKcgPDX+H/61t1rBCL5Xwg2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rLkSvwAAANoAAAAPAAAAAAAAAAAAAAAAAJgCAABkcnMvZG93bnJl&#10;di54bWxQSwUGAAAAAAQABAD1AAAAhAMAAAAA&#10;" fillcolor="#9bbb59 [3206]" stroked="f" strokecolor="#d8d8d8 [2732]"/>
                  <v:rect id="Rectangle 303" o:spid="_x0000_s1030" alt="Light vertical" style="position:absolute;left:7560;top:8;width:195;height:158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6n78A&#10;AADaAAAADwAAAGRycy9kb3ducmV2LnhtbERPz2vCMBS+C/4P4Qm7aeoG6qqxFNmYO2k7vT+at6as&#10;eSlN1nb//XIY7Pjx/T5kk23FQL1vHCtYrxIQxJXTDdcKbh+vyx0IH5A1to5JwQ95yI7z2QFT7UYu&#10;aChDLWII+xQVmBC6VEpfGbLoV64jjtyn6y2GCPta6h7HGG5b+ZgkG2mx4dhgsKOToeqr/LYK3pOn&#10;+9sLXrndXgb9PN5NjrpQ6mEx5XsQgabwL/5zn7WCuDVeiTdAHn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BvqfvwAAANoAAAAPAAAAAAAAAAAAAAAAAJgCAABkcnMvZG93bnJl&#10;di54bWxQSwUGAAAAAAQABAD1AAAAhAMAAAAA&#10;" fillcolor="#9bbb59 [3206]" stroked="f" strokecolor="white [3212]" strokeweight="1pt">
                    <v:fill r:id="rId9" o:title="" opacity="52428f" o:opacity2="52428f" type="pattern"/>
                    <v:shadow color="#d8d8d8 [2732]" offset="3pt,3pt"/>
                  </v:rect>
                </v:group>
                <v:rect id="Rectangle 304" o:spid="_x0000_s1031" style="position:absolute;left:7344;width:4896;height:3958;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FxKcMA&#10;AADaAAAADwAAAGRycy9kb3ducmV2LnhtbESPQWvCQBSE70L/w/IEL1I37aHYNBvRQougiNrQ8yP7&#10;mk2bfRuyq0n/vSsIHoeZ+YbJFoNtxJk6XztW8DRLQBCXTtdcKSi+Ph7nIHxA1tg4JgX/5GGRP4wy&#10;TLXr+UDnY6hEhLBPUYEJoU2l9KUhi37mWuLo/bjOYoiyq6TusI9w28jnJHmRFmuOCwZbejdU/h1P&#10;NlJs0ePGDL/71Yq2890nfRdyqtRkPCzfQAQawj18a6+1gle4Xok3QOY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nFxKcMAAADaAAAADwAAAAAAAAAAAAAAAACYAgAAZHJzL2Rv&#10;d25yZXYueG1sUEsFBgAAAAAEAAQA9QAAAIgDAAAAAA==&#10;" filled="f" fillcolor="white [3212]" stroked="f" strokecolor="white [3212]" strokeweight="1pt">
                  <v:fill opacity="52428f"/>
                  <v:textbox inset="28.8pt,14.4pt,14.4pt,14.4pt">
                    <w:txbxContent>
                      <w:sdt>
                        <w:sdtPr>
                          <w:rPr>
                            <w:rFonts w:eastAsiaTheme="majorEastAsia" w:cstheme="minorHAnsi"/>
                            <w:b/>
                            <w:bCs/>
                            <w:color w:val="FFFFFF" w:themeColor="background1"/>
                            <w:sz w:val="40"/>
                            <w:szCs w:val="40"/>
                          </w:rPr>
                          <w:alias w:val="Έτος"/>
                          <w:id w:val="103676087"/>
                          <w:dataBinding w:prefixMappings="xmlns:ns0='http://schemas.microsoft.com/office/2006/coverPageProps'" w:xpath="/ns0:CoverPageProperties[1]/ns0:PublishDate[1]" w:storeItemID="{55AF091B-3C7A-41E3-B477-F2FDAA23CFDA}"/>
                          <w:date>
                            <w:dateFormat w:val="yyyy"/>
                            <w:lid w:val="el-GR"/>
                            <w:storeMappedDataAs w:val="dateTime"/>
                            <w:calendar w:val="gregorian"/>
                          </w:date>
                        </w:sdtPr>
                        <w:sdtContent>
                          <w:p w:rsidR="00B571F4" w:rsidRDefault="00B571F4">
                            <w:pPr>
                              <w:pStyle w:val="NoSpacing"/>
                              <w:rPr>
                                <w:rFonts w:asciiTheme="majorHAnsi" w:eastAsiaTheme="majorEastAsia" w:hAnsiTheme="majorHAnsi" w:cstheme="majorBidi"/>
                                <w:b/>
                                <w:bCs/>
                                <w:color w:val="FFFFFF" w:themeColor="background1"/>
                                <w:sz w:val="96"/>
                                <w:szCs w:val="96"/>
                              </w:rPr>
                            </w:pPr>
                            <w:r w:rsidRPr="00E83151">
                              <w:rPr>
                                <w:rFonts w:eastAsiaTheme="majorEastAsia" w:cstheme="minorHAnsi"/>
                                <w:b/>
                                <w:bCs/>
                                <w:color w:val="FFFFFF" w:themeColor="background1"/>
                                <w:sz w:val="40"/>
                                <w:szCs w:val="40"/>
                                <w:lang w:val="en-US"/>
                              </w:rPr>
                              <w:t xml:space="preserve">Rotterdam, </w:t>
                            </w:r>
                            <w:r w:rsidRPr="00E83151">
                              <w:rPr>
                                <w:rFonts w:eastAsiaTheme="majorEastAsia" w:cstheme="minorHAnsi"/>
                                <w:b/>
                                <w:bCs/>
                                <w:color w:val="FFFFFF" w:themeColor="background1"/>
                                <w:sz w:val="40"/>
                                <w:szCs w:val="40"/>
                              </w:rPr>
                              <w:t>2013</w:t>
                            </w:r>
                          </w:p>
                        </w:sdtContent>
                      </w:sdt>
                    </w:txbxContent>
                  </v:textbox>
                </v:rect>
                <v:rect id="Rectangle 305" o:spid="_x0000_s1032" style="position:absolute;left:7329;top:10658;width:4889;height:4462;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gQxsQA&#10;AADbAAAADwAAAGRycy9kb3ducmV2LnhtbESPT2vCQBDF74LfYRmhF6kbeyiSukoVLIWW4p/geciO&#10;2dTsbMhuTfrtO4eCtzfMm9+8t1wPvlE36mId2MB8loEiLoOtuTJQnHaPC1AxIVtsApOBX4qwXo1H&#10;S8xt6PlAt2OqlEA45mjApdTmWsfSkcc4Cy2x7C6h85hk7CptO+wF7hv9lGXP2mPN8sFhS1tH5fX4&#10;44Xiix4/3PC932zoc/H1RudCT415mAyvL6ASDelu/r9+txJf0ksXEa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IEMbEAAAA2wAAAA8AAAAAAAAAAAAAAAAAmAIAAGRycy9k&#10;b3ducmV2LnhtbFBLBQYAAAAABAAEAPUAAACJAwAAAAA=&#10;" filled="f" fillcolor="white [3212]" stroked="f" strokecolor="white [3212]" strokeweight="1pt">
                  <v:fill opacity="52428f"/>
                  <v:textbox inset="28.8pt,14.4pt,14.4pt,14.4pt">
                    <w:txbxContent>
                      <w:sdt>
                        <w:sdtPr>
                          <w:rPr>
                            <w:sz w:val="28"/>
                            <w:szCs w:val="28"/>
                          </w:rPr>
                          <w:alias w:val="Συντάκτης"/>
                          <w:id w:val="103676095"/>
                          <w:dataBinding w:prefixMappings="xmlns:ns0='http://schemas.openxmlformats.org/package/2006/metadata/core-properties' xmlns:ns1='http://purl.org/dc/elements/1.1/'" w:xpath="/ns0:coreProperties[1]/ns1:creator[1]" w:storeItemID="{6C3C8BC8-F283-45AE-878A-BAB7291924A1}"/>
                          <w:text/>
                        </w:sdtPr>
                        <w:sdtContent>
                          <w:p w:rsidR="00B571F4" w:rsidRPr="00E83151" w:rsidRDefault="00B571F4">
                            <w:pPr>
                              <w:pStyle w:val="NoSpacing"/>
                              <w:spacing w:line="360" w:lineRule="auto"/>
                              <w:rPr>
                                <w:color w:val="FFFFFF" w:themeColor="background1"/>
                                <w:lang w:val="en-US"/>
                              </w:rPr>
                            </w:pPr>
                            <w:r w:rsidRPr="00E83151">
                              <w:rPr>
                                <w:sz w:val="28"/>
                                <w:szCs w:val="28"/>
                                <w:lang w:val="en-US"/>
                              </w:rPr>
                              <w:t>Supervised by Francesco Paolucci</w:t>
                            </w:r>
                          </w:p>
                        </w:sdtContent>
                      </w:sdt>
                      <w:sdt>
                        <w:sdtPr>
                          <w:rPr>
                            <w:sz w:val="28"/>
                            <w:szCs w:val="28"/>
                          </w:rPr>
                          <w:alias w:val="Εταιρεία"/>
                          <w:id w:val="103676099"/>
                          <w:dataBinding w:prefixMappings="xmlns:ns0='http://schemas.openxmlformats.org/officeDocument/2006/extended-properties'" w:xpath="/ns0:Properties[1]/ns0:Company[1]" w:storeItemID="{6668398D-A668-4E3E-A5EB-62B293D839F1}"/>
                          <w:text/>
                        </w:sdtPr>
                        <w:sdtContent>
                          <w:p w:rsidR="00B571F4" w:rsidRPr="00E83151" w:rsidRDefault="00B571F4">
                            <w:pPr>
                              <w:pStyle w:val="NoSpacing"/>
                              <w:spacing w:line="360" w:lineRule="auto"/>
                              <w:rPr>
                                <w:color w:val="FFFFFF" w:themeColor="background1"/>
                                <w:lang w:val="en-US"/>
                              </w:rPr>
                            </w:pPr>
                            <w:r w:rsidRPr="00E83151">
                              <w:rPr>
                                <w:sz w:val="28"/>
                                <w:szCs w:val="28"/>
                                <w:lang w:val="en-US"/>
                              </w:rPr>
                              <w:t>Agni Baka</w:t>
                            </w:r>
                          </w:p>
                        </w:sdtContent>
                      </w:sdt>
                      <w:sdt>
                        <w:sdtPr>
                          <w:rPr>
                            <w:sz w:val="28"/>
                            <w:szCs w:val="28"/>
                          </w:rPr>
                          <w:alias w:val="Ημερομηνία"/>
                          <w:id w:val="103676103"/>
                          <w:dataBinding w:prefixMappings="xmlns:ns0='http://schemas.microsoft.com/office/2006/coverPageProps'" w:xpath="/ns0:CoverPageProperties[1]/ns0:PublishDate[1]" w:storeItemID="{55AF091B-3C7A-41E3-B477-F2FDAA23CFDA}"/>
                          <w:date>
                            <w:dateFormat w:val="d/M/yyyy"/>
                            <w:lid w:val="el-GR"/>
                            <w:storeMappedDataAs w:val="dateTime"/>
                            <w:calendar w:val="gregorian"/>
                          </w:date>
                        </w:sdtPr>
                        <w:sdtContent>
                          <w:p w:rsidR="00B571F4" w:rsidRDefault="00B571F4">
                            <w:pPr>
                              <w:pStyle w:val="NoSpacing"/>
                              <w:spacing w:line="360" w:lineRule="auto"/>
                              <w:rPr>
                                <w:color w:val="FFFFFF" w:themeColor="background1"/>
                              </w:rPr>
                            </w:pPr>
                            <w:r w:rsidRPr="00E83151">
                              <w:rPr>
                                <w:sz w:val="28"/>
                                <w:szCs w:val="28"/>
                              </w:rPr>
                              <w:t>Rotterdam, 2013</w:t>
                            </w:r>
                          </w:p>
                        </w:sdtContent>
                      </w:sdt>
                    </w:txbxContent>
                  </v:textbox>
                </v:rect>
                <w10:wrap anchorx="page" anchory="page"/>
              </v:group>
            </w:pict>
          </w:r>
          <w:r w:rsidR="00E83151" w:rsidRPr="00277328">
            <w:rPr>
              <w:b/>
              <w:sz w:val="24"/>
              <w:szCs w:val="24"/>
              <w:lang w:val="en-GB"/>
            </w:rPr>
            <w:t xml:space="preserve">Erasmus School of Economics </w:t>
          </w:r>
        </w:p>
        <w:p w:rsidR="00E83151" w:rsidRPr="00277328" w:rsidRDefault="00E83151" w:rsidP="00E83151">
          <w:pPr>
            <w:pStyle w:val="NoSpacing"/>
            <w:rPr>
              <w:b/>
              <w:sz w:val="24"/>
              <w:szCs w:val="24"/>
              <w:lang w:val="en-GB"/>
            </w:rPr>
          </w:pPr>
        </w:p>
        <w:p w:rsidR="00E83151" w:rsidRPr="00277328" w:rsidRDefault="00E83151" w:rsidP="00E83151">
          <w:pPr>
            <w:pStyle w:val="NoSpacing"/>
            <w:rPr>
              <w:b/>
              <w:sz w:val="24"/>
              <w:szCs w:val="24"/>
              <w:lang w:val="en-GB"/>
            </w:rPr>
          </w:pPr>
          <w:r w:rsidRPr="00277328">
            <w:rPr>
              <w:b/>
              <w:sz w:val="24"/>
              <w:szCs w:val="24"/>
              <w:lang w:val="en-GB"/>
            </w:rPr>
            <w:t>MSc Economics and Business</w:t>
          </w:r>
        </w:p>
        <w:p w:rsidR="00E83151" w:rsidRPr="00277328" w:rsidRDefault="00E83151" w:rsidP="00E83151">
          <w:pPr>
            <w:pStyle w:val="NoSpacing"/>
            <w:rPr>
              <w:b/>
              <w:sz w:val="24"/>
              <w:szCs w:val="24"/>
              <w:lang w:val="en-GB"/>
            </w:rPr>
          </w:pPr>
        </w:p>
        <w:p w:rsidR="00E83151" w:rsidRPr="00277328" w:rsidRDefault="00E83151" w:rsidP="00E83151">
          <w:pPr>
            <w:pStyle w:val="NoSpacing"/>
            <w:rPr>
              <w:b/>
              <w:sz w:val="24"/>
              <w:szCs w:val="24"/>
              <w:lang w:val="en-GB"/>
            </w:rPr>
          </w:pPr>
          <w:r w:rsidRPr="00277328">
            <w:rPr>
              <w:b/>
              <w:sz w:val="24"/>
              <w:szCs w:val="24"/>
              <w:lang w:val="en-GB"/>
            </w:rPr>
            <w:t>Specialization: Health Economics</w:t>
          </w:r>
        </w:p>
        <w:p w:rsidR="00E83151" w:rsidRPr="00277328" w:rsidRDefault="00E83151" w:rsidP="00E83151">
          <w:pPr>
            <w:pStyle w:val="NoSpacing"/>
            <w:rPr>
              <w:b/>
              <w:sz w:val="24"/>
              <w:szCs w:val="24"/>
              <w:lang w:val="en-GB"/>
            </w:rPr>
          </w:pPr>
        </w:p>
        <w:p w:rsidR="00E83151" w:rsidRPr="00277328" w:rsidRDefault="00E83151" w:rsidP="00E83151">
          <w:pPr>
            <w:pStyle w:val="NoSpacing"/>
            <w:rPr>
              <w:b/>
              <w:sz w:val="24"/>
              <w:szCs w:val="24"/>
              <w:lang w:val="en-GB"/>
            </w:rPr>
          </w:pPr>
          <w:r w:rsidRPr="00277328">
            <w:rPr>
              <w:b/>
              <w:sz w:val="24"/>
              <w:szCs w:val="24"/>
              <w:lang w:val="en-GB"/>
            </w:rPr>
            <w:t>Master thesis</w:t>
          </w:r>
        </w:p>
        <w:p w:rsidR="006400C5" w:rsidRPr="00277328" w:rsidRDefault="00E83151" w:rsidP="006400C5">
          <w:pPr>
            <w:rPr>
              <w:b/>
              <w:sz w:val="28"/>
              <w:szCs w:val="28"/>
              <w:lang w:val="en-GB"/>
            </w:rPr>
          </w:pPr>
          <w:r w:rsidRPr="00277328">
            <w:rPr>
              <w:noProof/>
            </w:rPr>
            <w:drawing>
              <wp:anchor distT="0" distB="0" distL="114300" distR="114300" simplePos="0" relativeHeight="251661312" behindDoc="0" locked="0" layoutInCell="0" allowOverlap="1">
                <wp:simplePos x="0" y="0"/>
                <wp:positionH relativeFrom="page">
                  <wp:align>right</wp:align>
                </wp:positionH>
                <wp:positionV relativeFrom="page">
                  <wp:align>center</wp:align>
                </wp:positionV>
                <wp:extent cx="5915025" cy="1335046"/>
                <wp:effectExtent l="19050" t="19050" r="28575" b="17504"/>
                <wp:wrapNone/>
                <wp:docPr id="5"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stretch>
                          <a:fillRect/>
                        </a:stretch>
                      </pic:blipFill>
                      <pic:spPr>
                        <a:xfrm>
                          <a:off x="0" y="0"/>
                          <a:ext cx="5915025" cy="1335046"/>
                        </a:xfrm>
                        <a:prstGeom prst="rect">
                          <a:avLst/>
                        </a:prstGeom>
                        <a:ln w="12700">
                          <a:solidFill>
                            <a:schemeClr val="bg1"/>
                          </a:solidFill>
                        </a:ln>
                      </pic:spPr>
                    </pic:pic>
                  </a:graphicData>
                </a:graphic>
              </wp:anchor>
            </w:drawing>
          </w:r>
          <w:r w:rsidRPr="00277328">
            <w:rPr>
              <w:b/>
              <w:sz w:val="28"/>
              <w:szCs w:val="28"/>
              <w:lang w:val="en-GB"/>
            </w:rPr>
            <w:br w:type="page"/>
          </w:r>
        </w:p>
      </w:sdtContent>
    </w:sdt>
    <w:p w:rsidR="00BA330C" w:rsidRPr="00277328" w:rsidRDefault="007A17BD" w:rsidP="006400C5">
      <w:pPr>
        <w:rPr>
          <w:b/>
          <w:sz w:val="24"/>
          <w:szCs w:val="24"/>
          <w:lang w:val="en-GB"/>
        </w:rPr>
      </w:pPr>
      <w:r w:rsidRPr="00277328">
        <w:rPr>
          <w:b/>
          <w:sz w:val="24"/>
          <w:szCs w:val="24"/>
          <w:lang w:val="en-GB"/>
        </w:rPr>
        <w:lastRenderedPageBreak/>
        <w:t>Abstract</w:t>
      </w:r>
    </w:p>
    <w:p w:rsidR="007A17BD" w:rsidRPr="00277328" w:rsidRDefault="006400C5" w:rsidP="006400C5">
      <w:pPr>
        <w:rPr>
          <w:lang w:val="en-GB"/>
        </w:rPr>
      </w:pPr>
      <w:r w:rsidRPr="00277328">
        <w:rPr>
          <w:lang w:val="en-GB"/>
        </w:rPr>
        <w:t>In most countries, priority setting of health interventions is often ad hoc or based on heuristic a</w:t>
      </w:r>
      <w:r w:rsidR="00AB385D" w:rsidRPr="00277328">
        <w:rPr>
          <w:lang w:val="en-GB"/>
        </w:rPr>
        <w:t xml:space="preserve">pproaches and political motives, resulting in the exclusion of important information. </w:t>
      </w:r>
      <w:r w:rsidR="00B32CBD" w:rsidRPr="00277328">
        <w:rPr>
          <w:lang w:val="en-GB"/>
        </w:rPr>
        <w:t xml:space="preserve">In a context of competing demands and constrained health resources, it becomes apparent that more rational and transparent approaches are needed. Spain is not an exception. </w:t>
      </w:r>
      <w:r w:rsidR="00775307" w:rsidRPr="00277328">
        <w:rPr>
          <w:lang w:val="en-GB"/>
        </w:rPr>
        <w:t xml:space="preserve">Within an environment of continuously increasing health care needs and costs, the recent economic crisis threatens the sustainability of the Spanish National Health System. The economic and health consequences of the crisis urge the implementation of effective and rational policies in the long-run. </w:t>
      </w:r>
      <w:r w:rsidR="00AB385D" w:rsidRPr="00277328">
        <w:rPr>
          <w:lang w:val="en-GB"/>
        </w:rPr>
        <w:t xml:space="preserve">This thesis elaborates the impact of equity and efficiency criteria on Spanish stakeholders’ preferences. </w:t>
      </w:r>
      <w:r w:rsidR="00775307" w:rsidRPr="00277328">
        <w:rPr>
          <w:lang w:val="en-GB"/>
        </w:rPr>
        <w:t xml:space="preserve"> </w:t>
      </w:r>
      <w:r w:rsidR="00AB385D" w:rsidRPr="00277328">
        <w:rPr>
          <w:lang w:val="en-GB"/>
        </w:rPr>
        <w:t>A discrete choice experiment is employed among</w:t>
      </w:r>
      <w:r w:rsidR="00775307" w:rsidRPr="00277328">
        <w:rPr>
          <w:lang w:val="en-GB"/>
        </w:rPr>
        <w:t xml:space="preserve"> </w:t>
      </w:r>
      <w:r w:rsidR="00AB385D" w:rsidRPr="00277328">
        <w:rPr>
          <w:lang w:val="en-GB"/>
        </w:rPr>
        <w:t>policy makers, health managers and researchers from different regions in Spain and the relative importance of these attributes is established. Using aggregate equity and efficiency attributes, an empirical measure of the equity/efficiency trade-offs is cal</w:t>
      </w:r>
      <w:r w:rsidR="00A2747C" w:rsidRPr="00277328">
        <w:rPr>
          <w:lang w:val="en-GB"/>
        </w:rPr>
        <w:t>culated. The results of the experiment are used in order to rank health interventions based on their equity and efficiency characteristics. Mental disorders among other dise</w:t>
      </w:r>
      <w:r w:rsidR="00277328">
        <w:rPr>
          <w:lang w:val="en-GB"/>
        </w:rPr>
        <w:t xml:space="preserve">ase areas are extensively </w:t>
      </w:r>
      <w:r w:rsidR="00277328" w:rsidRPr="00433AE6">
        <w:rPr>
          <w:lang w:val="en-GB"/>
        </w:rPr>
        <w:t>analys</w:t>
      </w:r>
      <w:r w:rsidR="00A2747C" w:rsidRPr="00433AE6">
        <w:rPr>
          <w:lang w:val="en-GB"/>
        </w:rPr>
        <w:t>ed</w:t>
      </w:r>
      <w:r w:rsidR="00A2747C" w:rsidRPr="00277328">
        <w:rPr>
          <w:lang w:val="en-GB"/>
        </w:rPr>
        <w:t>, given the increasing burden of mental illness in all high-income countries. The results of the DCE indicate that preferences among equity and efficiency criteria vary among regions and some trade-offs indeed take place. DCEs have already been identified as a useful a</w:t>
      </w:r>
      <w:r w:rsidR="00F16517">
        <w:rPr>
          <w:lang w:val="en-GB"/>
        </w:rPr>
        <w:t>pproach to inform and rationalis</w:t>
      </w:r>
      <w:r w:rsidR="00A2747C" w:rsidRPr="00277328">
        <w:rPr>
          <w:lang w:val="en-GB"/>
        </w:rPr>
        <w:t xml:space="preserve">e priority setting processes. This thesis shows that multi-criteria decision analysis (MCDA) can be a valuable tool </w:t>
      </w:r>
      <w:r w:rsidR="009C7662">
        <w:rPr>
          <w:lang w:val="en-GB"/>
        </w:rPr>
        <w:t>in supporting rational prioritis</w:t>
      </w:r>
      <w:r w:rsidR="00A2747C" w:rsidRPr="00277328">
        <w:rPr>
          <w:lang w:val="en-GB"/>
        </w:rPr>
        <w:t xml:space="preserve">ation decisions and incorporate aggregate equity and efficiency preferences in Spain. </w:t>
      </w:r>
    </w:p>
    <w:p w:rsidR="00A2747C" w:rsidRPr="00277328" w:rsidRDefault="00A2747C" w:rsidP="006400C5">
      <w:pPr>
        <w:rPr>
          <w:lang w:val="en-GB"/>
        </w:rPr>
      </w:pPr>
      <w:r w:rsidRPr="00277328">
        <w:rPr>
          <w:i/>
          <w:lang w:val="en-GB"/>
        </w:rPr>
        <w:t>Keywords</w:t>
      </w:r>
      <w:r w:rsidRPr="00277328">
        <w:rPr>
          <w:lang w:val="en-GB"/>
        </w:rPr>
        <w:t>: Discrete choice experiment, priority setting, MCDA, policy makers, mental disorders, Spain</w:t>
      </w:r>
    </w:p>
    <w:p w:rsidR="0048167D" w:rsidRPr="00277328" w:rsidRDefault="0048167D" w:rsidP="006400C5">
      <w:pPr>
        <w:rPr>
          <w:sz w:val="24"/>
          <w:szCs w:val="24"/>
          <w:lang w:val="en-GB"/>
        </w:rPr>
      </w:pPr>
    </w:p>
    <w:p w:rsidR="0048167D" w:rsidRPr="00277328" w:rsidRDefault="0048167D" w:rsidP="006400C5">
      <w:pPr>
        <w:rPr>
          <w:sz w:val="24"/>
          <w:szCs w:val="24"/>
          <w:lang w:val="en-GB"/>
        </w:rPr>
      </w:pPr>
    </w:p>
    <w:p w:rsidR="0048167D" w:rsidRPr="00277328" w:rsidRDefault="0048167D" w:rsidP="006400C5">
      <w:pPr>
        <w:rPr>
          <w:sz w:val="24"/>
          <w:szCs w:val="24"/>
          <w:lang w:val="en-GB"/>
        </w:rPr>
      </w:pPr>
    </w:p>
    <w:p w:rsidR="0048167D" w:rsidRPr="00277328" w:rsidRDefault="0048167D" w:rsidP="006400C5">
      <w:pPr>
        <w:rPr>
          <w:sz w:val="24"/>
          <w:szCs w:val="24"/>
          <w:lang w:val="en-GB"/>
        </w:rPr>
      </w:pPr>
    </w:p>
    <w:p w:rsidR="0048167D" w:rsidRPr="00277328" w:rsidRDefault="0048167D" w:rsidP="006400C5">
      <w:pPr>
        <w:rPr>
          <w:b/>
          <w:sz w:val="24"/>
          <w:szCs w:val="24"/>
          <w:lang w:val="en-GB"/>
        </w:rPr>
      </w:pPr>
      <w:r w:rsidRPr="00277328">
        <w:rPr>
          <w:b/>
          <w:sz w:val="24"/>
          <w:szCs w:val="24"/>
          <w:lang w:val="en-GB"/>
        </w:rPr>
        <w:t>Acknowledgments</w:t>
      </w:r>
    </w:p>
    <w:p w:rsidR="001E74C6" w:rsidRPr="00277328" w:rsidRDefault="0048167D" w:rsidP="00AE5D17">
      <w:pPr>
        <w:jc w:val="both"/>
        <w:rPr>
          <w:rFonts w:cstheme="minorHAnsi"/>
          <w:lang w:val="en-GB"/>
        </w:rPr>
      </w:pPr>
      <w:r w:rsidRPr="00277328">
        <w:rPr>
          <w:rFonts w:cstheme="minorHAnsi"/>
          <w:color w:val="000000"/>
          <w:shd w:val="clear" w:color="auto" w:fill="FFFFF5"/>
          <w:lang w:val="en-GB"/>
        </w:rPr>
        <w:t>I am sincerely and heartily grateful to my advisor and mentor, Francesco Paolucci, for the support, attention and guidance he showed me throughout my thesis writing. I am sure it would have not been possible without his help. Besides</w:t>
      </w:r>
      <w:r w:rsidR="00126F02">
        <w:rPr>
          <w:rFonts w:cstheme="minorHAnsi"/>
          <w:color w:val="000000"/>
          <w:shd w:val="clear" w:color="auto" w:fill="FFFFF5"/>
          <w:lang w:val="en-GB"/>
        </w:rPr>
        <w:t xml:space="preserve"> I would like to thank Dr.</w:t>
      </w:r>
      <w:r w:rsidRPr="00277328">
        <w:rPr>
          <w:rFonts w:cstheme="minorHAnsi"/>
          <w:color w:val="000000"/>
          <w:shd w:val="clear" w:color="auto" w:fill="FFFFF5"/>
          <w:lang w:val="en-GB"/>
        </w:rPr>
        <w:t xml:space="preserve"> Emmanouil Mentzakis</w:t>
      </w:r>
      <w:r w:rsidRPr="00277328">
        <w:rPr>
          <w:rFonts w:cstheme="minorHAnsi"/>
          <w:shd w:val="clear" w:color="auto" w:fill="FFFFF5"/>
          <w:lang w:val="en-GB"/>
        </w:rPr>
        <w:t xml:space="preserve"> for his advices and help during my writing.</w:t>
      </w:r>
      <w:r w:rsidRPr="00277328">
        <w:rPr>
          <w:rStyle w:val="apple-converted-space"/>
          <w:rFonts w:cstheme="minorHAnsi"/>
          <w:iCs/>
          <w:shd w:val="clear" w:color="auto" w:fill="FFFFFF"/>
          <w:lang w:val="en-GB"/>
        </w:rPr>
        <w:t> </w:t>
      </w:r>
      <w:r w:rsidR="00126F02">
        <w:rPr>
          <w:rStyle w:val="Emphasis"/>
          <w:rFonts w:cstheme="minorHAnsi"/>
          <w:i w:val="0"/>
          <w:shd w:val="clear" w:color="auto" w:fill="FFFFFF"/>
          <w:lang w:val="en-GB"/>
        </w:rPr>
        <w:t xml:space="preserve">I would also like to express </w:t>
      </w:r>
      <w:r w:rsidRPr="00277328">
        <w:rPr>
          <w:rStyle w:val="Emphasis"/>
          <w:rFonts w:cstheme="minorHAnsi"/>
          <w:i w:val="0"/>
          <w:shd w:val="clear" w:color="auto" w:fill="FFFFFF"/>
          <w:lang w:val="en-GB"/>
        </w:rPr>
        <w:t>my gratitude to my parents, friends and colleagues for their help and moral support.</w:t>
      </w:r>
    </w:p>
    <w:p w:rsidR="003A5847" w:rsidRPr="00277328" w:rsidRDefault="003A5847" w:rsidP="00AE5D17">
      <w:pPr>
        <w:rPr>
          <w:b/>
          <w:sz w:val="28"/>
          <w:szCs w:val="28"/>
          <w:lang w:val="en-GB"/>
        </w:rPr>
      </w:pPr>
    </w:p>
    <w:p w:rsidR="003414E6" w:rsidRPr="00277328" w:rsidRDefault="003414E6">
      <w:pPr>
        <w:rPr>
          <w:b/>
          <w:sz w:val="28"/>
          <w:szCs w:val="28"/>
          <w:lang w:val="en-GB"/>
        </w:rPr>
      </w:pPr>
      <w:r w:rsidRPr="00277328">
        <w:rPr>
          <w:b/>
          <w:sz w:val="28"/>
          <w:szCs w:val="28"/>
          <w:lang w:val="en-GB"/>
        </w:rPr>
        <w:br w:type="page"/>
      </w:r>
    </w:p>
    <w:sdt>
      <w:sdtPr>
        <w:rPr>
          <w:rFonts w:eastAsiaTheme="minorEastAsia" w:cstheme="minorBidi"/>
          <w:b w:val="0"/>
          <w:bCs w:val="0"/>
          <w:sz w:val="22"/>
          <w:szCs w:val="22"/>
          <w:lang w:val="en-GB"/>
        </w:rPr>
        <w:id w:val="40653396"/>
        <w:docPartObj>
          <w:docPartGallery w:val="Table of Contents"/>
          <w:docPartUnique/>
        </w:docPartObj>
      </w:sdtPr>
      <w:sdtContent>
        <w:p w:rsidR="00950BD7" w:rsidRPr="00277328" w:rsidRDefault="006555F2" w:rsidP="006555F2">
          <w:pPr>
            <w:pStyle w:val="TOCHeading"/>
            <w:numPr>
              <w:ilvl w:val="0"/>
              <w:numId w:val="0"/>
            </w:numPr>
            <w:ind w:left="432" w:hanging="432"/>
            <w:rPr>
              <w:rFonts w:cstheme="minorHAnsi"/>
              <w:lang w:val="en-GB"/>
            </w:rPr>
          </w:pPr>
          <w:r w:rsidRPr="00277328">
            <w:rPr>
              <w:rFonts w:cstheme="minorHAnsi"/>
              <w:lang w:val="en-GB"/>
            </w:rPr>
            <w:t>Table of contents</w:t>
          </w:r>
        </w:p>
        <w:p w:rsidR="006555F2" w:rsidRPr="00277328" w:rsidRDefault="006555F2" w:rsidP="006555F2">
          <w:pPr>
            <w:rPr>
              <w:lang w:val="en-GB"/>
            </w:rPr>
          </w:pPr>
        </w:p>
        <w:p w:rsidR="006573F1" w:rsidRDefault="00E93150">
          <w:pPr>
            <w:pStyle w:val="TOC1"/>
            <w:tabs>
              <w:tab w:val="left" w:pos="440"/>
              <w:tab w:val="right" w:leader="dot" w:pos="8296"/>
            </w:tabs>
            <w:rPr>
              <w:noProof/>
            </w:rPr>
          </w:pPr>
          <w:r w:rsidRPr="00E93150">
            <w:rPr>
              <w:lang w:val="en-GB"/>
            </w:rPr>
            <w:fldChar w:fldCharType="begin"/>
          </w:r>
          <w:r w:rsidR="00950BD7" w:rsidRPr="00277328">
            <w:rPr>
              <w:lang w:val="en-GB"/>
            </w:rPr>
            <w:instrText xml:space="preserve"> TOC \o "1-3" \h \z \u </w:instrText>
          </w:r>
          <w:r w:rsidRPr="00E93150">
            <w:rPr>
              <w:lang w:val="en-GB"/>
            </w:rPr>
            <w:fldChar w:fldCharType="separate"/>
          </w:r>
          <w:hyperlink w:anchor="_Toc367790992" w:history="1">
            <w:r w:rsidR="006573F1" w:rsidRPr="00736FEC">
              <w:rPr>
                <w:rStyle w:val="Hyperlink"/>
                <w:noProof/>
                <w:lang w:val="en-GB"/>
              </w:rPr>
              <w:t>1</w:t>
            </w:r>
            <w:r w:rsidR="006573F1">
              <w:rPr>
                <w:noProof/>
              </w:rPr>
              <w:tab/>
            </w:r>
            <w:r w:rsidR="006573F1" w:rsidRPr="00736FEC">
              <w:rPr>
                <w:rStyle w:val="Hyperlink"/>
                <w:noProof/>
                <w:lang w:val="en-GB"/>
              </w:rPr>
              <w:t>INTRODUCTION</w:t>
            </w:r>
            <w:r w:rsidR="006573F1">
              <w:rPr>
                <w:noProof/>
                <w:webHidden/>
              </w:rPr>
              <w:tab/>
            </w:r>
            <w:r>
              <w:rPr>
                <w:noProof/>
                <w:webHidden/>
              </w:rPr>
              <w:fldChar w:fldCharType="begin"/>
            </w:r>
            <w:r w:rsidR="006573F1">
              <w:rPr>
                <w:noProof/>
                <w:webHidden/>
              </w:rPr>
              <w:instrText xml:space="preserve"> PAGEREF _Toc367790992 \h </w:instrText>
            </w:r>
            <w:r>
              <w:rPr>
                <w:noProof/>
                <w:webHidden/>
              </w:rPr>
            </w:r>
            <w:r>
              <w:rPr>
                <w:noProof/>
                <w:webHidden/>
              </w:rPr>
              <w:fldChar w:fldCharType="separate"/>
            </w:r>
            <w:r w:rsidR="006573F1">
              <w:rPr>
                <w:noProof/>
                <w:webHidden/>
              </w:rPr>
              <w:t>5</w:t>
            </w:r>
            <w:r>
              <w:rPr>
                <w:noProof/>
                <w:webHidden/>
              </w:rPr>
              <w:fldChar w:fldCharType="end"/>
            </w:r>
          </w:hyperlink>
        </w:p>
        <w:p w:rsidR="006573F1" w:rsidRDefault="00E93150">
          <w:pPr>
            <w:pStyle w:val="TOC2"/>
            <w:tabs>
              <w:tab w:val="left" w:pos="880"/>
              <w:tab w:val="right" w:leader="dot" w:pos="8296"/>
            </w:tabs>
            <w:rPr>
              <w:noProof/>
            </w:rPr>
          </w:pPr>
          <w:hyperlink w:anchor="_Toc367790993" w:history="1">
            <w:r w:rsidR="006573F1" w:rsidRPr="00736FEC">
              <w:rPr>
                <w:rStyle w:val="Hyperlink"/>
                <w:noProof/>
                <w:lang w:val="en-GB"/>
              </w:rPr>
              <w:t>1.1</w:t>
            </w:r>
            <w:r w:rsidR="006573F1">
              <w:rPr>
                <w:noProof/>
              </w:rPr>
              <w:tab/>
            </w:r>
            <w:r w:rsidR="006573F1" w:rsidRPr="00736FEC">
              <w:rPr>
                <w:rStyle w:val="Hyperlink"/>
                <w:noProof/>
                <w:lang w:val="en-GB"/>
              </w:rPr>
              <w:t>The need for rational approaches to priority setting</w:t>
            </w:r>
            <w:r w:rsidR="006573F1">
              <w:rPr>
                <w:noProof/>
                <w:webHidden/>
              </w:rPr>
              <w:tab/>
            </w:r>
            <w:r>
              <w:rPr>
                <w:noProof/>
                <w:webHidden/>
              </w:rPr>
              <w:fldChar w:fldCharType="begin"/>
            </w:r>
            <w:r w:rsidR="006573F1">
              <w:rPr>
                <w:noProof/>
                <w:webHidden/>
              </w:rPr>
              <w:instrText xml:space="preserve"> PAGEREF _Toc367790993 \h </w:instrText>
            </w:r>
            <w:r>
              <w:rPr>
                <w:noProof/>
                <w:webHidden/>
              </w:rPr>
            </w:r>
            <w:r>
              <w:rPr>
                <w:noProof/>
                <w:webHidden/>
              </w:rPr>
              <w:fldChar w:fldCharType="separate"/>
            </w:r>
            <w:r w:rsidR="006573F1">
              <w:rPr>
                <w:noProof/>
                <w:webHidden/>
              </w:rPr>
              <w:t>5</w:t>
            </w:r>
            <w:r>
              <w:rPr>
                <w:noProof/>
                <w:webHidden/>
              </w:rPr>
              <w:fldChar w:fldCharType="end"/>
            </w:r>
          </w:hyperlink>
        </w:p>
        <w:p w:rsidR="006573F1" w:rsidRDefault="00E93150">
          <w:pPr>
            <w:pStyle w:val="TOC2"/>
            <w:tabs>
              <w:tab w:val="left" w:pos="880"/>
              <w:tab w:val="right" w:leader="dot" w:pos="8296"/>
            </w:tabs>
            <w:rPr>
              <w:noProof/>
            </w:rPr>
          </w:pPr>
          <w:hyperlink w:anchor="_Toc367790994" w:history="1">
            <w:r w:rsidR="006573F1" w:rsidRPr="00736FEC">
              <w:rPr>
                <w:rStyle w:val="Hyperlink"/>
                <w:noProof/>
                <w:lang w:val="en-GB"/>
              </w:rPr>
              <w:t>1.2</w:t>
            </w:r>
            <w:r w:rsidR="006573F1">
              <w:rPr>
                <w:noProof/>
              </w:rPr>
              <w:tab/>
            </w:r>
            <w:r w:rsidR="006573F1" w:rsidRPr="00736FEC">
              <w:rPr>
                <w:rStyle w:val="Hyperlink"/>
                <w:noProof/>
                <w:lang w:val="en-GB"/>
              </w:rPr>
              <w:t>The burden of mental disorders</w:t>
            </w:r>
            <w:r w:rsidR="006573F1">
              <w:rPr>
                <w:noProof/>
                <w:webHidden/>
              </w:rPr>
              <w:tab/>
            </w:r>
            <w:r>
              <w:rPr>
                <w:noProof/>
                <w:webHidden/>
              </w:rPr>
              <w:fldChar w:fldCharType="begin"/>
            </w:r>
            <w:r w:rsidR="006573F1">
              <w:rPr>
                <w:noProof/>
                <w:webHidden/>
              </w:rPr>
              <w:instrText xml:space="preserve"> PAGEREF _Toc367790994 \h </w:instrText>
            </w:r>
            <w:r>
              <w:rPr>
                <w:noProof/>
                <w:webHidden/>
              </w:rPr>
            </w:r>
            <w:r>
              <w:rPr>
                <w:noProof/>
                <w:webHidden/>
              </w:rPr>
              <w:fldChar w:fldCharType="separate"/>
            </w:r>
            <w:r w:rsidR="006573F1">
              <w:rPr>
                <w:noProof/>
                <w:webHidden/>
              </w:rPr>
              <w:t>8</w:t>
            </w:r>
            <w:r>
              <w:rPr>
                <w:noProof/>
                <w:webHidden/>
              </w:rPr>
              <w:fldChar w:fldCharType="end"/>
            </w:r>
          </w:hyperlink>
        </w:p>
        <w:p w:rsidR="006573F1" w:rsidRDefault="00E93150">
          <w:pPr>
            <w:pStyle w:val="TOC2"/>
            <w:tabs>
              <w:tab w:val="left" w:pos="880"/>
              <w:tab w:val="right" w:leader="dot" w:pos="8296"/>
            </w:tabs>
            <w:rPr>
              <w:noProof/>
            </w:rPr>
          </w:pPr>
          <w:hyperlink w:anchor="_Toc367790995" w:history="1">
            <w:r w:rsidR="006573F1" w:rsidRPr="00736FEC">
              <w:rPr>
                <w:rStyle w:val="Hyperlink"/>
                <w:noProof/>
                <w:lang w:val="en-GB"/>
              </w:rPr>
              <w:t>1.3</w:t>
            </w:r>
            <w:r w:rsidR="006573F1">
              <w:rPr>
                <w:noProof/>
              </w:rPr>
              <w:tab/>
            </w:r>
            <w:r w:rsidR="006573F1" w:rsidRPr="00736FEC">
              <w:rPr>
                <w:rStyle w:val="Hyperlink"/>
                <w:noProof/>
                <w:lang w:val="en-GB"/>
              </w:rPr>
              <w:t>Economic burden of mental disorders</w:t>
            </w:r>
            <w:r w:rsidR="006573F1">
              <w:rPr>
                <w:noProof/>
                <w:webHidden/>
              </w:rPr>
              <w:tab/>
            </w:r>
            <w:r>
              <w:rPr>
                <w:noProof/>
                <w:webHidden/>
              </w:rPr>
              <w:fldChar w:fldCharType="begin"/>
            </w:r>
            <w:r w:rsidR="006573F1">
              <w:rPr>
                <w:noProof/>
                <w:webHidden/>
              </w:rPr>
              <w:instrText xml:space="preserve"> PAGEREF _Toc367790995 \h </w:instrText>
            </w:r>
            <w:r>
              <w:rPr>
                <w:noProof/>
                <w:webHidden/>
              </w:rPr>
            </w:r>
            <w:r>
              <w:rPr>
                <w:noProof/>
                <w:webHidden/>
              </w:rPr>
              <w:fldChar w:fldCharType="separate"/>
            </w:r>
            <w:r w:rsidR="006573F1">
              <w:rPr>
                <w:noProof/>
                <w:webHidden/>
              </w:rPr>
              <w:t>10</w:t>
            </w:r>
            <w:r>
              <w:rPr>
                <w:noProof/>
                <w:webHidden/>
              </w:rPr>
              <w:fldChar w:fldCharType="end"/>
            </w:r>
          </w:hyperlink>
        </w:p>
        <w:p w:rsidR="006573F1" w:rsidRDefault="00E93150">
          <w:pPr>
            <w:pStyle w:val="TOC1"/>
            <w:tabs>
              <w:tab w:val="left" w:pos="440"/>
              <w:tab w:val="right" w:leader="dot" w:pos="8296"/>
            </w:tabs>
            <w:rPr>
              <w:noProof/>
            </w:rPr>
          </w:pPr>
          <w:hyperlink w:anchor="_Toc367790996" w:history="1">
            <w:r w:rsidR="006573F1" w:rsidRPr="00736FEC">
              <w:rPr>
                <w:rStyle w:val="Hyperlink"/>
                <w:noProof/>
                <w:lang w:val="en-GB"/>
              </w:rPr>
              <w:t>2</w:t>
            </w:r>
            <w:r w:rsidR="006573F1">
              <w:rPr>
                <w:noProof/>
              </w:rPr>
              <w:tab/>
            </w:r>
            <w:r w:rsidR="006573F1" w:rsidRPr="00736FEC">
              <w:rPr>
                <w:rStyle w:val="Hyperlink"/>
                <w:noProof/>
                <w:lang w:val="en-GB"/>
              </w:rPr>
              <w:t>BACKGROUND</w:t>
            </w:r>
            <w:r w:rsidR="006573F1">
              <w:rPr>
                <w:noProof/>
                <w:webHidden/>
              </w:rPr>
              <w:tab/>
            </w:r>
            <w:r>
              <w:rPr>
                <w:noProof/>
                <w:webHidden/>
              </w:rPr>
              <w:fldChar w:fldCharType="begin"/>
            </w:r>
            <w:r w:rsidR="006573F1">
              <w:rPr>
                <w:noProof/>
                <w:webHidden/>
              </w:rPr>
              <w:instrText xml:space="preserve"> PAGEREF _Toc367790996 \h </w:instrText>
            </w:r>
            <w:r>
              <w:rPr>
                <w:noProof/>
                <w:webHidden/>
              </w:rPr>
            </w:r>
            <w:r>
              <w:rPr>
                <w:noProof/>
                <w:webHidden/>
              </w:rPr>
              <w:fldChar w:fldCharType="separate"/>
            </w:r>
            <w:r w:rsidR="006573F1">
              <w:rPr>
                <w:noProof/>
                <w:webHidden/>
              </w:rPr>
              <w:t>12</w:t>
            </w:r>
            <w:r>
              <w:rPr>
                <w:noProof/>
                <w:webHidden/>
              </w:rPr>
              <w:fldChar w:fldCharType="end"/>
            </w:r>
          </w:hyperlink>
        </w:p>
        <w:p w:rsidR="006573F1" w:rsidRDefault="00E93150">
          <w:pPr>
            <w:pStyle w:val="TOC2"/>
            <w:tabs>
              <w:tab w:val="left" w:pos="880"/>
              <w:tab w:val="right" w:leader="dot" w:pos="8296"/>
            </w:tabs>
            <w:rPr>
              <w:noProof/>
            </w:rPr>
          </w:pPr>
          <w:hyperlink w:anchor="_Toc367790997" w:history="1">
            <w:r w:rsidR="006573F1" w:rsidRPr="00736FEC">
              <w:rPr>
                <w:rStyle w:val="Hyperlink"/>
                <w:noProof/>
                <w:lang w:val="en-GB"/>
              </w:rPr>
              <w:t>2.1</w:t>
            </w:r>
            <w:r w:rsidR="006573F1">
              <w:rPr>
                <w:noProof/>
              </w:rPr>
              <w:tab/>
            </w:r>
            <w:r w:rsidR="006573F1" w:rsidRPr="00736FEC">
              <w:rPr>
                <w:rStyle w:val="Hyperlink"/>
                <w:noProof/>
                <w:lang w:val="en-GB"/>
              </w:rPr>
              <w:t>The Spanish health system reforms</w:t>
            </w:r>
            <w:r w:rsidR="006573F1">
              <w:rPr>
                <w:noProof/>
                <w:webHidden/>
              </w:rPr>
              <w:tab/>
            </w:r>
            <w:r>
              <w:rPr>
                <w:noProof/>
                <w:webHidden/>
              </w:rPr>
              <w:fldChar w:fldCharType="begin"/>
            </w:r>
            <w:r w:rsidR="006573F1">
              <w:rPr>
                <w:noProof/>
                <w:webHidden/>
              </w:rPr>
              <w:instrText xml:space="preserve"> PAGEREF _Toc367790997 \h </w:instrText>
            </w:r>
            <w:r>
              <w:rPr>
                <w:noProof/>
                <w:webHidden/>
              </w:rPr>
            </w:r>
            <w:r>
              <w:rPr>
                <w:noProof/>
                <w:webHidden/>
              </w:rPr>
              <w:fldChar w:fldCharType="separate"/>
            </w:r>
            <w:r w:rsidR="006573F1">
              <w:rPr>
                <w:noProof/>
                <w:webHidden/>
              </w:rPr>
              <w:t>12</w:t>
            </w:r>
            <w:r>
              <w:rPr>
                <w:noProof/>
                <w:webHidden/>
              </w:rPr>
              <w:fldChar w:fldCharType="end"/>
            </w:r>
          </w:hyperlink>
        </w:p>
        <w:p w:rsidR="006573F1" w:rsidRDefault="00E93150">
          <w:pPr>
            <w:pStyle w:val="TOC2"/>
            <w:tabs>
              <w:tab w:val="left" w:pos="880"/>
              <w:tab w:val="right" w:leader="dot" w:pos="8296"/>
            </w:tabs>
            <w:rPr>
              <w:noProof/>
            </w:rPr>
          </w:pPr>
          <w:hyperlink w:anchor="_Toc367790998" w:history="1">
            <w:r w:rsidR="006573F1" w:rsidRPr="00736FEC">
              <w:rPr>
                <w:rStyle w:val="Hyperlink"/>
                <w:noProof/>
                <w:lang w:val="en-GB"/>
              </w:rPr>
              <w:t>2.2</w:t>
            </w:r>
            <w:r w:rsidR="006573F1">
              <w:rPr>
                <w:noProof/>
              </w:rPr>
              <w:tab/>
            </w:r>
            <w:r w:rsidR="006573F1" w:rsidRPr="00736FEC">
              <w:rPr>
                <w:rStyle w:val="Hyperlink"/>
                <w:noProof/>
                <w:lang w:val="en-GB"/>
              </w:rPr>
              <w:t>Health care financing and delivery in Spain</w:t>
            </w:r>
            <w:r w:rsidR="006573F1">
              <w:rPr>
                <w:noProof/>
                <w:webHidden/>
              </w:rPr>
              <w:tab/>
            </w:r>
            <w:r>
              <w:rPr>
                <w:noProof/>
                <w:webHidden/>
              </w:rPr>
              <w:fldChar w:fldCharType="begin"/>
            </w:r>
            <w:r w:rsidR="006573F1">
              <w:rPr>
                <w:noProof/>
                <w:webHidden/>
              </w:rPr>
              <w:instrText xml:space="preserve"> PAGEREF _Toc367790998 \h </w:instrText>
            </w:r>
            <w:r>
              <w:rPr>
                <w:noProof/>
                <w:webHidden/>
              </w:rPr>
            </w:r>
            <w:r>
              <w:rPr>
                <w:noProof/>
                <w:webHidden/>
              </w:rPr>
              <w:fldChar w:fldCharType="separate"/>
            </w:r>
            <w:r w:rsidR="006573F1">
              <w:rPr>
                <w:noProof/>
                <w:webHidden/>
              </w:rPr>
              <w:t>13</w:t>
            </w:r>
            <w:r>
              <w:rPr>
                <w:noProof/>
                <w:webHidden/>
              </w:rPr>
              <w:fldChar w:fldCharType="end"/>
            </w:r>
          </w:hyperlink>
        </w:p>
        <w:p w:rsidR="006573F1" w:rsidRDefault="00E93150">
          <w:pPr>
            <w:pStyle w:val="TOC3"/>
            <w:tabs>
              <w:tab w:val="left" w:pos="1320"/>
              <w:tab w:val="right" w:leader="dot" w:pos="8296"/>
            </w:tabs>
            <w:rPr>
              <w:noProof/>
            </w:rPr>
          </w:pPr>
          <w:hyperlink w:anchor="_Toc367790999" w:history="1">
            <w:r w:rsidR="006573F1" w:rsidRPr="00736FEC">
              <w:rPr>
                <w:rStyle w:val="Hyperlink"/>
                <w:rFonts w:eastAsia="Times New Roman"/>
                <w:noProof/>
                <w:lang w:val="en-GB" w:eastAsia="el-GR"/>
              </w:rPr>
              <w:t>2.2.1</w:t>
            </w:r>
            <w:r w:rsidR="006573F1">
              <w:rPr>
                <w:noProof/>
              </w:rPr>
              <w:tab/>
            </w:r>
            <w:r w:rsidR="006573F1" w:rsidRPr="00736FEC">
              <w:rPr>
                <w:rStyle w:val="Hyperlink"/>
                <w:rFonts w:eastAsia="Times New Roman"/>
                <w:noProof/>
                <w:lang w:val="en-GB" w:eastAsia="el-GR"/>
              </w:rPr>
              <w:t>Health care funding and expenditure</w:t>
            </w:r>
            <w:r w:rsidR="006573F1">
              <w:rPr>
                <w:noProof/>
                <w:webHidden/>
              </w:rPr>
              <w:tab/>
            </w:r>
            <w:r>
              <w:rPr>
                <w:noProof/>
                <w:webHidden/>
              </w:rPr>
              <w:fldChar w:fldCharType="begin"/>
            </w:r>
            <w:r w:rsidR="006573F1">
              <w:rPr>
                <w:noProof/>
                <w:webHidden/>
              </w:rPr>
              <w:instrText xml:space="preserve"> PAGEREF _Toc367790999 \h </w:instrText>
            </w:r>
            <w:r>
              <w:rPr>
                <w:noProof/>
                <w:webHidden/>
              </w:rPr>
            </w:r>
            <w:r>
              <w:rPr>
                <w:noProof/>
                <w:webHidden/>
              </w:rPr>
              <w:fldChar w:fldCharType="separate"/>
            </w:r>
            <w:r w:rsidR="006573F1">
              <w:rPr>
                <w:noProof/>
                <w:webHidden/>
              </w:rPr>
              <w:t>13</w:t>
            </w:r>
            <w:r>
              <w:rPr>
                <w:noProof/>
                <w:webHidden/>
              </w:rPr>
              <w:fldChar w:fldCharType="end"/>
            </w:r>
          </w:hyperlink>
        </w:p>
        <w:p w:rsidR="006573F1" w:rsidRDefault="00E93150">
          <w:pPr>
            <w:pStyle w:val="TOC3"/>
            <w:tabs>
              <w:tab w:val="left" w:pos="1320"/>
              <w:tab w:val="right" w:leader="dot" w:pos="8296"/>
            </w:tabs>
            <w:rPr>
              <w:noProof/>
            </w:rPr>
          </w:pPr>
          <w:hyperlink w:anchor="_Toc367791000" w:history="1">
            <w:r w:rsidR="006573F1" w:rsidRPr="00736FEC">
              <w:rPr>
                <w:rStyle w:val="Hyperlink"/>
                <w:rFonts w:eastAsia="Times New Roman"/>
                <w:noProof/>
                <w:lang w:val="en-GB" w:eastAsia="el-GR"/>
              </w:rPr>
              <w:t>2.2.2</w:t>
            </w:r>
            <w:r w:rsidR="006573F1">
              <w:rPr>
                <w:noProof/>
              </w:rPr>
              <w:tab/>
            </w:r>
            <w:r w:rsidR="006573F1" w:rsidRPr="00736FEC">
              <w:rPr>
                <w:rStyle w:val="Hyperlink"/>
                <w:rFonts w:eastAsia="Times New Roman"/>
                <w:noProof/>
                <w:lang w:val="en-GB" w:eastAsia="el-GR"/>
              </w:rPr>
              <w:t>Pharmaceutical expenditure</w:t>
            </w:r>
            <w:r w:rsidR="006573F1">
              <w:rPr>
                <w:noProof/>
                <w:webHidden/>
              </w:rPr>
              <w:tab/>
            </w:r>
            <w:r>
              <w:rPr>
                <w:noProof/>
                <w:webHidden/>
              </w:rPr>
              <w:fldChar w:fldCharType="begin"/>
            </w:r>
            <w:r w:rsidR="006573F1">
              <w:rPr>
                <w:noProof/>
                <w:webHidden/>
              </w:rPr>
              <w:instrText xml:space="preserve"> PAGEREF _Toc367791000 \h </w:instrText>
            </w:r>
            <w:r>
              <w:rPr>
                <w:noProof/>
                <w:webHidden/>
              </w:rPr>
            </w:r>
            <w:r>
              <w:rPr>
                <w:noProof/>
                <w:webHidden/>
              </w:rPr>
              <w:fldChar w:fldCharType="separate"/>
            </w:r>
            <w:r w:rsidR="006573F1">
              <w:rPr>
                <w:noProof/>
                <w:webHidden/>
              </w:rPr>
              <w:t>13</w:t>
            </w:r>
            <w:r>
              <w:rPr>
                <w:noProof/>
                <w:webHidden/>
              </w:rPr>
              <w:fldChar w:fldCharType="end"/>
            </w:r>
          </w:hyperlink>
        </w:p>
        <w:p w:rsidR="006573F1" w:rsidRDefault="00E93150">
          <w:pPr>
            <w:pStyle w:val="TOC3"/>
            <w:tabs>
              <w:tab w:val="left" w:pos="1320"/>
              <w:tab w:val="right" w:leader="dot" w:pos="8296"/>
            </w:tabs>
            <w:rPr>
              <w:noProof/>
            </w:rPr>
          </w:pPr>
          <w:hyperlink w:anchor="_Toc367791001" w:history="1">
            <w:r w:rsidR="006573F1" w:rsidRPr="00736FEC">
              <w:rPr>
                <w:rStyle w:val="Hyperlink"/>
                <w:rFonts w:eastAsia="Times New Roman"/>
                <w:noProof/>
                <w:lang w:val="en-GB" w:eastAsia="el-GR"/>
              </w:rPr>
              <w:t>2.2.3</w:t>
            </w:r>
            <w:r w:rsidR="006573F1">
              <w:rPr>
                <w:noProof/>
              </w:rPr>
              <w:tab/>
            </w:r>
            <w:r w:rsidR="006573F1" w:rsidRPr="00736FEC">
              <w:rPr>
                <w:rStyle w:val="Hyperlink"/>
                <w:rFonts w:eastAsia="Times New Roman"/>
                <w:noProof/>
                <w:lang w:val="en-GB" w:eastAsia="el-GR"/>
              </w:rPr>
              <w:t>Health care planning and delivery</w:t>
            </w:r>
            <w:r w:rsidR="006573F1">
              <w:rPr>
                <w:noProof/>
                <w:webHidden/>
              </w:rPr>
              <w:tab/>
            </w:r>
            <w:r>
              <w:rPr>
                <w:noProof/>
                <w:webHidden/>
              </w:rPr>
              <w:fldChar w:fldCharType="begin"/>
            </w:r>
            <w:r w:rsidR="006573F1">
              <w:rPr>
                <w:noProof/>
                <w:webHidden/>
              </w:rPr>
              <w:instrText xml:space="preserve"> PAGEREF _Toc367791001 \h </w:instrText>
            </w:r>
            <w:r>
              <w:rPr>
                <w:noProof/>
                <w:webHidden/>
              </w:rPr>
            </w:r>
            <w:r>
              <w:rPr>
                <w:noProof/>
                <w:webHidden/>
              </w:rPr>
              <w:fldChar w:fldCharType="separate"/>
            </w:r>
            <w:r w:rsidR="006573F1">
              <w:rPr>
                <w:noProof/>
                <w:webHidden/>
              </w:rPr>
              <w:t>15</w:t>
            </w:r>
            <w:r>
              <w:rPr>
                <w:noProof/>
                <w:webHidden/>
              </w:rPr>
              <w:fldChar w:fldCharType="end"/>
            </w:r>
          </w:hyperlink>
        </w:p>
        <w:p w:rsidR="006573F1" w:rsidRDefault="00E93150">
          <w:pPr>
            <w:pStyle w:val="TOC2"/>
            <w:tabs>
              <w:tab w:val="left" w:pos="880"/>
              <w:tab w:val="right" w:leader="dot" w:pos="8296"/>
            </w:tabs>
            <w:rPr>
              <w:noProof/>
            </w:rPr>
          </w:pPr>
          <w:hyperlink w:anchor="_Toc367791002" w:history="1">
            <w:r w:rsidR="006573F1" w:rsidRPr="00736FEC">
              <w:rPr>
                <w:rStyle w:val="Hyperlink"/>
                <w:noProof/>
                <w:lang w:val="en-GB"/>
              </w:rPr>
              <w:t>2.3</w:t>
            </w:r>
            <w:r w:rsidR="006573F1">
              <w:rPr>
                <w:noProof/>
              </w:rPr>
              <w:tab/>
            </w:r>
            <w:r w:rsidR="006573F1" w:rsidRPr="00736FEC">
              <w:rPr>
                <w:rStyle w:val="Hyperlink"/>
                <w:noProof/>
                <w:lang w:val="en-GB"/>
              </w:rPr>
              <w:t>Mental health policy in Spain</w:t>
            </w:r>
            <w:r w:rsidR="006573F1">
              <w:rPr>
                <w:noProof/>
                <w:webHidden/>
              </w:rPr>
              <w:tab/>
            </w:r>
            <w:r>
              <w:rPr>
                <w:noProof/>
                <w:webHidden/>
              </w:rPr>
              <w:fldChar w:fldCharType="begin"/>
            </w:r>
            <w:r w:rsidR="006573F1">
              <w:rPr>
                <w:noProof/>
                <w:webHidden/>
              </w:rPr>
              <w:instrText xml:space="preserve"> PAGEREF _Toc367791002 \h </w:instrText>
            </w:r>
            <w:r>
              <w:rPr>
                <w:noProof/>
                <w:webHidden/>
              </w:rPr>
            </w:r>
            <w:r>
              <w:rPr>
                <w:noProof/>
                <w:webHidden/>
              </w:rPr>
              <w:fldChar w:fldCharType="separate"/>
            </w:r>
            <w:r w:rsidR="006573F1">
              <w:rPr>
                <w:noProof/>
                <w:webHidden/>
              </w:rPr>
              <w:t>16</w:t>
            </w:r>
            <w:r>
              <w:rPr>
                <w:noProof/>
                <w:webHidden/>
              </w:rPr>
              <w:fldChar w:fldCharType="end"/>
            </w:r>
          </w:hyperlink>
        </w:p>
        <w:p w:rsidR="006573F1" w:rsidRDefault="00E93150">
          <w:pPr>
            <w:pStyle w:val="TOC2"/>
            <w:tabs>
              <w:tab w:val="left" w:pos="880"/>
              <w:tab w:val="right" w:leader="dot" w:pos="8296"/>
            </w:tabs>
            <w:rPr>
              <w:noProof/>
            </w:rPr>
          </w:pPr>
          <w:hyperlink w:anchor="_Toc367791003" w:history="1">
            <w:r w:rsidR="006573F1" w:rsidRPr="00736FEC">
              <w:rPr>
                <w:rStyle w:val="Hyperlink"/>
                <w:noProof/>
                <w:lang w:val="en-GB"/>
              </w:rPr>
              <w:t>2.4</w:t>
            </w:r>
            <w:r w:rsidR="006573F1">
              <w:rPr>
                <w:noProof/>
              </w:rPr>
              <w:tab/>
            </w:r>
            <w:r w:rsidR="006573F1" w:rsidRPr="00736FEC">
              <w:rPr>
                <w:rStyle w:val="Hyperlink"/>
                <w:noProof/>
                <w:lang w:val="en-GB"/>
              </w:rPr>
              <w:t>Evidence from Spain</w:t>
            </w:r>
            <w:r w:rsidR="006573F1">
              <w:rPr>
                <w:noProof/>
                <w:webHidden/>
              </w:rPr>
              <w:tab/>
            </w:r>
            <w:r>
              <w:rPr>
                <w:noProof/>
                <w:webHidden/>
              </w:rPr>
              <w:fldChar w:fldCharType="begin"/>
            </w:r>
            <w:r w:rsidR="006573F1">
              <w:rPr>
                <w:noProof/>
                <w:webHidden/>
              </w:rPr>
              <w:instrText xml:space="preserve"> PAGEREF _Toc367791003 \h </w:instrText>
            </w:r>
            <w:r>
              <w:rPr>
                <w:noProof/>
                <w:webHidden/>
              </w:rPr>
            </w:r>
            <w:r>
              <w:rPr>
                <w:noProof/>
                <w:webHidden/>
              </w:rPr>
              <w:fldChar w:fldCharType="separate"/>
            </w:r>
            <w:r w:rsidR="006573F1">
              <w:rPr>
                <w:noProof/>
                <w:webHidden/>
              </w:rPr>
              <w:t>17</w:t>
            </w:r>
            <w:r>
              <w:rPr>
                <w:noProof/>
                <w:webHidden/>
              </w:rPr>
              <w:fldChar w:fldCharType="end"/>
            </w:r>
          </w:hyperlink>
        </w:p>
        <w:p w:rsidR="006573F1" w:rsidRDefault="00E93150">
          <w:pPr>
            <w:pStyle w:val="TOC3"/>
            <w:tabs>
              <w:tab w:val="left" w:pos="1320"/>
              <w:tab w:val="right" w:leader="dot" w:pos="8296"/>
            </w:tabs>
            <w:rPr>
              <w:noProof/>
            </w:rPr>
          </w:pPr>
          <w:hyperlink w:anchor="_Toc367791004" w:history="1">
            <w:r w:rsidR="006573F1" w:rsidRPr="00736FEC">
              <w:rPr>
                <w:rStyle w:val="Hyperlink"/>
                <w:noProof/>
                <w:lang w:val="en-GB"/>
              </w:rPr>
              <w:t>2.4.1</w:t>
            </w:r>
            <w:r w:rsidR="006573F1">
              <w:rPr>
                <w:noProof/>
              </w:rPr>
              <w:tab/>
            </w:r>
            <w:r w:rsidR="006573F1" w:rsidRPr="00736FEC">
              <w:rPr>
                <w:rStyle w:val="Hyperlink"/>
                <w:noProof/>
                <w:lang w:val="en-GB"/>
              </w:rPr>
              <w:t>Burden of disease</w:t>
            </w:r>
            <w:r w:rsidR="006573F1">
              <w:rPr>
                <w:noProof/>
                <w:webHidden/>
              </w:rPr>
              <w:tab/>
            </w:r>
            <w:r>
              <w:rPr>
                <w:noProof/>
                <w:webHidden/>
              </w:rPr>
              <w:fldChar w:fldCharType="begin"/>
            </w:r>
            <w:r w:rsidR="006573F1">
              <w:rPr>
                <w:noProof/>
                <w:webHidden/>
              </w:rPr>
              <w:instrText xml:space="preserve"> PAGEREF _Toc367791004 \h </w:instrText>
            </w:r>
            <w:r>
              <w:rPr>
                <w:noProof/>
                <w:webHidden/>
              </w:rPr>
            </w:r>
            <w:r>
              <w:rPr>
                <w:noProof/>
                <w:webHidden/>
              </w:rPr>
              <w:fldChar w:fldCharType="separate"/>
            </w:r>
            <w:r w:rsidR="006573F1">
              <w:rPr>
                <w:noProof/>
                <w:webHidden/>
              </w:rPr>
              <w:t>17</w:t>
            </w:r>
            <w:r>
              <w:rPr>
                <w:noProof/>
                <w:webHidden/>
              </w:rPr>
              <w:fldChar w:fldCharType="end"/>
            </w:r>
          </w:hyperlink>
        </w:p>
        <w:p w:rsidR="006573F1" w:rsidRDefault="00E93150">
          <w:pPr>
            <w:pStyle w:val="TOC3"/>
            <w:tabs>
              <w:tab w:val="left" w:pos="1320"/>
              <w:tab w:val="right" w:leader="dot" w:pos="8296"/>
            </w:tabs>
            <w:rPr>
              <w:noProof/>
            </w:rPr>
          </w:pPr>
          <w:hyperlink w:anchor="_Toc367791005" w:history="1">
            <w:r w:rsidR="006573F1" w:rsidRPr="00736FEC">
              <w:rPr>
                <w:rStyle w:val="Hyperlink"/>
                <w:noProof/>
                <w:lang w:val="en-GB"/>
              </w:rPr>
              <w:t>2.4.2</w:t>
            </w:r>
            <w:r w:rsidR="006573F1">
              <w:rPr>
                <w:noProof/>
              </w:rPr>
              <w:tab/>
            </w:r>
            <w:r w:rsidR="006573F1" w:rsidRPr="00736FEC">
              <w:rPr>
                <w:rStyle w:val="Hyperlink"/>
                <w:noProof/>
                <w:lang w:val="en-GB"/>
              </w:rPr>
              <w:t>The burden of mental disorders in Spain</w:t>
            </w:r>
            <w:r w:rsidR="006573F1">
              <w:rPr>
                <w:noProof/>
                <w:webHidden/>
              </w:rPr>
              <w:tab/>
            </w:r>
            <w:r>
              <w:rPr>
                <w:noProof/>
                <w:webHidden/>
              </w:rPr>
              <w:fldChar w:fldCharType="begin"/>
            </w:r>
            <w:r w:rsidR="006573F1">
              <w:rPr>
                <w:noProof/>
                <w:webHidden/>
              </w:rPr>
              <w:instrText xml:space="preserve"> PAGEREF _Toc367791005 \h </w:instrText>
            </w:r>
            <w:r>
              <w:rPr>
                <w:noProof/>
                <w:webHidden/>
              </w:rPr>
            </w:r>
            <w:r>
              <w:rPr>
                <w:noProof/>
                <w:webHidden/>
              </w:rPr>
              <w:fldChar w:fldCharType="separate"/>
            </w:r>
            <w:r w:rsidR="006573F1">
              <w:rPr>
                <w:noProof/>
                <w:webHidden/>
              </w:rPr>
              <w:t>20</w:t>
            </w:r>
            <w:r>
              <w:rPr>
                <w:noProof/>
                <w:webHidden/>
              </w:rPr>
              <w:fldChar w:fldCharType="end"/>
            </w:r>
          </w:hyperlink>
        </w:p>
        <w:p w:rsidR="006573F1" w:rsidRDefault="00E93150">
          <w:pPr>
            <w:pStyle w:val="TOC1"/>
            <w:tabs>
              <w:tab w:val="left" w:pos="440"/>
              <w:tab w:val="right" w:leader="dot" w:pos="8296"/>
            </w:tabs>
            <w:rPr>
              <w:noProof/>
            </w:rPr>
          </w:pPr>
          <w:hyperlink w:anchor="_Toc367791006" w:history="1">
            <w:r w:rsidR="006573F1" w:rsidRPr="00736FEC">
              <w:rPr>
                <w:rStyle w:val="Hyperlink"/>
                <w:noProof/>
                <w:lang w:val="en-GB"/>
              </w:rPr>
              <w:t>3</w:t>
            </w:r>
            <w:r w:rsidR="006573F1">
              <w:rPr>
                <w:noProof/>
              </w:rPr>
              <w:tab/>
            </w:r>
            <w:r w:rsidR="006573F1" w:rsidRPr="00736FEC">
              <w:rPr>
                <w:rStyle w:val="Hyperlink"/>
                <w:noProof/>
                <w:lang w:val="en-GB"/>
              </w:rPr>
              <w:t>REVIEW OF THE LITERATURE</w:t>
            </w:r>
            <w:r w:rsidR="006573F1">
              <w:rPr>
                <w:noProof/>
                <w:webHidden/>
              </w:rPr>
              <w:tab/>
            </w:r>
            <w:r>
              <w:rPr>
                <w:noProof/>
                <w:webHidden/>
              </w:rPr>
              <w:fldChar w:fldCharType="begin"/>
            </w:r>
            <w:r w:rsidR="006573F1">
              <w:rPr>
                <w:noProof/>
                <w:webHidden/>
              </w:rPr>
              <w:instrText xml:space="preserve"> PAGEREF _Toc367791006 \h </w:instrText>
            </w:r>
            <w:r>
              <w:rPr>
                <w:noProof/>
                <w:webHidden/>
              </w:rPr>
            </w:r>
            <w:r>
              <w:rPr>
                <w:noProof/>
                <w:webHidden/>
              </w:rPr>
              <w:fldChar w:fldCharType="separate"/>
            </w:r>
            <w:r w:rsidR="006573F1">
              <w:rPr>
                <w:noProof/>
                <w:webHidden/>
              </w:rPr>
              <w:t>22</w:t>
            </w:r>
            <w:r>
              <w:rPr>
                <w:noProof/>
                <w:webHidden/>
              </w:rPr>
              <w:fldChar w:fldCharType="end"/>
            </w:r>
          </w:hyperlink>
        </w:p>
        <w:p w:rsidR="006573F1" w:rsidRDefault="00E93150">
          <w:pPr>
            <w:pStyle w:val="TOC2"/>
            <w:tabs>
              <w:tab w:val="left" w:pos="880"/>
              <w:tab w:val="right" w:leader="dot" w:pos="8296"/>
            </w:tabs>
            <w:rPr>
              <w:noProof/>
            </w:rPr>
          </w:pPr>
          <w:hyperlink w:anchor="_Toc367791007" w:history="1">
            <w:r w:rsidR="006573F1" w:rsidRPr="00736FEC">
              <w:rPr>
                <w:rStyle w:val="Hyperlink"/>
                <w:noProof/>
                <w:lang w:val="en-GB"/>
              </w:rPr>
              <w:t>3.1</w:t>
            </w:r>
            <w:r w:rsidR="006573F1">
              <w:rPr>
                <w:noProof/>
              </w:rPr>
              <w:tab/>
            </w:r>
            <w:r w:rsidR="006573F1" w:rsidRPr="00736FEC">
              <w:rPr>
                <w:rStyle w:val="Hyperlink"/>
                <w:noProof/>
                <w:lang w:val="en-GB"/>
              </w:rPr>
              <w:t>Moving towards MCDA</w:t>
            </w:r>
            <w:r w:rsidR="006573F1">
              <w:rPr>
                <w:noProof/>
                <w:webHidden/>
              </w:rPr>
              <w:tab/>
            </w:r>
            <w:r>
              <w:rPr>
                <w:noProof/>
                <w:webHidden/>
              </w:rPr>
              <w:fldChar w:fldCharType="begin"/>
            </w:r>
            <w:r w:rsidR="006573F1">
              <w:rPr>
                <w:noProof/>
                <w:webHidden/>
              </w:rPr>
              <w:instrText xml:space="preserve"> PAGEREF _Toc367791007 \h </w:instrText>
            </w:r>
            <w:r>
              <w:rPr>
                <w:noProof/>
                <w:webHidden/>
              </w:rPr>
            </w:r>
            <w:r>
              <w:rPr>
                <w:noProof/>
                <w:webHidden/>
              </w:rPr>
              <w:fldChar w:fldCharType="separate"/>
            </w:r>
            <w:r w:rsidR="006573F1">
              <w:rPr>
                <w:noProof/>
                <w:webHidden/>
              </w:rPr>
              <w:t>22</w:t>
            </w:r>
            <w:r>
              <w:rPr>
                <w:noProof/>
                <w:webHidden/>
              </w:rPr>
              <w:fldChar w:fldCharType="end"/>
            </w:r>
          </w:hyperlink>
        </w:p>
        <w:p w:rsidR="006573F1" w:rsidRDefault="00E93150">
          <w:pPr>
            <w:pStyle w:val="TOC2"/>
            <w:tabs>
              <w:tab w:val="left" w:pos="880"/>
              <w:tab w:val="right" w:leader="dot" w:pos="8296"/>
            </w:tabs>
            <w:rPr>
              <w:noProof/>
            </w:rPr>
          </w:pPr>
          <w:hyperlink w:anchor="_Toc367791008" w:history="1">
            <w:r w:rsidR="006573F1" w:rsidRPr="00736FEC">
              <w:rPr>
                <w:rStyle w:val="Hyperlink"/>
                <w:noProof/>
                <w:lang w:val="en-GB"/>
              </w:rPr>
              <w:t>3.2</w:t>
            </w:r>
            <w:r w:rsidR="006573F1">
              <w:rPr>
                <w:noProof/>
              </w:rPr>
              <w:tab/>
            </w:r>
            <w:r w:rsidR="006573F1" w:rsidRPr="00736FEC">
              <w:rPr>
                <w:rStyle w:val="Hyperlink"/>
                <w:noProof/>
                <w:lang w:val="en-GB"/>
              </w:rPr>
              <w:t>Discrete choice experiments in health economics</w:t>
            </w:r>
            <w:r w:rsidR="006573F1">
              <w:rPr>
                <w:noProof/>
                <w:webHidden/>
              </w:rPr>
              <w:tab/>
            </w:r>
            <w:r>
              <w:rPr>
                <w:noProof/>
                <w:webHidden/>
              </w:rPr>
              <w:fldChar w:fldCharType="begin"/>
            </w:r>
            <w:r w:rsidR="006573F1">
              <w:rPr>
                <w:noProof/>
                <w:webHidden/>
              </w:rPr>
              <w:instrText xml:space="preserve"> PAGEREF _Toc367791008 \h </w:instrText>
            </w:r>
            <w:r>
              <w:rPr>
                <w:noProof/>
                <w:webHidden/>
              </w:rPr>
            </w:r>
            <w:r>
              <w:rPr>
                <w:noProof/>
                <w:webHidden/>
              </w:rPr>
              <w:fldChar w:fldCharType="separate"/>
            </w:r>
            <w:r w:rsidR="006573F1">
              <w:rPr>
                <w:noProof/>
                <w:webHidden/>
              </w:rPr>
              <w:t>24</w:t>
            </w:r>
            <w:r>
              <w:rPr>
                <w:noProof/>
                <w:webHidden/>
              </w:rPr>
              <w:fldChar w:fldCharType="end"/>
            </w:r>
          </w:hyperlink>
        </w:p>
        <w:p w:rsidR="006573F1" w:rsidRDefault="00E93150">
          <w:pPr>
            <w:pStyle w:val="TOC1"/>
            <w:tabs>
              <w:tab w:val="left" w:pos="440"/>
              <w:tab w:val="right" w:leader="dot" w:pos="8296"/>
            </w:tabs>
            <w:rPr>
              <w:noProof/>
            </w:rPr>
          </w:pPr>
          <w:hyperlink w:anchor="_Toc367791009" w:history="1">
            <w:r w:rsidR="006573F1" w:rsidRPr="00736FEC">
              <w:rPr>
                <w:rStyle w:val="Hyperlink"/>
                <w:noProof/>
                <w:lang w:val="en-GB"/>
              </w:rPr>
              <w:t>4</w:t>
            </w:r>
            <w:r w:rsidR="006573F1">
              <w:rPr>
                <w:noProof/>
              </w:rPr>
              <w:tab/>
            </w:r>
            <w:r w:rsidR="006573F1" w:rsidRPr="00736FEC">
              <w:rPr>
                <w:rStyle w:val="Hyperlink"/>
                <w:noProof/>
                <w:lang w:val="en-GB"/>
              </w:rPr>
              <w:t>METHODS</w:t>
            </w:r>
            <w:r w:rsidR="006573F1">
              <w:rPr>
                <w:noProof/>
                <w:webHidden/>
              </w:rPr>
              <w:tab/>
            </w:r>
            <w:r>
              <w:rPr>
                <w:noProof/>
                <w:webHidden/>
              </w:rPr>
              <w:fldChar w:fldCharType="begin"/>
            </w:r>
            <w:r w:rsidR="006573F1">
              <w:rPr>
                <w:noProof/>
                <w:webHidden/>
              </w:rPr>
              <w:instrText xml:space="preserve"> PAGEREF _Toc367791009 \h </w:instrText>
            </w:r>
            <w:r>
              <w:rPr>
                <w:noProof/>
                <w:webHidden/>
              </w:rPr>
            </w:r>
            <w:r>
              <w:rPr>
                <w:noProof/>
                <w:webHidden/>
              </w:rPr>
              <w:fldChar w:fldCharType="separate"/>
            </w:r>
            <w:r w:rsidR="006573F1">
              <w:rPr>
                <w:noProof/>
                <w:webHidden/>
              </w:rPr>
              <w:t>27</w:t>
            </w:r>
            <w:r>
              <w:rPr>
                <w:noProof/>
                <w:webHidden/>
              </w:rPr>
              <w:fldChar w:fldCharType="end"/>
            </w:r>
          </w:hyperlink>
        </w:p>
        <w:p w:rsidR="006573F1" w:rsidRDefault="00E93150">
          <w:pPr>
            <w:pStyle w:val="TOC2"/>
            <w:tabs>
              <w:tab w:val="left" w:pos="880"/>
              <w:tab w:val="right" w:leader="dot" w:pos="8296"/>
            </w:tabs>
            <w:rPr>
              <w:noProof/>
            </w:rPr>
          </w:pPr>
          <w:hyperlink w:anchor="_Toc367791010" w:history="1">
            <w:r w:rsidR="006573F1" w:rsidRPr="00736FEC">
              <w:rPr>
                <w:rStyle w:val="Hyperlink"/>
                <w:noProof/>
                <w:lang w:val="en-GB"/>
              </w:rPr>
              <w:t>4.1</w:t>
            </w:r>
            <w:r w:rsidR="006573F1">
              <w:rPr>
                <w:noProof/>
              </w:rPr>
              <w:tab/>
            </w:r>
            <w:r w:rsidR="006573F1" w:rsidRPr="00736FEC">
              <w:rPr>
                <w:rStyle w:val="Hyperlink"/>
                <w:noProof/>
                <w:lang w:val="en-GB"/>
              </w:rPr>
              <w:t>Theoretical background</w:t>
            </w:r>
            <w:r w:rsidR="006573F1">
              <w:rPr>
                <w:noProof/>
                <w:webHidden/>
              </w:rPr>
              <w:tab/>
            </w:r>
            <w:r>
              <w:rPr>
                <w:noProof/>
                <w:webHidden/>
              </w:rPr>
              <w:fldChar w:fldCharType="begin"/>
            </w:r>
            <w:r w:rsidR="006573F1">
              <w:rPr>
                <w:noProof/>
                <w:webHidden/>
              </w:rPr>
              <w:instrText xml:space="preserve"> PAGEREF _Toc367791010 \h </w:instrText>
            </w:r>
            <w:r>
              <w:rPr>
                <w:noProof/>
                <w:webHidden/>
              </w:rPr>
            </w:r>
            <w:r>
              <w:rPr>
                <w:noProof/>
                <w:webHidden/>
              </w:rPr>
              <w:fldChar w:fldCharType="separate"/>
            </w:r>
            <w:r w:rsidR="006573F1">
              <w:rPr>
                <w:noProof/>
                <w:webHidden/>
              </w:rPr>
              <w:t>27</w:t>
            </w:r>
            <w:r>
              <w:rPr>
                <w:noProof/>
                <w:webHidden/>
              </w:rPr>
              <w:fldChar w:fldCharType="end"/>
            </w:r>
          </w:hyperlink>
        </w:p>
        <w:p w:rsidR="006573F1" w:rsidRDefault="00E93150">
          <w:pPr>
            <w:pStyle w:val="TOC2"/>
            <w:tabs>
              <w:tab w:val="left" w:pos="880"/>
              <w:tab w:val="right" w:leader="dot" w:pos="8296"/>
            </w:tabs>
            <w:rPr>
              <w:noProof/>
            </w:rPr>
          </w:pPr>
          <w:hyperlink w:anchor="_Toc367791011" w:history="1">
            <w:r w:rsidR="006573F1" w:rsidRPr="00736FEC">
              <w:rPr>
                <w:rStyle w:val="Hyperlink"/>
                <w:noProof/>
                <w:lang w:val="en-GB"/>
              </w:rPr>
              <w:t>4.2</w:t>
            </w:r>
            <w:r w:rsidR="006573F1">
              <w:rPr>
                <w:noProof/>
              </w:rPr>
              <w:tab/>
            </w:r>
            <w:r w:rsidR="006573F1" w:rsidRPr="00736FEC">
              <w:rPr>
                <w:rStyle w:val="Hyperlink"/>
                <w:noProof/>
                <w:lang w:val="en-GB"/>
              </w:rPr>
              <w:t>Criteria and experimental context</w:t>
            </w:r>
            <w:r w:rsidR="006573F1">
              <w:rPr>
                <w:noProof/>
                <w:webHidden/>
              </w:rPr>
              <w:tab/>
            </w:r>
            <w:r>
              <w:rPr>
                <w:noProof/>
                <w:webHidden/>
              </w:rPr>
              <w:fldChar w:fldCharType="begin"/>
            </w:r>
            <w:r w:rsidR="006573F1">
              <w:rPr>
                <w:noProof/>
                <w:webHidden/>
              </w:rPr>
              <w:instrText xml:space="preserve"> PAGEREF _Toc367791011 \h </w:instrText>
            </w:r>
            <w:r>
              <w:rPr>
                <w:noProof/>
                <w:webHidden/>
              </w:rPr>
            </w:r>
            <w:r>
              <w:rPr>
                <w:noProof/>
                <w:webHidden/>
              </w:rPr>
              <w:fldChar w:fldCharType="separate"/>
            </w:r>
            <w:r w:rsidR="006573F1">
              <w:rPr>
                <w:noProof/>
                <w:webHidden/>
              </w:rPr>
              <w:t>28</w:t>
            </w:r>
            <w:r>
              <w:rPr>
                <w:noProof/>
                <w:webHidden/>
              </w:rPr>
              <w:fldChar w:fldCharType="end"/>
            </w:r>
          </w:hyperlink>
        </w:p>
        <w:p w:rsidR="006573F1" w:rsidRDefault="00E93150">
          <w:pPr>
            <w:pStyle w:val="TOC2"/>
            <w:tabs>
              <w:tab w:val="left" w:pos="880"/>
              <w:tab w:val="right" w:leader="dot" w:pos="8296"/>
            </w:tabs>
            <w:rPr>
              <w:noProof/>
            </w:rPr>
          </w:pPr>
          <w:hyperlink w:anchor="_Toc367791012" w:history="1">
            <w:r w:rsidR="006573F1" w:rsidRPr="00736FEC">
              <w:rPr>
                <w:rStyle w:val="Hyperlink"/>
                <w:noProof/>
                <w:lang w:val="en-GB"/>
              </w:rPr>
              <w:t>4.3</w:t>
            </w:r>
            <w:r w:rsidR="006573F1">
              <w:rPr>
                <w:noProof/>
              </w:rPr>
              <w:tab/>
            </w:r>
            <w:r w:rsidR="006573F1" w:rsidRPr="00736FEC">
              <w:rPr>
                <w:rStyle w:val="Hyperlink"/>
                <w:noProof/>
                <w:lang w:val="en-GB"/>
              </w:rPr>
              <w:t>Experimental design</w:t>
            </w:r>
            <w:r w:rsidR="006573F1">
              <w:rPr>
                <w:noProof/>
                <w:webHidden/>
              </w:rPr>
              <w:tab/>
            </w:r>
            <w:r>
              <w:rPr>
                <w:noProof/>
                <w:webHidden/>
              </w:rPr>
              <w:fldChar w:fldCharType="begin"/>
            </w:r>
            <w:r w:rsidR="006573F1">
              <w:rPr>
                <w:noProof/>
                <w:webHidden/>
              </w:rPr>
              <w:instrText xml:space="preserve"> PAGEREF _Toc367791012 \h </w:instrText>
            </w:r>
            <w:r>
              <w:rPr>
                <w:noProof/>
                <w:webHidden/>
              </w:rPr>
            </w:r>
            <w:r>
              <w:rPr>
                <w:noProof/>
                <w:webHidden/>
              </w:rPr>
              <w:fldChar w:fldCharType="separate"/>
            </w:r>
            <w:r w:rsidR="006573F1">
              <w:rPr>
                <w:noProof/>
                <w:webHidden/>
              </w:rPr>
              <w:t>31</w:t>
            </w:r>
            <w:r>
              <w:rPr>
                <w:noProof/>
                <w:webHidden/>
              </w:rPr>
              <w:fldChar w:fldCharType="end"/>
            </w:r>
          </w:hyperlink>
        </w:p>
        <w:p w:rsidR="006573F1" w:rsidRDefault="00E93150">
          <w:pPr>
            <w:pStyle w:val="TOC2"/>
            <w:tabs>
              <w:tab w:val="left" w:pos="880"/>
              <w:tab w:val="right" w:leader="dot" w:pos="8296"/>
            </w:tabs>
            <w:rPr>
              <w:noProof/>
            </w:rPr>
          </w:pPr>
          <w:hyperlink w:anchor="_Toc367791013" w:history="1">
            <w:r w:rsidR="006573F1" w:rsidRPr="00736FEC">
              <w:rPr>
                <w:rStyle w:val="Hyperlink"/>
                <w:noProof/>
                <w:lang w:val="en-GB"/>
              </w:rPr>
              <w:t>4.4</w:t>
            </w:r>
            <w:r w:rsidR="006573F1">
              <w:rPr>
                <w:noProof/>
              </w:rPr>
              <w:tab/>
            </w:r>
            <w:r w:rsidR="006573F1" w:rsidRPr="00736FEC">
              <w:rPr>
                <w:rStyle w:val="Hyperlink"/>
                <w:noProof/>
                <w:lang w:val="en-GB"/>
              </w:rPr>
              <w:t>Data collection</w:t>
            </w:r>
            <w:r w:rsidR="006573F1">
              <w:rPr>
                <w:noProof/>
                <w:webHidden/>
              </w:rPr>
              <w:tab/>
            </w:r>
            <w:r>
              <w:rPr>
                <w:noProof/>
                <w:webHidden/>
              </w:rPr>
              <w:fldChar w:fldCharType="begin"/>
            </w:r>
            <w:r w:rsidR="006573F1">
              <w:rPr>
                <w:noProof/>
                <w:webHidden/>
              </w:rPr>
              <w:instrText xml:space="preserve"> PAGEREF _Toc367791013 \h </w:instrText>
            </w:r>
            <w:r>
              <w:rPr>
                <w:noProof/>
                <w:webHidden/>
              </w:rPr>
            </w:r>
            <w:r>
              <w:rPr>
                <w:noProof/>
                <w:webHidden/>
              </w:rPr>
              <w:fldChar w:fldCharType="separate"/>
            </w:r>
            <w:r w:rsidR="006573F1">
              <w:rPr>
                <w:noProof/>
                <w:webHidden/>
              </w:rPr>
              <w:t>33</w:t>
            </w:r>
            <w:r>
              <w:rPr>
                <w:noProof/>
                <w:webHidden/>
              </w:rPr>
              <w:fldChar w:fldCharType="end"/>
            </w:r>
          </w:hyperlink>
        </w:p>
        <w:p w:rsidR="006573F1" w:rsidRDefault="00E93150">
          <w:pPr>
            <w:pStyle w:val="TOC2"/>
            <w:tabs>
              <w:tab w:val="left" w:pos="880"/>
              <w:tab w:val="right" w:leader="dot" w:pos="8296"/>
            </w:tabs>
            <w:rPr>
              <w:noProof/>
            </w:rPr>
          </w:pPr>
          <w:hyperlink w:anchor="_Toc367791014" w:history="1">
            <w:r w:rsidR="006573F1" w:rsidRPr="00736FEC">
              <w:rPr>
                <w:rStyle w:val="Hyperlink"/>
                <w:noProof/>
                <w:lang w:val="en-GB"/>
              </w:rPr>
              <w:t>4.5</w:t>
            </w:r>
            <w:r w:rsidR="006573F1">
              <w:rPr>
                <w:noProof/>
              </w:rPr>
              <w:tab/>
            </w:r>
            <w:r w:rsidR="006573F1" w:rsidRPr="00736FEC">
              <w:rPr>
                <w:rStyle w:val="Hyperlink"/>
                <w:noProof/>
                <w:lang w:val="en-GB"/>
              </w:rPr>
              <w:t>Data analysis</w:t>
            </w:r>
            <w:r w:rsidR="006573F1">
              <w:rPr>
                <w:noProof/>
                <w:webHidden/>
              </w:rPr>
              <w:tab/>
            </w:r>
            <w:r>
              <w:rPr>
                <w:noProof/>
                <w:webHidden/>
              </w:rPr>
              <w:fldChar w:fldCharType="begin"/>
            </w:r>
            <w:r w:rsidR="006573F1">
              <w:rPr>
                <w:noProof/>
                <w:webHidden/>
              </w:rPr>
              <w:instrText xml:space="preserve"> PAGEREF _Toc367791014 \h </w:instrText>
            </w:r>
            <w:r>
              <w:rPr>
                <w:noProof/>
                <w:webHidden/>
              </w:rPr>
            </w:r>
            <w:r>
              <w:rPr>
                <w:noProof/>
                <w:webHidden/>
              </w:rPr>
              <w:fldChar w:fldCharType="separate"/>
            </w:r>
            <w:r w:rsidR="006573F1">
              <w:rPr>
                <w:noProof/>
                <w:webHidden/>
              </w:rPr>
              <w:t>34</w:t>
            </w:r>
            <w:r>
              <w:rPr>
                <w:noProof/>
                <w:webHidden/>
              </w:rPr>
              <w:fldChar w:fldCharType="end"/>
            </w:r>
          </w:hyperlink>
        </w:p>
        <w:p w:rsidR="006573F1" w:rsidRDefault="00E93150">
          <w:pPr>
            <w:pStyle w:val="TOC3"/>
            <w:tabs>
              <w:tab w:val="left" w:pos="1320"/>
              <w:tab w:val="right" w:leader="dot" w:pos="8296"/>
            </w:tabs>
            <w:rPr>
              <w:noProof/>
            </w:rPr>
          </w:pPr>
          <w:hyperlink w:anchor="_Toc367791015" w:history="1">
            <w:r w:rsidR="006573F1" w:rsidRPr="00736FEC">
              <w:rPr>
                <w:rStyle w:val="Hyperlink"/>
                <w:noProof/>
                <w:lang w:val="en-GB"/>
              </w:rPr>
              <w:t>4.5.1</w:t>
            </w:r>
            <w:r w:rsidR="006573F1">
              <w:rPr>
                <w:noProof/>
              </w:rPr>
              <w:tab/>
            </w:r>
            <w:r w:rsidR="006573F1" w:rsidRPr="00736FEC">
              <w:rPr>
                <w:rStyle w:val="Hyperlink"/>
                <w:noProof/>
                <w:lang w:val="en-GB"/>
              </w:rPr>
              <w:t>Model specification</w:t>
            </w:r>
            <w:r w:rsidR="006573F1">
              <w:rPr>
                <w:noProof/>
                <w:webHidden/>
              </w:rPr>
              <w:tab/>
            </w:r>
            <w:r>
              <w:rPr>
                <w:noProof/>
                <w:webHidden/>
              </w:rPr>
              <w:fldChar w:fldCharType="begin"/>
            </w:r>
            <w:r w:rsidR="006573F1">
              <w:rPr>
                <w:noProof/>
                <w:webHidden/>
              </w:rPr>
              <w:instrText xml:space="preserve"> PAGEREF _Toc367791015 \h </w:instrText>
            </w:r>
            <w:r>
              <w:rPr>
                <w:noProof/>
                <w:webHidden/>
              </w:rPr>
            </w:r>
            <w:r>
              <w:rPr>
                <w:noProof/>
                <w:webHidden/>
              </w:rPr>
              <w:fldChar w:fldCharType="separate"/>
            </w:r>
            <w:r w:rsidR="006573F1">
              <w:rPr>
                <w:noProof/>
                <w:webHidden/>
              </w:rPr>
              <w:t>35</w:t>
            </w:r>
            <w:r>
              <w:rPr>
                <w:noProof/>
                <w:webHidden/>
              </w:rPr>
              <w:fldChar w:fldCharType="end"/>
            </w:r>
          </w:hyperlink>
        </w:p>
        <w:p w:rsidR="006573F1" w:rsidRDefault="00E93150">
          <w:pPr>
            <w:pStyle w:val="TOC2"/>
            <w:tabs>
              <w:tab w:val="left" w:pos="880"/>
              <w:tab w:val="right" w:leader="dot" w:pos="8296"/>
            </w:tabs>
            <w:rPr>
              <w:noProof/>
            </w:rPr>
          </w:pPr>
          <w:hyperlink w:anchor="_Toc367791016" w:history="1">
            <w:r w:rsidR="006573F1" w:rsidRPr="00736FEC">
              <w:rPr>
                <w:rStyle w:val="Hyperlink"/>
                <w:noProof/>
                <w:lang w:val="en-GB"/>
              </w:rPr>
              <w:t>4.6</w:t>
            </w:r>
            <w:r w:rsidR="006573F1">
              <w:rPr>
                <w:noProof/>
              </w:rPr>
              <w:tab/>
            </w:r>
            <w:r w:rsidR="006573F1" w:rsidRPr="00736FEC">
              <w:rPr>
                <w:rStyle w:val="Hyperlink"/>
                <w:noProof/>
                <w:lang w:val="en-GB"/>
              </w:rPr>
              <w:t>Probability analysis</w:t>
            </w:r>
            <w:r w:rsidR="006573F1">
              <w:rPr>
                <w:noProof/>
                <w:webHidden/>
              </w:rPr>
              <w:tab/>
            </w:r>
            <w:r>
              <w:rPr>
                <w:noProof/>
                <w:webHidden/>
              </w:rPr>
              <w:fldChar w:fldCharType="begin"/>
            </w:r>
            <w:r w:rsidR="006573F1">
              <w:rPr>
                <w:noProof/>
                <w:webHidden/>
              </w:rPr>
              <w:instrText xml:space="preserve"> PAGEREF _Toc367791016 \h </w:instrText>
            </w:r>
            <w:r>
              <w:rPr>
                <w:noProof/>
                <w:webHidden/>
              </w:rPr>
            </w:r>
            <w:r>
              <w:rPr>
                <w:noProof/>
                <w:webHidden/>
              </w:rPr>
              <w:fldChar w:fldCharType="separate"/>
            </w:r>
            <w:r w:rsidR="006573F1">
              <w:rPr>
                <w:noProof/>
                <w:webHidden/>
              </w:rPr>
              <w:t>37</w:t>
            </w:r>
            <w:r>
              <w:rPr>
                <w:noProof/>
                <w:webHidden/>
              </w:rPr>
              <w:fldChar w:fldCharType="end"/>
            </w:r>
          </w:hyperlink>
        </w:p>
        <w:p w:rsidR="006573F1" w:rsidRDefault="00E93150">
          <w:pPr>
            <w:pStyle w:val="TOC3"/>
            <w:tabs>
              <w:tab w:val="left" w:pos="1320"/>
              <w:tab w:val="right" w:leader="dot" w:pos="8296"/>
            </w:tabs>
            <w:rPr>
              <w:noProof/>
            </w:rPr>
          </w:pPr>
          <w:hyperlink w:anchor="_Toc367791017" w:history="1">
            <w:r w:rsidR="006573F1" w:rsidRPr="00736FEC">
              <w:rPr>
                <w:rStyle w:val="Hyperlink"/>
                <w:noProof/>
                <w:lang w:val="en-GB"/>
              </w:rPr>
              <w:t>4.6.1</w:t>
            </w:r>
            <w:r w:rsidR="006573F1">
              <w:rPr>
                <w:noProof/>
              </w:rPr>
              <w:tab/>
            </w:r>
            <w:r w:rsidR="006573F1" w:rsidRPr="00736FEC">
              <w:rPr>
                <w:rStyle w:val="Hyperlink"/>
                <w:noProof/>
                <w:lang w:val="en-GB"/>
              </w:rPr>
              <w:t>Composite league table</w:t>
            </w:r>
            <w:r w:rsidR="006573F1">
              <w:rPr>
                <w:noProof/>
                <w:webHidden/>
              </w:rPr>
              <w:tab/>
            </w:r>
            <w:r>
              <w:rPr>
                <w:noProof/>
                <w:webHidden/>
              </w:rPr>
              <w:fldChar w:fldCharType="begin"/>
            </w:r>
            <w:r w:rsidR="006573F1">
              <w:rPr>
                <w:noProof/>
                <w:webHidden/>
              </w:rPr>
              <w:instrText xml:space="preserve"> PAGEREF _Toc367791017 \h </w:instrText>
            </w:r>
            <w:r>
              <w:rPr>
                <w:noProof/>
                <w:webHidden/>
              </w:rPr>
            </w:r>
            <w:r>
              <w:rPr>
                <w:noProof/>
                <w:webHidden/>
              </w:rPr>
              <w:fldChar w:fldCharType="separate"/>
            </w:r>
            <w:r w:rsidR="006573F1">
              <w:rPr>
                <w:noProof/>
                <w:webHidden/>
              </w:rPr>
              <w:t>37</w:t>
            </w:r>
            <w:r>
              <w:rPr>
                <w:noProof/>
                <w:webHidden/>
              </w:rPr>
              <w:fldChar w:fldCharType="end"/>
            </w:r>
          </w:hyperlink>
        </w:p>
        <w:p w:rsidR="006573F1" w:rsidRDefault="00E93150">
          <w:pPr>
            <w:pStyle w:val="TOC1"/>
            <w:tabs>
              <w:tab w:val="left" w:pos="440"/>
              <w:tab w:val="right" w:leader="dot" w:pos="8296"/>
            </w:tabs>
            <w:rPr>
              <w:noProof/>
            </w:rPr>
          </w:pPr>
          <w:hyperlink w:anchor="_Toc367791018" w:history="1">
            <w:r w:rsidR="006573F1" w:rsidRPr="00736FEC">
              <w:rPr>
                <w:rStyle w:val="Hyperlink"/>
                <w:noProof/>
                <w:lang w:val="en-GB"/>
              </w:rPr>
              <w:t>5</w:t>
            </w:r>
            <w:r w:rsidR="006573F1">
              <w:rPr>
                <w:noProof/>
              </w:rPr>
              <w:tab/>
            </w:r>
            <w:r w:rsidR="006573F1" w:rsidRPr="00736FEC">
              <w:rPr>
                <w:rStyle w:val="Hyperlink"/>
                <w:noProof/>
                <w:lang w:val="en-GB"/>
              </w:rPr>
              <w:t>RESULTS</w:t>
            </w:r>
            <w:r w:rsidR="006573F1">
              <w:rPr>
                <w:noProof/>
                <w:webHidden/>
              </w:rPr>
              <w:tab/>
            </w:r>
            <w:r>
              <w:rPr>
                <w:noProof/>
                <w:webHidden/>
              </w:rPr>
              <w:fldChar w:fldCharType="begin"/>
            </w:r>
            <w:r w:rsidR="006573F1">
              <w:rPr>
                <w:noProof/>
                <w:webHidden/>
              </w:rPr>
              <w:instrText xml:space="preserve"> PAGEREF _Toc367791018 \h </w:instrText>
            </w:r>
            <w:r>
              <w:rPr>
                <w:noProof/>
                <w:webHidden/>
              </w:rPr>
            </w:r>
            <w:r>
              <w:rPr>
                <w:noProof/>
                <w:webHidden/>
              </w:rPr>
              <w:fldChar w:fldCharType="separate"/>
            </w:r>
            <w:r w:rsidR="006573F1">
              <w:rPr>
                <w:noProof/>
                <w:webHidden/>
              </w:rPr>
              <w:t>39</w:t>
            </w:r>
            <w:r>
              <w:rPr>
                <w:noProof/>
                <w:webHidden/>
              </w:rPr>
              <w:fldChar w:fldCharType="end"/>
            </w:r>
          </w:hyperlink>
        </w:p>
        <w:p w:rsidR="006573F1" w:rsidRDefault="00E93150">
          <w:pPr>
            <w:pStyle w:val="TOC2"/>
            <w:tabs>
              <w:tab w:val="left" w:pos="880"/>
              <w:tab w:val="right" w:leader="dot" w:pos="8296"/>
            </w:tabs>
            <w:rPr>
              <w:noProof/>
            </w:rPr>
          </w:pPr>
          <w:hyperlink w:anchor="_Toc367791019" w:history="1">
            <w:r w:rsidR="006573F1" w:rsidRPr="00736FEC">
              <w:rPr>
                <w:rStyle w:val="Hyperlink"/>
                <w:noProof/>
                <w:lang w:val="en-GB"/>
              </w:rPr>
              <w:t>5.1</w:t>
            </w:r>
            <w:r w:rsidR="006573F1">
              <w:rPr>
                <w:noProof/>
              </w:rPr>
              <w:tab/>
            </w:r>
            <w:r w:rsidR="006573F1" w:rsidRPr="00736FEC">
              <w:rPr>
                <w:rStyle w:val="Hyperlink"/>
                <w:noProof/>
                <w:lang w:val="en-GB"/>
              </w:rPr>
              <w:t>Sample descriptive statistics</w:t>
            </w:r>
            <w:r w:rsidR="006573F1">
              <w:rPr>
                <w:noProof/>
                <w:webHidden/>
              </w:rPr>
              <w:tab/>
            </w:r>
            <w:r>
              <w:rPr>
                <w:noProof/>
                <w:webHidden/>
              </w:rPr>
              <w:fldChar w:fldCharType="begin"/>
            </w:r>
            <w:r w:rsidR="006573F1">
              <w:rPr>
                <w:noProof/>
                <w:webHidden/>
              </w:rPr>
              <w:instrText xml:space="preserve"> PAGEREF _Toc367791019 \h </w:instrText>
            </w:r>
            <w:r>
              <w:rPr>
                <w:noProof/>
                <w:webHidden/>
              </w:rPr>
            </w:r>
            <w:r>
              <w:rPr>
                <w:noProof/>
                <w:webHidden/>
              </w:rPr>
              <w:fldChar w:fldCharType="separate"/>
            </w:r>
            <w:r w:rsidR="006573F1">
              <w:rPr>
                <w:noProof/>
                <w:webHidden/>
              </w:rPr>
              <w:t>39</w:t>
            </w:r>
            <w:r>
              <w:rPr>
                <w:noProof/>
                <w:webHidden/>
              </w:rPr>
              <w:fldChar w:fldCharType="end"/>
            </w:r>
          </w:hyperlink>
        </w:p>
        <w:p w:rsidR="006573F1" w:rsidRDefault="00E93150">
          <w:pPr>
            <w:pStyle w:val="TOC2"/>
            <w:tabs>
              <w:tab w:val="left" w:pos="880"/>
              <w:tab w:val="right" w:leader="dot" w:pos="8296"/>
            </w:tabs>
            <w:rPr>
              <w:noProof/>
            </w:rPr>
          </w:pPr>
          <w:hyperlink w:anchor="_Toc367791020" w:history="1">
            <w:r w:rsidR="006573F1" w:rsidRPr="00736FEC">
              <w:rPr>
                <w:rStyle w:val="Hyperlink"/>
                <w:noProof/>
                <w:lang w:val="en-GB"/>
              </w:rPr>
              <w:t>5.2</w:t>
            </w:r>
            <w:r w:rsidR="006573F1">
              <w:rPr>
                <w:noProof/>
              </w:rPr>
              <w:tab/>
            </w:r>
            <w:r w:rsidR="006573F1" w:rsidRPr="00736FEC">
              <w:rPr>
                <w:rStyle w:val="Hyperlink"/>
                <w:noProof/>
                <w:lang w:val="en-GB"/>
              </w:rPr>
              <w:t>Regression results</w:t>
            </w:r>
            <w:r w:rsidR="006573F1">
              <w:rPr>
                <w:noProof/>
                <w:webHidden/>
              </w:rPr>
              <w:tab/>
            </w:r>
            <w:r>
              <w:rPr>
                <w:noProof/>
                <w:webHidden/>
              </w:rPr>
              <w:fldChar w:fldCharType="begin"/>
            </w:r>
            <w:r w:rsidR="006573F1">
              <w:rPr>
                <w:noProof/>
                <w:webHidden/>
              </w:rPr>
              <w:instrText xml:space="preserve"> PAGEREF _Toc367791020 \h </w:instrText>
            </w:r>
            <w:r>
              <w:rPr>
                <w:noProof/>
                <w:webHidden/>
              </w:rPr>
            </w:r>
            <w:r>
              <w:rPr>
                <w:noProof/>
                <w:webHidden/>
              </w:rPr>
              <w:fldChar w:fldCharType="separate"/>
            </w:r>
            <w:r w:rsidR="006573F1">
              <w:rPr>
                <w:noProof/>
                <w:webHidden/>
              </w:rPr>
              <w:t>39</w:t>
            </w:r>
            <w:r>
              <w:rPr>
                <w:noProof/>
                <w:webHidden/>
              </w:rPr>
              <w:fldChar w:fldCharType="end"/>
            </w:r>
          </w:hyperlink>
        </w:p>
        <w:p w:rsidR="006573F1" w:rsidRDefault="00E93150">
          <w:pPr>
            <w:pStyle w:val="TOC3"/>
            <w:tabs>
              <w:tab w:val="left" w:pos="1320"/>
              <w:tab w:val="right" w:leader="dot" w:pos="8296"/>
            </w:tabs>
            <w:rPr>
              <w:noProof/>
            </w:rPr>
          </w:pPr>
          <w:hyperlink w:anchor="_Toc367791021" w:history="1">
            <w:r w:rsidR="006573F1" w:rsidRPr="00736FEC">
              <w:rPr>
                <w:rStyle w:val="Hyperlink"/>
                <w:noProof/>
                <w:lang w:val="en-GB"/>
              </w:rPr>
              <w:t>5.2.1</w:t>
            </w:r>
            <w:r w:rsidR="006573F1">
              <w:rPr>
                <w:noProof/>
              </w:rPr>
              <w:tab/>
            </w:r>
            <w:r w:rsidR="006573F1" w:rsidRPr="00736FEC">
              <w:rPr>
                <w:rStyle w:val="Hyperlink"/>
                <w:noProof/>
                <w:lang w:val="en-GB"/>
              </w:rPr>
              <w:t>Final model specification</w:t>
            </w:r>
            <w:r w:rsidR="006573F1">
              <w:rPr>
                <w:noProof/>
                <w:webHidden/>
              </w:rPr>
              <w:tab/>
            </w:r>
            <w:r>
              <w:rPr>
                <w:noProof/>
                <w:webHidden/>
              </w:rPr>
              <w:fldChar w:fldCharType="begin"/>
            </w:r>
            <w:r w:rsidR="006573F1">
              <w:rPr>
                <w:noProof/>
                <w:webHidden/>
              </w:rPr>
              <w:instrText xml:space="preserve"> PAGEREF _Toc367791021 \h </w:instrText>
            </w:r>
            <w:r>
              <w:rPr>
                <w:noProof/>
                <w:webHidden/>
              </w:rPr>
            </w:r>
            <w:r>
              <w:rPr>
                <w:noProof/>
                <w:webHidden/>
              </w:rPr>
              <w:fldChar w:fldCharType="separate"/>
            </w:r>
            <w:r w:rsidR="006573F1">
              <w:rPr>
                <w:noProof/>
                <w:webHidden/>
              </w:rPr>
              <w:t>39</w:t>
            </w:r>
            <w:r>
              <w:rPr>
                <w:noProof/>
                <w:webHidden/>
              </w:rPr>
              <w:fldChar w:fldCharType="end"/>
            </w:r>
          </w:hyperlink>
        </w:p>
        <w:p w:rsidR="006573F1" w:rsidRDefault="00E93150">
          <w:pPr>
            <w:pStyle w:val="TOC3"/>
            <w:tabs>
              <w:tab w:val="left" w:pos="1320"/>
              <w:tab w:val="right" w:leader="dot" w:pos="8296"/>
            </w:tabs>
            <w:rPr>
              <w:noProof/>
            </w:rPr>
          </w:pPr>
          <w:hyperlink w:anchor="_Toc367791022" w:history="1">
            <w:r w:rsidR="006573F1" w:rsidRPr="00736FEC">
              <w:rPr>
                <w:rStyle w:val="Hyperlink"/>
                <w:noProof/>
                <w:lang w:val="en-GB"/>
              </w:rPr>
              <w:t>5.2.2</w:t>
            </w:r>
            <w:r w:rsidR="006573F1">
              <w:rPr>
                <w:noProof/>
              </w:rPr>
              <w:tab/>
            </w:r>
            <w:r w:rsidR="006573F1" w:rsidRPr="00736FEC">
              <w:rPr>
                <w:rStyle w:val="Hyperlink"/>
                <w:noProof/>
                <w:lang w:val="en-GB"/>
              </w:rPr>
              <w:t>Estimation results</w:t>
            </w:r>
            <w:r w:rsidR="006573F1">
              <w:rPr>
                <w:noProof/>
                <w:webHidden/>
              </w:rPr>
              <w:tab/>
            </w:r>
            <w:r>
              <w:rPr>
                <w:noProof/>
                <w:webHidden/>
              </w:rPr>
              <w:fldChar w:fldCharType="begin"/>
            </w:r>
            <w:r w:rsidR="006573F1">
              <w:rPr>
                <w:noProof/>
                <w:webHidden/>
              </w:rPr>
              <w:instrText xml:space="preserve"> PAGEREF _Toc367791022 \h </w:instrText>
            </w:r>
            <w:r>
              <w:rPr>
                <w:noProof/>
                <w:webHidden/>
              </w:rPr>
            </w:r>
            <w:r>
              <w:rPr>
                <w:noProof/>
                <w:webHidden/>
              </w:rPr>
              <w:fldChar w:fldCharType="separate"/>
            </w:r>
            <w:r w:rsidR="006573F1">
              <w:rPr>
                <w:noProof/>
                <w:webHidden/>
              </w:rPr>
              <w:t>40</w:t>
            </w:r>
            <w:r>
              <w:rPr>
                <w:noProof/>
                <w:webHidden/>
              </w:rPr>
              <w:fldChar w:fldCharType="end"/>
            </w:r>
          </w:hyperlink>
        </w:p>
        <w:p w:rsidR="006573F1" w:rsidRDefault="00E93150">
          <w:pPr>
            <w:pStyle w:val="TOC2"/>
            <w:tabs>
              <w:tab w:val="left" w:pos="880"/>
              <w:tab w:val="right" w:leader="dot" w:pos="8296"/>
            </w:tabs>
            <w:rPr>
              <w:noProof/>
            </w:rPr>
          </w:pPr>
          <w:hyperlink w:anchor="_Toc367791023" w:history="1">
            <w:r w:rsidR="006573F1" w:rsidRPr="00736FEC">
              <w:rPr>
                <w:rStyle w:val="Hyperlink"/>
                <w:noProof/>
                <w:lang w:val="en-GB"/>
              </w:rPr>
              <w:t>5.3</w:t>
            </w:r>
            <w:r w:rsidR="006573F1">
              <w:rPr>
                <w:noProof/>
              </w:rPr>
              <w:tab/>
            </w:r>
            <w:r w:rsidR="006573F1" w:rsidRPr="00736FEC">
              <w:rPr>
                <w:rStyle w:val="Hyperlink"/>
                <w:noProof/>
                <w:lang w:val="en-GB"/>
              </w:rPr>
              <w:t>Predicted probabilities</w:t>
            </w:r>
            <w:r w:rsidR="006573F1">
              <w:rPr>
                <w:noProof/>
                <w:webHidden/>
              </w:rPr>
              <w:tab/>
            </w:r>
            <w:r>
              <w:rPr>
                <w:noProof/>
                <w:webHidden/>
              </w:rPr>
              <w:fldChar w:fldCharType="begin"/>
            </w:r>
            <w:r w:rsidR="006573F1">
              <w:rPr>
                <w:noProof/>
                <w:webHidden/>
              </w:rPr>
              <w:instrText xml:space="preserve"> PAGEREF _Toc367791023 \h </w:instrText>
            </w:r>
            <w:r>
              <w:rPr>
                <w:noProof/>
                <w:webHidden/>
              </w:rPr>
            </w:r>
            <w:r>
              <w:rPr>
                <w:noProof/>
                <w:webHidden/>
              </w:rPr>
              <w:fldChar w:fldCharType="separate"/>
            </w:r>
            <w:r w:rsidR="006573F1">
              <w:rPr>
                <w:noProof/>
                <w:webHidden/>
              </w:rPr>
              <w:t>43</w:t>
            </w:r>
            <w:r>
              <w:rPr>
                <w:noProof/>
                <w:webHidden/>
              </w:rPr>
              <w:fldChar w:fldCharType="end"/>
            </w:r>
          </w:hyperlink>
        </w:p>
        <w:p w:rsidR="006573F1" w:rsidRDefault="00E93150">
          <w:pPr>
            <w:pStyle w:val="TOC2"/>
            <w:tabs>
              <w:tab w:val="left" w:pos="880"/>
              <w:tab w:val="right" w:leader="dot" w:pos="8296"/>
            </w:tabs>
            <w:rPr>
              <w:noProof/>
            </w:rPr>
          </w:pPr>
          <w:hyperlink w:anchor="_Toc367791024" w:history="1">
            <w:r w:rsidR="006573F1" w:rsidRPr="00736FEC">
              <w:rPr>
                <w:rStyle w:val="Hyperlink"/>
                <w:noProof/>
                <w:lang w:val="en-GB"/>
              </w:rPr>
              <w:t>5.4</w:t>
            </w:r>
            <w:r w:rsidR="006573F1">
              <w:rPr>
                <w:noProof/>
              </w:rPr>
              <w:tab/>
            </w:r>
            <w:r w:rsidR="006573F1" w:rsidRPr="00736FEC">
              <w:rPr>
                <w:rStyle w:val="Hyperlink"/>
                <w:noProof/>
                <w:lang w:val="en-GB"/>
              </w:rPr>
              <w:t>Composite league table calculations</w:t>
            </w:r>
            <w:r w:rsidR="006573F1">
              <w:rPr>
                <w:noProof/>
                <w:webHidden/>
              </w:rPr>
              <w:tab/>
            </w:r>
            <w:r>
              <w:rPr>
                <w:noProof/>
                <w:webHidden/>
              </w:rPr>
              <w:fldChar w:fldCharType="begin"/>
            </w:r>
            <w:r w:rsidR="006573F1">
              <w:rPr>
                <w:noProof/>
                <w:webHidden/>
              </w:rPr>
              <w:instrText xml:space="preserve"> PAGEREF _Toc367791024 \h </w:instrText>
            </w:r>
            <w:r>
              <w:rPr>
                <w:noProof/>
                <w:webHidden/>
              </w:rPr>
            </w:r>
            <w:r>
              <w:rPr>
                <w:noProof/>
                <w:webHidden/>
              </w:rPr>
              <w:fldChar w:fldCharType="separate"/>
            </w:r>
            <w:r w:rsidR="006573F1">
              <w:rPr>
                <w:noProof/>
                <w:webHidden/>
              </w:rPr>
              <w:t>47</w:t>
            </w:r>
            <w:r>
              <w:rPr>
                <w:noProof/>
                <w:webHidden/>
              </w:rPr>
              <w:fldChar w:fldCharType="end"/>
            </w:r>
          </w:hyperlink>
        </w:p>
        <w:p w:rsidR="006573F1" w:rsidRDefault="00E93150">
          <w:pPr>
            <w:pStyle w:val="TOC1"/>
            <w:tabs>
              <w:tab w:val="left" w:pos="440"/>
              <w:tab w:val="right" w:leader="dot" w:pos="8296"/>
            </w:tabs>
            <w:rPr>
              <w:noProof/>
            </w:rPr>
          </w:pPr>
          <w:hyperlink w:anchor="_Toc367791025" w:history="1">
            <w:r w:rsidR="006573F1" w:rsidRPr="00736FEC">
              <w:rPr>
                <w:rStyle w:val="Hyperlink"/>
                <w:noProof/>
                <w:lang w:val="en-GB"/>
              </w:rPr>
              <w:t>6</w:t>
            </w:r>
            <w:r w:rsidR="006573F1">
              <w:rPr>
                <w:noProof/>
              </w:rPr>
              <w:tab/>
            </w:r>
            <w:r w:rsidR="006573F1" w:rsidRPr="00736FEC">
              <w:rPr>
                <w:rStyle w:val="Hyperlink"/>
                <w:noProof/>
                <w:lang w:val="en-GB"/>
              </w:rPr>
              <w:t>DISCUSSION</w:t>
            </w:r>
            <w:r w:rsidR="006573F1">
              <w:rPr>
                <w:noProof/>
                <w:webHidden/>
              </w:rPr>
              <w:tab/>
            </w:r>
            <w:r>
              <w:rPr>
                <w:noProof/>
                <w:webHidden/>
              </w:rPr>
              <w:fldChar w:fldCharType="begin"/>
            </w:r>
            <w:r w:rsidR="006573F1">
              <w:rPr>
                <w:noProof/>
                <w:webHidden/>
              </w:rPr>
              <w:instrText xml:space="preserve"> PAGEREF _Toc367791025 \h </w:instrText>
            </w:r>
            <w:r>
              <w:rPr>
                <w:noProof/>
                <w:webHidden/>
              </w:rPr>
            </w:r>
            <w:r>
              <w:rPr>
                <w:noProof/>
                <w:webHidden/>
              </w:rPr>
              <w:fldChar w:fldCharType="separate"/>
            </w:r>
            <w:r w:rsidR="006573F1">
              <w:rPr>
                <w:noProof/>
                <w:webHidden/>
              </w:rPr>
              <w:t>57</w:t>
            </w:r>
            <w:r>
              <w:rPr>
                <w:noProof/>
                <w:webHidden/>
              </w:rPr>
              <w:fldChar w:fldCharType="end"/>
            </w:r>
          </w:hyperlink>
        </w:p>
        <w:p w:rsidR="006573F1" w:rsidRDefault="00E93150">
          <w:pPr>
            <w:pStyle w:val="TOC2"/>
            <w:tabs>
              <w:tab w:val="left" w:pos="880"/>
              <w:tab w:val="right" w:leader="dot" w:pos="8296"/>
            </w:tabs>
            <w:rPr>
              <w:noProof/>
            </w:rPr>
          </w:pPr>
          <w:hyperlink w:anchor="_Toc367791026" w:history="1">
            <w:r w:rsidR="006573F1" w:rsidRPr="00736FEC">
              <w:rPr>
                <w:rStyle w:val="Hyperlink"/>
                <w:noProof/>
                <w:lang w:val="en-GB"/>
              </w:rPr>
              <w:t>6.1</w:t>
            </w:r>
            <w:r w:rsidR="006573F1">
              <w:rPr>
                <w:noProof/>
              </w:rPr>
              <w:tab/>
            </w:r>
            <w:r w:rsidR="006573F1" w:rsidRPr="00736FEC">
              <w:rPr>
                <w:rStyle w:val="Hyperlink"/>
                <w:noProof/>
                <w:lang w:val="en-GB"/>
              </w:rPr>
              <w:t>Findings</w:t>
            </w:r>
            <w:r w:rsidR="006573F1">
              <w:rPr>
                <w:noProof/>
                <w:webHidden/>
              </w:rPr>
              <w:tab/>
            </w:r>
            <w:r>
              <w:rPr>
                <w:noProof/>
                <w:webHidden/>
              </w:rPr>
              <w:fldChar w:fldCharType="begin"/>
            </w:r>
            <w:r w:rsidR="006573F1">
              <w:rPr>
                <w:noProof/>
                <w:webHidden/>
              </w:rPr>
              <w:instrText xml:space="preserve"> PAGEREF _Toc367791026 \h </w:instrText>
            </w:r>
            <w:r>
              <w:rPr>
                <w:noProof/>
                <w:webHidden/>
              </w:rPr>
            </w:r>
            <w:r>
              <w:rPr>
                <w:noProof/>
                <w:webHidden/>
              </w:rPr>
              <w:fldChar w:fldCharType="separate"/>
            </w:r>
            <w:r w:rsidR="006573F1">
              <w:rPr>
                <w:noProof/>
                <w:webHidden/>
              </w:rPr>
              <w:t>57</w:t>
            </w:r>
            <w:r>
              <w:rPr>
                <w:noProof/>
                <w:webHidden/>
              </w:rPr>
              <w:fldChar w:fldCharType="end"/>
            </w:r>
          </w:hyperlink>
        </w:p>
        <w:p w:rsidR="006573F1" w:rsidRDefault="00E93150">
          <w:pPr>
            <w:pStyle w:val="TOC3"/>
            <w:tabs>
              <w:tab w:val="left" w:pos="1320"/>
              <w:tab w:val="right" w:leader="dot" w:pos="8296"/>
            </w:tabs>
            <w:rPr>
              <w:noProof/>
            </w:rPr>
          </w:pPr>
          <w:hyperlink w:anchor="_Toc367791027" w:history="1">
            <w:r w:rsidR="006573F1" w:rsidRPr="00736FEC">
              <w:rPr>
                <w:rStyle w:val="Hyperlink"/>
                <w:noProof/>
                <w:lang w:val="en-GB"/>
              </w:rPr>
              <w:t>6.1.1</w:t>
            </w:r>
            <w:r w:rsidR="006573F1">
              <w:rPr>
                <w:noProof/>
              </w:rPr>
              <w:tab/>
            </w:r>
            <w:r w:rsidR="006573F1" w:rsidRPr="00736FEC">
              <w:rPr>
                <w:rStyle w:val="Hyperlink"/>
                <w:noProof/>
                <w:lang w:val="en-GB"/>
              </w:rPr>
              <w:t>Comparisons with other countries</w:t>
            </w:r>
            <w:r w:rsidR="006573F1">
              <w:rPr>
                <w:noProof/>
                <w:webHidden/>
              </w:rPr>
              <w:tab/>
            </w:r>
            <w:r>
              <w:rPr>
                <w:noProof/>
                <w:webHidden/>
              </w:rPr>
              <w:fldChar w:fldCharType="begin"/>
            </w:r>
            <w:r w:rsidR="006573F1">
              <w:rPr>
                <w:noProof/>
                <w:webHidden/>
              </w:rPr>
              <w:instrText xml:space="preserve"> PAGEREF _Toc367791027 \h </w:instrText>
            </w:r>
            <w:r>
              <w:rPr>
                <w:noProof/>
                <w:webHidden/>
              </w:rPr>
            </w:r>
            <w:r>
              <w:rPr>
                <w:noProof/>
                <w:webHidden/>
              </w:rPr>
              <w:fldChar w:fldCharType="separate"/>
            </w:r>
            <w:r w:rsidR="006573F1">
              <w:rPr>
                <w:noProof/>
                <w:webHidden/>
              </w:rPr>
              <w:t>58</w:t>
            </w:r>
            <w:r>
              <w:rPr>
                <w:noProof/>
                <w:webHidden/>
              </w:rPr>
              <w:fldChar w:fldCharType="end"/>
            </w:r>
          </w:hyperlink>
        </w:p>
        <w:p w:rsidR="006573F1" w:rsidRDefault="00E93150">
          <w:pPr>
            <w:pStyle w:val="TOC2"/>
            <w:tabs>
              <w:tab w:val="left" w:pos="880"/>
              <w:tab w:val="right" w:leader="dot" w:pos="8296"/>
            </w:tabs>
            <w:rPr>
              <w:noProof/>
            </w:rPr>
          </w:pPr>
          <w:hyperlink w:anchor="_Toc367791028" w:history="1">
            <w:r w:rsidR="006573F1" w:rsidRPr="00736FEC">
              <w:rPr>
                <w:rStyle w:val="Hyperlink"/>
                <w:noProof/>
                <w:lang w:val="en-GB"/>
              </w:rPr>
              <w:t>6.2</w:t>
            </w:r>
            <w:r w:rsidR="006573F1">
              <w:rPr>
                <w:noProof/>
              </w:rPr>
              <w:tab/>
            </w:r>
            <w:r w:rsidR="006573F1" w:rsidRPr="00736FEC">
              <w:rPr>
                <w:rStyle w:val="Hyperlink"/>
                <w:noProof/>
                <w:lang w:val="en-GB"/>
              </w:rPr>
              <w:t>Policy recommendations</w:t>
            </w:r>
            <w:r w:rsidR="006573F1">
              <w:rPr>
                <w:noProof/>
                <w:webHidden/>
              </w:rPr>
              <w:tab/>
            </w:r>
            <w:r>
              <w:rPr>
                <w:noProof/>
                <w:webHidden/>
              </w:rPr>
              <w:fldChar w:fldCharType="begin"/>
            </w:r>
            <w:r w:rsidR="006573F1">
              <w:rPr>
                <w:noProof/>
                <w:webHidden/>
              </w:rPr>
              <w:instrText xml:space="preserve"> PAGEREF _Toc367791028 \h </w:instrText>
            </w:r>
            <w:r>
              <w:rPr>
                <w:noProof/>
                <w:webHidden/>
              </w:rPr>
            </w:r>
            <w:r>
              <w:rPr>
                <w:noProof/>
                <w:webHidden/>
              </w:rPr>
              <w:fldChar w:fldCharType="separate"/>
            </w:r>
            <w:r w:rsidR="006573F1">
              <w:rPr>
                <w:noProof/>
                <w:webHidden/>
              </w:rPr>
              <w:t>59</w:t>
            </w:r>
            <w:r>
              <w:rPr>
                <w:noProof/>
                <w:webHidden/>
              </w:rPr>
              <w:fldChar w:fldCharType="end"/>
            </w:r>
          </w:hyperlink>
        </w:p>
        <w:p w:rsidR="006573F1" w:rsidRDefault="00E93150">
          <w:pPr>
            <w:pStyle w:val="TOC2"/>
            <w:tabs>
              <w:tab w:val="left" w:pos="880"/>
              <w:tab w:val="right" w:leader="dot" w:pos="8296"/>
            </w:tabs>
            <w:rPr>
              <w:noProof/>
            </w:rPr>
          </w:pPr>
          <w:hyperlink w:anchor="_Toc367791029" w:history="1">
            <w:r w:rsidR="006573F1" w:rsidRPr="00736FEC">
              <w:rPr>
                <w:rStyle w:val="Hyperlink"/>
                <w:noProof/>
                <w:lang w:val="en-GB"/>
              </w:rPr>
              <w:t>6.3</w:t>
            </w:r>
            <w:r w:rsidR="006573F1">
              <w:rPr>
                <w:noProof/>
              </w:rPr>
              <w:tab/>
            </w:r>
            <w:r w:rsidR="006573F1" w:rsidRPr="00736FEC">
              <w:rPr>
                <w:rStyle w:val="Hyperlink"/>
                <w:noProof/>
                <w:lang w:val="en-GB"/>
              </w:rPr>
              <w:t>Limitations of the study</w:t>
            </w:r>
            <w:r w:rsidR="006573F1">
              <w:rPr>
                <w:noProof/>
                <w:webHidden/>
              </w:rPr>
              <w:tab/>
            </w:r>
            <w:r>
              <w:rPr>
                <w:noProof/>
                <w:webHidden/>
              </w:rPr>
              <w:fldChar w:fldCharType="begin"/>
            </w:r>
            <w:r w:rsidR="006573F1">
              <w:rPr>
                <w:noProof/>
                <w:webHidden/>
              </w:rPr>
              <w:instrText xml:space="preserve"> PAGEREF _Toc367791029 \h </w:instrText>
            </w:r>
            <w:r>
              <w:rPr>
                <w:noProof/>
                <w:webHidden/>
              </w:rPr>
            </w:r>
            <w:r>
              <w:rPr>
                <w:noProof/>
                <w:webHidden/>
              </w:rPr>
              <w:fldChar w:fldCharType="separate"/>
            </w:r>
            <w:r w:rsidR="006573F1">
              <w:rPr>
                <w:noProof/>
                <w:webHidden/>
              </w:rPr>
              <w:t>62</w:t>
            </w:r>
            <w:r>
              <w:rPr>
                <w:noProof/>
                <w:webHidden/>
              </w:rPr>
              <w:fldChar w:fldCharType="end"/>
            </w:r>
          </w:hyperlink>
        </w:p>
        <w:p w:rsidR="006573F1" w:rsidRDefault="00E93150">
          <w:pPr>
            <w:pStyle w:val="TOC1"/>
            <w:tabs>
              <w:tab w:val="left" w:pos="440"/>
              <w:tab w:val="right" w:leader="dot" w:pos="8296"/>
            </w:tabs>
            <w:rPr>
              <w:noProof/>
            </w:rPr>
          </w:pPr>
          <w:hyperlink w:anchor="_Toc367791030" w:history="1">
            <w:r w:rsidR="006573F1" w:rsidRPr="00736FEC">
              <w:rPr>
                <w:rStyle w:val="Hyperlink"/>
                <w:noProof/>
                <w:lang w:val="en-GB"/>
              </w:rPr>
              <w:t>7</w:t>
            </w:r>
            <w:r w:rsidR="006573F1">
              <w:rPr>
                <w:noProof/>
              </w:rPr>
              <w:tab/>
            </w:r>
            <w:r w:rsidR="006573F1" w:rsidRPr="00736FEC">
              <w:rPr>
                <w:rStyle w:val="Hyperlink"/>
                <w:noProof/>
                <w:lang w:val="en-GB"/>
              </w:rPr>
              <w:t>CONCLUDING REMARKS</w:t>
            </w:r>
            <w:r w:rsidR="006573F1">
              <w:rPr>
                <w:noProof/>
                <w:webHidden/>
              </w:rPr>
              <w:tab/>
            </w:r>
            <w:r>
              <w:rPr>
                <w:noProof/>
                <w:webHidden/>
              </w:rPr>
              <w:fldChar w:fldCharType="begin"/>
            </w:r>
            <w:r w:rsidR="006573F1">
              <w:rPr>
                <w:noProof/>
                <w:webHidden/>
              </w:rPr>
              <w:instrText xml:space="preserve"> PAGEREF _Toc367791030 \h </w:instrText>
            </w:r>
            <w:r>
              <w:rPr>
                <w:noProof/>
                <w:webHidden/>
              </w:rPr>
            </w:r>
            <w:r>
              <w:rPr>
                <w:noProof/>
                <w:webHidden/>
              </w:rPr>
              <w:fldChar w:fldCharType="separate"/>
            </w:r>
            <w:r w:rsidR="006573F1">
              <w:rPr>
                <w:noProof/>
                <w:webHidden/>
              </w:rPr>
              <w:t>64</w:t>
            </w:r>
            <w:r>
              <w:rPr>
                <w:noProof/>
                <w:webHidden/>
              </w:rPr>
              <w:fldChar w:fldCharType="end"/>
            </w:r>
          </w:hyperlink>
        </w:p>
        <w:p w:rsidR="006573F1" w:rsidRDefault="00E93150">
          <w:pPr>
            <w:pStyle w:val="TOC1"/>
            <w:tabs>
              <w:tab w:val="right" w:leader="dot" w:pos="8296"/>
            </w:tabs>
            <w:rPr>
              <w:noProof/>
            </w:rPr>
          </w:pPr>
          <w:hyperlink w:anchor="_Toc367791031" w:history="1">
            <w:r w:rsidR="006573F1" w:rsidRPr="00736FEC">
              <w:rPr>
                <w:rStyle w:val="Hyperlink"/>
                <w:noProof/>
                <w:lang w:val="en-GB"/>
              </w:rPr>
              <w:t>APPENDIX A</w:t>
            </w:r>
            <w:r w:rsidR="006573F1">
              <w:rPr>
                <w:noProof/>
                <w:webHidden/>
              </w:rPr>
              <w:tab/>
            </w:r>
            <w:r>
              <w:rPr>
                <w:noProof/>
                <w:webHidden/>
              </w:rPr>
              <w:fldChar w:fldCharType="begin"/>
            </w:r>
            <w:r w:rsidR="006573F1">
              <w:rPr>
                <w:noProof/>
                <w:webHidden/>
              </w:rPr>
              <w:instrText xml:space="preserve"> PAGEREF _Toc367791031 \h </w:instrText>
            </w:r>
            <w:r>
              <w:rPr>
                <w:noProof/>
                <w:webHidden/>
              </w:rPr>
            </w:r>
            <w:r>
              <w:rPr>
                <w:noProof/>
                <w:webHidden/>
              </w:rPr>
              <w:fldChar w:fldCharType="separate"/>
            </w:r>
            <w:r w:rsidR="006573F1">
              <w:rPr>
                <w:noProof/>
                <w:webHidden/>
              </w:rPr>
              <w:t>66</w:t>
            </w:r>
            <w:r>
              <w:rPr>
                <w:noProof/>
                <w:webHidden/>
              </w:rPr>
              <w:fldChar w:fldCharType="end"/>
            </w:r>
          </w:hyperlink>
        </w:p>
        <w:p w:rsidR="006573F1" w:rsidRDefault="00E93150">
          <w:pPr>
            <w:pStyle w:val="TOC1"/>
            <w:tabs>
              <w:tab w:val="right" w:leader="dot" w:pos="8296"/>
            </w:tabs>
            <w:rPr>
              <w:noProof/>
            </w:rPr>
          </w:pPr>
          <w:hyperlink w:anchor="_Toc367791032" w:history="1">
            <w:r w:rsidR="006573F1" w:rsidRPr="00736FEC">
              <w:rPr>
                <w:rStyle w:val="Hyperlink"/>
                <w:noProof/>
                <w:lang w:val="en-GB"/>
              </w:rPr>
              <w:t>References</w:t>
            </w:r>
            <w:r w:rsidR="006573F1">
              <w:rPr>
                <w:noProof/>
                <w:webHidden/>
              </w:rPr>
              <w:tab/>
            </w:r>
            <w:r>
              <w:rPr>
                <w:noProof/>
                <w:webHidden/>
              </w:rPr>
              <w:fldChar w:fldCharType="begin"/>
            </w:r>
            <w:r w:rsidR="006573F1">
              <w:rPr>
                <w:noProof/>
                <w:webHidden/>
              </w:rPr>
              <w:instrText xml:space="preserve"> PAGEREF _Toc367791032 \h </w:instrText>
            </w:r>
            <w:r>
              <w:rPr>
                <w:noProof/>
                <w:webHidden/>
              </w:rPr>
            </w:r>
            <w:r>
              <w:rPr>
                <w:noProof/>
                <w:webHidden/>
              </w:rPr>
              <w:fldChar w:fldCharType="separate"/>
            </w:r>
            <w:r w:rsidR="006573F1">
              <w:rPr>
                <w:noProof/>
                <w:webHidden/>
              </w:rPr>
              <w:t>67</w:t>
            </w:r>
            <w:r>
              <w:rPr>
                <w:noProof/>
                <w:webHidden/>
              </w:rPr>
              <w:fldChar w:fldCharType="end"/>
            </w:r>
          </w:hyperlink>
        </w:p>
        <w:p w:rsidR="00A77A06" w:rsidRDefault="00E93150" w:rsidP="00A77A06">
          <w:pPr>
            <w:pStyle w:val="Caption"/>
            <w:rPr>
              <w:b w:val="0"/>
              <w:color w:val="auto"/>
              <w:sz w:val="22"/>
              <w:szCs w:val="22"/>
              <w:lang w:val="en-GB"/>
            </w:rPr>
          </w:pPr>
          <w:r w:rsidRPr="00277328">
            <w:rPr>
              <w:lang w:val="en-GB"/>
            </w:rPr>
            <w:fldChar w:fldCharType="end"/>
          </w:r>
        </w:p>
        <w:p w:rsidR="006573F1" w:rsidRPr="00433AE6" w:rsidRDefault="00E93150">
          <w:pPr>
            <w:pStyle w:val="TableofFigures"/>
            <w:tabs>
              <w:tab w:val="right" w:leader="dot" w:pos="8296"/>
            </w:tabs>
            <w:rPr>
              <w:b/>
              <w:noProof/>
              <w:lang w:val="en-GB"/>
            </w:rPr>
          </w:pPr>
          <w:r w:rsidRPr="00433AE6">
            <w:rPr>
              <w:lang w:val="en-GB"/>
            </w:rPr>
            <w:fldChar w:fldCharType="begin"/>
          </w:r>
          <w:r w:rsidR="006573F1" w:rsidRPr="00433AE6">
            <w:rPr>
              <w:lang w:val="en-GB"/>
            </w:rPr>
            <w:instrText xml:space="preserve"> TOC \t "Caption" \c </w:instrText>
          </w:r>
          <w:r w:rsidRPr="00433AE6">
            <w:rPr>
              <w:lang w:val="en-GB"/>
            </w:rPr>
            <w:fldChar w:fldCharType="separate"/>
          </w:r>
          <w:r w:rsidR="006573F1" w:rsidRPr="00433AE6">
            <w:rPr>
              <w:b/>
              <w:noProof/>
              <w:lang w:val="en-GB"/>
            </w:rPr>
            <w:t>List of tables and figures</w:t>
          </w:r>
        </w:p>
        <w:p w:rsidR="00433AE6" w:rsidRPr="00433AE6" w:rsidRDefault="00433AE6" w:rsidP="00433AE6">
          <w:pPr>
            <w:rPr>
              <w:lang w:val="en-GB"/>
            </w:rPr>
          </w:pPr>
        </w:p>
        <w:p w:rsidR="006573F1" w:rsidRPr="00433AE6" w:rsidRDefault="006573F1">
          <w:pPr>
            <w:pStyle w:val="TableofFigures"/>
            <w:tabs>
              <w:tab w:val="right" w:leader="dot" w:pos="8296"/>
            </w:tabs>
            <w:rPr>
              <w:noProof/>
            </w:rPr>
          </w:pPr>
          <w:r w:rsidRPr="00433AE6">
            <w:rPr>
              <w:noProof/>
            </w:rPr>
            <w:t>Table 1</w:t>
          </w:r>
          <w:r w:rsidR="00934CF1" w:rsidRPr="00433AE6">
            <w:rPr>
              <w:noProof/>
            </w:rPr>
            <w:t>: Prevalence estimates of mental disorders 2005 and 2011</w:t>
          </w:r>
          <w:r w:rsidRPr="00433AE6">
            <w:rPr>
              <w:noProof/>
            </w:rPr>
            <w:tab/>
          </w:r>
          <w:r w:rsidR="00E93150" w:rsidRPr="00433AE6">
            <w:rPr>
              <w:noProof/>
            </w:rPr>
            <w:fldChar w:fldCharType="begin"/>
          </w:r>
          <w:r w:rsidRPr="00433AE6">
            <w:rPr>
              <w:noProof/>
            </w:rPr>
            <w:instrText xml:space="preserve"> PAGEREF _Toc367791065 \h </w:instrText>
          </w:r>
          <w:r w:rsidR="00E93150" w:rsidRPr="00433AE6">
            <w:rPr>
              <w:noProof/>
            </w:rPr>
          </w:r>
          <w:r w:rsidR="00E93150" w:rsidRPr="00433AE6">
            <w:rPr>
              <w:noProof/>
            </w:rPr>
            <w:fldChar w:fldCharType="separate"/>
          </w:r>
          <w:r w:rsidRPr="00433AE6">
            <w:rPr>
              <w:noProof/>
            </w:rPr>
            <w:t>9</w:t>
          </w:r>
          <w:r w:rsidR="00E93150" w:rsidRPr="00433AE6">
            <w:rPr>
              <w:noProof/>
            </w:rPr>
            <w:fldChar w:fldCharType="end"/>
          </w:r>
        </w:p>
        <w:p w:rsidR="006573F1" w:rsidRPr="00433AE6" w:rsidRDefault="006573F1">
          <w:pPr>
            <w:pStyle w:val="TableofFigures"/>
            <w:tabs>
              <w:tab w:val="right" w:leader="dot" w:pos="8296"/>
            </w:tabs>
            <w:rPr>
              <w:noProof/>
            </w:rPr>
          </w:pPr>
          <w:r w:rsidRPr="00433AE6">
            <w:rPr>
              <w:noProof/>
            </w:rPr>
            <w:t>Table 2</w:t>
          </w:r>
          <w:r w:rsidR="00934CF1" w:rsidRPr="00433AE6">
            <w:rPr>
              <w:noProof/>
            </w:rPr>
            <w:t>: Economic burden of mental disorders</w:t>
          </w:r>
          <w:r w:rsidRPr="00433AE6">
            <w:rPr>
              <w:noProof/>
            </w:rPr>
            <w:tab/>
          </w:r>
          <w:r w:rsidR="00E93150" w:rsidRPr="00433AE6">
            <w:rPr>
              <w:noProof/>
            </w:rPr>
            <w:fldChar w:fldCharType="begin"/>
          </w:r>
          <w:r w:rsidRPr="00433AE6">
            <w:rPr>
              <w:noProof/>
            </w:rPr>
            <w:instrText xml:space="preserve"> PAGEREF _Toc367791066 \h </w:instrText>
          </w:r>
          <w:r w:rsidR="00E93150" w:rsidRPr="00433AE6">
            <w:rPr>
              <w:noProof/>
            </w:rPr>
          </w:r>
          <w:r w:rsidR="00E93150" w:rsidRPr="00433AE6">
            <w:rPr>
              <w:noProof/>
            </w:rPr>
            <w:fldChar w:fldCharType="separate"/>
          </w:r>
          <w:r w:rsidRPr="00433AE6">
            <w:rPr>
              <w:noProof/>
            </w:rPr>
            <w:t>11</w:t>
          </w:r>
          <w:r w:rsidR="00E93150" w:rsidRPr="00433AE6">
            <w:rPr>
              <w:noProof/>
            </w:rPr>
            <w:fldChar w:fldCharType="end"/>
          </w:r>
        </w:p>
        <w:p w:rsidR="006573F1" w:rsidRPr="00433AE6" w:rsidRDefault="006573F1">
          <w:pPr>
            <w:pStyle w:val="TableofFigures"/>
            <w:tabs>
              <w:tab w:val="right" w:leader="dot" w:pos="8296"/>
            </w:tabs>
            <w:rPr>
              <w:noProof/>
            </w:rPr>
          </w:pPr>
          <w:r w:rsidRPr="00433AE6">
            <w:rPr>
              <w:noProof/>
            </w:rPr>
            <w:t>Figure 1</w:t>
          </w:r>
          <w:r w:rsidR="00934CF1" w:rsidRPr="00433AE6">
            <w:rPr>
              <w:noProof/>
            </w:rPr>
            <w:t>: Pharmaceutical expenditures 1995-2011</w:t>
          </w:r>
          <w:r w:rsidRPr="00433AE6">
            <w:rPr>
              <w:noProof/>
            </w:rPr>
            <w:tab/>
          </w:r>
          <w:r w:rsidR="00E93150" w:rsidRPr="00433AE6">
            <w:rPr>
              <w:noProof/>
            </w:rPr>
            <w:fldChar w:fldCharType="begin"/>
          </w:r>
          <w:r w:rsidRPr="00433AE6">
            <w:rPr>
              <w:noProof/>
            </w:rPr>
            <w:instrText xml:space="preserve"> PAGEREF _Toc367791067 \h </w:instrText>
          </w:r>
          <w:r w:rsidR="00E93150" w:rsidRPr="00433AE6">
            <w:rPr>
              <w:noProof/>
            </w:rPr>
          </w:r>
          <w:r w:rsidR="00E93150" w:rsidRPr="00433AE6">
            <w:rPr>
              <w:noProof/>
            </w:rPr>
            <w:fldChar w:fldCharType="separate"/>
          </w:r>
          <w:r w:rsidRPr="00433AE6">
            <w:rPr>
              <w:noProof/>
            </w:rPr>
            <w:t>14</w:t>
          </w:r>
          <w:r w:rsidR="00E93150" w:rsidRPr="00433AE6">
            <w:rPr>
              <w:noProof/>
            </w:rPr>
            <w:fldChar w:fldCharType="end"/>
          </w:r>
        </w:p>
        <w:p w:rsidR="006573F1" w:rsidRPr="00433AE6" w:rsidRDefault="006573F1">
          <w:pPr>
            <w:pStyle w:val="TableofFigures"/>
            <w:tabs>
              <w:tab w:val="right" w:leader="dot" w:pos="8296"/>
            </w:tabs>
            <w:rPr>
              <w:noProof/>
            </w:rPr>
          </w:pPr>
          <w:r w:rsidRPr="00433AE6">
            <w:rPr>
              <w:noProof/>
            </w:rPr>
            <w:t>Table 3</w:t>
          </w:r>
          <w:r w:rsidR="00934CF1" w:rsidRPr="00433AE6">
            <w:rPr>
              <w:noProof/>
            </w:rPr>
            <w:t>: Burden of disease in Spain 2006</w:t>
          </w:r>
          <w:r w:rsidRPr="00433AE6">
            <w:rPr>
              <w:noProof/>
            </w:rPr>
            <w:tab/>
          </w:r>
          <w:r w:rsidR="00E93150" w:rsidRPr="00433AE6">
            <w:rPr>
              <w:noProof/>
            </w:rPr>
            <w:fldChar w:fldCharType="begin"/>
          </w:r>
          <w:r w:rsidRPr="00433AE6">
            <w:rPr>
              <w:noProof/>
            </w:rPr>
            <w:instrText xml:space="preserve"> PAGEREF _Toc367791068 \h </w:instrText>
          </w:r>
          <w:r w:rsidR="00E93150" w:rsidRPr="00433AE6">
            <w:rPr>
              <w:noProof/>
            </w:rPr>
          </w:r>
          <w:r w:rsidR="00E93150" w:rsidRPr="00433AE6">
            <w:rPr>
              <w:noProof/>
            </w:rPr>
            <w:fldChar w:fldCharType="separate"/>
          </w:r>
          <w:r w:rsidRPr="00433AE6">
            <w:rPr>
              <w:noProof/>
            </w:rPr>
            <w:t>18</w:t>
          </w:r>
          <w:r w:rsidR="00E93150" w:rsidRPr="00433AE6">
            <w:rPr>
              <w:noProof/>
            </w:rPr>
            <w:fldChar w:fldCharType="end"/>
          </w:r>
        </w:p>
        <w:p w:rsidR="006573F1" w:rsidRPr="00433AE6" w:rsidRDefault="006573F1">
          <w:pPr>
            <w:pStyle w:val="TableofFigures"/>
            <w:tabs>
              <w:tab w:val="right" w:leader="dot" w:pos="8296"/>
            </w:tabs>
            <w:rPr>
              <w:noProof/>
            </w:rPr>
          </w:pPr>
          <w:r w:rsidRPr="00433AE6">
            <w:rPr>
              <w:noProof/>
            </w:rPr>
            <w:t>Table 4</w:t>
          </w:r>
          <w:r w:rsidR="00934CF1" w:rsidRPr="00433AE6">
            <w:rPr>
              <w:noProof/>
            </w:rPr>
            <w:t>: Definition of criteria and levels</w:t>
          </w:r>
          <w:r w:rsidRPr="00433AE6">
            <w:rPr>
              <w:noProof/>
            </w:rPr>
            <w:tab/>
          </w:r>
          <w:r w:rsidR="00E93150" w:rsidRPr="00433AE6">
            <w:rPr>
              <w:noProof/>
            </w:rPr>
            <w:fldChar w:fldCharType="begin"/>
          </w:r>
          <w:r w:rsidRPr="00433AE6">
            <w:rPr>
              <w:noProof/>
            </w:rPr>
            <w:instrText xml:space="preserve"> PAGEREF _Toc367791069 \h </w:instrText>
          </w:r>
          <w:r w:rsidR="00E93150" w:rsidRPr="00433AE6">
            <w:rPr>
              <w:noProof/>
            </w:rPr>
          </w:r>
          <w:r w:rsidR="00E93150" w:rsidRPr="00433AE6">
            <w:rPr>
              <w:noProof/>
            </w:rPr>
            <w:fldChar w:fldCharType="separate"/>
          </w:r>
          <w:r w:rsidRPr="00433AE6">
            <w:rPr>
              <w:noProof/>
            </w:rPr>
            <w:t>29</w:t>
          </w:r>
          <w:r w:rsidR="00E93150" w:rsidRPr="00433AE6">
            <w:rPr>
              <w:noProof/>
            </w:rPr>
            <w:fldChar w:fldCharType="end"/>
          </w:r>
        </w:p>
        <w:p w:rsidR="006573F1" w:rsidRPr="00433AE6" w:rsidRDefault="006573F1">
          <w:pPr>
            <w:pStyle w:val="TableofFigures"/>
            <w:tabs>
              <w:tab w:val="right" w:leader="dot" w:pos="8296"/>
            </w:tabs>
            <w:rPr>
              <w:noProof/>
            </w:rPr>
          </w:pPr>
          <w:r w:rsidRPr="00433AE6">
            <w:rPr>
              <w:noProof/>
            </w:rPr>
            <w:t>Table 5</w:t>
          </w:r>
          <w:r w:rsidR="00934CF1" w:rsidRPr="00433AE6">
            <w:rPr>
              <w:noProof/>
            </w:rPr>
            <w:t>: Characteristics of DCE respondents</w:t>
          </w:r>
          <w:r w:rsidRPr="00433AE6">
            <w:rPr>
              <w:noProof/>
            </w:rPr>
            <w:tab/>
          </w:r>
          <w:r w:rsidR="00E93150" w:rsidRPr="00433AE6">
            <w:rPr>
              <w:noProof/>
            </w:rPr>
            <w:fldChar w:fldCharType="begin"/>
          </w:r>
          <w:r w:rsidRPr="00433AE6">
            <w:rPr>
              <w:noProof/>
            </w:rPr>
            <w:instrText xml:space="preserve"> PAGEREF _Toc367791070 \h </w:instrText>
          </w:r>
          <w:r w:rsidR="00E93150" w:rsidRPr="00433AE6">
            <w:rPr>
              <w:noProof/>
            </w:rPr>
          </w:r>
          <w:r w:rsidR="00E93150" w:rsidRPr="00433AE6">
            <w:rPr>
              <w:noProof/>
            </w:rPr>
            <w:fldChar w:fldCharType="separate"/>
          </w:r>
          <w:r w:rsidRPr="00433AE6">
            <w:rPr>
              <w:noProof/>
            </w:rPr>
            <w:t>34</w:t>
          </w:r>
          <w:r w:rsidR="00E93150" w:rsidRPr="00433AE6">
            <w:rPr>
              <w:noProof/>
            </w:rPr>
            <w:fldChar w:fldCharType="end"/>
          </w:r>
        </w:p>
        <w:p w:rsidR="006573F1" w:rsidRPr="00433AE6" w:rsidRDefault="006573F1">
          <w:pPr>
            <w:pStyle w:val="TableofFigures"/>
            <w:tabs>
              <w:tab w:val="right" w:leader="dot" w:pos="8296"/>
            </w:tabs>
            <w:rPr>
              <w:noProof/>
            </w:rPr>
          </w:pPr>
          <w:r w:rsidRPr="00433AE6">
            <w:rPr>
              <w:noProof/>
            </w:rPr>
            <w:t>Table 6</w:t>
          </w:r>
          <w:r w:rsidR="00934CF1" w:rsidRPr="00433AE6">
            <w:rPr>
              <w:noProof/>
            </w:rPr>
            <w:t>: Types of clinical conditions examined</w:t>
          </w:r>
          <w:r w:rsidRPr="00433AE6">
            <w:rPr>
              <w:noProof/>
            </w:rPr>
            <w:tab/>
          </w:r>
          <w:r w:rsidR="00E93150" w:rsidRPr="00433AE6">
            <w:rPr>
              <w:noProof/>
            </w:rPr>
            <w:fldChar w:fldCharType="begin"/>
          </w:r>
          <w:r w:rsidRPr="00433AE6">
            <w:rPr>
              <w:noProof/>
            </w:rPr>
            <w:instrText xml:space="preserve"> PAGEREF _Toc367791071 \h </w:instrText>
          </w:r>
          <w:r w:rsidR="00E93150" w:rsidRPr="00433AE6">
            <w:rPr>
              <w:noProof/>
            </w:rPr>
          </w:r>
          <w:r w:rsidR="00E93150" w:rsidRPr="00433AE6">
            <w:rPr>
              <w:noProof/>
            </w:rPr>
            <w:fldChar w:fldCharType="separate"/>
          </w:r>
          <w:r w:rsidRPr="00433AE6">
            <w:rPr>
              <w:noProof/>
            </w:rPr>
            <w:t>38</w:t>
          </w:r>
          <w:r w:rsidR="00E93150" w:rsidRPr="00433AE6">
            <w:rPr>
              <w:noProof/>
            </w:rPr>
            <w:fldChar w:fldCharType="end"/>
          </w:r>
        </w:p>
        <w:p w:rsidR="006573F1" w:rsidRPr="00433AE6" w:rsidRDefault="006573F1">
          <w:pPr>
            <w:pStyle w:val="TableofFigures"/>
            <w:tabs>
              <w:tab w:val="right" w:leader="dot" w:pos="8296"/>
            </w:tabs>
            <w:rPr>
              <w:noProof/>
            </w:rPr>
          </w:pPr>
          <w:r w:rsidRPr="00433AE6">
            <w:rPr>
              <w:noProof/>
            </w:rPr>
            <w:t>Table 7</w:t>
          </w:r>
          <w:r w:rsidR="00934CF1" w:rsidRPr="00433AE6">
            <w:rPr>
              <w:noProof/>
            </w:rPr>
            <w:t>: Descriptive statistics of DCE respondents</w:t>
          </w:r>
          <w:r w:rsidRPr="00433AE6">
            <w:rPr>
              <w:noProof/>
            </w:rPr>
            <w:tab/>
          </w:r>
          <w:r w:rsidR="00E93150" w:rsidRPr="00433AE6">
            <w:rPr>
              <w:noProof/>
            </w:rPr>
            <w:fldChar w:fldCharType="begin"/>
          </w:r>
          <w:r w:rsidRPr="00433AE6">
            <w:rPr>
              <w:noProof/>
            </w:rPr>
            <w:instrText xml:space="preserve"> PAGEREF _Toc367791072 \h </w:instrText>
          </w:r>
          <w:r w:rsidR="00E93150" w:rsidRPr="00433AE6">
            <w:rPr>
              <w:noProof/>
            </w:rPr>
          </w:r>
          <w:r w:rsidR="00E93150" w:rsidRPr="00433AE6">
            <w:rPr>
              <w:noProof/>
            </w:rPr>
            <w:fldChar w:fldCharType="separate"/>
          </w:r>
          <w:r w:rsidRPr="00433AE6">
            <w:rPr>
              <w:noProof/>
            </w:rPr>
            <w:t>39</w:t>
          </w:r>
          <w:r w:rsidR="00E93150" w:rsidRPr="00433AE6">
            <w:rPr>
              <w:noProof/>
            </w:rPr>
            <w:fldChar w:fldCharType="end"/>
          </w:r>
        </w:p>
        <w:p w:rsidR="006573F1" w:rsidRPr="00433AE6" w:rsidRDefault="006573F1">
          <w:pPr>
            <w:pStyle w:val="TableofFigures"/>
            <w:tabs>
              <w:tab w:val="right" w:leader="dot" w:pos="8296"/>
            </w:tabs>
            <w:rPr>
              <w:noProof/>
            </w:rPr>
          </w:pPr>
          <w:r w:rsidRPr="00433AE6">
            <w:rPr>
              <w:noProof/>
            </w:rPr>
            <w:t>Table 8</w:t>
          </w:r>
          <w:r w:rsidR="00934CF1" w:rsidRPr="00433AE6">
            <w:rPr>
              <w:noProof/>
            </w:rPr>
            <w:t>: Conditional logit estimation results</w:t>
          </w:r>
          <w:r w:rsidRPr="00433AE6">
            <w:rPr>
              <w:noProof/>
            </w:rPr>
            <w:tab/>
          </w:r>
          <w:r w:rsidR="00934CF1" w:rsidRPr="00433AE6">
            <w:rPr>
              <w:noProof/>
            </w:rPr>
            <w:t>:</w:t>
          </w:r>
          <w:r w:rsidR="00E93150" w:rsidRPr="00433AE6">
            <w:rPr>
              <w:noProof/>
            </w:rPr>
            <w:fldChar w:fldCharType="begin"/>
          </w:r>
          <w:r w:rsidRPr="00433AE6">
            <w:rPr>
              <w:noProof/>
            </w:rPr>
            <w:instrText xml:space="preserve"> PAGEREF _Toc367791073 \h </w:instrText>
          </w:r>
          <w:r w:rsidR="00E93150" w:rsidRPr="00433AE6">
            <w:rPr>
              <w:noProof/>
            </w:rPr>
          </w:r>
          <w:r w:rsidR="00E93150" w:rsidRPr="00433AE6">
            <w:rPr>
              <w:noProof/>
            </w:rPr>
            <w:fldChar w:fldCharType="separate"/>
          </w:r>
          <w:r w:rsidRPr="00433AE6">
            <w:rPr>
              <w:noProof/>
            </w:rPr>
            <w:t>41</w:t>
          </w:r>
          <w:r w:rsidR="00E93150" w:rsidRPr="00433AE6">
            <w:rPr>
              <w:noProof/>
            </w:rPr>
            <w:fldChar w:fldCharType="end"/>
          </w:r>
        </w:p>
        <w:p w:rsidR="006573F1" w:rsidRPr="00433AE6" w:rsidRDefault="006573F1">
          <w:pPr>
            <w:pStyle w:val="TableofFigures"/>
            <w:tabs>
              <w:tab w:val="right" w:leader="dot" w:pos="8296"/>
            </w:tabs>
            <w:rPr>
              <w:noProof/>
            </w:rPr>
          </w:pPr>
          <w:r w:rsidRPr="00433AE6">
            <w:rPr>
              <w:noProof/>
            </w:rPr>
            <w:t>Table 9</w:t>
          </w:r>
          <w:r w:rsidR="00934CF1" w:rsidRPr="00433AE6">
            <w:rPr>
              <w:noProof/>
            </w:rPr>
            <w:t>: Predicted probabilities and % differences</w:t>
          </w:r>
          <w:r w:rsidRPr="00433AE6">
            <w:rPr>
              <w:noProof/>
            </w:rPr>
            <w:tab/>
          </w:r>
          <w:r w:rsidR="00E93150" w:rsidRPr="00433AE6">
            <w:rPr>
              <w:noProof/>
            </w:rPr>
            <w:fldChar w:fldCharType="begin"/>
          </w:r>
          <w:r w:rsidRPr="00433AE6">
            <w:rPr>
              <w:noProof/>
            </w:rPr>
            <w:instrText xml:space="preserve"> PAGEREF _Toc367791074 \h </w:instrText>
          </w:r>
          <w:r w:rsidR="00E93150" w:rsidRPr="00433AE6">
            <w:rPr>
              <w:noProof/>
            </w:rPr>
          </w:r>
          <w:r w:rsidR="00E93150" w:rsidRPr="00433AE6">
            <w:rPr>
              <w:noProof/>
            </w:rPr>
            <w:fldChar w:fldCharType="separate"/>
          </w:r>
          <w:r w:rsidRPr="00433AE6">
            <w:rPr>
              <w:noProof/>
            </w:rPr>
            <w:t>44</w:t>
          </w:r>
          <w:r w:rsidR="00E93150" w:rsidRPr="00433AE6">
            <w:rPr>
              <w:noProof/>
            </w:rPr>
            <w:fldChar w:fldCharType="end"/>
          </w:r>
        </w:p>
        <w:p w:rsidR="006573F1" w:rsidRPr="00433AE6" w:rsidRDefault="006573F1">
          <w:pPr>
            <w:pStyle w:val="TableofFigures"/>
            <w:tabs>
              <w:tab w:val="right" w:leader="dot" w:pos="8296"/>
            </w:tabs>
            <w:rPr>
              <w:noProof/>
            </w:rPr>
          </w:pPr>
          <w:r w:rsidRPr="00433AE6">
            <w:rPr>
              <w:noProof/>
            </w:rPr>
            <w:t>Table 10</w:t>
          </w:r>
          <w:r w:rsidR="00934CF1" w:rsidRPr="00433AE6">
            <w:rPr>
              <w:noProof/>
            </w:rPr>
            <w:t>: Aggregate predicted probabilities, % changes and equity-efficiency trade-offs</w:t>
          </w:r>
          <w:r w:rsidRPr="00433AE6">
            <w:rPr>
              <w:noProof/>
            </w:rPr>
            <w:tab/>
          </w:r>
          <w:r w:rsidR="00E93150" w:rsidRPr="00433AE6">
            <w:rPr>
              <w:noProof/>
            </w:rPr>
            <w:fldChar w:fldCharType="begin"/>
          </w:r>
          <w:r w:rsidRPr="00433AE6">
            <w:rPr>
              <w:noProof/>
            </w:rPr>
            <w:instrText xml:space="preserve"> PAGEREF _Toc367791075 \h </w:instrText>
          </w:r>
          <w:r w:rsidR="00E93150" w:rsidRPr="00433AE6">
            <w:rPr>
              <w:noProof/>
            </w:rPr>
          </w:r>
          <w:r w:rsidR="00E93150" w:rsidRPr="00433AE6">
            <w:rPr>
              <w:noProof/>
            </w:rPr>
            <w:fldChar w:fldCharType="separate"/>
          </w:r>
          <w:r w:rsidRPr="00433AE6">
            <w:rPr>
              <w:noProof/>
            </w:rPr>
            <w:t>46</w:t>
          </w:r>
          <w:r w:rsidR="00E93150" w:rsidRPr="00433AE6">
            <w:rPr>
              <w:noProof/>
            </w:rPr>
            <w:fldChar w:fldCharType="end"/>
          </w:r>
        </w:p>
        <w:p w:rsidR="006573F1" w:rsidRPr="00433AE6" w:rsidRDefault="006573F1">
          <w:pPr>
            <w:pStyle w:val="TableofFigures"/>
            <w:tabs>
              <w:tab w:val="right" w:leader="dot" w:pos="8296"/>
            </w:tabs>
            <w:rPr>
              <w:noProof/>
            </w:rPr>
          </w:pPr>
          <w:r w:rsidRPr="00433AE6">
            <w:rPr>
              <w:noProof/>
            </w:rPr>
            <w:t>Table 11</w:t>
          </w:r>
          <w:r w:rsidR="00934CF1" w:rsidRPr="00433AE6">
            <w:rPr>
              <w:noProof/>
            </w:rPr>
            <w:t>: CLT rankings for the general model</w:t>
          </w:r>
          <w:r w:rsidRPr="00433AE6">
            <w:rPr>
              <w:noProof/>
            </w:rPr>
            <w:tab/>
          </w:r>
          <w:r w:rsidR="00E93150" w:rsidRPr="00433AE6">
            <w:rPr>
              <w:noProof/>
            </w:rPr>
            <w:fldChar w:fldCharType="begin"/>
          </w:r>
          <w:r w:rsidRPr="00433AE6">
            <w:rPr>
              <w:noProof/>
            </w:rPr>
            <w:instrText xml:space="preserve"> PAGEREF _Toc367791076 \h </w:instrText>
          </w:r>
          <w:r w:rsidR="00E93150" w:rsidRPr="00433AE6">
            <w:rPr>
              <w:noProof/>
            </w:rPr>
          </w:r>
          <w:r w:rsidR="00E93150" w:rsidRPr="00433AE6">
            <w:rPr>
              <w:noProof/>
            </w:rPr>
            <w:fldChar w:fldCharType="separate"/>
          </w:r>
          <w:r w:rsidRPr="00433AE6">
            <w:rPr>
              <w:noProof/>
            </w:rPr>
            <w:t>48</w:t>
          </w:r>
          <w:r w:rsidR="00E93150" w:rsidRPr="00433AE6">
            <w:rPr>
              <w:noProof/>
            </w:rPr>
            <w:fldChar w:fldCharType="end"/>
          </w:r>
        </w:p>
        <w:p w:rsidR="006573F1" w:rsidRPr="00433AE6" w:rsidRDefault="006573F1">
          <w:pPr>
            <w:pStyle w:val="TableofFigures"/>
            <w:tabs>
              <w:tab w:val="right" w:leader="dot" w:pos="8296"/>
            </w:tabs>
            <w:rPr>
              <w:noProof/>
            </w:rPr>
          </w:pPr>
          <w:r w:rsidRPr="00433AE6">
            <w:rPr>
              <w:noProof/>
            </w:rPr>
            <w:t>Table 12</w:t>
          </w:r>
          <w:r w:rsidR="00934CF1" w:rsidRPr="00433AE6">
            <w:rPr>
              <w:noProof/>
            </w:rPr>
            <w:t>: CLT rankings for every region</w:t>
          </w:r>
          <w:r w:rsidRPr="00433AE6">
            <w:rPr>
              <w:noProof/>
            </w:rPr>
            <w:tab/>
          </w:r>
          <w:r w:rsidR="00E93150" w:rsidRPr="00433AE6">
            <w:rPr>
              <w:noProof/>
            </w:rPr>
            <w:fldChar w:fldCharType="begin"/>
          </w:r>
          <w:r w:rsidRPr="00433AE6">
            <w:rPr>
              <w:noProof/>
            </w:rPr>
            <w:instrText xml:space="preserve"> PAGEREF _Toc367791077 \h </w:instrText>
          </w:r>
          <w:r w:rsidR="00E93150" w:rsidRPr="00433AE6">
            <w:rPr>
              <w:noProof/>
            </w:rPr>
          </w:r>
          <w:r w:rsidR="00E93150" w:rsidRPr="00433AE6">
            <w:rPr>
              <w:noProof/>
            </w:rPr>
            <w:fldChar w:fldCharType="separate"/>
          </w:r>
          <w:r w:rsidRPr="00433AE6">
            <w:rPr>
              <w:noProof/>
            </w:rPr>
            <w:t>50</w:t>
          </w:r>
          <w:r w:rsidR="00E93150" w:rsidRPr="00433AE6">
            <w:rPr>
              <w:noProof/>
            </w:rPr>
            <w:fldChar w:fldCharType="end"/>
          </w:r>
        </w:p>
        <w:p w:rsidR="006573F1" w:rsidRPr="00433AE6" w:rsidRDefault="006573F1">
          <w:pPr>
            <w:pStyle w:val="TableofFigures"/>
            <w:tabs>
              <w:tab w:val="right" w:leader="dot" w:pos="8296"/>
            </w:tabs>
            <w:rPr>
              <w:noProof/>
            </w:rPr>
          </w:pPr>
          <w:r w:rsidRPr="00433AE6">
            <w:rPr>
              <w:noProof/>
            </w:rPr>
            <w:t>Table 13</w:t>
          </w:r>
          <w:r w:rsidR="00934CF1" w:rsidRPr="00433AE6">
            <w:rPr>
              <w:noProof/>
            </w:rPr>
            <w:t>: CLT rankings for interventions targeting young age groups</w:t>
          </w:r>
          <w:r w:rsidRPr="00433AE6">
            <w:rPr>
              <w:noProof/>
            </w:rPr>
            <w:tab/>
          </w:r>
          <w:r w:rsidR="00E93150" w:rsidRPr="00433AE6">
            <w:rPr>
              <w:noProof/>
            </w:rPr>
            <w:fldChar w:fldCharType="begin"/>
          </w:r>
          <w:r w:rsidRPr="00433AE6">
            <w:rPr>
              <w:noProof/>
            </w:rPr>
            <w:instrText xml:space="preserve"> PAGEREF _Toc367791078 \h </w:instrText>
          </w:r>
          <w:r w:rsidR="00E93150" w:rsidRPr="00433AE6">
            <w:rPr>
              <w:noProof/>
            </w:rPr>
          </w:r>
          <w:r w:rsidR="00E93150" w:rsidRPr="00433AE6">
            <w:rPr>
              <w:noProof/>
            </w:rPr>
            <w:fldChar w:fldCharType="separate"/>
          </w:r>
          <w:r w:rsidRPr="00433AE6">
            <w:rPr>
              <w:noProof/>
            </w:rPr>
            <w:t>52</w:t>
          </w:r>
          <w:r w:rsidR="00E93150" w:rsidRPr="00433AE6">
            <w:rPr>
              <w:noProof/>
            </w:rPr>
            <w:fldChar w:fldCharType="end"/>
          </w:r>
        </w:p>
        <w:p w:rsidR="006573F1" w:rsidRPr="00433AE6" w:rsidRDefault="006573F1">
          <w:pPr>
            <w:pStyle w:val="TableofFigures"/>
            <w:tabs>
              <w:tab w:val="right" w:leader="dot" w:pos="8296"/>
            </w:tabs>
            <w:rPr>
              <w:noProof/>
            </w:rPr>
          </w:pPr>
          <w:r w:rsidRPr="00433AE6">
            <w:rPr>
              <w:noProof/>
            </w:rPr>
            <w:t>Table 14</w:t>
          </w:r>
          <w:r w:rsidR="00934CF1" w:rsidRPr="00433AE6">
            <w:rPr>
              <w:noProof/>
            </w:rPr>
            <w:t>: CLT rankings for interventions targeting middle age groups</w:t>
          </w:r>
          <w:r w:rsidRPr="00433AE6">
            <w:rPr>
              <w:noProof/>
            </w:rPr>
            <w:tab/>
          </w:r>
          <w:r w:rsidR="00E93150" w:rsidRPr="00433AE6">
            <w:rPr>
              <w:noProof/>
            </w:rPr>
            <w:fldChar w:fldCharType="begin"/>
          </w:r>
          <w:r w:rsidRPr="00433AE6">
            <w:rPr>
              <w:noProof/>
            </w:rPr>
            <w:instrText xml:space="preserve"> PAGEREF _Toc367791079 \h </w:instrText>
          </w:r>
          <w:r w:rsidR="00E93150" w:rsidRPr="00433AE6">
            <w:rPr>
              <w:noProof/>
            </w:rPr>
          </w:r>
          <w:r w:rsidR="00E93150" w:rsidRPr="00433AE6">
            <w:rPr>
              <w:noProof/>
            </w:rPr>
            <w:fldChar w:fldCharType="separate"/>
          </w:r>
          <w:r w:rsidRPr="00433AE6">
            <w:rPr>
              <w:noProof/>
            </w:rPr>
            <w:t>53</w:t>
          </w:r>
          <w:r w:rsidR="00E93150" w:rsidRPr="00433AE6">
            <w:rPr>
              <w:noProof/>
            </w:rPr>
            <w:fldChar w:fldCharType="end"/>
          </w:r>
        </w:p>
        <w:p w:rsidR="006573F1" w:rsidRPr="00433AE6" w:rsidRDefault="006573F1">
          <w:pPr>
            <w:pStyle w:val="TableofFigures"/>
            <w:tabs>
              <w:tab w:val="right" w:leader="dot" w:pos="8296"/>
            </w:tabs>
            <w:rPr>
              <w:noProof/>
            </w:rPr>
          </w:pPr>
          <w:r w:rsidRPr="00433AE6">
            <w:rPr>
              <w:noProof/>
            </w:rPr>
            <w:t>Table 15</w:t>
          </w:r>
          <w:r w:rsidR="00934CF1" w:rsidRPr="00433AE6">
            <w:rPr>
              <w:noProof/>
            </w:rPr>
            <w:t>: CLT rankings for interventions targeting high age groups</w:t>
          </w:r>
          <w:r w:rsidRPr="00433AE6">
            <w:rPr>
              <w:noProof/>
            </w:rPr>
            <w:tab/>
          </w:r>
          <w:r w:rsidR="00E93150" w:rsidRPr="00433AE6">
            <w:rPr>
              <w:noProof/>
            </w:rPr>
            <w:fldChar w:fldCharType="begin"/>
          </w:r>
          <w:r w:rsidRPr="00433AE6">
            <w:rPr>
              <w:noProof/>
            </w:rPr>
            <w:instrText xml:space="preserve"> PAGEREF _Toc367791080 \h </w:instrText>
          </w:r>
          <w:r w:rsidR="00E93150" w:rsidRPr="00433AE6">
            <w:rPr>
              <w:noProof/>
            </w:rPr>
          </w:r>
          <w:r w:rsidR="00E93150" w:rsidRPr="00433AE6">
            <w:rPr>
              <w:noProof/>
            </w:rPr>
            <w:fldChar w:fldCharType="separate"/>
          </w:r>
          <w:r w:rsidRPr="00433AE6">
            <w:rPr>
              <w:noProof/>
            </w:rPr>
            <w:t>55</w:t>
          </w:r>
          <w:r w:rsidR="00E93150" w:rsidRPr="00433AE6">
            <w:rPr>
              <w:noProof/>
            </w:rPr>
            <w:fldChar w:fldCharType="end"/>
          </w:r>
        </w:p>
        <w:p w:rsidR="006573F1" w:rsidRPr="006573F1" w:rsidRDefault="00E93150" w:rsidP="006573F1">
          <w:pPr>
            <w:rPr>
              <w:lang w:val="en-GB"/>
            </w:rPr>
          </w:pPr>
          <w:r w:rsidRPr="00433AE6">
            <w:rPr>
              <w:lang w:val="en-GB"/>
            </w:rPr>
            <w:fldChar w:fldCharType="end"/>
          </w:r>
        </w:p>
        <w:p w:rsidR="00A77A06" w:rsidRPr="00277328" w:rsidRDefault="00A77A06">
          <w:pPr>
            <w:rPr>
              <w:lang w:val="en-GB"/>
            </w:rPr>
          </w:pPr>
        </w:p>
        <w:p w:rsidR="00950BD7" w:rsidRPr="00277328" w:rsidRDefault="00E93150">
          <w:pPr>
            <w:rPr>
              <w:lang w:val="en-GB"/>
            </w:rPr>
          </w:pPr>
        </w:p>
      </w:sdtContent>
    </w:sdt>
    <w:p w:rsidR="003414E6" w:rsidRPr="00277328" w:rsidRDefault="003414E6">
      <w:pPr>
        <w:rPr>
          <w:b/>
          <w:sz w:val="28"/>
          <w:szCs w:val="28"/>
          <w:lang w:val="en-GB"/>
        </w:rPr>
      </w:pPr>
      <w:r w:rsidRPr="00277328">
        <w:rPr>
          <w:b/>
          <w:sz w:val="28"/>
          <w:szCs w:val="28"/>
          <w:lang w:val="en-GB"/>
        </w:rPr>
        <w:br w:type="page"/>
      </w:r>
    </w:p>
    <w:p w:rsidR="00A42699" w:rsidRPr="00277328" w:rsidRDefault="00A42699" w:rsidP="006555F2">
      <w:pPr>
        <w:pStyle w:val="Heading1"/>
        <w:numPr>
          <w:ilvl w:val="0"/>
          <w:numId w:val="15"/>
        </w:numPr>
        <w:rPr>
          <w:lang w:val="en-GB"/>
        </w:rPr>
      </w:pPr>
      <w:bookmarkStart w:id="0" w:name="_Toc367790992"/>
      <w:r w:rsidRPr="00277328">
        <w:rPr>
          <w:lang w:val="en-GB"/>
        </w:rPr>
        <w:lastRenderedPageBreak/>
        <w:t>INTRODUCTION</w:t>
      </w:r>
      <w:bookmarkEnd w:id="0"/>
    </w:p>
    <w:p w:rsidR="00395B76" w:rsidRPr="00277328" w:rsidRDefault="00395B76" w:rsidP="00395B76">
      <w:pPr>
        <w:pStyle w:val="ListParagraph"/>
        <w:rPr>
          <w:b/>
          <w:sz w:val="28"/>
          <w:szCs w:val="28"/>
          <w:lang w:val="en-GB"/>
        </w:rPr>
      </w:pPr>
    </w:p>
    <w:p w:rsidR="00A42699" w:rsidRPr="00277328" w:rsidRDefault="00A42699" w:rsidP="003414E6">
      <w:pPr>
        <w:pStyle w:val="Heading2"/>
        <w:rPr>
          <w:lang w:val="en-GB"/>
        </w:rPr>
      </w:pPr>
      <w:bookmarkStart w:id="1" w:name="_Toc367790993"/>
      <w:r w:rsidRPr="00277328">
        <w:rPr>
          <w:lang w:val="en-GB"/>
        </w:rPr>
        <w:t>The need for rational approaches to priority setting</w:t>
      </w:r>
      <w:bookmarkEnd w:id="1"/>
    </w:p>
    <w:p w:rsidR="00A42699" w:rsidRPr="00277328" w:rsidRDefault="00A42699" w:rsidP="00A42699">
      <w:pPr>
        <w:rPr>
          <w:lang w:val="en-GB"/>
        </w:rPr>
      </w:pPr>
      <w:r w:rsidRPr="00277328">
        <w:rPr>
          <w:lang w:val="en-GB"/>
        </w:rPr>
        <w:t>In every health system, policy makers need to make important decisions on the utilization of public funds, in a context of increasingly constrained health resources. However, de</w:t>
      </w:r>
      <w:r w:rsidR="009C7662">
        <w:rPr>
          <w:lang w:val="en-GB"/>
        </w:rPr>
        <w:t>cisions concerning the prioritis</w:t>
      </w:r>
      <w:r w:rsidRPr="00277328">
        <w:rPr>
          <w:lang w:val="en-GB"/>
        </w:rPr>
        <w:t xml:space="preserve">ation of health interventions are often made ad hoc, based on political motives and heuristic approaches </w:t>
      </w:r>
      <w:sdt>
        <w:sdtPr>
          <w:rPr>
            <w:lang w:val="en-GB"/>
          </w:rPr>
          <w:id w:val="40653133"/>
          <w:citation/>
        </w:sdtPr>
        <w:sdtContent>
          <w:r w:rsidR="00E93150" w:rsidRPr="00277328">
            <w:rPr>
              <w:lang w:val="en-GB"/>
            </w:rPr>
            <w:fldChar w:fldCharType="begin"/>
          </w:r>
          <w:r w:rsidR="00FB0F77" w:rsidRPr="00277328">
            <w:rPr>
              <w:lang w:val="en-GB"/>
            </w:rPr>
            <w:instrText xml:space="preserve"> CITATION Men123 \l 1033  </w:instrText>
          </w:r>
          <w:r w:rsidR="00E93150" w:rsidRPr="00277328">
            <w:rPr>
              <w:lang w:val="en-GB"/>
            </w:rPr>
            <w:fldChar w:fldCharType="separate"/>
          </w:r>
          <w:r w:rsidR="008930F2" w:rsidRPr="00277328">
            <w:rPr>
              <w:lang w:val="en-GB"/>
            </w:rPr>
            <w:t>(Mentzakis, Paolucci and Rubicko 2012)</w:t>
          </w:r>
          <w:r w:rsidR="00E93150" w:rsidRPr="00277328">
            <w:rPr>
              <w:lang w:val="en-GB"/>
            </w:rPr>
            <w:fldChar w:fldCharType="end"/>
          </w:r>
        </w:sdtContent>
      </w:sdt>
      <w:r w:rsidRPr="00277328">
        <w:rPr>
          <w:lang w:val="en-GB"/>
        </w:rPr>
        <w:t>. The underlying problem is that, although information is provided by multiple disciplines (including public health, social sciences and evidence-based</w:t>
      </w:r>
      <w:r w:rsidR="00FB0F77" w:rsidRPr="00277328">
        <w:rPr>
          <w:lang w:val="en-GB"/>
        </w:rPr>
        <w:t xml:space="preserve"> medicine) it is inadequate to </w:t>
      </w:r>
      <w:r w:rsidRPr="00433AE6">
        <w:rPr>
          <w:lang w:val="en-GB"/>
        </w:rPr>
        <w:t>form</w:t>
      </w:r>
      <w:r w:rsidRPr="00277328">
        <w:rPr>
          <w:lang w:val="en-GB"/>
        </w:rPr>
        <w:t xml:space="preserve"> complex decisions on priority setting. As a result, important criteria affecting choices are not taken into account and the decision process does not lead to an optimal use of health resources. The inconsistency of these decision </w:t>
      </w:r>
      <w:r w:rsidR="00FB0F77" w:rsidRPr="00433AE6">
        <w:rPr>
          <w:lang w:val="en-GB"/>
        </w:rPr>
        <w:t>making</w:t>
      </w:r>
      <w:r w:rsidR="00FB0F77" w:rsidRPr="00277328">
        <w:rPr>
          <w:lang w:val="en-GB"/>
        </w:rPr>
        <w:t xml:space="preserve"> </w:t>
      </w:r>
      <w:r w:rsidRPr="00277328">
        <w:rPr>
          <w:lang w:val="en-GB"/>
        </w:rPr>
        <w:t xml:space="preserve">processes can be attributed to the absence of clear and specific guidelines targeting common goals. </w:t>
      </w:r>
      <w:r w:rsidR="00FB0F77" w:rsidRPr="00433AE6">
        <w:rPr>
          <w:lang w:val="en-GB"/>
        </w:rPr>
        <w:t>Thus, a transparent and explicit approach in priority setting is needed</w:t>
      </w:r>
      <w:r w:rsidR="00651A68" w:rsidRPr="00433AE6">
        <w:rPr>
          <w:lang w:val="en-GB"/>
        </w:rPr>
        <w:t>.</w:t>
      </w:r>
      <w:r w:rsidR="00494D92" w:rsidRPr="00277328">
        <w:rPr>
          <w:lang w:val="en-GB"/>
        </w:rPr>
        <w:t xml:space="preserve">  A</w:t>
      </w:r>
      <w:r w:rsidRPr="00277328">
        <w:rPr>
          <w:lang w:val="en-GB"/>
        </w:rPr>
        <w:t xml:space="preserve"> holistic view of the available information and knowledge of the relationships between the various characteristics of each health system are required in order to effectively plan improvements on different aspects of the system.</w:t>
      </w:r>
    </w:p>
    <w:p w:rsidR="00A42699" w:rsidRPr="00277328" w:rsidRDefault="00A42699" w:rsidP="00A42699">
      <w:pPr>
        <w:rPr>
          <w:lang w:val="en-GB"/>
        </w:rPr>
      </w:pPr>
      <w:r w:rsidRPr="00277328">
        <w:rPr>
          <w:lang w:val="en-GB"/>
        </w:rPr>
        <w:t>At present, many countries focus on cost-containment health policies, due to significant increases in health expenditure and the cur</w:t>
      </w:r>
      <w:r w:rsidR="00494D92" w:rsidRPr="00277328">
        <w:rPr>
          <w:lang w:val="en-GB"/>
        </w:rPr>
        <w:t>rent economic crisis. H</w:t>
      </w:r>
      <w:r w:rsidRPr="00277328">
        <w:rPr>
          <w:lang w:val="en-GB"/>
        </w:rPr>
        <w:t>ealth care policy makers intervene with policies targeting the promotion of savings rather than the efficiency of the system. Spain is not an exception. As in most European countries, health care demands are rising in Spain, resulting in increased health care costs. Health expenditures have continuously and significantly increased from 5.3% of GDP in 1980 to 9.3% of GDP in 2009 (OECD Health Data 2013). This is not only due to an increase in life expectancy, but also a rise in population caused by</w:t>
      </w:r>
      <w:r w:rsidR="00F16517">
        <w:rPr>
          <w:lang w:val="en-GB"/>
        </w:rPr>
        <w:t xml:space="preserve"> inward migration (A decentralis</w:t>
      </w:r>
      <w:r w:rsidRPr="00277328">
        <w:rPr>
          <w:lang w:val="en-GB"/>
        </w:rPr>
        <w:t>ed system in constant flux). During this period, the Spanish health system has undergone deep institutional and economic changes; mainly the transition to</w:t>
      </w:r>
      <w:r w:rsidR="00651A68" w:rsidRPr="00277328">
        <w:rPr>
          <w:lang w:val="en-GB"/>
        </w:rPr>
        <w:t xml:space="preserve">wards a national health system </w:t>
      </w:r>
      <w:r w:rsidR="00651A68" w:rsidRPr="00433AE6">
        <w:rPr>
          <w:lang w:val="en-GB"/>
        </w:rPr>
        <w:t>(</w:t>
      </w:r>
      <w:r w:rsidR="00651A68" w:rsidRPr="00433AE6">
        <w:rPr>
          <w:i/>
          <w:lang w:val="en-GB"/>
        </w:rPr>
        <w:t>Systema Nacional de Salud</w:t>
      </w:r>
      <w:r w:rsidR="00651A68" w:rsidRPr="00433AE6">
        <w:rPr>
          <w:lang w:val="en-GB"/>
        </w:rPr>
        <w:t>, SNS</w:t>
      </w:r>
      <w:r w:rsidRPr="00433AE6">
        <w:rPr>
          <w:lang w:val="en-GB"/>
        </w:rPr>
        <w:t>)</w:t>
      </w:r>
      <w:r w:rsidRPr="00277328">
        <w:rPr>
          <w:lang w:val="en-GB"/>
        </w:rPr>
        <w:t xml:space="preserve"> with universal coverage and the devolution process of health responsibilities from the central government to t</w:t>
      </w:r>
      <w:r w:rsidR="00C85747" w:rsidRPr="00277328">
        <w:rPr>
          <w:lang w:val="en-GB"/>
        </w:rPr>
        <w:t xml:space="preserve">he autonomous communities </w:t>
      </w:r>
      <w:sdt>
        <w:sdtPr>
          <w:rPr>
            <w:lang w:val="en-GB"/>
          </w:rPr>
          <w:id w:val="40653136"/>
          <w:citation/>
        </w:sdtPr>
        <w:sdtContent>
          <w:r w:rsidR="00E93150" w:rsidRPr="00277328">
            <w:rPr>
              <w:lang w:val="en-GB"/>
            </w:rPr>
            <w:fldChar w:fldCharType="begin"/>
          </w:r>
          <w:r w:rsidR="00FB0F77" w:rsidRPr="00277328">
            <w:rPr>
              <w:lang w:val="en-GB"/>
            </w:rPr>
            <w:instrText xml:space="preserve"> CITATION Gar10 \l 1033 </w:instrText>
          </w:r>
          <w:r w:rsidR="00E93150" w:rsidRPr="00277328">
            <w:rPr>
              <w:lang w:val="en-GB"/>
            </w:rPr>
            <w:fldChar w:fldCharType="separate"/>
          </w:r>
          <w:r w:rsidR="008930F2" w:rsidRPr="00277328">
            <w:rPr>
              <w:lang w:val="en-GB"/>
            </w:rPr>
            <w:t>(García-Armesto, et al. 2010)</w:t>
          </w:r>
          <w:r w:rsidR="00E93150" w:rsidRPr="00277328">
            <w:rPr>
              <w:lang w:val="en-GB"/>
            </w:rPr>
            <w:fldChar w:fldCharType="end"/>
          </w:r>
        </w:sdtContent>
      </w:sdt>
      <w:r w:rsidR="00512942" w:rsidRPr="00277328">
        <w:rPr>
          <w:lang w:val="en-GB"/>
        </w:rPr>
        <w:t>.</w:t>
      </w:r>
    </w:p>
    <w:p w:rsidR="00A42699" w:rsidRPr="00277328" w:rsidRDefault="00A42699" w:rsidP="00A42699">
      <w:pPr>
        <w:rPr>
          <w:rFonts w:eastAsia="Times New Roman" w:cstheme="minorHAnsi"/>
          <w:iCs/>
          <w:color w:val="000000"/>
          <w:lang w:val="en-GB" w:eastAsia="el-GR"/>
        </w:rPr>
      </w:pPr>
      <w:r w:rsidRPr="00277328">
        <w:rPr>
          <w:lang w:val="en-GB"/>
        </w:rPr>
        <w:t>During the last years, the consequences of the financial crisis made the level of health expenditure a great concern for S</w:t>
      </w:r>
      <w:r w:rsidR="00494D92" w:rsidRPr="00277328">
        <w:rPr>
          <w:lang w:val="en-GB"/>
        </w:rPr>
        <w:t>panish policy makers. T</w:t>
      </w:r>
      <w:r w:rsidRPr="00277328">
        <w:rPr>
          <w:lang w:val="en-GB"/>
        </w:rPr>
        <w:t xml:space="preserve">he current financial situation threatens the sustainability of </w:t>
      </w:r>
      <w:r w:rsidR="00494D92" w:rsidRPr="00277328">
        <w:rPr>
          <w:lang w:val="en-GB"/>
        </w:rPr>
        <w:t>the Spanish NHS with its specific</w:t>
      </w:r>
      <w:r w:rsidRPr="00277328">
        <w:rPr>
          <w:lang w:val="en-GB"/>
        </w:rPr>
        <w:t xml:space="preserve"> characteristics of universality and equity. For instance, unemployment rates have increased up to more than 26% of the active population </w:t>
      </w:r>
      <w:sdt>
        <w:sdtPr>
          <w:rPr>
            <w:lang w:val="en-GB"/>
          </w:rPr>
          <w:id w:val="40653139"/>
          <w:citation/>
        </w:sdtPr>
        <w:sdtContent>
          <w:r w:rsidR="00E93150" w:rsidRPr="00277328">
            <w:rPr>
              <w:lang w:val="en-GB"/>
            </w:rPr>
            <w:fldChar w:fldCharType="begin"/>
          </w:r>
          <w:r w:rsidR="00FB0F77" w:rsidRPr="00277328">
            <w:rPr>
              <w:lang w:val="en-GB"/>
            </w:rPr>
            <w:instrText xml:space="preserve"> CITATION Ins12 \l 1033 </w:instrText>
          </w:r>
          <w:r w:rsidR="00E93150" w:rsidRPr="00277328">
            <w:rPr>
              <w:lang w:val="en-GB"/>
            </w:rPr>
            <w:fldChar w:fldCharType="separate"/>
          </w:r>
          <w:r w:rsidR="008930F2" w:rsidRPr="00277328">
            <w:rPr>
              <w:lang w:val="en-GB"/>
            </w:rPr>
            <w:t>(Instituto Nacional de Estadística 2012)</w:t>
          </w:r>
          <w:r w:rsidR="00E93150" w:rsidRPr="00277328">
            <w:rPr>
              <w:lang w:val="en-GB"/>
            </w:rPr>
            <w:fldChar w:fldCharType="end"/>
          </w:r>
        </w:sdtContent>
      </w:sdt>
      <w:r w:rsidRPr="00277328">
        <w:rPr>
          <w:rFonts w:cstheme="minorHAnsi"/>
          <w:color w:val="141413"/>
          <w:lang w:val="en-GB"/>
        </w:rPr>
        <w:t>. At the same time,</w:t>
      </w:r>
      <w:r w:rsidRPr="00277328">
        <w:rPr>
          <w:rFonts w:ascii="Times New Roman" w:hAnsi="Times New Roman" w:cs="Times"/>
          <w:color w:val="141413"/>
          <w:lang w:val="en-GB"/>
        </w:rPr>
        <w:t xml:space="preserve"> </w:t>
      </w:r>
      <w:r w:rsidRPr="00277328">
        <w:rPr>
          <w:rFonts w:cstheme="minorHAnsi"/>
          <w:color w:val="141413"/>
          <w:lang w:val="en-GB"/>
        </w:rPr>
        <w:t xml:space="preserve">public deficit reached more than 10% of the GDP in 2012, resulting in the introduction of austerity measures for public policies. One example of these measures is the significant cuts in pharmaceutical expenditure that have been implemented during these years. Pharmaceutical spending is of special interest in Spain for two main reasons. First, </w:t>
      </w:r>
      <w:r w:rsidRPr="00277328">
        <w:rPr>
          <w:rFonts w:eastAsia="Times New Roman" w:cstheme="minorHAnsi"/>
          <w:iCs/>
          <w:color w:val="000000"/>
          <w:lang w:val="en-GB" w:eastAsia="el-GR"/>
        </w:rPr>
        <w:t xml:space="preserve">real pharmaceutical expenditures are the second </w:t>
      </w:r>
      <w:r w:rsidR="00651A68" w:rsidRPr="00433AE6">
        <w:rPr>
          <w:rFonts w:eastAsia="Times New Roman" w:cstheme="minorHAnsi"/>
          <w:iCs/>
          <w:color w:val="000000"/>
          <w:lang w:val="en-GB" w:eastAsia="el-GR"/>
        </w:rPr>
        <w:t>most</w:t>
      </w:r>
      <w:r w:rsidRPr="00277328">
        <w:rPr>
          <w:rFonts w:eastAsia="Times New Roman" w:cstheme="minorHAnsi"/>
          <w:iCs/>
          <w:color w:val="000000"/>
          <w:lang w:val="en-GB" w:eastAsia="el-GR"/>
        </w:rPr>
        <w:t xml:space="preserve"> important determinant of total health spending in Spain, after personnel costs. Second, and more relevant for this thesis, there is a </w:t>
      </w:r>
      <w:r w:rsidRPr="00277328">
        <w:rPr>
          <w:rFonts w:eastAsia="Times New Roman" w:cstheme="minorHAnsi"/>
          <w:iCs/>
          <w:color w:val="000000"/>
          <w:lang w:val="en-GB" w:eastAsia="el-GR"/>
        </w:rPr>
        <w:lastRenderedPageBreak/>
        <w:t xml:space="preserve">lack of effective decision-making concerning pharmaceutical policies. These issues are extensively </w:t>
      </w:r>
      <w:r w:rsidR="00CE7375" w:rsidRPr="00277328">
        <w:rPr>
          <w:rFonts w:eastAsia="Times New Roman" w:cstheme="minorHAnsi"/>
          <w:iCs/>
          <w:color w:val="000000"/>
          <w:lang w:val="en-GB" w:eastAsia="el-GR"/>
        </w:rPr>
        <w:t>analysed</w:t>
      </w:r>
      <w:r w:rsidRPr="00277328">
        <w:rPr>
          <w:rFonts w:eastAsia="Times New Roman" w:cstheme="minorHAnsi"/>
          <w:iCs/>
          <w:color w:val="000000"/>
          <w:lang w:val="en-GB" w:eastAsia="el-GR"/>
        </w:rPr>
        <w:t xml:space="preserve"> later. </w:t>
      </w:r>
    </w:p>
    <w:p w:rsidR="00A42699" w:rsidRPr="00277328" w:rsidRDefault="00A42699" w:rsidP="00A42699">
      <w:pPr>
        <w:rPr>
          <w:rFonts w:ascii="Times New Roman" w:hAnsi="Times New Roman" w:cs="Times"/>
          <w:color w:val="141413"/>
          <w:lang w:val="en-GB"/>
        </w:rPr>
      </w:pPr>
      <w:r w:rsidRPr="00433AE6">
        <w:rPr>
          <w:lang w:val="en-GB"/>
        </w:rPr>
        <w:t>It becomes apparent that efforts have to be made</w:t>
      </w:r>
      <w:r w:rsidR="008B0951" w:rsidRPr="00433AE6">
        <w:rPr>
          <w:lang w:val="en-GB"/>
        </w:rPr>
        <w:t>, targeted at</w:t>
      </w:r>
      <w:r w:rsidRPr="00433AE6">
        <w:rPr>
          <w:lang w:val="en-GB"/>
        </w:rPr>
        <w:t xml:space="preserve"> linking health priorities with an efficient allocation of resources</w:t>
      </w:r>
      <w:r w:rsidRPr="00277328">
        <w:rPr>
          <w:lang w:val="en-GB"/>
        </w:rPr>
        <w:t xml:space="preserve">. Policy makers and other stakeholders in Spain have already initiated strategies </w:t>
      </w:r>
      <w:r w:rsidR="008B0951" w:rsidRPr="00277328">
        <w:rPr>
          <w:lang w:val="en-GB"/>
        </w:rPr>
        <w:t>aiming to r</w:t>
      </w:r>
      <w:r w:rsidR="00F16517">
        <w:rPr>
          <w:lang w:val="en-GB"/>
        </w:rPr>
        <w:t>ationalis</w:t>
      </w:r>
      <w:r w:rsidR="008B0951" w:rsidRPr="00277328">
        <w:rPr>
          <w:lang w:val="en-GB"/>
        </w:rPr>
        <w:t>e</w:t>
      </w:r>
      <w:r w:rsidRPr="00277328">
        <w:rPr>
          <w:lang w:val="en-GB"/>
        </w:rPr>
        <w:t xml:space="preserve"> the use of constrained resources. These approaches targeted cost-containment as well as improvements in the appropriateness and quality of care. To this end, services were excluded from the basic healthcare benefits package, based on efficiency and equity criteria</w:t>
      </w:r>
      <w:r w:rsidRPr="00433AE6">
        <w:rPr>
          <w:lang w:val="en-GB"/>
        </w:rPr>
        <w:t xml:space="preserve">. </w:t>
      </w:r>
      <w:r w:rsidR="008B0951" w:rsidRPr="00433AE6">
        <w:rPr>
          <w:lang w:val="en-GB"/>
        </w:rPr>
        <w:t>Furthermore</w:t>
      </w:r>
      <w:r w:rsidRPr="00277328">
        <w:rPr>
          <w:lang w:val="en-GB"/>
        </w:rPr>
        <w:t>, co-payments for the pharmaceutical benefits and private insuran</w:t>
      </w:r>
      <w:r w:rsidR="00C85E1B" w:rsidRPr="00277328">
        <w:rPr>
          <w:lang w:val="en-GB"/>
        </w:rPr>
        <w:t>ce schemes were introduced</w:t>
      </w:r>
      <w:sdt>
        <w:sdtPr>
          <w:rPr>
            <w:lang w:val="en-GB"/>
          </w:rPr>
          <w:id w:val="40653140"/>
          <w:citation/>
        </w:sdtPr>
        <w:sdtContent>
          <w:r w:rsidR="00E93150" w:rsidRPr="00277328">
            <w:rPr>
              <w:lang w:val="en-GB"/>
            </w:rPr>
            <w:fldChar w:fldCharType="begin"/>
          </w:r>
          <w:r w:rsidR="00FB0F77" w:rsidRPr="00277328">
            <w:rPr>
              <w:lang w:val="en-GB"/>
            </w:rPr>
            <w:instrText xml:space="preserve"> CITATION Gam99 \l 1033 </w:instrText>
          </w:r>
          <w:r w:rsidR="00E93150" w:rsidRPr="00277328">
            <w:rPr>
              <w:lang w:val="en-GB"/>
            </w:rPr>
            <w:fldChar w:fldCharType="separate"/>
          </w:r>
          <w:r w:rsidR="008930F2" w:rsidRPr="00277328">
            <w:rPr>
              <w:lang w:val="en-GB"/>
            </w:rPr>
            <w:t xml:space="preserve"> (Gaminde 1999)</w:t>
          </w:r>
          <w:r w:rsidR="00E93150" w:rsidRPr="00277328">
            <w:rPr>
              <w:lang w:val="en-GB"/>
            </w:rPr>
            <w:fldChar w:fldCharType="end"/>
          </w:r>
        </w:sdtContent>
      </w:sdt>
      <w:r w:rsidRPr="00277328">
        <w:rPr>
          <w:lang w:val="en-GB"/>
        </w:rPr>
        <w:t xml:space="preserve">. Despite the positive impact of these strategies on the reorganization of the health system, an overall effective coordination of regional health plans is still absent. In addition, the urgent need for a reduction of </w:t>
      </w:r>
      <w:r w:rsidR="00277328">
        <w:rPr>
          <w:lang w:val="en-GB"/>
        </w:rPr>
        <w:t xml:space="preserve">the public </w:t>
      </w:r>
      <w:r w:rsidR="00277328" w:rsidRPr="00433AE6">
        <w:rPr>
          <w:lang w:val="en-GB"/>
        </w:rPr>
        <w:t>deb</w:t>
      </w:r>
      <w:r w:rsidR="00494D92" w:rsidRPr="00433AE6">
        <w:rPr>
          <w:lang w:val="en-GB"/>
        </w:rPr>
        <w:t>t</w:t>
      </w:r>
      <w:r w:rsidR="00494D92" w:rsidRPr="00277328">
        <w:rPr>
          <w:lang w:val="en-GB"/>
        </w:rPr>
        <w:t xml:space="preserve"> </w:t>
      </w:r>
      <w:r w:rsidRPr="00277328">
        <w:rPr>
          <w:lang w:val="en-GB"/>
        </w:rPr>
        <w:t>led to policy measures that are not effective in the long-run. That is, decision makers were not aware of the opportunity costs or externalities produced by alternative options.</w:t>
      </w:r>
      <w:r w:rsidRPr="00277328">
        <w:rPr>
          <w:rFonts w:ascii="Times New Roman" w:hAnsi="Times New Roman" w:cs="Times"/>
          <w:color w:val="141413"/>
          <w:lang w:val="en-GB"/>
        </w:rPr>
        <w:t xml:space="preserve"> </w:t>
      </w:r>
    </w:p>
    <w:p w:rsidR="00A42699" w:rsidRPr="00277328" w:rsidRDefault="00494D92" w:rsidP="00A42699">
      <w:pPr>
        <w:rPr>
          <w:lang w:val="en-GB"/>
        </w:rPr>
      </w:pPr>
      <w:r w:rsidRPr="00277328">
        <w:rPr>
          <w:rFonts w:cstheme="minorHAnsi"/>
          <w:color w:val="141413"/>
          <w:lang w:val="en-GB"/>
        </w:rPr>
        <w:t>T</w:t>
      </w:r>
      <w:r w:rsidR="00A42699" w:rsidRPr="00277328">
        <w:rPr>
          <w:rFonts w:cstheme="minorHAnsi"/>
          <w:color w:val="141413"/>
          <w:lang w:val="en-GB"/>
        </w:rPr>
        <w:t>he evaluation of these strategies, in order to prove whether they are benef</w:t>
      </w:r>
      <w:r w:rsidRPr="00277328">
        <w:rPr>
          <w:rFonts w:cstheme="minorHAnsi"/>
          <w:color w:val="141413"/>
          <w:lang w:val="en-GB"/>
        </w:rPr>
        <w:t>icial for countries like Spain</w:t>
      </w:r>
      <w:r w:rsidR="00A42699" w:rsidRPr="00277328">
        <w:rPr>
          <w:rFonts w:cstheme="minorHAnsi"/>
          <w:color w:val="141413"/>
          <w:lang w:val="en-GB"/>
        </w:rPr>
        <w:t xml:space="preserve">, is </w:t>
      </w:r>
      <w:r w:rsidR="00277328" w:rsidRPr="00433AE6">
        <w:rPr>
          <w:rFonts w:cstheme="minorHAnsi"/>
          <w:color w:val="141413"/>
          <w:lang w:val="en-GB"/>
        </w:rPr>
        <w:t>outside</w:t>
      </w:r>
      <w:r w:rsidR="00A42699" w:rsidRPr="00277328">
        <w:rPr>
          <w:rFonts w:cstheme="minorHAnsi"/>
          <w:color w:val="141413"/>
          <w:lang w:val="en-GB"/>
        </w:rPr>
        <w:t xml:space="preserve"> </w:t>
      </w:r>
      <w:r w:rsidR="00277328" w:rsidRPr="00277328">
        <w:rPr>
          <w:rFonts w:cstheme="minorHAnsi"/>
          <w:color w:val="141413"/>
          <w:lang w:val="en-GB"/>
        </w:rPr>
        <w:t xml:space="preserve">the </w:t>
      </w:r>
      <w:r w:rsidR="00A42699" w:rsidRPr="00277328">
        <w:rPr>
          <w:rFonts w:cstheme="minorHAnsi"/>
          <w:color w:val="141413"/>
          <w:lang w:val="en-GB"/>
        </w:rPr>
        <w:t>scope of this analysis. The f</w:t>
      </w:r>
      <w:r w:rsidR="00277328" w:rsidRPr="00277328">
        <w:rPr>
          <w:rFonts w:cstheme="minorHAnsi"/>
          <w:color w:val="141413"/>
          <w:lang w:val="en-GB"/>
        </w:rPr>
        <w:t>ocus of this thesis is on analys</w:t>
      </w:r>
      <w:r w:rsidR="00A42699" w:rsidRPr="00277328">
        <w:rPr>
          <w:rFonts w:cstheme="minorHAnsi"/>
          <w:color w:val="141413"/>
          <w:lang w:val="en-GB"/>
        </w:rPr>
        <w:t xml:space="preserve">ing whether health policy making is in line with the preferences of various stakeholders along </w:t>
      </w:r>
      <w:r w:rsidR="00277328" w:rsidRPr="00277328">
        <w:rPr>
          <w:rFonts w:cstheme="minorHAnsi"/>
          <w:color w:val="141413"/>
          <w:lang w:val="en-GB"/>
        </w:rPr>
        <w:t xml:space="preserve">the </w:t>
      </w:r>
      <w:r w:rsidR="00277328" w:rsidRPr="00277328">
        <w:rPr>
          <w:lang w:val="en-GB"/>
        </w:rPr>
        <w:t>Autonomous Communities (ACs)</w:t>
      </w:r>
      <w:r w:rsidR="00A42699" w:rsidRPr="00277328">
        <w:rPr>
          <w:rFonts w:cstheme="minorHAnsi"/>
          <w:color w:val="141413"/>
          <w:lang w:val="en-GB"/>
        </w:rPr>
        <w:t xml:space="preserve">. </w:t>
      </w:r>
      <w:r w:rsidR="00A42699" w:rsidRPr="00277328">
        <w:rPr>
          <w:lang w:val="en-GB"/>
        </w:rPr>
        <w:t>Over the last decades, various approaches of rational priority setting have been developed. There is a general consensus that economic evaluation of health technology innovations can provide useful guidance to policy makers concerning the implementation of cost-effective strategies. In Spain, several regions promoted the utilization of economic evaluation methods for decisions on the inclusion of new medicines in the list of publicly financed drugs. At the same time, health technology assessment agencies have been established in order to improv</w:t>
      </w:r>
      <w:r w:rsidR="00C85E1B" w:rsidRPr="00277328">
        <w:rPr>
          <w:lang w:val="en-GB"/>
        </w:rPr>
        <w:t xml:space="preserve">e the quality of care provided </w:t>
      </w:r>
      <w:sdt>
        <w:sdtPr>
          <w:rPr>
            <w:lang w:val="en-GB"/>
          </w:rPr>
          <w:id w:val="40653141"/>
          <w:citation/>
        </w:sdtPr>
        <w:sdtContent>
          <w:r w:rsidR="00E93150" w:rsidRPr="00277328">
            <w:rPr>
              <w:lang w:val="en-GB"/>
            </w:rPr>
            <w:fldChar w:fldCharType="begin"/>
          </w:r>
          <w:r w:rsidR="00FB0F77" w:rsidRPr="00277328">
            <w:rPr>
              <w:lang w:val="en-GB"/>
            </w:rPr>
            <w:instrText xml:space="preserve"> CITATION Gui05 \l 1033  </w:instrText>
          </w:r>
          <w:r w:rsidR="00E93150" w:rsidRPr="00277328">
            <w:rPr>
              <w:lang w:val="en-GB"/>
            </w:rPr>
            <w:fldChar w:fldCharType="separate"/>
          </w:r>
          <w:r w:rsidR="0051557B" w:rsidRPr="00277328">
            <w:rPr>
              <w:lang w:val="en-GB"/>
            </w:rPr>
            <w:t>(Lopez-Casasnovas, Costa-Font and Planasa 2005)</w:t>
          </w:r>
          <w:r w:rsidR="00E93150" w:rsidRPr="00277328">
            <w:rPr>
              <w:lang w:val="en-GB"/>
            </w:rPr>
            <w:fldChar w:fldCharType="end"/>
          </w:r>
        </w:sdtContent>
      </w:sdt>
      <w:r w:rsidR="00C85E1B" w:rsidRPr="00277328">
        <w:rPr>
          <w:lang w:val="en-GB"/>
        </w:rPr>
        <w:t xml:space="preserve">. </w:t>
      </w:r>
      <w:r w:rsidR="00A42699" w:rsidRPr="00277328">
        <w:rPr>
          <w:lang w:val="en-GB"/>
        </w:rPr>
        <w:t xml:space="preserve">However, the adaptation of these methods is not yet comprehensive and thus, some regions are more advanced. For instance, Catalonia and </w:t>
      </w:r>
      <w:r w:rsidR="00277328" w:rsidRPr="00433AE6">
        <w:rPr>
          <w:lang w:val="en-GB"/>
        </w:rPr>
        <w:t>Andalucía</w:t>
      </w:r>
      <w:r w:rsidR="00A42699" w:rsidRPr="00277328">
        <w:rPr>
          <w:lang w:val="en-GB"/>
        </w:rPr>
        <w:t xml:space="preserve"> are already implementing economic evaluation of pharmaceutical product</w:t>
      </w:r>
      <w:r w:rsidRPr="00277328">
        <w:rPr>
          <w:lang w:val="en-GB"/>
        </w:rPr>
        <w:t>s</w:t>
      </w:r>
      <w:r w:rsidR="00A42699" w:rsidRPr="00277328">
        <w:rPr>
          <w:lang w:val="en-GB"/>
        </w:rPr>
        <w:t xml:space="preserve"> at a significant extent. </w:t>
      </w:r>
    </w:p>
    <w:p w:rsidR="00A42699" w:rsidRPr="00277328" w:rsidRDefault="00494D92" w:rsidP="00A42699">
      <w:pPr>
        <w:rPr>
          <w:lang w:val="en-GB"/>
        </w:rPr>
      </w:pPr>
      <w:r w:rsidRPr="00277328">
        <w:rPr>
          <w:lang w:val="en-GB"/>
        </w:rPr>
        <w:t>T</w:t>
      </w:r>
      <w:r w:rsidR="00A42699" w:rsidRPr="00277328">
        <w:rPr>
          <w:lang w:val="en-GB"/>
        </w:rPr>
        <w:t>he criteria on which decisions are made vary among the regions and therefore, economic evaluation might not be the most efficient tool in advising policy makers. Furthermore, economic evaluation focuses on the economic criterion of e</w:t>
      </w:r>
      <w:r w:rsidR="009C7662">
        <w:rPr>
          <w:lang w:val="en-GB"/>
        </w:rPr>
        <w:t>fficiency. That is, it prioritis</w:t>
      </w:r>
      <w:r w:rsidR="00A42699" w:rsidRPr="00277328">
        <w:rPr>
          <w:lang w:val="en-GB"/>
        </w:rPr>
        <w:t>es interventions that exhibit a positive balance between costs and benefits in the context of cost-utility or cost-effectiveness analysis. However, when it comes for public health care provision, other determinants rather than efficiency are equivalently important. Equity principles, as well as the potential trade-offs between different criteria should be tak</w:t>
      </w:r>
      <w:r w:rsidR="009C7662">
        <w:rPr>
          <w:lang w:val="en-GB"/>
        </w:rPr>
        <w:t>en into account in the prioritis</w:t>
      </w:r>
      <w:r w:rsidR="00A42699" w:rsidRPr="00277328">
        <w:rPr>
          <w:lang w:val="en-GB"/>
        </w:rPr>
        <w:t xml:space="preserve">ation process of publicly funded interventions. This does not necessarily mean that economic evaluation methods should not be </w:t>
      </w:r>
      <w:r w:rsidR="000A60FE">
        <w:rPr>
          <w:lang w:val="en-GB"/>
        </w:rPr>
        <w:t>used</w:t>
      </w:r>
      <w:r w:rsidR="00A42699" w:rsidRPr="00277328">
        <w:rPr>
          <w:lang w:val="en-GB"/>
        </w:rPr>
        <w:t xml:space="preserve"> </w:t>
      </w:r>
      <w:sdt>
        <w:sdtPr>
          <w:rPr>
            <w:lang w:val="en-GB"/>
          </w:rPr>
          <w:id w:val="40653175"/>
          <w:citation/>
        </w:sdtPr>
        <w:sdtContent>
          <w:r w:rsidR="00E93150" w:rsidRPr="00277328">
            <w:rPr>
              <w:lang w:val="en-GB"/>
            </w:rPr>
            <w:fldChar w:fldCharType="begin"/>
          </w:r>
          <w:r w:rsidR="00FB0F77" w:rsidRPr="00277328">
            <w:rPr>
              <w:lang w:val="en-GB"/>
            </w:rPr>
            <w:instrText xml:space="preserve"> CITATION Pea09 \l 1033 </w:instrText>
          </w:r>
          <w:r w:rsidR="00E93150" w:rsidRPr="00277328">
            <w:rPr>
              <w:lang w:val="en-GB"/>
            </w:rPr>
            <w:fldChar w:fldCharType="separate"/>
          </w:r>
          <w:r w:rsidR="008930F2" w:rsidRPr="00277328">
            <w:rPr>
              <w:lang w:val="en-GB"/>
            </w:rPr>
            <w:t>(Peacock, et al. 2009)</w:t>
          </w:r>
          <w:r w:rsidR="00E93150" w:rsidRPr="00277328">
            <w:rPr>
              <w:lang w:val="en-GB"/>
            </w:rPr>
            <w:fldChar w:fldCharType="end"/>
          </w:r>
        </w:sdtContent>
      </w:sdt>
      <w:r w:rsidR="00ED1DAE" w:rsidRPr="00277328">
        <w:rPr>
          <w:lang w:val="en-GB"/>
        </w:rPr>
        <w:t xml:space="preserve">. It rather </w:t>
      </w:r>
      <w:r w:rsidR="00A42699" w:rsidRPr="00277328">
        <w:rPr>
          <w:lang w:val="en-GB"/>
        </w:rPr>
        <w:t>indicates that, given the significant scarcity of resources in the current economic situation, health policy making should be based on a wider range of criteri</w:t>
      </w:r>
      <w:r w:rsidR="009C7662">
        <w:rPr>
          <w:lang w:val="en-GB"/>
        </w:rPr>
        <w:t>a. In other words, the prioritis</w:t>
      </w:r>
      <w:r w:rsidR="00A42699" w:rsidRPr="00277328">
        <w:rPr>
          <w:lang w:val="en-GB"/>
        </w:rPr>
        <w:t xml:space="preserve">ation of health interventions should be aligned with the preferences of different stakeholders. The choice process on the criteria included in this analysis is extensively discussed in Chapter 4. </w:t>
      </w:r>
    </w:p>
    <w:p w:rsidR="00A42699" w:rsidRPr="00277328" w:rsidRDefault="00A42699" w:rsidP="00A42699">
      <w:pPr>
        <w:rPr>
          <w:lang w:val="en-GB"/>
        </w:rPr>
      </w:pPr>
      <w:r w:rsidRPr="00277328">
        <w:rPr>
          <w:lang w:val="en-GB"/>
        </w:rPr>
        <w:lastRenderedPageBreak/>
        <w:t>Discrete choice experiments (DCEs) are a convenient and effective tool that enhance</w:t>
      </w:r>
      <w:r w:rsidR="00433AE6">
        <w:rPr>
          <w:lang w:val="en-GB"/>
        </w:rPr>
        <w:t>s</w:t>
      </w:r>
      <w:r w:rsidRPr="00277328">
        <w:rPr>
          <w:lang w:val="en-GB"/>
        </w:rPr>
        <w:t xml:space="preserve"> such analyses. The DCE approach belongs to a broader methodology used for rational priority setting, called multi-criteria decision analysis (MCDA). Compared to other methods, DCEs allow for the utilization of all available information, as well as for comparisons between the different criteria</w:t>
      </w:r>
      <w:r w:rsidR="00ED1DAE" w:rsidRPr="00277328">
        <w:rPr>
          <w:lang w:val="en-GB"/>
        </w:rPr>
        <w:t xml:space="preserve"> </w:t>
      </w:r>
      <w:r w:rsidR="00494D92" w:rsidRPr="00277328">
        <w:rPr>
          <w:lang w:val="en-GB"/>
        </w:rPr>
        <w:t xml:space="preserve">(Baltussen and Niessen </w:t>
      </w:r>
      <w:r w:rsidR="008930F2" w:rsidRPr="00277328">
        <w:rPr>
          <w:lang w:val="en-GB"/>
        </w:rPr>
        <w:t>2006)</w:t>
      </w:r>
      <w:r w:rsidR="00ED1DAE" w:rsidRPr="00277328">
        <w:rPr>
          <w:lang w:val="en-GB"/>
        </w:rPr>
        <w:t xml:space="preserve">. </w:t>
      </w:r>
      <w:r w:rsidRPr="00277328">
        <w:rPr>
          <w:lang w:val="en-GB"/>
        </w:rPr>
        <w:t>By eliciting stakeholders’ preferences regarding multiple criteria simul</w:t>
      </w:r>
      <w:r w:rsidR="00494D92" w:rsidRPr="00277328">
        <w:rPr>
          <w:lang w:val="en-GB"/>
        </w:rPr>
        <w:t>taneously, MCDA offers valuable guidance in explicit</w:t>
      </w:r>
      <w:r w:rsidRPr="00277328">
        <w:rPr>
          <w:lang w:val="en-GB"/>
        </w:rPr>
        <w:t xml:space="preserve"> decision making. DCEs have been widely accepted and applied in other disciplines (e.g. environmental sciences) and during the last decades they are gaining ground as a tool to inform decisions on health care resource allocation. Some countries have already shifted towards more transparent processes of decision-making. For instance, United Kingdom’s National Institute for Health and Clinical Excellence (NICE) strongly supports value-based decisions in health care</w:t>
      </w:r>
      <w:r w:rsidR="00ED1DAE" w:rsidRPr="00277328">
        <w:rPr>
          <w:lang w:val="en-GB"/>
        </w:rPr>
        <w:t xml:space="preserve"> </w:t>
      </w:r>
      <w:sdt>
        <w:sdtPr>
          <w:rPr>
            <w:lang w:val="en-GB"/>
          </w:rPr>
          <w:id w:val="40653177"/>
          <w:citation/>
        </w:sdtPr>
        <w:sdtContent>
          <w:r w:rsidR="00E93150" w:rsidRPr="00277328">
            <w:rPr>
              <w:lang w:val="en-GB"/>
            </w:rPr>
            <w:fldChar w:fldCharType="begin"/>
          </w:r>
          <w:r w:rsidR="00FB0F77" w:rsidRPr="00277328">
            <w:rPr>
              <w:lang w:val="en-GB"/>
            </w:rPr>
            <w:instrText xml:space="preserve"> CITATION Mir12 \l 1033 </w:instrText>
          </w:r>
          <w:r w:rsidR="00E93150" w:rsidRPr="00277328">
            <w:rPr>
              <w:lang w:val="en-GB"/>
            </w:rPr>
            <w:fldChar w:fldCharType="separate"/>
          </w:r>
          <w:r w:rsidR="008930F2" w:rsidRPr="00277328">
            <w:rPr>
              <w:lang w:val="en-GB"/>
            </w:rPr>
            <w:t>(Mirelman, et al. 2012)</w:t>
          </w:r>
          <w:r w:rsidR="00E93150" w:rsidRPr="00277328">
            <w:rPr>
              <w:lang w:val="en-GB"/>
            </w:rPr>
            <w:fldChar w:fldCharType="end"/>
          </w:r>
        </w:sdtContent>
      </w:sdt>
      <w:r w:rsidRPr="00277328">
        <w:rPr>
          <w:lang w:val="en-GB"/>
        </w:rPr>
        <w:t>. However, priorit</w:t>
      </w:r>
      <w:r w:rsidR="000A60FE">
        <w:rPr>
          <w:lang w:val="en-GB"/>
        </w:rPr>
        <w:t>y setting is still less formalis</w:t>
      </w:r>
      <w:r w:rsidRPr="00277328">
        <w:rPr>
          <w:lang w:val="en-GB"/>
        </w:rPr>
        <w:t>ed in Spain. Given the extrao</w:t>
      </w:r>
      <w:r w:rsidR="00494D92" w:rsidRPr="00277328">
        <w:rPr>
          <w:lang w:val="en-GB"/>
        </w:rPr>
        <w:t>rdinary scarcity of resources and the financial instability</w:t>
      </w:r>
      <w:r w:rsidR="00E23D1E" w:rsidRPr="00277328">
        <w:rPr>
          <w:lang w:val="en-GB"/>
        </w:rPr>
        <w:t xml:space="preserve">, </w:t>
      </w:r>
      <w:r w:rsidRPr="00277328">
        <w:rPr>
          <w:lang w:val="en-GB"/>
        </w:rPr>
        <w:t xml:space="preserve">there is an urgent need for rational decision processes in Spain. </w:t>
      </w:r>
    </w:p>
    <w:p w:rsidR="00A42699" w:rsidRPr="00277328" w:rsidRDefault="00A42699" w:rsidP="00A426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Times New Roman" w:hAnsi="Times New Roman" w:cs="Times"/>
          <w:color w:val="141413"/>
          <w:lang w:val="en-GB"/>
        </w:rPr>
      </w:pPr>
      <w:r w:rsidRPr="00277328">
        <w:rPr>
          <w:lang w:val="en-GB"/>
        </w:rPr>
        <w:t>This thesis elaborates the impact of equity and e</w:t>
      </w:r>
      <w:r w:rsidR="00E23D1E" w:rsidRPr="00277328">
        <w:rPr>
          <w:lang w:val="en-GB"/>
        </w:rPr>
        <w:t>fficiency criteria on Spanish stakeholders</w:t>
      </w:r>
      <w:r w:rsidRPr="00277328">
        <w:rPr>
          <w:lang w:val="en-GB"/>
        </w:rPr>
        <w:t xml:space="preserve">’ choices concerning the design of health care policies. The paper focuses on the equity-efficiency trade-offs decision makers </w:t>
      </w:r>
      <w:r w:rsidR="009C7662">
        <w:rPr>
          <w:lang w:val="en-GB"/>
        </w:rPr>
        <w:t>have to make when they prioritis</w:t>
      </w:r>
      <w:r w:rsidRPr="00277328">
        <w:rPr>
          <w:lang w:val="en-GB"/>
        </w:rPr>
        <w:t xml:space="preserve">e interventions. A DCE is implemented in Spain to </w:t>
      </w:r>
      <w:r w:rsidR="009C7662" w:rsidRPr="00433AE6">
        <w:rPr>
          <w:lang w:val="en-GB"/>
        </w:rPr>
        <w:t>analyse</w:t>
      </w:r>
      <w:r w:rsidRPr="00277328">
        <w:rPr>
          <w:lang w:val="en-GB"/>
        </w:rPr>
        <w:t xml:space="preserve"> the preferences on these criteria of various health care agents among the ACs. Subsequently, interventions that should be implemented are ranked, by first being mapped to these criteria and then ranked according to the individual preferences elicited. This step of MCDA is also known as a Composite League Table (CLT) construction. Similar to cost-utility analysis, this methodology ranks programs such</w:t>
      </w:r>
      <w:r w:rsidR="00BB5372">
        <w:rPr>
          <w:lang w:val="en-GB"/>
        </w:rPr>
        <w:t xml:space="preserve"> </w:t>
      </w:r>
      <w:r w:rsidR="00BB5372" w:rsidRPr="00433AE6">
        <w:rPr>
          <w:lang w:val="en-GB"/>
        </w:rPr>
        <w:t>as</w:t>
      </w:r>
      <w:r w:rsidRPr="00277328">
        <w:rPr>
          <w:lang w:val="en-GB"/>
        </w:rPr>
        <w:t xml:space="preserve"> the provision of care to cancer or diabetes patients</w:t>
      </w:r>
      <w:r w:rsidR="00BB5372" w:rsidRPr="00433AE6">
        <w:rPr>
          <w:lang w:val="en-GB"/>
        </w:rPr>
        <w:t>,</w:t>
      </w:r>
      <w:r w:rsidRPr="00277328">
        <w:rPr>
          <w:lang w:val="en-GB"/>
        </w:rPr>
        <w:t xml:space="preserve"> taking into account equity and efficiency values. Patients’ status varies in terms of their number, individual characteristics and the level of illness severity. Therefore, other determinants apart from cost-effectiveness of interventions are taken into account in this analysis. The factors that are considered </w:t>
      </w:r>
      <w:r w:rsidR="00BB5372" w:rsidRPr="00433AE6">
        <w:rPr>
          <w:lang w:val="en-GB"/>
        </w:rPr>
        <w:t>equally</w:t>
      </w:r>
      <w:r w:rsidRPr="00277328">
        <w:rPr>
          <w:lang w:val="en-GB"/>
        </w:rPr>
        <w:t xml:space="preserve"> important include: the level of severity of different diseases; the number of patients benefited from the intervention; the effect of the intervention on patients’ quality of life; the w</w:t>
      </w:r>
      <w:r w:rsidR="000A60FE">
        <w:rPr>
          <w:lang w:val="en-GB"/>
        </w:rPr>
        <w:t>illingness of agents to subsidis</w:t>
      </w:r>
      <w:r w:rsidRPr="00277328">
        <w:rPr>
          <w:lang w:val="en-GB"/>
        </w:rPr>
        <w:t xml:space="preserve">e the provision of care for others; and the age of those patients at which the interventions are directed. </w:t>
      </w:r>
    </w:p>
    <w:p w:rsidR="005B5C82" w:rsidRPr="005B5C82" w:rsidRDefault="00A42699" w:rsidP="005B5C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sz w:val="24"/>
          <w:szCs w:val="24"/>
          <w:lang w:val="en-GB"/>
        </w:rPr>
      </w:pPr>
      <w:r w:rsidRPr="00277328">
        <w:rPr>
          <w:rFonts w:cstheme="minorHAnsi"/>
          <w:color w:val="141413"/>
          <w:lang w:val="en-GB"/>
        </w:rPr>
        <w:t xml:space="preserve">Hence, multiple criteria are considered, representing not only efficiency but also equity principles and social values. As mentioned before, all these factors should have an important effect on public funding decisions among different interventions. Finally, interventions targeting mental disorders are compared to other programs, in order to assess the relative weight Spanish decision-makers give to mental health policies. The importance of mental health is extensively discussed in the next section.  </w:t>
      </w:r>
      <w:r w:rsidRPr="00277328">
        <w:rPr>
          <w:lang w:val="en-GB"/>
        </w:rPr>
        <w:t>The re</w:t>
      </w:r>
      <w:r w:rsidR="00F16517">
        <w:rPr>
          <w:lang w:val="en-GB"/>
        </w:rPr>
        <w:t>mainder of the thesis is organis</w:t>
      </w:r>
      <w:r w:rsidRPr="00277328">
        <w:rPr>
          <w:lang w:val="en-GB"/>
        </w:rPr>
        <w:t>ed as follows. Chapter 2 provides an overview of the Spanish health system development and current organi</w:t>
      </w:r>
      <w:r w:rsidR="00BB5372">
        <w:rPr>
          <w:lang w:val="en-GB"/>
        </w:rPr>
        <w:t>s</w:t>
      </w:r>
      <w:r w:rsidRPr="00277328">
        <w:rPr>
          <w:lang w:val="en-GB"/>
        </w:rPr>
        <w:t>ation, as well as a discussion on mental disorders burden and policies. Chapter 3 prese</w:t>
      </w:r>
      <w:r w:rsidR="00E23D1E" w:rsidRPr="00277328">
        <w:rPr>
          <w:lang w:val="en-GB"/>
        </w:rPr>
        <w:t>nts a detailed review of the MCDA</w:t>
      </w:r>
      <w:r w:rsidRPr="00277328">
        <w:rPr>
          <w:lang w:val="en-GB"/>
        </w:rPr>
        <w:t xml:space="preserve"> literature. Chapter 4 provides a theoretical background of DCEs, as well as a detailed description of the variables and the model used for the empirical analysis of this paper. Chapter 5 presents the results of both the estimation and the CLTs; Chapter 6 discusses the findings, as well as policy recommendations and limitations of this study. Finally, Chapter 7 r</w:t>
      </w:r>
      <w:r w:rsidR="00E23D1E" w:rsidRPr="00277328">
        <w:rPr>
          <w:lang w:val="en-GB"/>
        </w:rPr>
        <w:t>efers to concluding remarks.</w:t>
      </w:r>
    </w:p>
    <w:p w:rsidR="00A42699" w:rsidRPr="00277328" w:rsidRDefault="00A42699" w:rsidP="003414E6">
      <w:pPr>
        <w:pStyle w:val="Heading2"/>
        <w:rPr>
          <w:szCs w:val="24"/>
          <w:lang w:val="en-GB"/>
        </w:rPr>
      </w:pPr>
      <w:bookmarkStart w:id="2" w:name="_Toc367790994"/>
      <w:r w:rsidRPr="00277328">
        <w:rPr>
          <w:szCs w:val="24"/>
          <w:lang w:val="en-GB"/>
        </w:rPr>
        <w:lastRenderedPageBreak/>
        <w:t>The burden of mental disorders</w:t>
      </w:r>
      <w:bookmarkEnd w:id="2"/>
    </w:p>
    <w:p w:rsidR="00A52D4E" w:rsidRPr="00277328" w:rsidRDefault="00A52D4E" w:rsidP="00A52D4E">
      <w:pPr>
        <w:rPr>
          <w:lang w:val="en-GB"/>
        </w:rPr>
      </w:pPr>
    </w:p>
    <w:p w:rsidR="00A42699" w:rsidRPr="00277328" w:rsidRDefault="00A42699" w:rsidP="00A42699">
      <w:pPr>
        <w:rPr>
          <w:rFonts w:cstheme="minorHAnsi"/>
          <w:lang w:val="en-GB"/>
        </w:rPr>
      </w:pPr>
      <w:r w:rsidRPr="00277328">
        <w:rPr>
          <w:rFonts w:cstheme="minorHAnsi"/>
          <w:lang w:val="en-GB"/>
        </w:rPr>
        <w:t>Worldwide, mental health is considered to be a key driver of the overall well-being of individuals, since it enables them to be realistic, productive and contribute to the community. However, compared to physical health, mental health and disorders have been significantly neglected throughout the years. According to several studies o</w:t>
      </w:r>
      <w:r w:rsidR="009F6D9E" w:rsidRPr="00277328">
        <w:rPr>
          <w:rFonts w:cstheme="minorHAnsi"/>
          <w:lang w:val="en-GB"/>
        </w:rPr>
        <w:t xml:space="preserve">n the Global Burden of Disease </w:t>
      </w:r>
      <w:r w:rsidRPr="00277328">
        <w:rPr>
          <w:rFonts w:cstheme="minorHAnsi"/>
          <w:lang w:val="en-GB"/>
        </w:rPr>
        <w:t>a continuously increasing percentage of the global burden of disease can be attributed to mental disorders. These disorders are universal, affecting more than 25% of individuals of different countries, age, sexes or income</w:t>
      </w:r>
      <w:r w:rsidR="005D6EBA" w:rsidRPr="00277328">
        <w:rPr>
          <w:rFonts w:cstheme="minorHAnsi"/>
          <w:lang w:val="en-GB"/>
        </w:rPr>
        <w:t xml:space="preserve"> </w:t>
      </w:r>
      <w:r w:rsidR="009F6D9E" w:rsidRPr="00277328">
        <w:rPr>
          <w:rFonts w:cstheme="minorHAnsi"/>
          <w:lang w:val="en-GB"/>
        </w:rPr>
        <w:t xml:space="preserve">(WHO, 2001; WHO, 2003; WHO, 2008). </w:t>
      </w:r>
      <w:r w:rsidRPr="00277328">
        <w:rPr>
          <w:rFonts w:cstheme="minorHAnsi"/>
          <w:lang w:val="en-GB"/>
        </w:rPr>
        <w:t>Other recent studies concluded that diseases of the brain accounted for more than 13% of the global burden of disease, outperfor</w:t>
      </w:r>
      <w:r w:rsidR="00FA6FB2" w:rsidRPr="00277328">
        <w:rPr>
          <w:rFonts w:cstheme="minorHAnsi"/>
          <w:lang w:val="en-GB"/>
        </w:rPr>
        <w:t xml:space="preserve">ming common diseases as cancer </w:t>
      </w:r>
      <w:sdt>
        <w:sdtPr>
          <w:rPr>
            <w:rFonts w:cstheme="minorHAnsi"/>
            <w:lang w:val="en-GB"/>
          </w:rPr>
          <w:id w:val="40653335"/>
          <w:citation/>
        </w:sdtPr>
        <w:sdtContent>
          <w:r w:rsidR="00E93150" w:rsidRPr="00277328">
            <w:rPr>
              <w:rFonts w:cstheme="minorHAnsi"/>
              <w:lang w:val="en-GB"/>
            </w:rPr>
            <w:fldChar w:fldCharType="begin"/>
          </w:r>
          <w:r w:rsidR="00FA6FB2" w:rsidRPr="00277328">
            <w:rPr>
              <w:rFonts w:cstheme="minorHAnsi"/>
              <w:lang w:val="en-GB"/>
            </w:rPr>
            <w:instrText xml:space="preserve"> CITATION Col11 \l 1033 </w:instrText>
          </w:r>
          <w:r w:rsidR="00E93150" w:rsidRPr="00277328">
            <w:rPr>
              <w:rFonts w:cstheme="minorHAnsi"/>
              <w:lang w:val="en-GB"/>
            </w:rPr>
            <w:fldChar w:fldCharType="separate"/>
          </w:r>
          <w:r w:rsidR="008930F2" w:rsidRPr="00277328">
            <w:rPr>
              <w:rFonts w:cstheme="minorHAnsi"/>
              <w:lang w:val="en-GB"/>
            </w:rPr>
            <w:t>(Collins, et al. 2011)</w:t>
          </w:r>
          <w:r w:rsidR="00E93150" w:rsidRPr="00277328">
            <w:rPr>
              <w:rFonts w:cstheme="minorHAnsi"/>
              <w:lang w:val="en-GB"/>
            </w:rPr>
            <w:fldChar w:fldCharType="end"/>
          </w:r>
        </w:sdtContent>
      </w:sdt>
      <w:r w:rsidRPr="00277328">
        <w:rPr>
          <w:rFonts w:cstheme="minorHAnsi"/>
          <w:lang w:val="en-GB"/>
        </w:rPr>
        <w:t xml:space="preserve">. It should be noted that “disorders of the brain” refers to the combination of mental disorders (such as depression and schizophrenia) and neurological disorders (such as dementia). </w:t>
      </w:r>
    </w:p>
    <w:p w:rsidR="00A42699" w:rsidRPr="00277328" w:rsidRDefault="00A42699" w:rsidP="00A42699">
      <w:pPr>
        <w:rPr>
          <w:rFonts w:cstheme="minorHAnsi"/>
          <w:lang w:val="en-GB"/>
        </w:rPr>
      </w:pPr>
      <w:r w:rsidRPr="00277328">
        <w:rPr>
          <w:rFonts w:cstheme="minorHAnsi"/>
          <w:lang w:val="en-GB"/>
        </w:rPr>
        <w:t>However, these global estimates cannot sufficiently explain the burden of brain disorders in Europe, since they are affected by the diversity of the countries in terms of health and socio-economic characteristics. Within the European Union (EU), it has been observed that</w:t>
      </w:r>
      <w:r w:rsidR="001E5942" w:rsidRPr="00277328">
        <w:rPr>
          <w:rFonts w:cstheme="minorHAnsi"/>
          <w:lang w:val="en-GB"/>
        </w:rPr>
        <w:t xml:space="preserve"> ill mental</w:t>
      </w:r>
      <w:r w:rsidRPr="00277328">
        <w:rPr>
          <w:rFonts w:cstheme="minorHAnsi"/>
          <w:lang w:val="en-GB"/>
        </w:rPr>
        <w:t xml:space="preserve"> health affects every fourth citizen (in 2005) and can cause, apart from life losses also notable burdens to the economic, social, educational as well as criminal and justice systems (McDaid, 2005). Even more, it doubts core social values, since phenomena of discrimination towards mentally ill individuals and non-respect towards human rights are observed. According to the European Commission’s Green Paper on Mental Health, mental disorders are considered to become the highest ranking cause of illness in high income countries by 2020</w:t>
      </w:r>
      <w:r w:rsidR="00294D5E" w:rsidRPr="00277328">
        <w:rPr>
          <w:rFonts w:cstheme="minorHAnsi"/>
          <w:lang w:val="en-GB"/>
        </w:rPr>
        <w:t xml:space="preserve"> (European Commission Green Paper, 2005)</w:t>
      </w:r>
      <w:r w:rsidRPr="00277328">
        <w:rPr>
          <w:rFonts w:cstheme="minorHAnsi"/>
          <w:lang w:val="en-GB"/>
        </w:rPr>
        <w:t xml:space="preserve">. </w:t>
      </w:r>
    </w:p>
    <w:p w:rsidR="00A42699" w:rsidRPr="00277328" w:rsidRDefault="00A42699" w:rsidP="00A42699">
      <w:pPr>
        <w:rPr>
          <w:lang w:val="en-GB"/>
        </w:rPr>
      </w:pPr>
      <w:r w:rsidRPr="00277328">
        <w:rPr>
          <w:lang w:val="en-GB"/>
        </w:rPr>
        <w:t>A number of publications during the last decade have focused specifically on the burden of brain disorders in Europe and offered comprehensive data on prevalence, direct and indirect costs as well as economic features of both mental and neurological disorders. In particular, Wittchen et al. report in 2005, which has been updated in 2011, had an immense contribution in the overall understanding of the size, burden and costs of brain diseases</w:t>
      </w:r>
      <w:r w:rsidR="00E23D1E" w:rsidRPr="00277328">
        <w:rPr>
          <w:lang w:val="en-GB"/>
        </w:rPr>
        <w:t xml:space="preserve"> </w:t>
      </w:r>
      <w:sdt>
        <w:sdtPr>
          <w:rPr>
            <w:lang w:val="en-GB"/>
          </w:rPr>
          <w:id w:val="40653343"/>
          <w:citation/>
        </w:sdtPr>
        <w:sdtContent>
          <w:r w:rsidR="00E93150" w:rsidRPr="00277328">
            <w:rPr>
              <w:lang w:val="en-GB"/>
            </w:rPr>
            <w:fldChar w:fldCharType="begin"/>
          </w:r>
          <w:r w:rsidR="00FB0F77" w:rsidRPr="00277328">
            <w:rPr>
              <w:lang w:val="en-GB"/>
            </w:rPr>
            <w:instrText xml:space="preserve"> CITATION Wit11 \l 1033 </w:instrText>
          </w:r>
          <w:r w:rsidR="00E93150" w:rsidRPr="00277328">
            <w:rPr>
              <w:lang w:val="en-GB"/>
            </w:rPr>
            <w:fldChar w:fldCharType="separate"/>
          </w:r>
          <w:r w:rsidR="008930F2" w:rsidRPr="00277328">
            <w:rPr>
              <w:lang w:val="en-GB"/>
            </w:rPr>
            <w:t xml:space="preserve"> (Wittchen, et al. 2011)</w:t>
          </w:r>
          <w:r w:rsidR="00E93150" w:rsidRPr="00277328">
            <w:rPr>
              <w:lang w:val="en-GB"/>
            </w:rPr>
            <w:fldChar w:fldCharType="end"/>
          </w:r>
        </w:sdtContent>
      </w:sdt>
      <w:r w:rsidRPr="00277328">
        <w:rPr>
          <w:lang w:val="en-GB"/>
        </w:rPr>
        <w:t xml:space="preserve">. The updated report included 14 new main diagnoses of mental disorders that faced limited diagnostic scope in the past, such as adolescent and childhood disorders, as well </w:t>
      </w:r>
      <w:r w:rsidR="00E23D1E" w:rsidRPr="00277328">
        <w:rPr>
          <w:lang w:val="en-GB"/>
        </w:rPr>
        <w:t xml:space="preserve">as three new countries, </w:t>
      </w:r>
      <w:r w:rsidRPr="00277328">
        <w:rPr>
          <w:lang w:val="en-GB"/>
        </w:rPr>
        <w:t xml:space="preserve">covering in total 514 million inhabitants of the EU. According to the report, more than 38.2% of the total EU population suffers from at least one of the 27 disorders included in the analysis. In terms of the number of persons affected, this percentage corresponds to 164.7 million persons. </w:t>
      </w:r>
    </w:p>
    <w:p w:rsidR="00A42699" w:rsidRPr="00277328" w:rsidRDefault="00A42699" w:rsidP="00A42699">
      <w:pPr>
        <w:rPr>
          <w:lang w:val="en-GB"/>
        </w:rPr>
      </w:pPr>
      <w:r w:rsidRPr="008418C4">
        <w:rPr>
          <w:lang w:val="en-GB"/>
        </w:rPr>
        <w:t>Comparing the estimates of the 2005 and 2011 reports, a significant increase in the prevalence of brain disorders is being observed. This difference in percentages can be highly attributed to the inclusion of diagnoses of important mental disorders and age groups. Even more, substantial differences are noted in the number of individuals across EU that has been affected by mental disorders, with a raise from 82.7 million in 2005 to 164.7 million in 2011.</w:t>
      </w:r>
      <w:r w:rsidRPr="00277328">
        <w:rPr>
          <w:lang w:val="en-GB"/>
        </w:rPr>
        <w:t xml:space="preserve"> Calculations of the burden of disease have been implemented using DALYs as a measure of the overall burden. DALYs combine in one measure </w:t>
      </w:r>
      <w:r w:rsidR="00E23D1E" w:rsidRPr="00277328">
        <w:rPr>
          <w:lang w:val="en-GB"/>
        </w:rPr>
        <w:t xml:space="preserve">the </w:t>
      </w:r>
      <w:r w:rsidRPr="00277328">
        <w:rPr>
          <w:lang w:val="en-GB"/>
        </w:rPr>
        <w:t xml:space="preserve">years lost because of early death </w:t>
      </w:r>
      <w:r w:rsidRPr="00277328">
        <w:rPr>
          <w:lang w:val="en-GB"/>
        </w:rPr>
        <w:lastRenderedPageBreak/>
        <w:t xml:space="preserve">(mortality) and non-healthy years because of a state of disability or poor health (morbidity). Thus, it is considered a very useful tool of measurement for mental disorders, since their burden is mainly attributed to disability of the brain functioning, rather than premature death. </w:t>
      </w:r>
    </w:p>
    <w:p w:rsidR="00A42699" w:rsidRPr="00277328" w:rsidRDefault="00A42699" w:rsidP="00A42699">
      <w:pPr>
        <w:rPr>
          <w:lang w:val="en-GB"/>
        </w:rPr>
      </w:pPr>
      <w:r w:rsidRPr="00277328">
        <w:rPr>
          <w:lang w:val="en-GB"/>
        </w:rPr>
        <w:t>Based on the results of the 2011 report, the most common forms of brain disorders are: a) Anxiety disorders with 14.0% rate of prevalence, b) Insomnia (included in sleep disorders), 7.0%, c) Major depression (mood disorders), 6.9%, d)Somatoform disorders, 4.9%, e) Substance use disorders, with a best estimate of 3.4% prevalence for alcohol dependence and up to 1.8% and 0.4% for cannabis and opioid dependence, respectively, f) Attention deficit hyperkinetic disorder, 5.0% with an applicable age range from 6 to 17 years and finally g) Dementia, with varying rates estimated by age group specific estimates after 60 years, 1.0%-31.7%</w:t>
      </w:r>
      <w:r w:rsidR="00E23D1E" w:rsidRPr="00277328">
        <w:rPr>
          <w:lang w:val="en-GB"/>
        </w:rPr>
        <w:t xml:space="preserve"> according to age. D</w:t>
      </w:r>
      <w:r w:rsidRPr="00277328">
        <w:rPr>
          <w:lang w:val="en-GB"/>
        </w:rPr>
        <w:t xml:space="preserve">ifferences in the estimates among regions, age groups and sexes are observed. </w:t>
      </w:r>
    </w:p>
    <w:p w:rsidR="006573F1" w:rsidRDefault="00A42699" w:rsidP="00433AE6">
      <w:pPr>
        <w:rPr>
          <w:lang w:val="en-GB"/>
        </w:rPr>
      </w:pPr>
      <w:r w:rsidRPr="008418C4">
        <w:rPr>
          <w:lang w:val="en-GB"/>
        </w:rPr>
        <w:t>These estimates are considered to be accurate since they were based on extensive literature search for publications in epidemiology as well as reanalysis of existing data and national surveys on mental and neurological disorders. However, it should be mentioned that this analysis faced some limitations, especially due to the lack of adequate data on different age groups and specific diagnoses</w:t>
      </w:r>
      <w:r w:rsidRPr="00277328">
        <w:rPr>
          <w:lang w:val="en-GB"/>
        </w:rPr>
        <w:t xml:space="preserve">. A detailed review of all the estimates in both 2005 and 2011 reports are given in Table 1 above. </w:t>
      </w:r>
    </w:p>
    <w:p w:rsidR="00433AE6" w:rsidRPr="00433AE6" w:rsidRDefault="00433AE6" w:rsidP="00433AE6">
      <w:pPr>
        <w:rPr>
          <w:lang w:val="en-GB"/>
        </w:rPr>
      </w:pPr>
    </w:p>
    <w:p w:rsidR="00A42699" w:rsidRPr="00277328" w:rsidRDefault="001E74C6" w:rsidP="00A42699">
      <w:pPr>
        <w:rPr>
          <w:b/>
          <w:u w:val="single"/>
          <w:lang w:val="en-GB"/>
        </w:rPr>
      </w:pPr>
      <w:r w:rsidRPr="00277328">
        <w:rPr>
          <w:b/>
          <w:u w:val="single"/>
          <w:lang w:val="en-GB"/>
        </w:rPr>
        <w:t>Table 1</w:t>
      </w:r>
      <w:r w:rsidR="00465474" w:rsidRPr="00277328">
        <w:rPr>
          <w:b/>
          <w:u w:val="single"/>
          <w:lang w:val="en-GB"/>
        </w:rPr>
        <w:t>: 2005 and 2011 estimates and overall number of cases affected by mental disorders in the EU (in millions)</w:t>
      </w:r>
    </w:p>
    <w:tbl>
      <w:tblPr>
        <w:tblStyle w:val="LightShading-Accent2"/>
        <w:tblW w:w="8522" w:type="dxa"/>
        <w:tblBorders>
          <w:left w:val="single" w:sz="8" w:space="0" w:color="C0504D" w:themeColor="accent2"/>
          <w:right w:val="single" w:sz="8" w:space="0" w:color="C0504D" w:themeColor="accent2"/>
          <w:insideH w:val="single" w:sz="8" w:space="0" w:color="C0504D" w:themeColor="accent2"/>
          <w:insideV w:val="single" w:sz="8" w:space="0" w:color="C0504D" w:themeColor="accent2"/>
        </w:tblBorders>
        <w:tblLook w:val="04A0"/>
      </w:tblPr>
      <w:tblGrid>
        <w:gridCol w:w="2716"/>
        <w:gridCol w:w="1545"/>
        <w:gridCol w:w="1545"/>
        <w:gridCol w:w="1358"/>
        <w:gridCol w:w="1358"/>
      </w:tblGrid>
      <w:tr w:rsidR="00465474" w:rsidRPr="00277328" w:rsidTr="008E2EDE">
        <w:trPr>
          <w:cnfStyle w:val="100000000000"/>
          <w:trHeight w:val="328"/>
        </w:trPr>
        <w:tc>
          <w:tcPr>
            <w:cnfStyle w:val="001000000000"/>
            <w:tcW w:w="2716" w:type="dxa"/>
            <w:tcBorders>
              <w:top w:val="none" w:sz="0" w:space="0" w:color="auto"/>
              <w:left w:val="none" w:sz="0" w:space="0" w:color="auto"/>
              <w:bottom w:val="none" w:sz="0" w:space="0" w:color="auto"/>
              <w:right w:val="none" w:sz="0" w:space="0" w:color="auto"/>
            </w:tcBorders>
          </w:tcPr>
          <w:p w:rsidR="00465474" w:rsidRPr="00277328" w:rsidRDefault="00465474" w:rsidP="0093064E">
            <w:pPr>
              <w:rPr>
                <w:rFonts w:cstheme="minorHAnsi"/>
                <w:b w:val="0"/>
                <w:color w:val="auto"/>
                <w:lang w:val="en-GB"/>
              </w:rPr>
            </w:pPr>
          </w:p>
        </w:tc>
        <w:tc>
          <w:tcPr>
            <w:tcW w:w="3090" w:type="dxa"/>
            <w:gridSpan w:val="2"/>
            <w:tcBorders>
              <w:top w:val="none" w:sz="0" w:space="0" w:color="auto"/>
              <w:left w:val="none" w:sz="0" w:space="0" w:color="auto"/>
              <w:bottom w:val="none" w:sz="0" w:space="0" w:color="auto"/>
              <w:right w:val="none" w:sz="0" w:space="0" w:color="auto"/>
            </w:tcBorders>
          </w:tcPr>
          <w:p w:rsidR="00465474" w:rsidRPr="00277328" w:rsidRDefault="00465474" w:rsidP="0093064E">
            <w:pPr>
              <w:cnfStyle w:val="100000000000"/>
              <w:rPr>
                <w:rFonts w:cstheme="minorHAnsi"/>
                <w:color w:val="auto"/>
                <w:lang w:val="en-GB"/>
              </w:rPr>
            </w:pPr>
            <w:r w:rsidRPr="00277328">
              <w:rPr>
                <w:rFonts w:cstheme="minorHAnsi"/>
                <w:color w:val="auto"/>
                <w:lang w:val="en-GB"/>
              </w:rPr>
              <w:t>Prevalence estimate</w:t>
            </w:r>
          </w:p>
        </w:tc>
        <w:tc>
          <w:tcPr>
            <w:tcW w:w="2716" w:type="dxa"/>
            <w:gridSpan w:val="2"/>
            <w:tcBorders>
              <w:top w:val="none" w:sz="0" w:space="0" w:color="auto"/>
              <w:left w:val="none" w:sz="0" w:space="0" w:color="auto"/>
              <w:bottom w:val="none" w:sz="0" w:space="0" w:color="auto"/>
              <w:right w:val="none" w:sz="0" w:space="0" w:color="auto"/>
            </w:tcBorders>
          </w:tcPr>
          <w:p w:rsidR="00465474" w:rsidRPr="00277328" w:rsidRDefault="00465474" w:rsidP="0093064E">
            <w:pPr>
              <w:cnfStyle w:val="100000000000"/>
              <w:rPr>
                <w:rFonts w:cstheme="minorHAnsi"/>
                <w:color w:val="auto"/>
                <w:lang w:val="en-GB"/>
              </w:rPr>
            </w:pPr>
            <w:r w:rsidRPr="00277328">
              <w:rPr>
                <w:rFonts w:cstheme="minorHAnsi"/>
                <w:color w:val="auto"/>
                <w:lang w:val="en-GB"/>
              </w:rPr>
              <w:t>No. of persons affected</w:t>
            </w:r>
          </w:p>
        </w:tc>
      </w:tr>
      <w:tr w:rsidR="00465474" w:rsidRPr="00277328" w:rsidTr="008E2EDE">
        <w:trPr>
          <w:cnfStyle w:val="000000100000"/>
          <w:trHeight w:val="674"/>
        </w:trPr>
        <w:tc>
          <w:tcPr>
            <w:cnfStyle w:val="001000000000"/>
            <w:tcW w:w="2716" w:type="dxa"/>
            <w:tcBorders>
              <w:left w:val="none" w:sz="0" w:space="0" w:color="auto"/>
              <w:right w:val="none" w:sz="0" w:space="0" w:color="auto"/>
            </w:tcBorders>
          </w:tcPr>
          <w:p w:rsidR="00465474" w:rsidRPr="00277328" w:rsidRDefault="00465474" w:rsidP="0093064E">
            <w:pPr>
              <w:rPr>
                <w:rFonts w:cstheme="minorHAnsi"/>
                <w:b w:val="0"/>
                <w:color w:val="auto"/>
                <w:lang w:val="en-GB"/>
              </w:rPr>
            </w:pPr>
          </w:p>
        </w:tc>
        <w:tc>
          <w:tcPr>
            <w:tcW w:w="1545" w:type="dxa"/>
            <w:tcBorders>
              <w:left w:val="none" w:sz="0" w:space="0" w:color="auto"/>
              <w:right w:val="none" w:sz="0" w:space="0" w:color="auto"/>
            </w:tcBorders>
          </w:tcPr>
          <w:p w:rsidR="00465474" w:rsidRPr="00277328" w:rsidRDefault="00465474" w:rsidP="0093064E">
            <w:pPr>
              <w:cnfStyle w:val="000000100000"/>
              <w:rPr>
                <w:rFonts w:cstheme="minorHAnsi"/>
                <w:b/>
                <w:color w:val="auto"/>
                <w:lang w:val="en-GB"/>
              </w:rPr>
            </w:pPr>
            <w:r w:rsidRPr="00277328">
              <w:rPr>
                <w:rFonts w:cstheme="minorHAnsi"/>
                <w:b/>
                <w:color w:val="auto"/>
                <w:lang w:val="en-GB"/>
              </w:rPr>
              <w:t>2005 (%</w:t>
            </w:r>
            <w:r w:rsidR="00CB6E1B" w:rsidRPr="00277328">
              <w:rPr>
                <w:rFonts w:cstheme="minorHAnsi"/>
                <w:b/>
                <w:color w:val="auto"/>
                <w:lang w:val="en-GB"/>
              </w:rPr>
              <w:t>)</w:t>
            </w:r>
          </w:p>
        </w:tc>
        <w:tc>
          <w:tcPr>
            <w:tcW w:w="1545" w:type="dxa"/>
            <w:tcBorders>
              <w:left w:val="none" w:sz="0" w:space="0" w:color="auto"/>
              <w:right w:val="none" w:sz="0" w:space="0" w:color="auto"/>
            </w:tcBorders>
          </w:tcPr>
          <w:p w:rsidR="00465474" w:rsidRPr="00277328" w:rsidRDefault="00465474" w:rsidP="0093064E">
            <w:pPr>
              <w:cnfStyle w:val="000000100000"/>
              <w:rPr>
                <w:rFonts w:cstheme="minorHAnsi"/>
                <w:b/>
                <w:color w:val="auto"/>
                <w:lang w:val="en-GB"/>
              </w:rPr>
            </w:pPr>
            <w:r w:rsidRPr="00277328">
              <w:rPr>
                <w:rFonts w:cstheme="minorHAnsi"/>
                <w:b/>
                <w:color w:val="auto"/>
                <w:lang w:val="en-GB"/>
              </w:rPr>
              <w:t>2011(%)</w:t>
            </w:r>
          </w:p>
        </w:tc>
        <w:tc>
          <w:tcPr>
            <w:tcW w:w="1358" w:type="dxa"/>
            <w:tcBorders>
              <w:left w:val="none" w:sz="0" w:space="0" w:color="auto"/>
              <w:right w:val="none" w:sz="0" w:space="0" w:color="auto"/>
            </w:tcBorders>
          </w:tcPr>
          <w:p w:rsidR="00465474" w:rsidRPr="00277328" w:rsidRDefault="00465474" w:rsidP="0093064E">
            <w:pPr>
              <w:cnfStyle w:val="000000100000"/>
              <w:rPr>
                <w:rFonts w:cstheme="minorHAnsi"/>
                <w:b/>
                <w:color w:val="auto"/>
                <w:lang w:val="en-GB"/>
              </w:rPr>
            </w:pPr>
            <w:r w:rsidRPr="00277328">
              <w:rPr>
                <w:rFonts w:cstheme="minorHAnsi"/>
                <w:b/>
                <w:color w:val="auto"/>
                <w:lang w:val="en-GB"/>
              </w:rPr>
              <w:t>2005 (Million)</w:t>
            </w:r>
          </w:p>
        </w:tc>
        <w:tc>
          <w:tcPr>
            <w:tcW w:w="1358" w:type="dxa"/>
            <w:tcBorders>
              <w:left w:val="none" w:sz="0" w:space="0" w:color="auto"/>
              <w:right w:val="none" w:sz="0" w:space="0" w:color="auto"/>
            </w:tcBorders>
          </w:tcPr>
          <w:p w:rsidR="00465474" w:rsidRPr="00277328" w:rsidRDefault="00465474" w:rsidP="0093064E">
            <w:pPr>
              <w:cnfStyle w:val="000000100000"/>
              <w:rPr>
                <w:rFonts w:cstheme="minorHAnsi"/>
                <w:b/>
                <w:color w:val="auto"/>
                <w:lang w:val="en-GB"/>
              </w:rPr>
            </w:pPr>
            <w:r w:rsidRPr="00277328">
              <w:rPr>
                <w:rFonts w:cstheme="minorHAnsi"/>
                <w:b/>
                <w:color w:val="auto"/>
                <w:lang w:val="en-GB"/>
              </w:rPr>
              <w:t>2011 (Million)</w:t>
            </w:r>
          </w:p>
        </w:tc>
      </w:tr>
      <w:tr w:rsidR="00465474" w:rsidRPr="00277328" w:rsidTr="008E2EDE">
        <w:trPr>
          <w:trHeight w:val="622"/>
        </w:trPr>
        <w:tc>
          <w:tcPr>
            <w:cnfStyle w:val="001000000000"/>
            <w:tcW w:w="2716" w:type="dxa"/>
          </w:tcPr>
          <w:p w:rsidR="00465474" w:rsidRPr="00277328" w:rsidRDefault="00FC6086" w:rsidP="0093064E">
            <w:pPr>
              <w:rPr>
                <w:rFonts w:cstheme="minorHAnsi"/>
                <w:i/>
                <w:color w:val="auto"/>
                <w:lang w:val="en-GB"/>
              </w:rPr>
            </w:pPr>
            <w:r w:rsidRPr="00277328">
              <w:rPr>
                <w:rFonts w:cstheme="minorHAnsi"/>
                <w:i/>
                <w:color w:val="auto"/>
                <w:lang w:val="en-GB"/>
              </w:rPr>
              <w:t>Group A: 2005 report diagnoses</w:t>
            </w:r>
          </w:p>
        </w:tc>
        <w:tc>
          <w:tcPr>
            <w:tcW w:w="1545" w:type="dxa"/>
          </w:tcPr>
          <w:p w:rsidR="00465474" w:rsidRPr="00277328" w:rsidRDefault="00465474" w:rsidP="0093064E">
            <w:pPr>
              <w:cnfStyle w:val="000000000000"/>
              <w:rPr>
                <w:rFonts w:cstheme="minorHAnsi"/>
                <w:color w:val="auto"/>
                <w:lang w:val="en-GB"/>
              </w:rPr>
            </w:pPr>
          </w:p>
        </w:tc>
        <w:tc>
          <w:tcPr>
            <w:tcW w:w="1545" w:type="dxa"/>
          </w:tcPr>
          <w:p w:rsidR="00465474" w:rsidRPr="00277328" w:rsidRDefault="00465474" w:rsidP="0093064E">
            <w:pPr>
              <w:cnfStyle w:val="000000000000"/>
              <w:rPr>
                <w:rFonts w:cstheme="minorHAnsi"/>
                <w:color w:val="auto"/>
                <w:lang w:val="en-GB"/>
              </w:rPr>
            </w:pPr>
          </w:p>
        </w:tc>
        <w:tc>
          <w:tcPr>
            <w:tcW w:w="1358" w:type="dxa"/>
          </w:tcPr>
          <w:p w:rsidR="00465474" w:rsidRPr="00277328" w:rsidRDefault="00465474" w:rsidP="0093064E">
            <w:pPr>
              <w:cnfStyle w:val="000000000000"/>
              <w:rPr>
                <w:rFonts w:cstheme="minorHAnsi"/>
                <w:color w:val="auto"/>
                <w:lang w:val="en-GB"/>
              </w:rPr>
            </w:pPr>
          </w:p>
        </w:tc>
        <w:tc>
          <w:tcPr>
            <w:tcW w:w="1358" w:type="dxa"/>
          </w:tcPr>
          <w:p w:rsidR="00465474" w:rsidRPr="00277328" w:rsidRDefault="00465474" w:rsidP="0093064E">
            <w:pPr>
              <w:cnfStyle w:val="000000000000"/>
              <w:rPr>
                <w:rFonts w:cstheme="minorHAnsi"/>
                <w:color w:val="auto"/>
                <w:lang w:val="en-GB"/>
              </w:rPr>
            </w:pPr>
          </w:p>
        </w:tc>
      </w:tr>
      <w:tr w:rsidR="00FC6086" w:rsidRPr="00277328" w:rsidTr="008E2EDE">
        <w:trPr>
          <w:cnfStyle w:val="000000100000"/>
          <w:trHeight w:val="328"/>
        </w:trPr>
        <w:tc>
          <w:tcPr>
            <w:cnfStyle w:val="001000000000"/>
            <w:tcW w:w="2716" w:type="dxa"/>
            <w:tcBorders>
              <w:left w:val="none" w:sz="0" w:space="0" w:color="auto"/>
              <w:right w:val="none" w:sz="0" w:space="0" w:color="auto"/>
            </w:tcBorders>
          </w:tcPr>
          <w:p w:rsidR="00FC6086" w:rsidRPr="00277328" w:rsidRDefault="00FC6086" w:rsidP="0093064E">
            <w:pPr>
              <w:rPr>
                <w:rFonts w:cstheme="minorHAnsi"/>
                <w:b w:val="0"/>
                <w:color w:val="auto"/>
                <w:lang w:val="en-GB"/>
              </w:rPr>
            </w:pPr>
            <w:r w:rsidRPr="00277328">
              <w:rPr>
                <w:rFonts w:cstheme="minorHAnsi"/>
                <w:b w:val="0"/>
                <w:color w:val="auto"/>
                <w:lang w:val="en-GB"/>
              </w:rPr>
              <w:t>Alcohol dependence</w:t>
            </w:r>
          </w:p>
        </w:tc>
        <w:tc>
          <w:tcPr>
            <w:tcW w:w="1545" w:type="dxa"/>
            <w:tcBorders>
              <w:left w:val="none" w:sz="0" w:space="0" w:color="auto"/>
              <w:right w:val="none" w:sz="0" w:space="0" w:color="auto"/>
            </w:tcBorders>
          </w:tcPr>
          <w:p w:rsidR="00FC6086" w:rsidRPr="00277328" w:rsidRDefault="00CB6E1B" w:rsidP="0093064E">
            <w:pPr>
              <w:cnfStyle w:val="000000100000"/>
              <w:rPr>
                <w:rFonts w:cstheme="minorHAnsi"/>
                <w:color w:val="auto"/>
                <w:lang w:val="en-GB"/>
              </w:rPr>
            </w:pPr>
            <w:r w:rsidRPr="00277328">
              <w:rPr>
                <w:rFonts w:cstheme="minorHAnsi"/>
                <w:color w:val="auto"/>
                <w:lang w:val="en-GB"/>
              </w:rPr>
              <w:t>2.4</w:t>
            </w:r>
          </w:p>
        </w:tc>
        <w:tc>
          <w:tcPr>
            <w:tcW w:w="1545" w:type="dxa"/>
            <w:tcBorders>
              <w:left w:val="none" w:sz="0" w:space="0" w:color="auto"/>
              <w:right w:val="none" w:sz="0" w:space="0" w:color="auto"/>
            </w:tcBorders>
          </w:tcPr>
          <w:p w:rsidR="00FC6086" w:rsidRPr="00277328" w:rsidRDefault="00CB6E1B" w:rsidP="0093064E">
            <w:pPr>
              <w:cnfStyle w:val="000000100000"/>
              <w:rPr>
                <w:rFonts w:cstheme="minorHAnsi"/>
                <w:color w:val="auto"/>
                <w:lang w:val="en-GB"/>
              </w:rPr>
            </w:pPr>
            <w:r w:rsidRPr="00277328">
              <w:rPr>
                <w:rFonts w:cstheme="minorHAnsi"/>
                <w:color w:val="auto"/>
                <w:lang w:val="en-GB"/>
              </w:rPr>
              <w:t>3.4</w:t>
            </w:r>
          </w:p>
        </w:tc>
        <w:tc>
          <w:tcPr>
            <w:tcW w:w="1358" w:type="dxa"/>
            <w:tcBorders>
              <w:left w:val="none" w:sz="0" w:space="0" w:color="auto"/>
              <w:right w:val="none" w:sz="0" w:space="0" w:color="auto"/>
            </w:tcBorders>
          </w:tcPr>
          <w:p w:rsidR="00FC6086" w:rsidRPr="00277328" w:rsidRDefault="005D2DEE" w:rsidP="0093064E">
            <w:pPr>
              <w:cnfStyle w:val="000000100000"/>
              <w:rPr>
                <w:rFonts w:cstheme="minorHAnsi"/>
                <w:color w:val="auto"/>
                <w:lang w:val="en-GB"/>
              </w:rPr>
            </w:pPr>
            <w:r w:rsidRPr="00277328">
              <w:rPr>
                <w:rFonts w:cstheme="minorHAnsi"/>
                <w:color w:val="auto"/>
                <w:lang w:val="en-GB"/>
              </w:rPr>
              <w:t>7.2</w:t>
            </w:r>
          </w:p>
        </w:tc>
        <w:tc>
          <w:tcPr>
            <w:tcW w:w="1358" w:type="dxa"/>
            <w:tcBorders>
              <w:left w:val="none" w:sz="0" w:space="0" w:color="auto"/>
              <w:right w:val="none" w:sz="0" w:space="0" w:color="auto"/>
            </w:tcBorders>
          </w:tcPr>
          <w:p w:rsidR="00FC6086" w:rsidRPr="00277328" w:rsidRDefault="005D2DEE" w:rsidP="0093064E">
            <w:pPr>
              <w:cnfStyle w:val="000000100000"/>
              <w:rPr>
                <w:rFonts w:cstheme="minorHAnsi"/>
                <w:color w:val="auto"/>
                <w:lang w:val="en-GB"/>
              </w:rPr>
            </w:pPr>
            <w:r w:rsidRPr="00277328">
              <w:rPr>
                <w:rFonts w:cstheme="minorHAnsi"/>
                <w:color w:val="auto"/>
                <w:lang w:val="en-GB"/>
              </w:rPr>
              <w:t>14.6</w:t>
            </w:r>
          </w:p>
        </w:tc>
      </w:tr>
      <w:tr w:rsidR="00FC6086" w:rsidRPr="00277328" w:rsidTr="008E2EDE">
        <w:trPr>
          <w:trHeight w:val="328"/>
        </w:trPr>
        <w:tc>
          <w:tcPr>
            <w:cnfStyle w:val="001000000000"/>
            <w:tcW w:w="2716" w:type="dxa"/>
          </w:tcPr>
          <w:p w:rsidR="00FC6086" w:rsidRPr="00277328" w:rsidRDefault="00BA6DDC" w:rsidP="0093064E">
            <w:pPr>
              <w:rPr>
                <w:rFonts w:cstheme="minorHAnsi"/>
                <w:b w:val="0"/>
                <w:color w:val="auto"/>
                <w:lang w:val="en-GB"/>
              </w:rPr>
            </w:pPr>
            <w:r w:rsidRPr="00277328">
              <w:rPr>
                <w:rFonts w:cstheme="minorHAnsi"/>
                <w:b w:val="0"/>
                <w:color w:val="auto"/>
                <w:lang w:val="en-GB"/>
              </w:rPr>
              <w:t>Opioid dependence (drug dep.)</w:t>
            </w:r>
          </w:p>
        </w:tc>
        <w:tc>
          <w:tcPr>
            <w:tcW w:w="1545" w:type="dxa"/>
          </w:tcPr>
          <w:p w:rsidR="00FC6086" w:rsidRPr="00277328" w:rsidRDefault="00CB6E1B" w:rsidP="0093064E">
            <w:pPr>
              <w:cnfStyle w:val="000000000000"/>
              <w:rPr>
                <w:rFonts w:cstheme="minorHAnsi"/>
                <w:color w:val="auto"/>
                <w:lang w:val="en-GB"/>
              </w:rPr>
            </w:pPr>
            <w:r w:rsidRPr="00277328">
              <w:rPr>
                <w:rFonts w:cstheme="minorHAnsi"/>
                <w:color w:val="auto"/>
                <w:lang w:val="en-GB"/>
              </w:rPr>
              <w:t xml:space="preserve">0.5 </w:t>
            </w:r>
          </w:p>
        </w:tc>
        <w:tc>
          <w:tcPr>
            <w:tcW w:w="1545" w:type="dxa"/>
          </w:tcPr>
          <w:p w:rsidR="00FC6086" w:rsidRPr="00277328" w:rsidRDefault="00CB6E1B" w:rsidP="0093064E">
            <w:pPr>
              <w:cnfStyle w:val="000000000000"/>
              <w:rPr>
                <w:rFonts w:cstheme="minorHAnsi"/>
                <w:color w:val="auto"/>
                <w:lang w:val="en-GB"/>
              </w:rPr>
            </w:pPr>
            <w:r w:rsidRPr="00277328">
              <w:rPr>
                <w:rFonts w:cstheme="minorHAnsi"/>
                <w:color w:val="auto"/>
                <w:lang w:val="en-GB"/>
              </w:rPr>
              <w:t>0.1-0.4</w:t>
            </w:r>
          </w:p>
        </w:tc>
        <w:tc>
          <w:tcPr>
            <w:tcW w:w="1358" w:type="dxa"/>
          </w:tcPr>
          <w:p w:rsidR="00FC6086" w:rsidRPr="00277328" w:rsidRDefault="005D2DEE" w:rsidP="0093064E">
            <w:pPr>
              <w:cnfStyle w:val="000000000000"/>
              <w:rPr>
                <w:rFonts w:cstheme="minorHAnsi"/>
                <w:color w:val="auto"/>
                <w:lang w:val="en-GB"/>
              </w:rPr>
            </w:pPr>
            <w:r w:rsidRPr="00277328">
              <w:rPr>
                <w:rFonts w:cstheme="minorHAnsi"/>
                <w:color w:val="auto"/>
                <w:lang w:val="en-GB"/>
              </w:rPr>
              <w:t>2.0</w:t>
            </w:r>
          </w:p>
        </w:tc>
        <w:tc>
          <w:tcPr>
            <w:tcW w:w="1358" w:type="dxa"/>
          </w:tcPr>
          <w:p w:rsidR="00FC6086" w:rsidRPr="00277328" w:rsidRDefault="005D2DEE" w:rsidP="0093064E">
            <w:pPr>
              <w:cnfStyle w:val="000000000000"/>
              <w:rPr>
                <w:rFonts w:cstheme="minorHAnsi"/>
                <w:color w:val="auto"/>
                <w:lang w:val="en-GB"/>
              </w:rPr>
            </w:pPr>
            <w:r w:rsidRPr="00277328">
              <w:rPr>
                <w:rFonts w:cstheme="minorHAnsi"/>
                <w:color w:val="auto"/>
                <w:lang w:val="en-GB"/>
              </w:rPr>
              <w:t>1.0</w:t>
            </w:r>
          </w:p>
        </w:tc>
      </w:tr>
      <w:tr w:rsidR="00BA6DDC" w:rsidRPr="00277328" w:rsidTr="008E2EDE">
        <w:trPr>
          <w:cnfStyle w:val="000000100000"/>
          <w:trHeight w:val="328"/>
        </w:trPr>
        <w:tc>
          <w:tcPr>
            <w:cnfStyle w:val="001000000000"/>
            <w:tcW w:w="2716" w:type="dxa"/>
            <w:tcBorders>
              <w:left w:val="none" w:sz="0" w:space="0" w:color="auto"/>
              <w:right w:val="none" w:sz="0" w:space="0" w:color="auto"/>
            </w:tcBorders>
          </w:tcPr>
          <w:p w:rsidR="00BA6DDC" w:rsidRPr="00277328" w:rsidRDefault="00470E21" w:rsidP="0093064E">
            <w:pPr>
              <w:rPr>
                <w:rFonts w:cstheme="minorHAnsi"/>
                <w:b w:val="0"/>
                <w:color w:val="auto"/>
                <w:lang w:val="en-GB"/>
              </w:rPr>
            </w:pPr>
            <w:r w:rsidRPr="00277328">
              <w:rPr>
                <w:rFonts w:cstheme="minorHAnsi"/>
                <w:b w:val="0"/>
                <w:color w:val="auto"/>
                <w:lang w:val="en-GB"/>
              </w:rPr>
              <w:t>Cannabis dependence (drug dep.)</w:t>
            </w:r>
          </w:p>
        </w:tc>
        <w:tc>
          <w:tcPr>
            <w:tcW w:w="1545" w:type="dxa"/>
            <w:tcBorders>
              <w:left w:val="none" w:sz="0" w:space="0" w:color="auto"/>
              <w:right w:val="none" w:sz="0" w:space="0" w:color="auto"/>
            </w:tcBorders>
          </w:tcPr>
          <w:p w:rsidR="00BA6DDC" w:rsidRPr="00277328" w:rsidRDefault="00CB6E1B" w:rsidP="0093064E">
            <w:pPr>
              <w:cnfStyle w:val="000000100000"/>
              <w:rPr>
                <w:rFonts w:cstheme="minorHAnsi"/>
                <w:color w:val="auto"/>
                <w:lang w:val="en-GB"/>
              </w:rPr>
            </w:pPr>
            <w:r w:rsidRPr="00277328">
              <w:rPr>
                <w:rFonts w:cstheme="minorHAnsi"/>
                <w:color w:val="auto"/>
                <w:lang w:val="en-GB"/>
              </w:rPr>
              <w:t xml:space="preserve">0.3 </w:t>
            </w:r>
          </w:p>
        </w:tc>
        <w:tc>
          <w:tcPr>
            <w:tcW w:w="1545" w:type="dxa"/>
            <w:tcBorders>
              <w:left w:val="none" w:sz="0" w:space="0" w:color="auto"/>
              <w:right w:val="none" w:sz="0" w:space="0" w:color="auto"/>
            </w:tcBorders>
          </w:tcPr>
          <w:p w:rsidR="00BA6DDC" w:rsidRPr="00277328" w:rsidRDefault="00CB6E1B" w:rsidP="0093064E">
            <w:pPr>
              <w:cnfStyle w:val="000000100000"/>
              <w:rPr>
                <w:rFonts w:cstheme="minorHAnsi"/>
                <w:color w:val="auto"/>
                <w:lang w:val="en-GB"/>
              </w:rPr>
            </w:pPr>
            <w:r w:rsidRPr="00277328">
              <w:rPr>
                <w:rFonts w:cstheme="minorHAnsi"/>
                <w:color w:val="auto"/>
                <w:lang w:val="en-GB"/>
              </w:rPr>
              <w:t>0.3-1.8</w:t>
            </w:r>
          </w:p>
        </w:tc>
        <w:tc>
          <w:tcPr>
            <w:tcW w:w="1358" w:type="dxa"/>
            <w:tcBorders>
              <w:left w:val="none" w:sz="0" w:space="0" w:color="auto"/>
              <w:right w:val="none" w:sz="0" w:space="0" w:color="auto"/>
            </w:tcBorders>
          </w:tcPr>
          <w:p w:rsidR="00BA6DDC" w:rsidRPr="00277328" w:rsidRDefault="005D2DEE" w:rsidP="0093064E">
            <w:pPr>
              <w:cnfStyle w:val="000000100000"/>
              <w:rPr>
                <w:rFonts w:cstheme="minorHAnsi"/>
                <w:color w:val="auto"/>
                <w:lang w:val="en-GB"/>
              </w:rPr>
            </w:pPr>
            <w:r w:rsidRPr="00277328">
              <w:rPr>
                <w:rFonts w:cstheme="minorHAnsi"/>
                <w:color w:val="auto"/>
                <w:lang w:val="en-GB"/>
              </w:rPr>
              <w:t>1.4</w:t>
            </w:r>
          </w:p>
        </w:tc>
        <w:tc>
          <w:tcPr>
            <w:tcW w:w="1358" w:type="dxa"/>
            <w:tcBorders>
              <w:left w:val="none" w:sz="0" w:space="0" w:color="auto"/>
              <w:right w:val="none" w:sz="0" w:space="0" w:color="auto"/>
            </w:tcBorders>
          </w:tcPr>
          <w:p w:rsidR="00BA6DDC" w:rsidRPr="00277328" w:rsidRDefault="005D2DEE" w:rsidP="0093064E">
            <w:pPr>
              <w:cnfStyle w:val="000000100000"/>
              <w:rPr>
                <w:rFonts w:cstheme="minorHAnsi"/>
                <w:color w:val="auto"/>
                <w:lang w:val="en-GB"/>
              </w:rPr>
            </w:pPr>
            <w:r w:rsidRPr="00277328">
              <w:rPr>
                <w:rFonts w:cstheme="minorHAnsi"/>
                <w:color w:val="auto"/>
                <w:lang w:val="en-GB"/>
              </w:rPr>
              <w:t>1.4</w:t>
            </w:r>
          </w:p>
        </w:tc>
      </w:tr>
      <w:tr w:rsidR="00BA6DDC" w:rsidRPr="00277328" w:rsidTr="008E2EDE">
        <w:trPr>
          <w:trHeight w:val="328"/>
        </w:trPr>
        <w:tc>
          <w:tcPr>
            <w:cnfStyle w:val="001000000000"/>
            <w:tcW w:w="2716" w:type="dxa"/>
          </w:tcPr>
          <w:p w:rsidR="00BA6DDC" w:rsidRPr="00277328" w:rsidRDefault="00470E21" w:rsidP="0093064E">
            <w:pPr>
              <w:rPr>
                <w:rFonts w:cstheme="minorHAnsi"/>
                <w:b w:val="0"/>
                <w:color w:val="auto"/>
                <w:lang w:val="en-GB"/>
              </w:rPr>
            </w:pPr>
            <w:r w:rsidRPr="00277328">
              <w:rPr>
                <w:rFonts w:cstheme="minorHAnsi"/>
                <w:b w:val="0"/>
                <w:color w:val="auto"/>
                <w:lang w:val="en-GB"/>
              </w:rPr>
              <w:t>Psychotic disorders</w:t>
            </w:r>
          </w:p>
        </w:tc>
        <w:tc>
          <w:tcPr>
            <w:tcW w:w="1545" w:type="dxa"/>
          </w:tcPr>
          <w:p w:rsidR="00BA6DDC" w:rsidRPr="00277328" w:rsidRDefault="00CB6E1B" w:rsidP="0093064E">
            <w:pPr>
              <w:cnfStyle w:val="000000000000"/>
              <w:rPr>
                <w:rFonts w:cstheme="minorHAnsi"/>
                <w:color w:val="auto"/>
                <w:lang w:val="en-GB"/>
              </w:rPr>
            </w:pPr>
            <w:r w:rsidRPr="00277328">
              <w:rPr>
                <w:rFonts w:cstheme="minorHAnsi"/>
                <w:color w:val="auto"/>
                <w:lang w:val="en-GB"/>
              </w:rPr>
              <w:t xml:space="preserve">0.8 </w:t>
            </w:r>
          </w:p>
        </w:tc>
        <w:tc>
          <w:tcPr>
            <w:tcW w:w="1545" w:type="dxa"/>
          </w:tcPr>
          <w:p w:rsidR="00BA6DDC" w:rsidRPr="00277328" w:rsidRDefault="00CB6E1B" w:rsidP="0093064E">
            <w:pPr>
              <w:cnfStyle w:val="000000000000"/>
              <w:rPr>
                <w:rFonts w:cstheme="minorHAnsi"/>
                <w:color w:val="auto"/>
                <w:lang w:val="en-GB"/>
              </w:rPr>
            </w:pPr>
            <w:r w:rsidRPr="00277328">
              <w:rPr>
                <w:rFonts w:cstheme="minorHAnsi"/>
                <w:color w:val="auto"/>
                <w:lang w:val="en-GB"/>
              </w:rPr>
              <w:t>1.2.</w:t>
            </w:r>
          </w:p>
        </w:tc>
        <w:tc>
          <w:tcPr>
            <w:tcW w:w="1358" w:type="dxa"/>
          </w:tcPr>
          <w:p w:rsidR="00BA6DDC" w:rsidRPr="00277328" w:rsidRDefault="005D2DEE" w:rsidP="0093064E">
            <w:pPr>
              <w:cnfStyle w:val="000000000000"/>
              <w:rPr>
                <w:rFonts w:cstheme="minorHAnsi"/>
                <w:color w:val="auto"/>
                <w:lang w:val="en-GB"/>
              </w:rPr>
            </w:pPr>
            <w:r w:rsidRPr="00277328">
              <w:rPr>
                <w:rFonts w:cstheme="minorHAnsi"/>
                <w:color w:val="auto"/>
                <w:lang w:val="en-GB"/>
              </w:rPr>
              <w:t>3.7</w:t>
            </w:r>
          </w:p>
        </w:tc>
        <w:tc>
          <w:tcPr>
            <w:tcW w:w="1358" w:type="dxa"/>
          </w:tcPr>
          <w:p w:rsidR="00BA6DDC" w:rsidRPr="00277328" w:rsidRDefault="005D2DEE" w:rsidP="0093064E">
            <w:pPr>
              <w:cnfStyle w:val="000000000000"/>
              <w:rPr>
                <w:rFonts w:cstheme="minorHAnsi"/>
                <w:color w:val="auto"/>
                <w:lang w:val="en-GB"/>
              </w:rPr>
            </w:pPr>
            <w:r w:rsidRPr="00277328">
              <w:rPr>
                <w:rFonts w:cstheme="minorHAnsi"/>
                <w:color w:val="auto"/>
                <w:lang w:val="en-GB"/>
              </w:rPr>
              <w:t>5.0</w:t>
            </w:r>
          </w:p>
        </w:tc>
      </w:tr>
      <w:tr w:rsidR="00BA6DDC" w:rsidRPr="00277328" w:rsidTr="008E2EDE">
        <w:trPr>
          <w:cnfStyle w:val="000000100000"/>
          <w:trHeight w:val="328"/>
        </w:trPr>
        <w:tc>
          <w:tcPr>
            <w:cnfStyle w:val="001000000000"/>
            <w:tcW w:w="2716" w:type="dxa"/>
            <w:tcBorders>
              <w:left w:val="none" w:sz="0" w:space="0" w:color="auto"/>
              <w:right w:val="none" w:sz="0" w:space="0" w:color="auto"/>
            </w:tcBorders>
          </w:tcPr>
          <w:p w:rsidR="00BA6DDC" w:rsidRPr="00277328" w:rsidRDefault="00470E21" w:rsidP="0093064E">
            <w:pPr>
              <w:rPr>
                <w:rFonts w:cstheme="minorHAnsi"/>
                <w:b w:val="0"/>
                <w:color w:val="auto"/>
                <w:lang w:val="en-GB"/>
              </w:rPr>
            </w:pPr>
            <w:r w:rsidRPr="00277328">
              <w:rPr>
                <w:rFonts w:cstheme="minorHAnsi"/>
                <w:b w:val="0"/>
                <w:color w:val="auto"/>
                <w:lang w:val="en-GB"/>
              </w:rPr>
              <w:t>Major depression</w:t>
            </w:r>
          </w:p>
        </w:tc>
        <w:tc>
          <w:tcPr>
            <w:tcW w:w="1545" w:type="dxa"/>
            <w:tcBorders>
              <w:left w:val="none" w:sz="0" w:space="0" w:color="auto"/>
              <w:right w:val="none" w:sz="0" w:space="0" w:color="auto"/>
            </w:tcBorders>
          </w:tcPr>
          <w:p w:rsidR="00BA6DDC" w:rsidRPr="00277328" w:rsidRDefault="00CB6E1B" w:rsidP="0093064E">
            <w:pPr>
              <w:cnfStyle w:val="000000100000"/>
              <w:rPr>
                <w:rFonts w:cstheme="minorHAnsi"/>
                <w:color w:val="auto"/>
                <w:lang w:val="en-GB"/>
              </w:rPr>
            </w:pPr>
            <w:r w:rsidRPr="00277328">
              <w:rPr>
                <w:rFonts w:cstheme="minorHAnsi"/>
                <w:color w:val="auto"/>
                <w:lang w:val="en-GB"/>
              </w:rPr>
              <w:t xml:space="preserve">6.9 </w:t>
            </w:r>
          </w:p>
        </w:tc>
        <w:tc>
          <w:tcPr>
            <w:tcW w:w="1545" w:type="dxa"/>
            <w:tcBorders>
              <w:left w:val="none" w:sz="0" w:space="0" w:color="auto"/>
              <w:right w:val="none" w:sz="0" w:space="0" w:color="auto"/>
            </w:tcBorders>
          </w:tcPr>
          <w:p w:rsidR="00BA6DDC" w:rsidRPr="00277328" w:rsidRDefault="00CB6E1B" w:rsidP="0093064E">
            <w:pPr>
              <w:cnfStyle w:val="000000100000"/>
              <w:rPr>
                <w:rFonts w:cstheme="minorHAnsi"/>
                <w:color w:val="auto"/>
                <w:lang w:val="en-GB"/>
              </w:rPr>
            </w:pPr>
            <w:r w:rsidRPr="00277328">
              <w:rPr>
                <w:rFonts w:cstheme="minorHAnsi"/>
                <w:color w:val="auto"/>
                <w:lang w:val="en-GB"/>
              </w:rPr>
              <w:t>6.9</w:t>
            </w:r>
          </w:p>
        </w:tc>
        <w:tc>
          <w:tcPr>
            <w:tcW w:w="1358" w:type="dxa"/>
            <w:tcBorders>
              <w:left w:val="none" w:sz="0" w:space="0" w:color="auto"/>
              <w:right w:val="none" w:sz="0" w:space="0" w:color="auto"/>
            </w:tcBorders>
          </w:tcPr>
          <w:p w:rsidR="00BA6DDC" w:rsidRPr="00277328" w:rsidRDefault="005D2DEE" w:rsidP="0093064E">
            <w:pPr>
              <w:cnfStyle w:val="000000100000"/>
              <w:rPr>
                <w:rFonts w:cstheme="minorHAnsi"/>
                <w:color w:val="auto"/>
                <w:lang w:val="en-GB"/>
              </w:rPr>
            </w:pPr>
            <w:r w:rsidRPr="00277328">
              <w:rPr>
                <w:rFonts w:cstheme="minorHAnsi"/>
                <w:color w:val="auto"/>
                <w:lang w:val="en-GB"/>
              </w:rPr>
              <w:t>18.4</w:t>
            </w:r>
          </w:p>
        </w:tc>
        <w:tc>
          <w:tcPr>
            <w:tcW w:w="1358" w:type="dxa"/>
            <w:tcBorders>
              <w:left w:val="none" w:sz="0" w:space="0" w:color="auto"/>
              <w:right w:val="none" w:sz="0" w:space="0" w:color="auto"/>
            </w:tcBorders>
          </w:tcPr>
          <w:p w:rsidR="00BA6DDC" w:rsidRPr="00277328" w:rsidRDefault="005D2DEE" w:rsidP="0093064E">
            <w:pPr>
              <w:cnfStyle w:val="000000100000"/>
              <w:rPr>
                <w:rFonts w:cstheme="minorHAnsi"/>
                <w:color w:val="auto"/>
                <w:lang w:val="en-GB"/>
              </w:rPr>
            </w:pPr>
            <w:r w:rsidRPr="00277328">
              <w:rPr>
                <w:rFonts w:cstheme="minorHAnsi"/>
                <w:color w:val="auto"/>
                <w:lang w:val="en-GB"/>
              </w:rPr>
              <w:t>30.3</w:t>
            </w:r>
          </w:p>
        </w:tc>
      </w:tr>
      <w:tr w:rsidR="00BA6DDC" w:rsidRPr="00277328" w:rsidTr="008E2EDE">
        <w:trPr>
          <w:trHeight w:val="328"/>
        </w:trPr>
        <w:tc>
          <w:tcPr>
            <w:cnfStyle w:val="001000000000"/>
            <w:tcW w:w="2716" w:type="dxa"/>
          </w:tcPr>
          <w:p w:rsidR="00BA6DDC" w:rsidRPr="00277328" w:rsidRDefault="00470E21" w:rsidP="0093064E">
            <w:pPr>
              <w:rPr>
                <w:rFonts w:cstheme="minorHAnsi"/>
                <w:b w:val="0"/>
                <w:color w:val="auto"/>
                <w:lang w:val="en-GB"/>
              </w:rPr>
            </w:pPr>
            <w:r w:rsidRPr="00277328">
              <w:rPr>
                <w:rFonts w:cstheme="minorHAnsi"/>
                <w:b w:val="0"/>
                <w:color w:val="auto"/>
                <w:lang w:val="en-GB"/>
              </w:rPr>
              <w:t>Bipolar disorder</w:t>
            </w:r>
          </w:p>
        </w:tc>
        <w:tc>
          <w:tcPr>
            <w:tcW w:w="1545" w:type="dxa"/>
          </w:tcPr>
          <w:p w:rsidR="00BA6DDC" w:rsidRPr="00277328" w:rsidRDefault="00CB6E1B" w:rsidP="0093064E">
            <w:pPr>
              <w:cnfStyle w:val="000000000000"/>
              <w:rPr>
                <w:rFonts w:cstheme="minorHAnsi"/>
                <w:color w:val="auto"/>
                <w:lang w:val="en-GB"/>
              </w:rPr>
            </w:pPr>
            <w:r w:rsidRPr="00277328">
              <w:rPr>
                <w:rFonts w:cstheme="minorHAnsi"/>
                <w:color w:val="auto"/>
                <w:lang w:val="en-GB"/>
              </w:rPr>
              <w:t>0.9</w:t>
            </w:r>
          </w:p>
        </w:tc>
        <w:tc>
          <w:tcPr>
            <w:tcW w:w="1545" w:type="dxa"/>
          </w:tcPr>
          <w:p w:rsidR="00BA6DDC" w:rsidRPr="00277328" w:rsidRDefault="005D2DEE" w:rsidP="0093064E">
            <w:pPr>
              <w:cnfStyle w:val="000000000000"/>
              <w:rPr>
                <w:rFonts w:cstheme="minorHAnsi"/>
                <w:color w:val="auto"/>
                <w:lang w:val="en-GB"/>
              </w:rPr>
            </w:pPr>
            <w:r w:rsidRPr="00277328">
              <w:rPr>
                <w:rFonts w:cstheme="minorHAnsi"/>
                <w:color w:val="auto"/>
                <w:lang w:val="en-GB"/>
              </w:rPr>
              <w:t>0.9</w:t>
            </w:r>
          </w:p>
        </w:tc>
        <w:tc>
          <w:tcPr>
            <w:tcW w:w="1358" w:type="dxa"/>
          </w:tcPr>
          <w:p w:rsidR="00BA6DDC" w:rsidRPr="00277328" w:rsidRDefault="005D2DEE" w:rsidP="0093064E">
            <w:pPr>
              <w:cnfStyle w:val="000000000000"/>
              <w:rPr>
                <w:rFonts w:cstheme="minorHAnsi"/>
                <w:color w:val="auto"/>
                <w:lang w:val="en-GB"/>
              </w:rPr>
            </w:pPr>
            <w:r w:rsidRPr="00277328">
              <w:rPr>
                <w:rFonts w:cstheme="minorHAnsi"/>
                <w:color w:val="auto"/>
                <w:lang w:val="en-GB"/>
              </w:rPr>
              <w:t>2.4</w:t>
            </w:r>
          </w:p>
        </w:tc>
        <w:tc>
          <w:tcPr>
            <w:tcW w:w="1358" w:type="dxa"/>
          </w:tcPr>
          <w:p w:rsidR="00BA6DDC" w:rsidRPr="00277328" w:rsidRDefault="005D2DEE" w:rsidP="0093064E">
            <w:pPr>
              <w:cnfStyle w:val="000000000000"/>
              <w:rPr>
                <w:rFonts w:cstheme="minorHAnsi"/>
                <w:color w:val="auto"/>
                <w:lang w:val="en-GB"/>
              </w:rPr>
            </w:pPr>
            <w:r w:rsidRPr="00277328">
              <w:rPr>
                <w:rFonts w:cstheme="minorHAnsi"/>
                <w:color w:val="auto"/>
                <w:lang w:val="en-GB"/>
              </w:rPr>
              <w:t>3.0</w:t>
            </w:r>
          </w:p>
        </w:tc>
      </w:tr>
      <w:tr w:rsidR="00BA6DDC" w:rsidRPr="00277328" w:rsidTr="008E2EDE">
        <w:trPr>
          <w:cnfStyle w:val="000000100000"/>
          <w:trHeight w:val="328"/>
        </w:trPr>
        <w:tc>
          <w:tcPr>
            <w:cnfStyle w:val="001000000000"/>
            <w:tcW w:w="2716" w:type="dxa"/>
            <w:tcBorders>
              <w:left w:val="none" w:sz="0" w:space="0" w:color="auto"/>
              <w:right w:val="none" w:sz="0" w:space="0" w:color="auto"/>
            </w:tcBorders>
          </w:tcPr>
          <w:p w:rsidR="00BA6DDC" w:rsidRPr="00277328" w:rsidRDefault="00470E21" w:rsidP="0093064E">
            <w:pPr>
              <w:rPr>
                <w:rFonts w:cstheme="minorHAnsi"/>
                <w:b w:val="0"/>
                <w:color w:val="auto"/>
                <w:lang w:val="en-GB"/>
              </w:rPr>
            </w:pPr>
            <w:r w:rsidRPr="00277328">
              <w:rPr>
                <w:rFonts w:cstheme="minorHAnsi"/>
                <w:b w:val="0"/>
                <w:color w:val="auto"/>
                <w:lang w:val="en-GB"/>
              </w:rPr>
              <w:t>Panic disorder</w:t>
            </w:r>
          </w:p>
        </w:tc>
        <w:tc>
          <w:tcPr>
            <w:tcW w:w="1545" w:type="dxa"/>
            <w:tcBorders>
              <w:left w:val="none" w:sz="0" w:space="0" w:color="auto"/>
              <w:right w:val="none" w:sz="0" w:space="0" w:color="auto"/>
            </w:tcBorders>
          </w:tcPr>
          <w:p w:rsidR="00BA6DDC" w:rsidRPr="00277328" w:rsidRDefault="00CB6E1B" w:rsidP="0093064E">
            <w:pPr>
              <w:cnfStyle w:val="000000100000"/>
              <w:rPr>
                <w:rFonts w:cstheme="minorHAnsi"/>
                <w:color w:val="auto"/>
                <w:lang w:val="en-GB"/>
              </w:rPr>
            </w:pPr>
            <w:r w:rsidRPr="00277328">
              <w:rPr>
                <w:rFonts w:cstheme="minorHAnsi"/>
                <w:color w:val="auto"/>
                <w:lang w:val="en-GB"/>
              </w:rPr>
              <w:t>1.8</w:t>
            </w:r>
          </w:p>
        </w:tc>
        <w:tc>
          <w:tcPr>
            <w:tcW w:w="1545" w:type="dxa"/>
            <w:tcBorders>
              <w:left w:val="none" w:sz="0" w:space="0" w:color="auto"/>
              <w:right w:val="none" w:sz="0" w:space="0" w:color="auto"/>
            </w:tcBorders>
          </w:tcPr>
          <w:p w:rsidR="00BA6DDC" w:rsidRPr="00277328" w:rsidRDefault="005D2DEE" w:rsidP="0093064E">
            <w:pPr>
              <w:cnfStyle w:val="000000100000"/>
              <w:rPr>
                <w:rFonts w:cstheme="minorHAnsi"/>
                <w:color w:val="auto"/>
                <w:lang w:val="en-GB"/>
              </w:rPr>
            </w:pPr>
            <w:r w:rsidRPr="00277328">
              <w:rPr>
                <w:rFonts w:cstheme="minorHAnsi"/>
                <w:color w:val="auto"/>
                <w:lang w:val="en-GB"/>
              </w:rPr>
              <w:t>1.8</w:t>
            </w:r>
          </w:p>
        </w:tc>
        <w:tc>
          <w:tcPr>
            <w:tcW w:w="1358" w:type="dxa"/>
            <w:tcBorders>
              <w:left w:val="none" w:sz="0" w:space="0" w:color="auto"/>
              <w:right w:val="none" w:sz="0" w:space="0" w:color="auto"/>
            </w:tcBorders>
          </w:tcPr>
          <w:p w:rsidR="00BA6DDC" w:rsidRPr="00277328" w:rsidRDefault="005D2DEE" w:rsidP="0093064E">
            <w:pPr>
              <w:cnfStyle w:val="000000100000"/>
              <w:rPr>
                <w:rFonts w:cstheme="minorHAnsi"/>
                <w:color w:val="auto"/>
                <w:lang w:val="en-GB"/>
              </w:rPr>
            </w:pPr>
            <w:r w:rsidRPr="00277328">
              <w:rPr>
                <w:rFonts w:cstheme="minorHAnsi"/>
                <w:color w:val="auto"/>
                <w:lang w:val="en-GB"/>
              </w:rPr>
              <w:t>5.3</w:t>
            </w:r>
          </w:p>
        </w:tc>
        <w:tc>
          <w:tcPr>
            <w:tcW w:w="1358" w:type="dxa"/>
            <w:tcBorders>
              <w:left w:val="none" w:sz="0" w:space="0" w:color="auto"/>
              <w:right w:val="none" w:sz="0" w:space="0" w:color="auto"/>
            </w:tcBorders>
          </w:tcPr>
          <w:p w:rsidR="00BA6DDC" w:rsidRPr="00277328" w:rsidRDefault="005D2DEE" w:rsidP="0093064E">
            <w:pPr>
              <w:cnfStyle w:val="000000100000"/>
              <w:rPr>
                <w:rFonts w:cstheme="minorHAnsi"/>
                <w:color w:val="auto"/>
                <w:lang w:val="en-GB"/>
              </w:rPr>
            </w:pPr>
            <w:r w:rsidRPr="00277328">
              <w:rPr>
                <w:rFonts w:cstheme="minorHAnsi"/>
                <w:color w:val="auto"/>
                <w:lang w:val="en-GB"/>
              </w:rPr>
              <w:t>7.9</w:t>
            </w:r>
          </w:p>
        </w:tc>
      </w:tr>
      <w:tr w:rsidR="00BA6DDC" w:rsidRPr="00277328" w:rsidTr="008E2EDE">
        <w:trPr>
          <w:trHeight w:val="328"/>
        </w:trPr>
        <w:tc>
          <w:tcPr>
            <w:cnfStyle w:val="001000000000"/>
            <w:tcW w:w="2716" w:type="dxa"/>
          </w:tcPr>
          <w:p w:rsidR="00BA6DDC" w:rsidRPr="00277328" w:rsidRDefault="00470E21" w:rsidP="0093064E">
            <w:pPr>
              <w:rPr>
                <w:rFonts w:cstheme="minorHAnsi"/>
                <w:b w:val="0"/>
                <w:color w:val="auto"/>
                <w:lang w:val="en-GB"/>
              </w:rPr>
            </w:pPr>
            <w:r w:rsidRPr="00277328">
              <w:rPr>
                <w:rFonts w:cstheme="minorHAnsi"/>
                <w:b w:val="0"/>
                <w:color w:val="auto"/>
                <w:lang w:val="en-GB"/>
              </w:rPr>
              <w:t>Agoraphobia</w:t>
            </w:r>
          </w:p>
        </w:tc>
        <w:tc>
          <w:tcPr>
            <w:tcW w:w="1545" w:type="dxa"/>
          </w:tcPr>
          <w:p w:rsidR="00BA6DDC" w:rsidRPr="00277328" w:rsidRDefault="00CB6E1B" w:rsidP="0093064E">
            <w:pPr>
              <w:cnfStyle w:val="000000000000"/>
              <w:rPr>
                <w:rFonts w:cstheme="minorHAnsi"/>
                <w:color w:val="auto"/>
                <w:lang w:val="en-GB"/>
              </w:rPr>
            </w:pPr>
            <w:r w:rsidRPr="00277328">
              <w:rPr>
                <w:rFonts w:cstheme="minorHAnsi"/>
                <w:color w:val="auto"/>
                <w:lang w:val="en-GB"/>
              </w:rPr>
              <w:t>1.3</w:t>
            </w:r>
          </w:p>
        </w:tc>
        <w:tc>
          <w:tcPr>
            <w:tcW w:w="1545" w:type="dxa"/>
          </w:tcPr>
          <w:p w:rsidR="00BA6DDC" w:rsidRPr="00277328" w:rsidRDefault="005D2DEE" w:rsidP="0093064E">
            <w:pPr>
              <w:cnfStyle w:val="000000000000"/>
              <w:rPr>
                <w:rFonts w:cstheme="minorHAnsi"/>
                <w:color w:val="auto"/>
                <w:lang w:val="en-GB"/>
              </w:rPr>
            </w:pPr>
            <w:r w:rsidRPr="00277328">
              <w:rPr>
                <w:rFonts w:cstheme="minorHAnsi"/>
                <w:color w:val="auto"/>
                <w:lang w:val="en-GB"/>
              </w:rPr>
              <w:t>2.0</w:t>
            </w:r>
          </w:p>
        </w:tc>
        <w:tc>
          <w:tcPr>
            <w:tcW w:w="1358" w:type="dxa"/>
          </w:tcPr>
          <w:p w:rsidR="00BA6DDC" w:rsidRPr="00277328" w:rsidRDefault="005D2DEE" w:rsidP="0093064E">
            <w:pPr>
              <w:cnfStyle w:val="000000000000"/>
              <w:rPr>
                <w:rFonts w:cstheme="minorHAnsi"/>
                <w:color w:val="auto"/>
                <w:lang w:val="en-GB"/>
              </w:rPr>
            </w:pPr>
            <w:r w:rsidRPr="00277328">
              <w:rPr>
                <w:rFonts w:cstheme="minorHAnsi"/>
                <w:color w:val="auto"/>
                <w:lang w:val="en-GB"/>
              </w:rPr>
              <w:t>4.0</w:t>
            </w:r>
          </w:p>
        </w:tc>
        <w:tc>
          <w:tcPr>
            <w:tcW w:w="1358" w:type="dxa"/>
          </w:tcPr>
          <w:p w:rsidR="00BA6DDC" w:rsidRPr="00277328" w:rsidRDefault="005D2DEE" w:rsidP="0093064E">
            <w:pPr>
              <w:cnfStyle w:val="000000000000"/>
              <w:rPr>
                <w:rFonts w:cstheme="minorHAnsi"/>
                <w:color w:val="auto"/>
                <w:lang w:val="en-GB"/>
              </w:rPr>
            </w:pPr>
            <w:r w:rsidRPr="00277328">
              <w:rPr>
                <w:rFonts w:cstheme="minorHAnsi"/>
                <w:color w:val="auto"/>
                <w:lang w:val="en-GB"/>
              </w:rPr>
              <w:t>8.8</w:t>
            </w:r>
          </w:p>
        </w:tc>
      </w:tr>
      <w:tr w:rsidR="00BA6DDC" w:rsidRPr="00277328" w:rsidTr="008E2EDE">
        <w:trPr>
          <w:cnfStyle w:val="000000100000"/>
          <w:trHeight w:val="328"/>
        </w:trPr>
        <w:tc>
          <w:tcPr>
            <w:cnfStyle w:val="001000000000"/>
            <w:tcW w:w="2716" w:type="dxa"/>
            <w:tcBorders>
              <w:left w:val="none" w:sz="0" w:space="0" w:color="auto"/>
              <w:right w:val="none" w:sz="0" w:space="0" w:color="auto"/>
            </w:tcBorders>
          </w:tcPr>
          <w:p w:rsidR="00BA6DDC" w:rsidRPr="00277328" w:rsidRDefault="00470E21" w:rsidP="0093064E">
            <w:pPr>
              <w:rPr>
                <w:rFonts w:cstheme="minorHAnsi"/>
                <w:b w:val="0"/>
                <w:color w:val="auto"/>
                <w:lang w:val="en-GB"/>
              </w:rPr>
            </w:pPr>
            <w:r w:rsidRPr="00277328">
              <w:rPr>
                <w:rFonts w:cstheme="minorHAnsi"/>
                <w:b w:val="0"/>
                <w:color w:val="auto"/>
                <w:lang w:val="en-GB"/>
              </w:rPr>
              <w:t>Social phobia</w:t>
            </w:r>
          </w:p>
        </w:tc>
        <w:tc>
          <w:tcPr>
            <w:tcW w:w="1545" w:type="dxa"/>
            <w:tcBorders>
              <w:left w:val="none" w:sz="0" w:space="0" w:color="auto"/>
              <w:right w:val="none" w:sz="0" w:space="0" w:color="auto"/>
            </w:tcBorders>
          </w:tcPr>
          <w:p w:rsidR="00BA6DDC" w:rsidRPr="00277328" w:rsidRDefault="00CB6E1B" w:rsidP="0093064E">
            <w:pPr>
              <w:cnfStyle w:val="000000100000"/>
              <w:rPr>
                <w:rFonts w:cstheme="minorHAnsi"/>
                <w:color w:val="auto"/>
                <w:lang w:val="en-GB"/>
              </w:rPr>
            </w:pPr>
            <w:r w:rsidRPr="00277328">
              <w:rPr>
                <w:rFonts w:cstheme="minorHAnsi"/>
                <w:color w:val="auto"/>
                <w:lang w:val="en-GB"/>
              </w:rPr>
              <w:t>2.3</w:t>
            </w:r>
          </w:p>
        </w:tc>
        <w:tc>
          <w:tcPr>
            <w:tcW w:w="1545" w:type="dxa"/>
            <w:tcBorders>
              <w:left w:val="none" w:sz="0" w:space="0" w:color="auto"/>
              <w:right w:val="none" w:sz="0" w:space="0" w:color="auto"/>
            </w:tcBorders>
          </w:tcPr>
          <w:p w:rsidR="00BA6DDC" w:rsidRPr="00277328" w:rsidRDefault="005D2DEE" w:rsidP="0093064E">
            <w:pPr>
              <w:cnfStyle w:val="000000100000"/>
              <w:rPr>
                <w:rFonts w:cstheme="minorHAnsi"/>
                <w:color w:val="auto"/>
                <w:lang w:val="en-GB"/>
              </w:rPr>
            </w:pPr>
            <w:r w:rsidRPr="00277328">
              <w:rPr>
                <w:rFonts w:cstheme="minorHAnsi"/>
                <w:color w:val="auto"/>
                <w:lang w:val="en-GB"/>
              </w:rPr>
              <w:t>2.3</w:t>
            </w:r>
          </w:p>
        </w:tc>
        <w:tc>
          <w:tcPr>
            <w:tcW w:w="1358" w:type="dxa"/>
            <w:tcBorders>
              <w:left w:val="none" w:sz="0" w:space="0" w:color="auto"/>
              <w:right w:val="none" w:sz="0" w:space="0" w:color="auto"/>
            </w:tcBorders>
          </w:tcPr>
          <w:p w:rsidR="00BA6DDC" w:rsidRPr="00277328" w:rsidRDefault="005D2DEE" w:rsidP="0093064E">
            <w:pPr>
              <w:cnfStyle w:val="000000100000"/>
              <w:rPr>
                <w:rFonts w:cstheme="minorHAnsi"/>
                <w:color w:val="auto"/>
                <w:lang w:val="en-GB"/>
              </w:rPr>
            </w:pPr>
            <w:r w:rsidRPr="00277328">
              <w:rPr>
                <w:rFonts w:cstheme="minorHAnsi"/>
                <w:color w:val="auto"/>
                <w:lang w:val="en-GB"/>
              </w:rPr>
              <w:t>6.7</w:t>
            </w:r>
          </w:p>
        </w:tc>
        <w:tc>
          <w:tcPr>
            <w:tcW w:w="1358" w:type="dxa"/>
            <w:tcBorders>
              <w:left w:val="none" w:sz="0" w:space="0" w:color="auto"/>
              <w:right w:val="none" w:sz="0" w:space="0" w:color="auto"/>
            </w:tcBorders>
          </w:tcPr>
          <w:p w:rsidR="00BA6DDC" w:rsidRPr="00277328" w:rsidRDefault="005D2DEE" w:rsidP="0093064E">
            <w:pPr>
              <w:cnfStyle w:val="000000100000"/>
              <w:rPr>
                <w:rFonts w:cstheme="minorHAnsi"/>
                <w:color w:val="auto"/>
                <w:lang w:val="en-GB"/>
              </w:rPr>
            </w:pPr>
            <w:r w:rsidRPr="00277328">
              <w:rPr>
                <w:rFonts w:cstheme="minorHAnsi"/>
                <w:color w:val="auto"/>
                <w:lang w:val="en-GB"/>
              </w:rPr>
              <w:t>10.1</w:t>
            </w:r>
          </w:p>
        </w:tc>
      </w:tr>
      <w:tr w:rsidR="00BA6DDC" w:rsidRPr="00277328" w:rsidTr="008E2EDE">
        <w:trPr>
          <w:trHeight w:val="328"/>
        </w:trPr>
        <w:tc>
          <w:tcPr>
            <w:cnfStyle w:val="001000000000"/>
            <w:tcW w:w="2716" w:type="dxa"/>
          </w:tcPr>
          <w:p w:rsidR="00BA6DDC" w:rsidRPr="00277328" w:rsidRDefault="00470E21" w:rsidP="0093064E">
            <w:pPr>
              <w:rPr>
                <w:rFonts w:cstheme="minorHAnsi"/>
                <w:b w:val="0"/>
                <w:color w:val="auto"/>
                <w:lang w:val="en-GB"/>
              </w:rPr>
            </w:pPr>
            <w:r w:rsidRPr="00277328">
              <w:rPr>
                <w:rFonts w:cstheme="minorHAnsi"/>
                <w:b w:val="0"/>
                <w:color w:val="auto"/>
                <w:lang w:val="en-GB"/>
              </w:rPr>
              <w:t>Gene</w:t>
            </w:r>
            <w:r w:rsidR="00F16517">
              <w:rPr>
                <w:rFonts w:cstheme="minorHAnsi"/>
                <w:b w:val="0"/>
                <w:color w:val="auto"/>
                <w:lang w:val="en-GB"/>
              </w:rPr>
              <w:t>ralis</w:t>
            </w:r>
            <w:r w:rsidRPr="00277328">
              <w:rPr>
                <w:rFonts w:cstheme="minorHAnsi"/>
                <w:b w:val="0"/>
                <w:color w:val="auto"/>
                <w:lang w:val="en-GB"/>
              </w:rPr>
              <w:t>ed anxiety disorder</w:t>
            </w:r>
          </w:p>
        </w:tc>
        <w:tc>
          <w:tcPr>
            <w:tcW w:w="1545" w:type="dxa"/>
          </w:tcPr>
          <w:p w:rsidR="00BA6DDC" w:rsidRPr="00277328" w:rsidRDefault="00CB6E1B" w:rsidP="0093064E">
            <w:pPr>
              <w:cnfStyle w:val="000000000000"/>
              <w:rPr>
                <w:rFonts w:cstheme="minorHAnsi"/>
                <w:color w:val="auto"/>
                <w:lang w:val="en-GB"/>
              </w:rPr>
            </w:pPr>
            <w:r w:rsidRPr="00277328">
              <w:rPr>
                <w:rFonts w:cstheme="minorHAnsi"/>
                <w:color w:val="auto"/>
                <w:lang w:val="en-GB"/>
              </w:rPr>
              <w:t>1.7</w:t>
            </w:r>
          </w:p>
        </w:tc>
        <w:tc>
          <w:tcPr>
            <w:tcW w:w="1545" w:type="dxa"/>
          </w:tcPr>
          <w:p w:rsidR="00BA6DDC" w:rsidRPr="00277328" w:rsidRDefault="005D2DEE" w:rsidP="0093064E">
            <w:pPr>
              <w:cnfStyle w:val="000000000000"/>
              <w:rPr>
                <w:rFonts w:cstheme="minorHAnsi"/>
                <w:color w:val="auto"/>
                <w:lang w:val="en-GB"/>
              </w:rPr>
            </w:pPr>
            <w:r w:rsidRPr="00277328">
              <w:rPr>
                <w:rFonts w:cstheme="minorHAnsi"/>
                <w:color w:val="auto"/>
                <w:lang w:val="en-GB"/>
              </w:rPr>
              <w:t>1.7-3.4</w:t>
            </w:r>
          </w:p>
        </w:tc>
        <w:tc>
          <w:tcPr>
            <w:tcW w:w="1358" w:type="dxa"/>
          </w:tcPr>
          <w:p w:rsidR="00BA6DDC" w:rsidRPr="00277328" w:rsidRDefault="005D2DEE" w:rsidP="0093064E">
            <w:pPr>
              <w:cnfStyle w:val="000000000000"/>
              <w:rPr>
                <w:rFonts w:cstheme="minorHAnsi"/>
                <w:color w:val="auto"/>
                <w:lang w:val="en-GB"/>
              </w:rPr>
            </w:pPr>
            <w:r w:rsidRPr="00277328">
              <w:rPr>
                <w:rFonts w:cstheme="minorHAnsi"/>
                <w:color w:val="auto"/>
                <w:lang w:val="en-GB"/>
              </w:rPr>
              <w:t>5.9</w:t>
            </w:r>
          </w:p>
        </w:tc>
        <w:tc>
          <w:tcPr>
            <w:tcW w:w="1358" w:type="dxa"/>
          </w:tcPr>
          <w:p w:rsidR="00BA6DDC" w:rsidRPr="00277328" w:rsidRDefault="005D2DEE" w:rsidP="0093064E">
            <w:pPr>
              <w:cnfStyle w:val="000000000000"/>
              <w:rPr>
                <w:rFonts w:cstheme="minorHAnsi"/>
                <w:color w:val="auto"/>
                <w:lang w:val="en-GB"/>
              </w:rPr>
            </w:pPr>
            <w:r w:rsidRPr="00277328">
              <w:rPr>
                <w:rFonts w:cstheme="minorHAnsi"/>
                <w:color w:val="auto"/>
                <w:lang w:val="en-GB"/>
              </w:rPr>
              <w:t>8.9</w:t>
            </w:r>
          </w:p>
        </w:tc>
      </w:tr>
      <w:tr w:rsidR="00BA6DDC" w:rsidRPr="00277328" w:rsidTr="008E2EDE">
        <w:trPr>
          <w:cnfStyle w:val="000000100000"/>
          <w:trHeight w:val="328"/>
        </w:trPr>
        <w:tc>
          <w:tcPr>
            <w:cnfStyle w:val="001000000000"/>
            <w:tcW w:w="2716" w:type="dxa"/>
            <w:tcBorders>
              <w:left w:val="none" w:sz="0" w:space="0" w:color="auto"/>
              <w:right w:val="none" w:sz="0" w:space="0" w:color="auto"/>
            </w:tcBorders>
          </w:tcPr>
          <w:p w:rsidR="00BA6DDC" w:rsidRPr="00277328" w:rsidRDefault="00470E21" w:rsidP="0093064E">
            <w:pPr>
              <w:rPr>
                <w:rFonts w:cstheme="minorHAnsi"/>
                <w:b w:val="0"/>
                <w:color w:val="auto"/>
                <w:lang w:val="en-GB"/>
              </w:rPr>
            </w:pPr>
            <w:r w:rsidRPr="00277328">
              <w:rPr>
                <w:rFonts w:cstheme="minorHAnsi"/>
                <w:b w:val="0"/>
                <w:color w:val="auto"/>
                <w:lang w:val="en-GB"/>
              </w:rPr>
              <w:t>Specific phobias</w:t>
            </w:r>
          </w:p>
        </w:tc>
        <w:tc>
          <w:tcPr>
            <w:tcW w:w="1545" w:type="dxa"/>
            <w:tcBorders>
              <w:left w:val="none" w:sz="0" w:space="0" w:color="auto"/>
              <w:right w:val="none" w:sz="0" w:space="0" w:color="auto"/>
            </w:tcBorders>
          </w:tcPr>
          <w:p w:rsidR="00BA6DDC" w:rsidRPr="00277328" w:rsidRDefault="00CB6E1B" w:rsidP="0093064E">
            <w:pPr>
              <w:cnfStyle w:val="000000100000"/>
              <w:rPr>
                <w:rFonts w:cstheme="minorHAnsi"/>
                <w:color w:val="auto"/>
                <w:lang w:val="en-GB"/>
              </w:rPr>
            </w:pPr>
            <w:r w:rsidRPr="00277328">
              <w:rPr>
                <w:rFonts w:cstheme="minorHAnsi"/>
                <w:color w:val="auto"/>
                <w:lang w:val="en-GB"/>
              </w:rPr>
              <w:t>6.4</w:t>
            </w:r>
          </w:p>
        </w:tc>
        <w:tc>
          <w:tcPr>
            <w:tcW w:w="1545" w:type="dxa"/>
            <w:tcBorders>
              <w:left w:val="none" w:sz="0" w:space="0" w:color="auto"/>
              <w:right w:val="none" w:sz="0" w:space="0" w:color="auto"/>
            </w:tcBorders>
          </w:tcPr>
          <w:p w:rsidR="00BA6DDC" w:rsidRPr="00277328" w:rsidRDefault="005D2DEE" w:rsidP="0093064E">
            <w:pPr>
              <w:cnfStyle w:val="000000100000"/>
              <w:rPr>
                <w:rFonts w:cstheme="minorHAnsi"/>
                <w:color w:val="auto"/>
                <w:lang w:val="en-GB"/>
              </w:rPr>
            </w:pPr>
            <w:r w:rsidRPr="00277328">
              <w:rPr>
                <w:rFonts w:cstheme="minorHAnsi"/>
                <w:color w:val="auto"/>
                <w:lang w:val="en-GB"/>
              </w:rPr>
              <w:t>6.4</w:t>
            </w:r>
          </w:p>
        </w:tc>
        <w:tc>
          <w:tcPr>
            <w:tcW w:w="1358" w:type="dxa"/>
            <w:tcBorders>
              <w:left w:val="none" w:sz="0" w:space="0" w:color="auto"/>
              <w:right w:val="none" w:sz="0" w:space="0" w:color="auto"/>
            </w:tcBorders>
          </w:tcPr>
          <w:p w:rsidR="00BA6DDC" w:rsidRPr="00277328" w:rsidRDefault="005D2DEE" w:rsidP="0093064E">
            <w:pPr>
              <w:cnfStyle w:val="000000100000"/>
              <w:rPr>
                <w:rFonts w:cstheme="minorHAnsi"/>
                <w:color w:val="auto"/>
                <w:lang w:val="en-GB"/>
              </w:rPr>
            </w:pPr>
            <w:r w:rsidRPr="00277328">
              <w:rPr>
                <w:rFonts w:cstheme="minorHAnsi"/>
                <w:color w:val="auto"/>
                <w:lang w:val="en-GB"/>
              </w:rPr>
              <w:t>18.5</w:t>
            </w:r>
          </w:p>
        </w:tc>
        <w:tc>
          <w:tcPr>
            <w:tcW w:w="1358" w:type="dxa"/>
            <w:tcBorders>
              <w:left w:val="none" w:sz="0" w:space="0" w:color="auto"/>
              <w:right w:val="none" w:sz="0" w:space="0" w:color="auto"/>
            </w:tcBorders>
          </w:tcPr>
          <w:p w:rsidR="00BA6DDC" w:rsidRPr="00277328" w:rsidRDefault="005D2DEE" w:rsidP="0093064E">
            <w:pPr>
              <w:cnfStyle w:val="000000100000"/>
              <w:rPr>
                <w:rFonts w:cstheme="minorHAnsi"/>
                <w:color w:val="auto"/>
                <w:lang w:val="en-GB"/>
              </w:rPr>
            </w:pPr>
            <w:r w:rsidRPr="00277328">
              <w:rPr>
                <w:rFonts w:cstheme="minorHAnsi"/>
                <w:color w:val="auto"/>
                <w:lang w:val="en-GB"/>
              </w:rPr>
              <w:t>22.7</w:t>
            </w:r>
          </w:p>
        </w:tc>
      </w:tr>
      <w:tr w:rsidR="00BA6DDC" w:rsidRPr="00277328" w:rsidTr="008E2EDE">
        <w:trPr>
          <w:trHeight w:val="328"/>
        </w:trPr>
        <w:tc>
          <w:tcPr>
            <w:cnfStyle w:val="001000000000"/>
            <w:tcW w:w="2716" w:type="dxa"/>
          </w:tcPr>
          <w:p w:rsidR="00BA6DDC" w:rsidRPr="00277328" w:rsidRDefault="00470E21" w:rsidP="0093064E">
            <w:pPr>
              <w:rPr>
                <w:rFonts w:cstheme="minorHAnsi"/>
                <w:b w:val="0"/>
                <w:color w:val="auto"/>
                <w:lang w:val="en-GB"/>
              </w:rPr>
            </w:pPr>
            <w:r w:rsidRPr="00277328">
              <w:rPr>
                <w:rFonts w:cstheme="minorHAnsi"/>
                <w:b w:val="0"/>
                <w:color w:val="auto"/>
                <w:lang w:val="en-GB"/>
              </w:rPr>
              <w:lastRenderedPageBreak/>
              <w:t>OCD</w:t>
            </w:r>
          </w:p>
        </w:tc>
        <w:tc>
          <w:tcPr>
            <w:tcW w:w="1545" w:type="dxa"/>
          </w:tcPr>
          <w:p w:rsidR="00BA6DDC" w:rsidRPr="00277328" w:rsidRDefault="00CB6E1B" w:rsidP="0093064E">
            <w:pPr>
              <w:cnfStyle w:val="000000000000"/>
              <w:rPr>
                <w:rFonts w:cstheme="minorHAnsi"/>
                <w:color w:val="auto"/>
                <w:lang w:val="en-GB"/>
              </w:rPr>
            </w:pPr>
            <w:r w:rsidRPr="00277328">
              <w:rPr>
                <w:rFonts w:cstheme="minorHAnsi"/>
                <w:color w:val="auto"/>
                <w:lang w:val="en-GB"/>
              </w:rPr>
              <w:t>0.7</w:t>
            </w:r>
          </w:p>
        </w:tc>
        <w:tc>
          <w:tcPr>
            <w:tcW w:w="1545" w:type="dxa"/>
          </w:tcPr>
          <w:p w:rsidR="00BA6DDC" w:rsidRPr="00277328" w:rsidRDefault="005D2DEE" w:rsidP="0093064E">
            <w:pPr>
              <w:cnfStyle w:val="000000000000"/>
              <w:rPr>
                <w:rFonts w:cstheme="minorHAnsi"/>
                <w:color w:val="auto"/>
                <w:lang w:val="en-GB"/>
              </w:rPr>
            </w:pPr>
            <w:r w:rsidRPr="00277328">
              <w:rPr>
                <w:rFonts w:cstheme="minorHAnsi"/>
                <w:color w:val="auto"/>
                <w:lang w:val="en-GB"/>
              </w:rPr>
              <w:t>0.7</w:t>
            </w:r>
          </w:p>
        </w:tc>
        <w:tc>
          <w:tcPr>
            <w:tcW w:w="1358" w:type="dxa"/>
          </w:tcPr>
          <w:p w:rsidR="00BA6DDC" w:rsidRPr="00277328" w:rsidRDefault="005D2DEE" w:rsidP="0093064E">
            <w:pPr>
              <w:cnfStyle w:val="000000000000"/>
              <w:rPr>
                <w:rFonts w:cstheme="minorHAnsi"/>
                <w:color w:val="auto"/>
                <w:lang w:val="en-GB"/>
              </w:rPr>
            </w:pPr>
            <w:r w:rsidRPr="00277328">
              <w:rPr>
                <w:rFonts w:cstheme="minorHAnsi"/>
                <w:color w:val="auto"/>
                <w:lang w:val="en-GB"/>
              </w:rPr>
              <w:t>2.7</w:t>
            </w:r>
          </w:p>
        </w:tc>
        <w:tc>
          <w:tcPr>
            <w:tcW w:w="1358" w:type="dxa"/>
          </w:tcPr>
          <w:p w:rsidR="00BA6DDC" w:rsidRPr="00277328" w:rsidRDefault="005D2DEE" w:rsidP="0093064E">
            <w:pPr>
              <w:cnfStyle w:val="000000000000"/>
              <w:rPr>
                <w:rFonts w:cstheme="minorHAnsi"/>
                <w:color w:val="auto"/>
                <w:lang w:val="en-GB"/>
              </w:rPr>
            </w:pPr>
            <w:r w:rsidRPr="00277328">
              <w:rPr>
                <w:rFonts w:cstheme="minorHAnsi"/>
                <w:color w:val="auto"/>
                <w:lang w:val="en-GB"/>
              </w:rPr>
              <w:t>2.9</w:t>
            </w:r>
          </w:p>
        </w:tc>
      </w:tr>
      <w:tr w:rsidR="00BA6DDC" w:rsidRPr="00277328" w:rsidTr="008E2EDE">
        <w:trPr>
          <w:cnfStyle w:val="000000100000"/>
          <w:trHeight w:val="328"/>
        </w:trPr>
        <w:tc>
          <w:tcPr>
            <w:cnfStyle w:val="001000000000"/>
            <w:tcW w:w="2716" w:type="dxa"/>
            <w:tcBorders>
              <w:left w:val="none" w:sz="0" w:space="0" w:color="auto"/>
              <w:right w:val="none" w:sz="0" w:space="0" w:color="auto"/>
            </w:tcBorders>
          </w:tcPr>
          <w:p w:rsidR="00BA6DDC" w:rsidRPr="00277328" w:rsidRDefault="00470E21" w:rsidP="0093064E">
            <w:pPr>
              <w:rPr>
                <w:rFonts w:cstheme="minorHAnsi"/>
                <w:b w:val="0"/>
                <w:color w:val="auto"/>
                <w:lang w:val="en-GB"/>
              </w:rPr>
            </w:pPr>
            <w:r w:rsidRPr="00277328">
              <w:rPr>
                <w:rFonts w:cstheme="minorHAnsi"/>
                <w:b w:val="0"/>
                <w:color w:val="auto"/>
                <w:lang w:val="en-GB"/>
              </w:rPr>
              <w:t>PTSD</w:t>
            </w:r>
          </w:p>
        </w:tc>
        <w:tc>
          <w:tcPr>
            <w:tcW w:w="1545" w:type="dxa"/>
            <w:tcBorders>
              <w:left w:val="none" w:sz="0" w:space="0" w:color="auto"/>
              <w:right w:val="none" w:sz="0" w:space="0" w:color="auto"/>
            </w:tcBorders>
          </w:tcPr>
          <w:p w:rsidR="00BA6DDC" w:rsidRPr="00277328" w:rsidRDefault="00CB6E1B" w:rsidP="0093064E">
            <w:pPr>
              <w:cnfStyle w:val="000000100000"/>
              <w:rPr>
                <w:rFonts w:cstheme="minorHAnsi"/>
                <w:color w:val="auto"/>
                <w:lang w:val="en-GB"/>
              </w:rPr>
            </w:pPr>
            <w:r w:rsidRPr="00277328">
              <w:rPr>
                <w:rFonts w:cstheme="minorHAnsi"/>
                <w:color w:val="auto"/>
                <w:lang w:val="en-GB"/>
              </w:rPr>
              <w:t>-</w:t>
            </w:r>
          </w:p>
        </w:tc>
        <w:tc>
          <w:tcPr>
            <w:tcW w:w="1545" w:type="dxa"/>
            <w:tcBorders>
              <w:left w:val="none" w:sz="0" w:space="0" w:color="auto"/>
              <w:right w:val="none" w:sz="0" w:space="0" w:color="auto"/>
            </w:tcBorders>
          </w:tcPr>
          <w:p w:rsidR="00BA6DDC" w:rsidRPr="00277328" w:rsidRDefault="005D2DEE" w:rsidP="0093064E">
            <w:pPr>
              <w:cnfStyle w:val="000000100000"/>
              <w:rPr>
                <w:rFonts w:cstheme="minorHAnsi"/>
                <w:color w:val="auto"/>
                <w:lang w:val="en-GB"/>
              </w:rPr>
            </w:pPr>
            <w:r w:rsidRPr="00277328">
              <w:rPr>
                <w:rFonts w:cstheme="minorHAnsi"/>
                <w:color w:val="auto"/>
                <w:lang w:val="en-GB"/>
              </w:rPr>
              <w:t>1.1-2.9</w:t>
            </w:r>
          </w:p>
        </w:tc>
        <w:tc>
          <w:tcPr>
            <w:tcW w:w="1358" w:type="dxa"/>
            <w:tcBorders>
              <w:left w:val="none" w:sz="0" w:space="0" w:color="auto"/>
              <w:right w:val="none" w:sz="0" w:space="0" w:color="auto"/>
            </w:tcBorders>
          </w:tcPr>
          <w:p w:rsidR="00BA6DDC" w:rsidRPr="00277328" w:rsidRDefault="005D2DEE" w:rsidP="0093064E">
            <w:pPr>
              <w:cnfStyle w:val="000000100000"/>
              <w:rPr>
                <w:rFonts w:cstheme="minorHAnsi"/>
                <w:color w:val="auto"/>
                <w:lang w:val="en-GB"/>
              </w:rPr>
            </w:pPr>
            <w:r w:rsidRPr="00277328">
              <w:rPr>
                <w:rFonts w:cstheme="minorHAnsi"/>
                <w:color w:val="auto"/>
                <w:lang w:val="en-GB"/>
              </w:rPr>
              <w:t>-</w:t>
            </w:r>
          </w:p>
        </w:tc>
        <w:tc>
          <w:tcPr>
            <w:tcW w:w="1358" w:type="dxa"/>
            <w:tcBorders>
              <w:left w:val="none" w:sz="0" w:space="0" w:color="auto"/>
              <w:right w:val="none" w:sz="0" w:space="0" w:color="auto"/>
            </w:tcBorders>
          </w:tcPr>
          <w:p w:rsidR="00BA6DDC" w:rsidRPr="00277328" w:rsidRDefault="005D2DEE" w:rsidP="0093064E">
            <w:pPr>
              <w:cnfStyle w:val="000000100000"/>
              <w:rPr>
                <w:rFonts w:cstheme="minorHAnsi"/>
                <w:color w:val="auto"/>
                <w:lang w:val="en-GB"/>
              </w:rPr>
            </w:pPr>
            <w:r w:rsidRPr="00277328">
              <w:rPr>
                <w:rFonts w:cstheme="minorHAnsi"/>
                <w:color w:val="auto"/>
                <w:lang w:val="en-GB"/>
              </w:rPr>
              <w:t>7.7</w:t>
            </w:r>
          </w:p>
        </w:tc>
      </w:tr>
      <w:tr w:rsidR="00BA6DDC" w:rsidRPr="00277328" w:rsidTr="008E2EDE">
        <w:trPr>
          <w:trHeight w:val="328"/>
        </w:trPr>
        <w:tc>
          <w:tcPr>
            <w:cnfStyle w:val="001000000000"/>
            <w:tcW w:w="2716" w:type="dxa"/>
          </w:tcPr>
          <w:p w:rsidR="00BA6DDC" w:rsidRPr="00277328" w:rsidRDefault="00470E21" w:rsidP="0093064E">
            <w:pPr>
              <w:rPr>
                <w:rFonts w:cstheme="minorHAnsi"/>
                <w:b w:val="0"/>
                <w:color w:val="auto"/>
                <w:lang w:val="en-GB"/>
              </w:rPr>
            </w:pPr>
            <w:r w:rsidRPr="00277328">
              <w:rPr>
                <w:rFonts w:cstheme="minorHAnsi"/>
                <w:b w:val="0"/>
                <w:color w:val="auto"/>
                <w:lang w:val="en-GB"/>
              </w:rPr>
              <w:t xml:space="preserve">Somatoform disorders </w:t>
            </w:r>
            <w:r w:rsidRPr="00277328">
              <w:rPr>
                <w:rFonts w:cstheme="minorHAnsi"/>
                <w:b w:val="0"/>
                <w:color w:val="auto"/>
                <w:vertAlign w:val="superscript"/>
                <w:lang w:val="en-GB"/>
              </w:rPr>
              <w:t>d</w:t>
            </w:r>
          </w:p>
        </w:tc>
        <w:tc>
          <w:tcPr>
            <w:tcW w:w="1545" w:type="dxa"/>
          </w:tcPr>
          <w:p w:rsidR="00BA6DDC" w:rsidRPr="00277328" w:rsidRDefault="00CB6E1B" w:rsidP="0093064E">
            <w:pPr>
              <w:cnfStyle w:val="000000000000"/>
              <w:rPr>
                <w:rFonts w:cstheme="minorHAnsi"/>
                <w:color w:val="auto"/>
                <w:lang w:val="en-GB"/>
              </w:rPr>
            </w:pPr>
            <w:r w:rsidRPr="00277328">
              <w:rPr>
                <w:rFonts w:cstheme="minorHAnsi"/>
                <w:color w:val="auto"/>
                <w:lang w:val="en-GB"/>
              </w:rPr>
              <w:t>6.3</w:t>
            </w:r>
          </w:p>
        </w:tc>
        <w:tc>
          <w:tcPr>
            <w:tcW w:w="1545" w:type="dxa"/>
          </w:tcPr>
          <w:p w:rsidR="00BA6DDC" w:rsidRPr="00277328" w:rsidRDefault="005D2DEE" w:rsidP="0093064E">
            <w:pPr>
              <w:cnfStyle w:val="000000000000"/>
              <w:rPr>
                <w:rFonts w:cstheme="minorHAnsi"/>
                <w:color w:val="auto"/>
                <w:lang w:val="en-GB"/>
              </w:rPr>
            </w:pPr>
            <w:r w:rsidRPr="00277328">
              <w:rPr>
                <w:rFonts w:cstheme="minorHAnsi"/>
                <w:color w:val="auto"/>
                <w:lang w:val="en-GB"/>
              </w:rPr>
              <w:t>4.9</w:t>
            </w:r>
          </w:p>
        </w:tc>
        <w:tc>
          <w:tcPr>
            <w:tcW w:w="1358" w:type="dxa"/>
          </w:tcPr>
          <w:p w:rsidR="00BA6DDC" w:rsidRPr="00277328" w:rsidRDefault="005D2DEE" w:rsidP="0093064E">
            <w:pPr>
              <w:cnfStyle w:val="000000000000"/>
              <w:rPr>
                <w:rFonts w:cstheme="minorHAnsi"/>
                <w:color w:val="auto"/>
                <w:lang w:val="en-GB"/>
              </w:rPr>
            </w:pPr>
            <w:r w:rsidRPr="00277328">
              <w:rPr>
                <w:rFonts w:cstheme="minorHAnsi"/>
                <w:color w:val="auto"/>
                <w:lang w:val="en-GB"/>
              </w:rPr>
              <w:t>18.9</w:t>
            </w:r>
          </w:p>
        </w:tc>
        <w:tc>
          <w:tcPr>
            <w:tcW w:w="1358" w:type="dxa"/>
          </w:tcPr>
          <w:p w:rsidR="00BA6DDC" w:rsidRPr="00277328" w:rsidRDefault="005D2DEE" w:rsidP="0093064E">
            <w:pPr>
              <w:cnfStyle w:val="000000000000"/>
              <w:rPr>
                <w:rFonts w:cstheme="minorHAnsi"/>
                <w:color w:val="auto"/>
                <w:lang w:val="en-GB"/>
              </w:rPr>
            </w:pPr>
            <w:r w:rsidRPr="00277328">
              <w:rPr>
                <w:rFonts w:cstheme="minorHAnsi"/>
                <w:color w:val="auto"/>
                <w:lang w:val="en-GB"/>
              </w:rPr>
              <w:t>20.4</w:t>
            </w:r>
          </w:p>
        </w:tc>
      </w:tr>
      <w:tr w:rsidR="00BA6DDC" w:rsidRPr="00277328" w:rsidTr="008E2EDE">
        <w:trPr>
          <w:cnfStyle w:val="000000100000"/>
          <w:trHeight w:val="328"/>
        </w:trPr>
        <w:tc>
          <w:tcPr>
            <w:cnfStyle w:val="001000000000"/>
            <w:tcW w:w="2716" w:type="dxa"/>
            <w:tcBorders>
              <w:left w:val="none" w:sz="0" w:space="0" w:color="auto"/>
              <w:right w:val="none" w:sz="0" w:space="0" w:color="auto"/>
            </w:tcBorders>
          </w:tcPr>
          <w:p w:rsidR="00BA6DDC" w:rsidRPr="00277328" w:rsidRDefault="00470E21" w:rsidP="0093064E">
            <w:pPr>
              <w:rPr>
                <w:rFonts w:cstheme="minorHAnsi"/>
                <w:b w:val="0"/>
                <w:color w:val="auto"/>
                <w:lang w:val="en-GB"/>
              </w:rPr>
            </w:pPr>
            <w:r w:rsidRPr="00277328">
              <w:rPr>
                <w:rFonts w:cstheme="minorHAnsi"/>
                <w:b w:val="0"/>
                <w:color w:val="auto"/>
                <w:lang w:val="en-GB"/>
              </w:rPr>
              <w:t>Anorexia nervosa (eating disorders)</w:t>
            </w:r>
          </w:p>
        </w:tc>
        <w:tc>
          <w:tcPr>
            <w:tcW w:w="1545" w:type="dxa"/>
            <w:tcBorders>
              <w:left w:val="none" w:sz="0" w:space="0" w:color="auto"/>
              <w:right w:val="none" w:sz="0" w:space="0" w:color="auto"/>
            </w:tcBorders>
          </w:tcPr>
          <w:p w:rsidR="00BA6DDC" w:rsidRPr="00277328" w:rsidRDefault="00CB6E1B" w:rsidP="0093064E">
            <w:pPr>
              <w:cnfStyle w:val="000000100000"/>
              <w:rPr>
                <w:rFonts w:cstheme="minorHAnsi"/>
                <w:color w:val="auto"/>
                <w:lang w:val="en-GB"/>
              </w:rPr>
            </w:pPr>
            <w:r w:rsidRPr="00277328">
              <w:rPr>
                <w:rFonts w:cstheme="minorHAnsi"/>
                <w:color w:val="auto"/>
                <w:lang w:val="en-GB"/>
              </w:rPr>
              <w:t>0.4</w:t>
            </w:r>
          </w:p>
        </w:tc>
        <w:tc>
          <w:tcPr>
            <w:tcW w:w="1545" w:type="dxa"/>
            <w:tcBorders>
              <w:left w:val="none" w:sz="0" w:space="0" w:color="auto"/>
              <w:right w:val="none" w:sz="0" w:space="0" w:color="auto"/>
            </w:tcBorders>
          </w:tcPr>
          <w:p w:rsidR="00BA6DDC" w:rsidRPr="00277328" w:rsidRDefault="005D2DEE" w:rsidP="0093064E">
            <w:pPr>
              <w:cnfStyle w:val="000000100000"/>
              <w:rPr>
                <w:rFonts w:cstheme="minorHAnsi"/>
                <w:color w:val="auto"/>
                <w:lang w:val="en-GB"/>
              </w:rPr>
            </w:pPr>
            <w:r w:rsidRPr="00277328">
              <w:rPr>
                <w:rFonts w:cstheme="minorHAnsi"/>
                <w:color w:val="auto"/>
                <w:lang w:val="en-GB"/>
              </w:rPr>
              <w:t>0.2-0.5</w:t>
            </w:r>
          </w:p>
        </w:tc>
        <w:tc>
          <w:tcPr>
            <w:tcW w:w="1358" w:type="dxa"/>
            <w:tcBorders>
              <w:left w:val="none" w:sz="0" w:space="0" w:color="auto"/>
              <w:right w:val="none" w:sz="0" w:space="0" w:color="auto"/>
            </w:tcBorders>
          </w:tcPr>
          <w:p w:rsidR="00BA6DDC" w:rsidRPr="00277328" w:rsidRDefault="005D2DEE" w:rsidP="0093064E">
            <w:pPr>
              <w:cnfStyle w:val="000000100000"/>
              <w:rPr>
                <w:rFonts w:cstheme="minorHAnsi"/>
                <w:color w:val="auto"/>
                <w:lang w:val="en-GB"/>
              </w:rPr>
            </w:pPr>
            <w:r w:rsidRPr="00277328">
              <w:rPr>
                <w:rFonts w:cstheme="minorHAnsi"/>
                <w:color w:val="auto"/>
                <w:lang w:val="en-GB"/>
              </w:rPr>
              <w:t>1.2</w:t>
            </w:r>
          </w:p>
        </w:tc>
        <w:tc>
          <w:tcPr>
            <w:tcW w:w="1358" w:type="dxa"/>
            <w:tcBorders>
              <w:left w:val="none" w:sz="0" w:space="0" w:color="auto"/>
              <w:right w:val="none" w:sz="0" w:space="0" w:color="auto"/>
            </w:tcBorders>
          </w:tcPr>
          <w:p w:rsidR="00BA6DDC" w:rsidRPr="00277328" w:rsidRDefault="005D2DEE" w:rsidP="0093064E">
            <w:pPr>
              <w:cnfStyle w:val="000000100000"/>
              <w:rPr>
                <w:rFonts w:cstheme="minorHAnsi"/>
                <w:color w:val="auto"/>
                <w:lang w:val="en-GB"/>
              </w:rPr>
            </w:pPr>
            <w:r w:rsidRPr="00277328">
              <w:rPr>
                <w:rFonts w:cstheme="minorHAnsi"/>
                <w:color w:val="auto"/>
                <w:lang w:val="en-GB"/>
              </w:rPr>
              <w:t>0.8</w:t>
            </w:r>
          </w:p>
        </w:tc>
      </w:tr>
      <w:tr w:rsidR="00BA6DDC" w:rsidRPr="00277328" w:rsidTr="008E2EDE">
        <w:trPr>
          <w:trHeight w:val="328"/>
        </w:trPr>
        <w:tc>
          <w:tcPr>
            <w:cnfStyle w:val="001000000000"/>
            <w:tcW w:w="2716" w:type="dxa"/>
          </w:tcPr>
          <w:p w:rsidR="00BA6DDC" w:rsidRPr="00277328" w:rsidRDefault="00470E21" w:rsidP="0093064E">
            <w:pPr>
              <w:rPr>
                <w:rFonts w:cstheme="minorHAnsi"/>
                <w:b w:val="0"/>
                <w:color w:val="auto"/>
                <w:lang w:val="en-GB"/>
              </w:rPr>
            </w:pPr>
            <w:r w:rsidRPr="00277328">
              <w:rPr>
                <w:rFonts w:cstheme="minorHAnsi"/>
                <w:b w:val="0"/>
                <w:color w:val="auto"/>
                <w:lang w:val="en-GB"/>
              </w:rPr>
              <w:t>Bulimia nervosa (eating dis.)</w:t>
            </w:r>
          </w:p>
        </w:tc>
        <w:tc>
          <w:tcPr>
            <w:tcW w:w="1545" w:type="dxa"/>
          </w:tcPr>
          <w:p w:rsidR="00BA6DDC" w:rsidRPr="00277328" w:rsidRDefault="00CB6E1B" w:rsidP="0093064E">
            <w:pPr>
              <w:cnfStyle w:val="000000000000"/>
              <w:rPr>
                <w:rFonts w:cstheme="minorHAnsi"/>
                <w:color w:val="auto"/>
                <w:lang w:val="en-GB"/>
              </w:rPr>
            </w:pPr>
            <w:r w:rsidRPr="00277328">
              <w:rPr>
                <w:rFonts w:cstheme="minorHAnsi"/>
                <w:color w:val="auto"/>
                <w:lang w:val="en-GB"/>
              </w:rPr>
              <w:t>0.3</w:t>
            </w:r>
          </w:p>
        </w:tc>
        <w:tc>
          <w:tcPr>
            <w:tcW w:w="1545" w:type="dxa"/>
          </w:tcPr>
          <w:p w:rsidR="00BA6DDC" w:rsidRPr="00277328" w:rsidRDefault="005D2DEE" w:rsidP="0093064E">
            <w:pPr>
              <w:cnfStyle w:val="000000000000"/>
              <w:rPr>
                <w:rFonts w:cstheme="minorHAnsi"/>
                <w:color w:val="auto"/>
                <w:lang w:val="en-GB"/>
              </w:rPr>
            </w:pPr>
            <w:r w:rsidRPr="00277328">
              <w:rPr>
                <w:rFonts w:cstheme="minorHAnsi"/>
                <w:color w:val="auto"/>
                <w:lang w:val="en-GB"/>
              </w:rPr>
              <w:t>0.1-0.9</w:t>
            </w:r>
          </w:p>
        </w:tc>
        <w:tc>
          <w:tcPr>
            <w:tcW w:w="1358" w:type="dxa"/>
          </w:tcPr>
          <w:p w:rsidR="00BA6DDC" w:rsidRPr="00277328" w:rsidRDefault="005D2DEE" w:rsidP="0093064E">
            <w:pPr>
              <w:cnfStyle w:val="000000000000"/>
              <w:rPr>
                <w:rFonts w:cstheme="minorHAnsi"/>
                <w:color w:val="auto"/>
                <w:lang w:val="en-GB"/>
              </w:rPr>
            </w:pPr>
            <w:r w:rsidRPr="00277328">
              <w:rPr>
                <w:rFonts w:cstheme="minorHAnsi"/>
                <w:color w:val="auto"/>
                <w:lang w:val="en-GB"/>
              </w:rPr>
              <w:t>0.7</w:t>
            </w:r>
          </w:p>
        </w:tc>
        <w:tc>
          <w:tcPr>
            <w:tcW w:w="1358" w:type="dxa"/>
          </w:tcPr>
          <w:p w:rsidR="00BA6DDC" w:rsidRPr="00277328" w:rsidRDefault="005D2DEE" w:rsidP="0093064E">
            <w:pPr>
              <w:cnfStyle w:val="000000000000"/>
              <w:rPr>
                <w:rFonts w:cstheme="minorHAnsi"/>
                <w:color w:val="auto"/>
                <w:lang w:val="en-GB"/>
              </w:rPr>
            </w:pPr>
            <w:r w:rsidRPr="00277328">
              <w:rPr>
                <w:rFonts w:cstheme="minorHAnsi"/>
                <w:color w:val="auto"/>
                <w:lang w:val="en-GB"/>
              </w:rPr>
              <w:t>0.7</w:t>
            </w:r>
          </w:p>
        </w:tc>
      </w:tr>
      <w:tr w:rsidR="00BA6DDC" w:rsidRPr="00277328" w:rsidTr="008E2EDE">
        <w:trPr>
          <w:cnfStyle w:val="000000100000"/>
          <w:trHeight w:val="328"/>
        </w:trPr>
        <w:tc>
          <w:tcPr>
            <w:cnfStyle w:val="001000000000"/>
            <w:tcW w:w="2716" w:type="dxa"/>
            <w:tcBorders>
              <w:left w:val="none" w:sz="0" w:space="0" w:color="auto"/>
              <w:right w:val="none" w:sz="0" w:space="0" w:color="auto"/>
            </w:tcBorders>
          </w:tcPr>
          <w:p w:rsidR="00BA6DDC" w:rsidRPr="00277328" w:rsidRDefault="00470E21" w:rsidP="0093064E">
            <w:pPr>
              <w:rPr>
                <w:rFonts w:cstheme="minorHAnsi"/>
                <w:b w:val="0"/>
                <w:color w:val="auto"/>
                <w:lang w:val="en-GB"/>
              </w:rPr>
            </w:pPr>
            <w:r w:rsidRPr="00277328">
              <w:rPr>
                <w:rFonts w:cstheme="minorHAnsi"/>
                <w:b w:val="0"/>
                <w:color w:val="auto"/>
                <w:lang w:val="en-GB"/>
              </w:rPr>
              <w:t>Subtotal any group A</w:t>
            </w:r>
          </w:p>
        </w:tc>
        <w:tc>
          <w:tcPr>
            <w:tcW w:w="1545" w:type="dxa"/>
            <w:tcBorders>
              <w:left w:val="none" w:sz="0" w:space="0" w:color="auto"/>
              <w:right w:val="none" w:sz="0" w:space="0" w:color="auto"/>
            </w:tcBorders>
          </w:tcPr>
          <w:p w:rsidR="00BA6DDC" w:rsidRPr="00277328" w:rsidRDefault="00CB6E1B" w:rsidP="0093064E">
            <w:pPr>
              <w:cnfStyle w:val="000000100000"/>
              <w:rPr>
                <w:rFonts w:cstheme="minorHAnsi"/>
                <w:i/>
                <w:color w:val="auto"/>
                <w:lang w:val="en-GB"/>
              </w:rPr>
            </w:pPr>
            <w:r w:rsidRPr="00277328">
              <w:rPr>
                <w:rFonts w:cstheme="minorHAnsi"/>
                <w:i/>
                <w:color w:val="auto"/>
                <w:lang w:val="en-GB"/>
              </w:rPr>
              <w:t>27.4%</w:t>
            </w:r>
          </w:p>
        </w:tc>
        <w:tc>
          <w:tcPr>
            <w:tcW w:w="1545" w:type="dxa"/>
            <w:tcBorders>
              <w:left w:val="none" w:sz="0" w:space="0" w:color="auto"/>
              <w:right w:val="none" w:sz="0" w:space="0" w:color="auto"/>
            </w:tcBorders>
          </w:tcPr>
          <w:p w:rsidR="00BA6DDC" w:rsidRPr="00277328" w:rsidRDefault="005D2DEE" w:rsidP="0093064E">
            <w:pPr>
              <w:cnfStyle w:val="000000100000"/>
              <w:rPr>
                <w:rFonts w:cstheme="minorHAnsi"/>
                <w:i/>
                <w:color w:val="auto"/>
                <w:lang w:val="en-GB"/>
              </w:rPr>
            </w:pPr>
            <w:r w:rsidRPr="00277328">
              <w:rPr>
                <w:rFonts w:cstheme="minorHAnsi"/>
                <w:i/>
                <w:color w:val="auto"/>
                <w:lang w:val="en-GB"/>
              </w:rPr>
              <w:t>27.1%</w:t>
            </w:r>
          </w:p>
        </w:tc>
        <w:tc>
          <w:tcPr>
            <w:tcW w:w="1358" w:type="dxa"/>
            <w:tcBorders>
              <w:left w:val="none" w:sz="0" w:space="0" w:color="auto"/>
              <w:right w:val="none" w:sz="0" w:space="0" w:color="auto"/>
            </w:tcBorders>
          </w:tcPr>
          <w:p w:rsidR="00BA6DDC" w:rsidRPr="00277328" w:rsidRDefault="005D2DEE" w:rsidP="0093064E">
            <w:pPr>
              <w:cnfStyle w:val="000000100000"/>
              <w:rPr>
                <w:rFonts w:cstheme="minorHAnsi"/>
                <w:i/>
                <w:color w:val="auto"/>
                <w:lang w:val="en-GB"/>
              </w:rPr>
            </w:pPr>
            <w:r w:rsidRPr="00277328">
              <w:rPr>
                <w:rFonts w:cstheme="minorHAnsi"/>
                <w:i/>
                <w:color w:val="auto"/>
                <w:lang w:val="en-GB"/>
              </w:rPr>
              <w:t>82.7</w:t>
            </w:r>
          </w:p>
        </w:tc>
        <w:tc>
          <w:tcPr>
            <w:tcW w:w="1358" w:type="dxa"/>
            <w:tcBorders>
              <w:left w:val="none" w:sz="0" w:space="0" w:color="auto"/>
              <w:right w:val="none" w:sz="0" w:space="0" w:color="auto"/>
            </w:tcBorders>
          </w:tcPr>
          <w:p w:rsidR="00BA6DDC" w:rsidRPr="00277328" w:rsidRDefault="005D2DEE" w:rsidP="0093064E">
            <w:pPr>
              <w:cnfStyle w:val="000000100000"/>
              <w:rPr>
                <w:rFonts w:cstheme="minorHAnsi"/>
                <w:i/>
                <w:color w:val="auto"/>
                <w:lang w:val="en-GB"/>
              </w:rPr>
            </w:pPr>
            <w:r w:rsidRPr="00277328">
              <w:rPr>
                <w:rFonts w:cstheme="minorHAnsi"/>
                <w:i/>
                <w:color w:val="auto"/>
                <w:lang w:val="en-GB"/>
              </w:rPr>
              <w:t>118.1</w:t>
            </w:r>
          </w:p>
        </w:tc>
      </w:tr>
      <w:tr w:rsidR="00BA6DDC" w:rsidRPr="00277328" w:rsidTr="008E2EDE">
        <w:trPr>
          <w:trHeight w:val="328"/>
        </w:trPr>
        <w:tc>
          <w:tcPr>
            <w:cnfStyle w:val="001000000000"/>
            <w:tcW w:w="2716" w:type="dxa"/>
          </w:tcPr>
          <w:p w:rsidR="00BA6DDC" w:rsidRPr="00277328" w:rsidRDefault="00BA6DDC" w:rsidP="0093064E">
            <w:pPr>
              <w:rPr>
                <w:rFonts w:cstheme="minorHAnsi"/>
                <w:b w:val="0"/>
                <w:color w:val="auto"/>
                <w:lang w:val="en-GB"/>
              </w:rPr>
            </w:pPr>
          </w:p>
        </w:tc>
        <w:tc>
          <w:tcPr>
            <w:tcW w:w="1545" w:type="dxa"/>
          </w:tcPr>
          <w:p w:rsidR="00BA6DDC" w:rsidRPr="00277328" w:rsidRDefault="00BA6DDC" w:rsidP="0093064E">
            <w:pPr>
              <w:cnfStyle w:val="000000000000"/>
              <w:rPr>
                <w:rFonts w:cstheme="minorHAnsi"/>
                <w:color w:val="auto"/>
                <w:lang w:val="en-GB"/>
              </w:rPr>
            </w:pPr>
          </w:p>
        </w:tc>
        <w:tc>
          <w:tcPr>
            <w:tcW w:w="1545" w:type="dxa"/>
          </w:tcPr>
          <w:p w:rsidR="00BA6DDC" w:rsidRPr="00277328" w:rsidRDefault="00BA6DDC" w:rsidP="0093064E">
            <w:pPr>
              <w:cnfStyle w:val="000000000000"/>
              <w:rPr>
                <w:rFonts w:cstheme="minorHAnsi"/>
                <w:color w:val="auto"/>
                <w:lang w:val="en-GB"/>
              </w:rPr>
            </w:pPr>
          </w:p>
        </w:tc>
        <w:tc>
          <w:tcPr>
            <w:tcW w:w="1358" w:type="dxa"/>
          </w:tcPr>
          <w:p w:rsidR="00BA6DDC" w:rsidRPr="00277328" w:rsidRDefault="00BA6DDC" w:rsidP="0093064E">
            <w:pPr>
              <w:cnfStyle w:val="000000000000"/>
              <w:rPr>
                <w:rFonts w:cstheme="minorHAnsi"/>
                <w:color w:val="auto"/>
                <w:lang w:val="en-GB"/>
              </w:rPr>
            </w:pPr>
          </w:p>
        </w:tc>
        <w:tc>
          <w:tcPr>
            <w:tcW w:w="1358" w:type="dxa"/>
          </w:tcPr>
          <w:p w:rsidR="00BA6DDC" w:rsidRPr="00277328" w:rsidRDefault="00BA6DDC" w:rsidP="0093064E">
            <w:pPr>
              <w:cnfStyle w:val="000000000000"/>
              <w:rPr>
                <w:rFonts w:cstheme="minorHAnsi"/>
                <w:color w:val="auto"/>
                <w:lang w:val="en-GB"/>
              </w:rPr>
            </w:pPr>
          </w:p>
        </w:tc>
      </w:tr>
      <w:tr w:rsidR="00BA6DDC" w:rsidRPr="00277328" w:rsidTr="008E2EDE">
        <w:trPr>
          <w:cnfStyle w:val="000000100000"/>
          <w:trHeight w:val="328"/>
        </w:trPr>
        <w:tc>
          <w:tcPr>
            <w:cnfStyle w:val="001000000000"/>
            <w:tcW w:w="2716" w:type="dxa"/>
            <w:tcBorders>
              <w:left w:val="none" w:sz="0" w:space="0" w:color="auto"/>
              <w:right w:val="none" w:sz="0" w:space="0" w:color="auto"/>
            </w:tcBorders>
          </w:tcPr>
          <w:p w:rsidR="00BA6DDC" w:rsidRPr="00277328" w:rsidRDefault="00470E21" w:rsidP="0093064E">
            <w:pPr>
              <w:rPr>
                <w:rFonts w:cstheme="minorHAnsi"/>
                <w:i/>
                <w:color w:val="auto"/>
                <w:lang w:val="en-GB"/>
              </w:rPr>
            </w:pPr>
            <w:r w:rsidRPr="00277328">
              <w:rPr>
                <w:rFonts w:cstheme="minorHAnsi"/>
                <w:i/>
                <w:color w:val="auto"/>
                <w:lang w:val="en-GB"/>
              </w:rPr>
              <w:t>Group B: additional 2011 diagnoses</w:t>
            </w:r>
          </w:p>
        </w:tc>
        <w:tc>
          <w:tcPr>
            <w:tcW w:w="1545" w:type="dxa"/>
            <w:tcBorders>
              <w:left w:val="none" w:sz="0" w:space="0" w:color="auto"/>
              <w:right w:val="none" w:sz="0" w:space="0" w:color="auto"/>
            </w:tcBorders>
          </w:tcPr>
          <w:p w:rsidR="00BA6DDC" w:rsidRPr="00277328" w:rsidRDefault="00BA6DDC" w:rsidP="0093064E">
            <w:pPr>
              <w:cnfStyle w:val="000000100000"/>
              <w:rPr>
                <w:rFonts w:cstheme="minorHAnsi"/>
                <w:color w:val="auto"/>
                <w:lang w:val="en-GB"/>
              </w:rPr>
            </w:pPr>
          </w:p>
        </w:tc>
        <w:tc>
          <w:tcPr>
            <w:tcW w:w="1545" w:type="dxa"/>
            <w:tcBorders>
              <w:left w:val="none" w:sz="0" w:space="0" w:color="auto"/>
              <w:right w:val="none" w:sz="0" w:space="0" w:color="auto"/>
            </w:tcBorders>
          </w:tcPr>
          <w:p w:rsidR="00BA6DDC" w:rsidRPr="00277328" w:rsidRDefault="00BA6DDC" w:rsidP="0093064E">
            <w:pPr>
              <w:cnfStyle w:val="000000100000"/>
              <w:rPr>
                <w:rFonts w:cstheme="minorHAnsi"/>
                <w:color w:val="auto"/>
                <w:lang w:val="en-GB"/>
              </w:rPr>
            </w:pPr>
          </w:p>
        </w:tc>
        <w:tc>
          <w:tcPr>
            <w:tcW w:w="1358" w:type="dxa"/>
            <w:tcBorders>
              <w:left w:val="none" w:sz="0" w:space="0" w:color="auto"/>
              <w:right w:val="none" w:sz="0" w:space="0" w:color="auto"/>
            </w:tcBorders>
          </w:tcPr>
          <w:p w:rsidR="00BA6DDC" w:rsidRPr="00277328" w:rsidRDefault="00BA6DDC" w:rsidP="0093064E">
            <w:pPr>
              <w:cnfStyle w:val="000000100000"/>
              <w:rPr>
                <w:rFonts w:cstheme="minorHAnsi"/>
                <w:color w:val="auto"/>
                <w:lang w:val="en-GB"/>
              </w:rPr>
            </w:pPr>
          </w:p>
        </w:tc>
        <w:tc>
          <w:tcPr>
            <w:tcW w:w="1358" w:type="dxa"/>
            <w:tcBorders>
              <w:left w:val="none" w:sz="0" w:space="0" w:color="auto"/>
              <w:right w:val="none" w:sz="0" w:space="0" w:color="auto"/>
            </w:tcBorders>
          </w:tcPr>
          <w:p w:rsidR="00BA6DDC" w:rsidRPr="00277328" w:rsidRDefault="00BA6DDC" w:rsidP="0093064E">
            <w:pPr>
              <w:cnfStyle w:val="000000100000"/>
              <w:rPr>
                <w:rFonts w:cstheme="minorHAnsi"/>
                <w:color w:val="auto"/>
                <w:lang w:val="en-GB"/>
              </w:rPr>
            </w:pPr>
          </w:p>
        </w:tc>
      </w:tr>
      <w:tr w:rsidR="00BA6DDC" w:rsidRPr="00277328" w:rsidTr="008E2EDE">
        <w:trPr>
          <w:trHeight w:val="328"/>
        </w:trPr>
        <w:tc>
          <w:tcPr>
            <w:cnfStyle w:val="001000000000"/>
            <w:tcW w:w="2716" w:type="dxa"/>
          </w:tcPr>
          <w:p w:rsidR="00BA6DDC" w:rsidRPr="00277328" w:rsidRDefault="00470E21" w:rsidP="0093064E">
            <w:pPr>
              <w:rPr>
                <w:rFonts w:cstheme="minorHAnsi"/>
                <w:b w:val="0"/>
                <w:color w:val="auto"/>
                <w:lang w:val="en-GB"/>
              </w:rPr>
            </w:pPr>
            <w:r w:rsidRPr="00277328">
              <w:rPr>
                <w:rFonts w:cstheme="minorHAnsi"/>
                <w:b w:val="0"/>
                <w:color w:val="auto"/>
                <w:lang w:val="en-GB"/>
              </w:rPr>
              <w:t>Borderline personality disorder</w:t>
            </w:r>
            <w:r w:rsidRPr="00277328">
              <w:rPr>
                <w:rFonts w:cstheme="minorHAnsi"/>
                <w:b w:val="0"/>
                <w:color w:val="auto"/>
                <w:vertAlign w:val="superscript"/>
                <w:lang w:val="en-GB"/>
              </w:rPr>
              <w:t xml:space="preserve"> a</w:t>
            </w:r>
          </w:p>
        </w:tc>
        <w:tc>
          <w:tcPr>
            <w:tcW w:w="1545" w:type="dxa"/>
          </w:tcPr>
          <w:p w:rsidR="00BA6DDC" w:rsidRPr="00277328" w:rsidRDefault="005D2DEE" w:rsidP="0093064E">
            <w:pPr>
              <w:cnfStyle w:val="000000000000"/>
              <w:rPr>
                <w:rFonts w:cstheme="minorHAnsi"/>
                <w:color w:val="auto"/>
                <w:lang w:val="en-GB"/>
              </w:rPr>
            </w:pPr>
            <w:r w:rsidRPr="00277328">
              <w:rPr>
                <w:rFonts w:cstheme="minorHAnsi"/>
                <w:color w:val="auto"/>
                <w:lang w:val="en-GB"/>
              </w:rPr>
              <w:t>-</w:t>
            </w:r>
          </w:p>
        </w:tc>
        <w:tc>
          <w:tcPr>
            <w:tcW w:w="1545" w:type="dxa"/>
          </w:tcPr>
          <w:p w:rsidR="00BA6DDC" w:rsidRPr="00277328" w:rsidRDefault="005D2DEE" w:rsidP="0093064E">
            <w:pPr>
              <w:cnfStyle w:val="000000000000"/>
              <w:rPr>
                <w:rFonts w:cstheme="minorHAnsi"/>
                <w:color w:val="auto"/>
                <w:lang w:val="en-GB"/>
              </w:rPr>
            </w:pPr>
            <w:r w:rsidRPr="00277328">
              <w:rPr>
                <w:rFonts w:cstheme="minorHAnsi"/>
                <w:color w:val="auto"/>
                <w:lang w:val="en-GB"/>
              </w:rPr>
              <w:t>0.7</w:t>
            </w:r>
          </w:p>
        </w:tc>
        <w:tc>
          <w:tcPr>
            <w:tcW w:w="1358" w:type="dxa"/>
          </w:tcPr>
          <w:p w:rsidR="00BA6DDC" w:rsidRPr="00277328" w:rsidRDefault="0093064E" w:rsidP="0093064E">
            <w:pPr>
              <w:cnfStyle w:val="000000000000"/>
              <w:rPr>
                <w:rFonts w:cstheme="minorHAnsi"/>
                <w:color w:val="auto"/>
                <w:lang w:val="en-GB"/>
              </w:rPr>
            </w:pPr>
            <w:r w:rsidRPr="00277328">
              <w:rPr>
                <w:rFonts w:cstheme="minorHAnsi"/>
                <w:color w:val="auto"/>
                <w:lang w:val="en-GB"/>
              </w:rPr>
              <w:t>-</w:t>
            </w:r>
          </w:p>
        </w:tc>
        <w:tc>
          <w:tcPr>
            <w:tcW w:w="1358" w:type="dxa"/>
          </w:tcPr>
          <w:p w:rsidR="00BA6DDC" w:rsidRPr="00277328" w:rsidRDefault="005D2DEE" w:rsidP="0093064E">
            <w:pPr>
              <w:cnfStyle w:val="000000000000"/>
              <w:rPr>
                <w:rFonts w:cstheme="minorHAnsi"/>
                <w:color w:val="auto"/>
                <w:lang w:val="en-GB"/>
              </w:rPr>
            </w:pPr>
            <w:r w:rsidRPr="00277328">
              <w:rPr>
                <w:rFonts w:cstheme="minorHAnsi"/>
                <w:color w:val="auto"/>
                <w:lang w:val="en-GB"/>
              </w:rPr>
              <w:t>2.3</w:t>
            </w:r>
          </w:p>
        </w:tc>
      </w:tr>
      <w:tr w:rsidR="00BA6DDC" w:rsidRPr="00277328" w:rsidTr="008E2EDE">
        <w:trPr>
          <w:cnfStyle w:val="000000100000"/>
          <w:trHeight w:val="328"/>
        </w:trPr>
        <w:tc>
          <w:tcPr>
            <w:cnfStyle w:val="001000000000"/>
            <w:tcW w:w="2716" w:type="dxa"/>
            <w:tcBorders>
              <w:left w:val="none" w:sz="0" w:space="0" w:color="auto"/>
              <w:right w:val="none" w:sz="0" w:space="0" w:color="auto"/>
            </w:tcBorders>
          </w:tcPr>
          <w:p w:rsidR="00BA6DDC" w:rsidRPr="00277328" w:rsidRDefault="00470E21" w:rsidP="0093064E">
            <w:pPr>
              <w:rPr>
                <w:rFonts w:cstheme="minorHAnsi"/>
                <w:b w:val="0"/>
                <w:color w:val="auto"/>
                <w:lang w:val="en-GB"/>
              </w:rPr>
            </w:pPr>
            <w:r w:rsidRPr="00277328">
              <w:rPr>
                <w:rFonts w:cstheme="minorHAnsi"/>
                <w:b w:val="0"/>
                <w:color w:val="auto"/>
                <w:lang w:val="en-GB"/>
              </w:rPr>
              <w:t xml:space="preserve">Dissocial personality disorder </w:t>
            </w:r>
            <w:r w:rsidRPr="00277328">
              <w:rPr>
                <w:rFonts w:cstheme="minorHAnsi"/>
                <w:b w:val="0"/>
                <w:color w:val="auto"/>
                <w:vertAlign w:val="superscript"/>
                <w:lang w:val="en-GB"/>
              </w:rPr>
              <w:t>a</w:t>
            </w:r>
          </w:p>
        </w:tc>
        <w:tc>
          <w:tcPr>
            <w:tcW w:w="1545" w:type="dxa"/>
            <w:tcBorders>
              <w:left w:val="none" w:sz="0" w:space="0" w:color="auto"/>
              <w:right w:val="none" w:sz="0" w:space="0" w:color="auto"/>
            </w:tcBorders>
          </w:tcPr>
          <w:p w:rsidR="00BA6DDC" w:rsidRPr="00277328" w:rsidRDefault="0093064E" w:rsidP="0093064E">
            <w:pPr>
              <w:cnfStyle w:val="000000100000"/>
              <w:rPr>
                <w:rFonts w:cstheme="minorHAnsi"/>
                <w:color w:val="auto"/>
                <w:lang w:val="en-GB"/>
              </w:rPr>
            </w:pPr>
            <w:r w:rsidRPr="00277328">
              <w:rPr>
                <w:rFonts w:cstheme="minorHAnsi"/>
                <w:color w:val="auto"/>
                <w:lang w:val="en-GB"/>
              </w:rPr>
              <w:t>-</w:t>
            </w:r>
          </w:p>
        </w:tc>
        <w:tc>
          <w:tcPr>
            <w:tcW w:w="1545" w:type="dxa"/>
            <w:tcBorders>
              <w:left w:val="none" w:sz="0" w:space="0" w:color="auto"/>
              <w:right w:val="none" w:sz="0" w:space="0" w:color="auto"/>
            </w:tcBorders>
          </w:tcPr>
          <w:p w:rsidR="00BA6DDC" w:rsidRPr="00277328" w:rsidRDefault="005D2DEE" w:rsidP="0093064E">
            <w:pPr>
              <w:cnfStyle w:val="000000100000"/>
              <w:rPr>
                <w:rFonts w:cstheme="minorHAnsi"/>
                <w:color w:val="auto"/>
                <w:lang w:val="en-GB"/>
              </w:rPr>
            </w:pPr>
            <w:r w:rsidRPr="00277328">
              <w:rPr>
                <w:rFonts w:cstheme="minorHAnsi"/>
                <w:color w:val="auto"/>
                <w:lang w:val="en-GB"/>
              </w:rPr>
              <w:t>0.6</w:t>
            </w:r>
          </w:p>
        </w:tc>
        <w:tc>
          <w:tcPr>
            <w:tcW w:w="1358" w:type="dxa"/>
            <w:tcBorders>
              <w:left w:val="none" w:sz="0" w:space="0" w:color="auto"/>
              <w:right w:val="none" w:sz="0" w:space="0" w:color="auto"/>
            </w:tcBorders>
          </w:tcPr>
          <w:p w:rsidR="00BA6DDC" w:rsidRPr="00277328" w:rsidRDefault="0093064E" w:rsidP="0093064E">
            <w:pPr>
              <w:cnfStyle w:val="000000100000"/>
              <w:rPr>
                <w:rFonts w:cstheme="minorHAnsi"/>
                <w:color w:val="auto"/>
                <w:lang w:val="en-GB"/>
              </w:rPr>
            </w:pPr>
            <w:r w:rsidRPr="00277328">
              <w:rPr>
                <w:rFonts w:cstheme="minorHAnsi"/>
                <w:color w:val="auto"/>
                <w:lang w:val="en-GB"/>
              </w:rPr>
              <w:t>-</w:t>
            </w:r>
          </w:p>
        </w:tc>
        <w:tc>
          <w:tcPr>
            <w:tcW w:w="1358" w:type="dxa"/>
            <w:tcBorders>
              <w:left w:val="none" w:sz="0" w:space="0" w:color="auto"/>
              <w:right w:val="none" w:sz="0" w:space="0" w:color="auto"/>
            </w:tcBorders>
          </w:tcPr>
          <w:p w:rsidR="00BA6DDC" w:rsidRPr="00277328" w:rsidRDefault="005D2DEE" w:rsidP="0093064E">
            <w:pPr>
              <w:cnfStyle w:val="000000100000"/>
              <w:rPr>
                <w:rFonts w:cstheme="minorHAnsi"/>
                <w:color w:val="auto"/>
                <w:lang w:val="en-GB"/>
              </w:rPr>
            </w:pPr>
            <w:r w:rsidRPr="00277328">
              <w:rPr>
                <w:rFonts w:cstheme="minorHAnsi"/>
                <w:color w:val="auto"/>
                <w:lang w:val="en-GB"/>
              </w:rPr>
              <w:t>2.0</w:t>
            </w:r>
          </w:p>
        </w:tc>
      </w:tr>
      <w:tr w:rsidR="00BA6DDC" w:rsidRPr="00277328" w:rsidTr="008E2EDE">
        <w:trPr>
          <w:trHeight w:val="328"/>
        </w:trPr>
        <w:tc>
          <w:tcPr>
            <w:cnfStyle w:val="001000000000"/>
            <w:tcW w:w="2716" w:type="dxa"/>
          </w:tcPr>
          <w:p w:rsidR="00BA6DDC" w:rsidRPr="00277328" w:rsidRDefault="00470E21" w:rsidP="0093064E">
            <w:pPr>
              <w:rPr>
                <w:rFonts w:cstheme="minorHAnsi"/>
                <w:b w:val="0"/>
                <w:color w:val="auto"/>
                <w:lang w:val="en-GB"/>
              </w:rPr>
            </w:pPr>
            <w:r w:rsidRPr="00277328">
              <w:rPr>
                <w:rFonts w:cstheme="minorHAnsi"/>
                <w:b w:val="0"/>
                <w:color w:val="auto"/>
                <w:lang w:val="en-GB"/>
              </w:rPr>
              <w:t>Hyperkinetic dis. /ADHD</w:t>
            </w:r>
          </w:p>
        </w:tc>
        <w:tc>
          <w:tcPr>
            <w:tcW w:w="1545" w:type="dxa"/>
          </w:tcPr>
          <w:p w:rsidR="00BA6DDC" w:rsidRPr="00277328" w:rsidRDefault="0093064E" w:rsidP="0093064E">
            <w:pPr>
              <w:cnfStyle w:val="000000000000"/>
              <w:rPr>
                <w:rFonts w:cstheme="minorHAnsi"/>
                <w:color w:val="auto"/>
                <w:lang w:val="en-GB"/>
              </w:rPr>
            </w:pPr>
            <w:r w:rsidRPr="00277328">
              <w:rPr>
                <w:rFonts w:cstheme="minorHAnsi"/>
                <w:color w:val="auto"/>
                <w:lang w:val="en-GB"/>
              </w:rPr>
              <w:t>-</w:t>
            </w:r>
          </w:p>
        </w:tc>
        <w:tc>
          <w:tcPr>
            <w:tcW w:w="1545" w:type="dxa"/>
          </w:tcPr>
          <w:p w:rsidR="00BA6DDC" w:rsidRPr="00277328" w:rsidRDefault="005D2DEE" w:rsidP="0093064E">
            <w:pPr>
              <w:cnfStyle w:val="000000000000"/>
              <w:rPr>
                <w:rFonts w:cstheme="minorHAnsi"/>
                <w:color w:val="auto"/>
                <w:lang w:val="en-GB"/>
              </w:rPr>
            </w:pPr>
            <w:r w:rsidRPr="00277328">
              <w:rPr>
                <w:rFonts w:cstheme="minorHAnsi"/>
                <w:color w:val="auto"/>
                <w:lang w:val="en-GB"/>
              </w:rPr>
              <w:t>(5.0) 0.6</w:t>
            </w:r>
          </w:p>
        </w:tc>
        <w:tc>
          <w:tcPr>
            <w:tcW w:w="1358" w:type="dxa"/>
          </w:tcPr>
          <w:p w:rsidR="00BA6DDC" w:rsidRPr="00277328" w:rsidRDefault="0093064E" w:rsidP="0093064E">
            <w:pPr>
              <w:cnfStyle w:val="000000000000"/>
              <w:rPr>
                <w:rFonts w:cstheme="minorHAnsi"/>
                <w:color w:val="auto"/>
                <w:lang w:val="en-GB"/>
              </w:rPr>
            </w:pPr>
            <w:r w:rsidRPr="00277328">
              <w:rPr>
                <w:rFonts w:cstheme="minorHAnsi"/>
                <w:color w:val="auto"/>
                <w:lang w:val="en-GB"/>
              </w:rPr>
              <w:t>-</w:t>
            </w:r>
          </w:p>
        </w:tc>
        <w:tc>
          <w:tcPr>
            <w:tcW w:w="1358" w:type="dxa"/>
          </w:tcPr>
          <w:p w:rsidR="00BA6DDC" w:rsidRPr="00277328" w:rsidRDefault="005D2DEE" w:rsidP="0093064E">
            <w:pPr>
              <w:cnfStyle w:val="000000000000"/>
              <w:rPr>
                <w:rFonts w:cstheme="minorHAnsi"/>
                <w:color w:val="auto"/>
                <w:lang w:val="en-GB"/>
              </w:rPr>
            </w:pPr>
            <w:r w:rsidRPr="00277328">
              <w:rPr>
                <w:rFonts w:cstheme="minorHAnsi"/>
                <w:color w:val="auto"/>
                <w:lang w:val="en-GB"/>
              </w:rPr>
              <w:t>3.3</w:t>
            </w:r>
          </w:p>
        </w:tc>
      </w:tr>
      <w:tr w:rsidR="00BA6DDC" w:rsidRPr="00277328" w:rsidTr="008E2EDE">
        <w:trPr>
          <w:cnfStyle w:val="000000100000"/>
          <w:trHeight w:val="328"/>
        </w:trPr>
        <w:tc>
          <w:tcPr>
            <w:cnfStyle w:val="001000000000"/>
            <w:tcW w:w="2716" w:type="dxa"/>
            <w:tcBorders>
              <w:left w:val="none" w:sz="0" w:space="0" w:color="auto"/>
              <w:right w:val="none" w:sz="0" w:space="0" w:color="auto"/>
            </w:tcBorders>
          </w:tcPr>
          <w:p w:rsidR="00BA6DDC" w:rsidRPr="00277328" w:rsidRDefault="00470E21" w:rsidP="0093064E">
            <w:pPr>
              <w:rPr>
                <w:rFonts w:cstheme="minorHAnsi"/>
                <w:b w:val="0"/>
                <w:color w:val="auto"/>
                <w:lang w:val="en-GB"/>
              </w:rPr>
            </w:pPr>
            <w:r w:rsidRPr="00277328">
              <w:rPr>
                <w:rFonts w:cstheme="minorHAnsi"/>
                <w:b w:val="0"/>
                <w:color w:val="auto"/>
                <w:lang w:val="en-GB"/>
              </w:rPr>
              <w:t>Pervasive dev. dis. /Autism</w:t>
            </w:r>
          </w:p>
        </w:tc>
        <w:tc>
          <w:tcPr>
            <w:tcW w:w="1545" w:type="dxa"/>
            <w:tcBorders>
              <w:left w:val="none" w:sz="0" w:space="0" w:color="auto"/>
              <w:right w:val="none" w:sz="0" w:space="0" w:color="auto"/>
            </w:tcBorders>
          </w:tcPr>
          <w:p w:rsidR="00BA6DDC" w:rsidRPr="00277328" w:rsidRDefault="0093064E" w:rsidP="0093064E">
            <w:pPr>
              <w:cnfStyle w:val="000000100000"/>
              <w:rPr>
                <w:rFonts w:cstheme="minorHAnsi"/>
                <w:color w:val="auto"/>
                <w:lang w:val="en-GB"/>
              </w:rPr>
            </w:pPr>
            <w:r w:rsidRPr="00277328">
              <w:rPr>
                <w:rFonts w:cstheme="minorHAnsi"/>
                <w:color w:val="auto"/>
                <w:lang w:val="en-GB"/>
              </w:rPr>
              <w:t>-</w:t>
            </w:r>
          </w:p>
        </w:tc>
        <w:tc>
          <w:tcPr>
            <w:tcW w:w="1545" w:type="dxa"/>
            <w:tcBorders>
              <w:left w:val="none" w:sz="0" w:space="0" w:color="auto"/>
              <w:right w:val="none" w:sz="0" w:space="0" w:color="auto"/>
            </w:tcBorders>
          </w:tcPr>
          <w:p w:rsidR="00BA6DDC" w:rsidRPr="00277328" w:rsidRDefault="005D2DEE" w:rsidP="0093064E">
            <w:pPr>
              <w:cnfStyle w:val="000000100000"/>
              <w:rPr>
                <w:rFonts w:cstheme="minorHAnsi"/>
                <w:color w:val="auto"/>
                <w:lang w:val="en-GB"/>
              </w:rPr>
            </w:pPr>
            <w:r w:rsidRPr="00277328">
              <w:rPr>
                <w:rFonts w:cstheme="minorHAnsi"/>
                <w:color w:val="auto"/>
                <w:lang w:val="en-GB"/>
              </w:rPr>
              <w:t>0.6</w:t>
            </w:r>
          </w:p>
        </w:tc>
        <w:tc>
          <w:tcPr>
            <w:tcW w:w="1358" w:type="dxa"/>
            <w:tcBorders>
              <w:left w:val="none" w:sz="0" w:space="0" w:color="auto"/>
              <w:right w:val="none" w:sz="0" w:space="0" w:color="auto"/>
            </w:tcBorders>
          </w:tcPr>
          <w:p w:rsidR="00BA6DDC" w:rsidRPr="00277328" w:rsidRDefault="0093064E" w:rsidP="0093064E">
            <w:pPr>
              <w:cnfStyle w:val="000000100000"/>
              <w:rPr>
                <w:rFonts w:cstheme="minorHAnsi"/>
                <w:color w:val="auto"/>
                <w:lang w:val="en-GB"/>
              </w:rPr>
            </w:pPr>
            <w:r w:rsidRPr="00277328">
              <w:rPr>
                <w:rFonts w:cstheme="minorHAnsi"/>
                <w:color w:val="auto"/>
                <w:lang w:val="en-GB"/>
              </w:rPr>
              <w:t>-</w:t>
            </w:r>
          </w:p>
        </w:tc>
        <w:tc>
          <w:tcPr>
            <w:tcW w:w="1358" w:type="dxa"/>
            <w:tcBorders>
              <w:left w:val="none" w:sz="0" w:space="0" w:color="auto"/>
              <w:right w:val="none" w:sz="0" w:space="0" w:color="auto"/>
            </w:tcBorders>
          </w:tcPr>
          <w:p w:rsidR="00BA6DDC" w:rsidRPr="00277328" w:rsidRDefault="005D2DEE" w:rsidP="0093064E">
            <w:pPr>
              <w:cnfStyle w:val="000000100000"/>
              <w:rPr>
                <w:rFonts w:cstheme="minorHAnsi"/>
                <w:color w:val="auto"/>
                <w:lang w:val="en-GB"/>
              </w:rPr>
            </w:pPr>
            <w:r w:rsidRPr="00277328">
              <w:rPr>
                <w:rFonts w:cstheme="minorHAnsi"/>
                <w:color w:val="auto"/>
                <w:lang w:val="en-GB"/>
              </w:rPr>
              <w:t>0.6</w:t>
            </w:r>
          </w:p>
        </w:tc>
      </w:tr>
      <w:tr w:rsidR="00BA6DDC" w:rsidRPr="00277328" w:rsidTr="008E2EDE">
        <w:trPr>
          <w:trHeight w:val="328"/>
        </w:trPr>
        <w:tc>
          <w:tcPr>
            <w:cnfStyle w:val="001000000000"/>
            <w:tcW w:w="2716" w:type="dxa"/>
          </w:tcPr>
          <w:p w:rsidR="00BA6DDC" w:rsidRPr="00277328" w:rsidRDefault="00470E21" w:rsidP="0093064E">
            <w:pPr>
              <w:rPr>
                <w:rFonts w:cstheme="minorHAnsi"/>
                <w:b w:val="0"/>
                <w:color w:val="auto"/>
                <w:lang w:val="en-GB"/>
              </w:rPr>
            </w:pPr>
            <w:r w:rsidRPr="00277328">
              <w:rPr>
                <w:rFonts w:cstheme="minorHAnsi"/>
                <w:b w:val="0"/>
                <w:color w:val="auto"/>
                <w:lang w:val="en-GB"/>
              </w:rPr>
              <w:t>Conduct disorders</w:t>
            </w:r>
            <w:r w:rsidRPr="00277328">
              <w:rPr>
                <w:rFonts w:cstheme="minorHAnsi"/>
                <w:b w:val="0"/>
                <w:color w:val="auto"/>
                <w:vertAlign w:val="superscript"/>
                <w:lang w:val="en-GB"/>
              </w:rPr>
              <w:t xml:space="preserve"> b</w:t>
            </w:r>
          </w:p>
        </w:tc>
        <w:tc>
          <w:tcPr>
            <w:tcW w:w="1545" w:type="dxa"/>
          </w:tcPr>
          <w:p w:rsidR="00BA6DDC" w:rsidRPr="00277328" w:rsidRDefault="0093064E" w:rsidP="0093064E">
            <w:pPr>
              <w:cnfStyle w:val="000000000000"/>
              <w:rPr>
                <w:rFonts w:cstheme="minorHAnsi"/>
                <w:color w:val="auto"/>
                <w:lang w:val="en-GB"/>
              </w:rPr>
            </w:pPr>
            <w:r w:rsidRPr="00277328">
              <w:rPr>
                <w:rFonts w:cstheme="minorHAnsi"/>
                <w:color w:val="auto"/>
                <w:lang w:val="en-GB"/>
              </w:rPr>
              <w:t>-</w:t>
            </w:r>
          </w:p>
        </w:tc>
        <w:tc>
          <w:tcPr>
            <w:tcW w:w="1545" w:type="dxa"/>
          </w:tcPr>
          <w:p w:rsidR="00BA6DDC" w:rsidRPr="00277328" w:rsidRDefault="005D2DEE" w:rsidP="0093064E">
            <w:pPr>
              <w:cnfStyle w:val="000000000000"/>
              <w:rPr>
                <w:rFonts w:cstheme="minorHAnsi"/>
                <w:color w:val="auto"/>
                <w:lang w:val="en-GB"/>
              </w:rPr>
            </w:pPr>
            <w:r w:rsidRPr="00277328">
              <w:rPr>
                <w:rFonts w:cstheme="minorHAnsi"/>
                <w:color w:val="auto"/>
                <w:lang w:val="en-GB"/>
              </w:rPr>
              <w:t>(3.0) 0.4</w:t>
            </w:r>
          </w:p>
        </w:tc>
        <w:tc>
          <w:tcPr>
            <w:tcW w:w="1358" w:type="dxa"/>
          </w:tcPr>
          <w:p w:rsidR="00BA6DDC" w:rsidRPr="00277328" w:rsidRDefault="0093064E" w:rsidP="0093064E">
            <w:pPr>
              <w:cnfStyle w:val="000000000000"/>
              <w:rPr>
                <w:rFonts w:cstheme="minorHAnsi"/>
                <w:color w:val="auto"/>
                <w:lang w:val="en-GB"/>
              </w:rPr>
            </w:pPr>
            <w:r w:rsidRPr="00277328">
              <w:rPr>
                <w:rFonts w:cstheme="minorHAnsi"/>
                <w:color w:val="auto"/>
                <w:lang w:val="en-GB"/>
              </w:rPr>
              <w:t>-</w:t>
            </w:r>
          </w:p>
        </w:tc>
        <w:tc>
          <w:tcPr>
            <w:tcW w:w="1358" w:type="dxa"/>
          </w:tcPr>
          <w:p w:rsidR="00BA6DDC" w:rsidRPr="00277328" w:rsidRDefault="005D2DEE" w:rsidP="0093064E">
            <w:pPr>
              <w:cnfStyle w:val="000000000000"/>
              <w:rPr>
                <w:rFonts w:cstheme="minorHAnsi"/>
                <w:color w:val="auto"/>
                <w:lang w:val="en-GB"/>
              </w:rPr>
            </w:pPr>
            <w:r w:rsidRPr="00277328">
              <w:rPr>
                <w:rFonts w:cstheme="minorHAnsi"/>
                <w:color w:val="auto"/>
                <w:lang w:val="en-GB"/>
              </w:rPr>
              <w:t>2.1</w:t>
            </w:r>
          </w:p>
        </w:tc>
      </w:tr>
      <w:tr w:rsidR="00BA6DDC" w:rsidRPr="00277328" w:rsidTr="008E2EDE">
        <w:trPr>
          <w:cnfStyle w:val="000000100000"/>
          <w:trHeight w:val="328"/>
        </w:trPr>
        <w:tc>
          <w:tcPr>
            <w:cnfStyle w:val="001000000000"/>
            <w:tcW w:w="2716" w:type="dxa"/>
            <w:tcBorders>
              <w:left w:val="none" w:sz="0" w:space="0" w:color="auto"/>
              <w:right w:val="none" w:sz="0" w:space="0" w:color="auto"/>
            </w:tcBorders>
          </w:tcPr>
          <w:p w:rsidR="00BA6DDC" w:rsidRPr="00277328" w:rsidRDefault="00470E21" w:rsidP="0093064E">
            <w:pPr>
              <w:rPr>
                <w:rFonts w:cstheme="minorHAnsi"/>
                <w:b w:val="0"/>
                <w:color w:val="auto"/>
                <w:lang w:val="en-GB"/>
              </w:rPr>
            </w:pPr>
            <w:r w:rsidRPr="00277328">
              <w:rPr>
                <w:rFonts w:cstheme="minorHAnsi"/>
                <w:b w:val="0"/>
                <w:color w:val="auto"/>
                <w:lang w:val="en-GB"/>
              </w:rPr>
              <w:t>Mental retardation</w:t>
            </w:r>
          </w:p>
        </w:tc>
        <w:tc>
          <w:tcPr>
            <w:tcW w:w="1545" w:type="dxa"/>
            <w:tcBorders>
              <w:left w:val="none" w:sz="0" w:space="0" w:color="auto"/>
              <w:right w:val="none" w:sz="0" w:space="0" w:color="auto"/>
            </w:tcBorders>
          </w:tcPr>
          <w:p w:rsidR="00BA6DDC" w:rsidRPr="00277328" w:rsidRDefault="0093064E" w:rsidP="0093064E">
            <w:pPr>
              <w:cnfStyle w:val="000000100000"/>
              <w:rPr>
                <w:rFonts w:cstheme="minorHAnsi"/>
                <w:color w:val="auto"/>
                <w:lang w:val="en-GB"/>
              </w:rPr>
            </w:pPr>
            <w:r w:rsidRPr="00277328">
              <w:rPr>
                <w:rFonts w:cstheme="minorHAnsi"/>
                <w:color w:val="auto"/>
                <w:lang w:val="en-GB"/>
              </w:rPr>
              <w:t>-</w:t>
            </w:r>
          </w:p>
        </w:tc>
        <w:tc>
          <w:tcPr>
            <w:tcW w:w="1545" w:type="dxa"/>
            <w:tcBorders>
              <w:left w:val="none" w:sz="0" w:space="0" w:color="auto"/>
              <w:right w:val="none" w:sz="0" w:space="0" w:color="auto"/>
            </w:tcBorders>
          </w:tcPr>
          <w:p w:rsidR="00BA6DDC" w:rsidRPr="00277328" w:rsidRDefault="005D2DEE" w:rsidP="0093064E">
            <w:pPr>
              <w:cnfStyle w:val="000000100000"/>
              <w:rPr>
                <w:rFonts w:cstheme="minorHAnsi"/>
                <w:color w:val="auto"/>
                <w:lang w:val="en-GB"/>
              </w:rPr>
            </w:pPr>
            <w:r w:rsidRPr="00277328">
              <w:rPr>
                <w:rFonts w:cstheme="minorHAnsi"/>
                <w:color w:val="auto"/>
                <w:lang w:val="en-GB"/>
              </w:rPr>
              <w:t>1.0</w:t>
            </w:r>
          </w:p>
        </w:tc>
        <w:tc>
          <w:tcPr>
            <w:tcW w:w="1358" w:type="dxa"/>
            <w:tcBorders>
              <w:left w:val="none" w:sz="0" w:space="0" w:color="auto"/>
              <w:right w:val="none" w:sz="0" w:space="0" w:color="auto"/>
            </w:tcBorders>
          </w:tcPr>
          <w:p w:rsidR="00BA6DDC" w:rsidRPr="00277328" w:rsidRDefault="0093064E" w:rsidP="0093064E">
            <w:pPr>
              <w:cnfStyle w:val="000000100000"/>
              <w:rPr>
                <w:rFonts w:cstheme="minorHAnsi"/>
                <w:color w:val="auto"/>
                <w:lang w:val="en-GB"/>
              </w:rPr>
            </w:pPr>
            <w:r w:rsidRPr="00277328">
              <w:rPr>
                <w:rFonts w:cstheme="minorHAnsi"/>
                <w:color w:val="auto"/>
                <w:lang w:val="en-GB"/>
              </w:rPr>
              <w:t>-</w:t>
            </w:r>
          </w:p>
        </w:tc>
        <w:tc>
          <w:tcPr>
            <w:tcW w:w="1358" w:type="dxa"/>
            <w:tcBorders>
              <w:left w:val="none" w:sz="0" w:space="0" w:color="auto"/>
              <w:right w:val="none" w:sz="0" w:space="0" w:color="auto"/>
            </w:tcBorders>
          </w:tcPr>
          <w:p w:rsidR="00BA6DDC" w:rsidRPr="00277328" w:rsidRDefault="005D2DEE" w:rsidP="0093064E">
            <w:pPr>
              <w:cnfStyle w:val="000000100000"/>
              <w:rPr>
                <w:rFonts w:cstheme="minorHAnsi"/>
                <w:color w:val="auto"/>
                <w:lang w:val="en-GB"/>
              </w:rPr>
            </w:pPr>
            <w:r w:rsidRPr="00277328">
              <w:rPr>
                <w:rFonts w:cstheme="minorHAnsi"/>
                <w:color w:val="auto"/>
                <w:lang w:val="en-GB"/>
              </w:rPr>
              <w:t>4.2</w:t>
            </w:r>
          </w:p>
        </w:tc>
      </w:tr>
      <w:tr w:rsidR="00BA6DDC" w:rsidRPr="00277328" w:rsidTr="008E2EDE">
        <w:trPr>
          <w:trHeight w:val="328"/>
        </w:trPr>
        <w:tc>
          <w:tcPr>
            <w:cnfStyle w:val="001000000000"/>
            <w:tcW w:w="2716" w:type="dxa"/>
          </w:tcPr>
          <w:p w:rsidR="00BA6DDC" w:rsidRPr="00277328" w:rsidRDefault="00470E21" w:rsidP="0093064E">
            <w:pPr>
              <w:rPr>
                <w:rFonts w:cstheme="minorHAnsi"/>
                <w:b w:val="0"/>
                <w:color w:val="auto"/>
                <w:lang w:val="en-GB"/>
              </w:rPr>
            </w:pPr>
            <w:r w:rsidRPr="00277328">
              <w:rPr>
                <w:rFonts w:cstheme="minorHAnsi"/>
                <w:b w:val="0"/>
                <w:color w:val="auto"/>
                <w:lang w:val="en-GB"/>
              </w:rPr>
              <w:t>Insomnia</w:t>
            </w:r>
          </w:p>
        </w:tc>
        <w:tc>
          <w:tcPr>
            <w:tcW w:w="1545" w:type="dxa"/>
          </w:tcPr>
          <w:p w:rsidR="00BA6DDC" w:rsidRPr="00277328" w:rsidRDefault="0093064E" w:rsidP="0093064E">
            <w:pPr>
              <w:cnfStyle w:val="000000000000"/>
              <w:rPr>
                <w:rFonts w:cstheme="minorHAnsi"/>
                <w:color w:val="auto"/>
                <w:lang w:val="en-GB"/>
              </w:rPr>
            </w:pPr>
            <w:r w:rsidRPr="00277328">
              <w:rPr>
                <w:rFonts w:cstheme="minorHAnsi"/>
                <w:color w:val="auto"/>
                <w:lang w:val="en-GB"/>
              </w:rPr>
              <w:t>-</w:t>
            </w:r>
          </w:p>
        </w:tc>
        <w:tc>
          <w:tcPr>
            <w:tcW w:w="1545" w:type="dxa"/>
          </w:tcPr>
          <w:p w:rsidR="00BA6DDC" w:rsidRPr="00277328" w:rsidRDefault="005D2DEE" w:rsidP="0093064E">
            <w:pPr>
              <w:cnfStyle w:val="000000000000"/>
              <w:rPr>
                <w:rFonts w:cstheme="minorHAnsi"/>
                <w:color w:val="auto"/>
                <w:lang w:val="en-GB"/>
              </w:rPr>
            </w:pPr>
            <w:r w:rsidRPr="00277328">
              <w:rPr>
                <w:rFonts w:cstheme="minorHAnsi"/>
                <w:color w:val="auto"/>
                <w:lang w:val="en-GB"/>
              </w:rPr>
              <w:t>(7.0) 3.5</w:t>
            </w:r>
          </w:p>
        </w:tc>
        <w:tc>
          <w:tcPr>
            <w:tcW w:w="1358" w:type="dxa"/>
          </w:tcPr>
          <w:p w:rsidR="00BA6DDC" w:rsidRPr="00277328" w:rsidRDefault="0093064E" w:rsidP="0093064E">
            <w:pPr>
              <w:cnfStyle w:val="000000000000"/>
              <w:rPr>
                <w:rFonts w:cstheme="minorHAnsi"/>
                <w:color w:val="auto"/>
                <w:lang w:val="en-GB"/>
              </w:rPr>
            </w:pPr>
            <w:r w:rsidRPr="00277328">
              <w:rPr>
                <w:rFonts w:cstheme="minorHAnsi"/>
                <w:color w:val="auto"/>
                <w:lang w:val="en-GB"/>
              </w:rPr>
              <w:t>-</w:t>
            </w:r>
          </w:p>
        </w:tc>
        <w:tc>
          <w:tcPr>
            <w:tcW w:w="1358" w:type="dxa"/>
          </w:tcPr>
          <w:p w:rsidR="00BA6DDC" w:rsidRPr="00277328" w:rsidRDefault="005D2DEE" w:rsidP="0093064E">
            <w:pPr>
              <w:cnfStyle w:val="000000000000"/>
              <w:rPr>
                <w:rFonts w:cstheme="minorHAnsi"/>
                <w:color w:val="auto"/>
                <w:lang w:val="en-GB"/>
              </w:rPr>
            </w:pPr>
            <w:r w:rsidRPr="00277328">
              <w:rPr>
                <w:rFonts w:cstheme="minorHAnsi"/>
                <w:color w:val="auto"/>
                <w:lang w:val="en-GB"/>
              </w:rPr>
              <w:t>(29.1) 14.6</w:t>
            </w:r>
          </w:p>
        </w:tc>
      </w:tr>
      <w:tr w:rsidR="00BA6DDC" w:rsidRPr="00277328" w:rsidTr="008E2EDE">
        <w:trPr>
          <w:cnfStyle w:val="000000100000"/>
          <w:trHeight w:val="328"/>
        </w:trPr>
        <w:tc>
          <w:tcPr>
            <w:cnfStyle w:val="001000000000"/>
            <w:tcW w:w="2716" w:type="dxa"/>
            <w:tcBorders>
              <w:left w:val="none" w:sz="0" w:space="0" w:color="auto"/>
              <w:right w:val="none" w:sz="0" w:space="0" w:color="auto"/>
            </w:tcBorders>
          </w:tcPr>
          <w:p w:rsidR="00BA6DDC" w:rsidRPr="00277328" w:rsidRDefault="00470E21" w:rsidP="0093064E">
            <w:pPr>
              <w:rPr>
                <w:rFonts w:cstheme="minorHAnsi"/>
                <w:b w:val="0"/>
                <w:color w:val="auto"/>
                <w:lang w:val="en-GB"/>
              </w:rPr>
            </w:pPr>
            <w:r w:rsidRPr="00277328">
              <w:rPr>
                <w:rFonts w:cstheme="minorHAnsi"/>
                <w:b w:val="0"/>
                <w:color w:val="auto"/>
                <w:lang w:val="en-GB"/>
              </w:rPr>
              <w:t>Hypersomnia</w:t>
            </w:r>
          </w:p>
        </w:tc>
        <w:tc>
          <w:tcPr>
            <w:tcW w:w="1545" w:type="dxa"/>
            <w:tcBorders>
              <w:left w:val="none" w:sz="0" w:space="0" w:color="auto"/>
              <w:right w:val="none" w:sz="0" w:space="0" w:color="auto"/>
            </w:tcBorders>
          </w:tcPr>
          <w:p w:rsidR="00BA6DDC" w:rsidRPr="00277328" w:rsidRDefault="0093064E" w:rsidP="0093064E">
            <w:pPr>
              <w:cnfStyle w:val="000000100000"/>
              <w:rPr>
                <w:rFonts w:cstheme="minorHAnsi"/>
                <w:color w:val="auto"/>
                <w:lang w:val="en-GB"/>
              </w:rPr>
            </w:pPr>
            <w:r w:rsidRPr="00277328">
              <w:rPr>
                <w:rFonts w:cstheme="minorHAnsi"/>
                <w:color w:val="auto"/>
                <w:lang w:val="en-GB"/>
              </w:rPr>
              <w:t>-</w:t>
            </w:r>
          </w:p>
        </w:tc>
        <w:tc>
          <w:tcPr>
            <w:tcW w:w="1545" w:type="dxa"/>
            <w:tcBorders>
              <w:left w:val="none" w:sz="0" w:space="0" w:color="auto"/>
              <w:right w:val="none" w:sz="0" w:space="0" w:color="auto"/>
            </w:tcBorders>
          </w:tcPr>
          <w:p w:rsidR="00BA6DDC" w:rsidRPr="00277328" w:rsidRDefault="005D2DEE" w:rsidP="0093064E">
            <w:pPr>
              <w:cnfStyle w:val="000000100000"/>
              <w:rPr>
                <w:rFonts w:cstheme="minorHAnsi"/>
                <w:color w:val="auto"/>
                <w:lang w:val="en-GB"/>
              </w:rPr>
            </w:pPr>
            <w:r w:rsidRPr="00277328">
              <w:rPr>
                <w:rFonts w:cstheme="minorHAnsi"/>
                <w:color w:val="auto"/>
                <w:lang w:val="en-GB"/>
              </w:rPr>
              <w:t>0.8</w:t>
            </w:r>
          </w:p>
        </w:tc>
        <w:tc>
          <w:tcPr>
            <w:tcW w:w="1358" w:type="dxa"/>
            <w:tcBorders>
              <w:left w:val="none" w:sz="0" w:space="0" w:color="auto"/>
              <w:right w:val="none" w:sz="0" w:space="0" w:color="auto"/>
            </w:tcBorders>
          </w:tcPr>
          <w:p w:rsidR="00BA6DDC" w:rsidRPr="00277328" w:rsidRDefault="0093064E" w:rsidP="0093064E">
            <w:pPr>
              <w:cnfStyle w:val="000000100000"/>
              <w:rPr>
                <w:rFonts w:cstheme="minorHAnsi"/>
                <w:color w:val="auto"/>
                <w:lang w:val="en-GB"/>
              </w:rPr>
            </w:pPr>
            <w:r w:rsidRPr="00277328">
              <w:rPr>
                <w:rFonts w:cstheme="minorHAnsi"/>
                <w:color w:val="auto"/>
                <w:lang w:val="en-GB"/>
              </w:rPr>
              <w:t>-</w:t>
            </w:r>
          </w:p>
        </w:tc>
        <w:tc>
          <w:tcPr>
            <w:tcW w:w="1358" w:type="dxa"/>
            <w:tcBorders>
              <w:left w:val="none" w:sz="0" w:space="0" w:color="auto"/>
              <w:right w:val="none" w:sz="0" w:space="0" w:color="auto"/>
            </w:tcBorders>
          </w:tcPr>
          <w:p w:rsidR="00BA6DDC" w:rsidRPr="00277328" w:rsidRDefault="005D2DEE" w:rsidP="0093064E">
            <w:pPr>
              <w:cnfStyle w:val="000000100000"/>
              <w:rPr>
                <w:rFonts w:cstheme="minorHAnsi"/>
                <w:color w:val="auto"/>
                <w:lang w:val="en-GB"/>
              </w:rPr>
            </w:pPr>
            <w:r w:rsidRPr="00277328">
              <w:rPr>
                <w:rFonts w:cstheme="minorHAnsi"/>
                <w:color w:val="auto"/>
                <w:lang w:val="en-GB"/>
              </w:rPr>
              <w:t>3.1</w:t>
            </w:r>
          </w:p>
        </w:tc>
      </w:tr>
      <w:tr w:rsidR="00BA6DDC" w:rsidRPr="00277328" w:rsidTr="008E2EDE">
        <w:trPr>
          <w:trHeight w:val="328"/>
        </w:trPr>
        <w:tc>
          <w:tcPr>
            <w:cnfStyle w:val="001000000000"/>
            <w:tcW w:w="2716" w:type="dxa"/>
          </w:tcPr>
          <w:p w:rsidR="00BA6DDC" w:rsidRPr="00277328" w:rsidRDefault="00470E21" w:rsidP="0093064E">
            <w:pPr>
              <w:rPr>
                <w:rFonts w:cstheme="minorHAnsi"/>
                <w:b w:val="0"/>
                <w:color w:val="auto"/>
                <w:lang w:val="en-GB"/>
              </w:rPr>
            </w:pPr>
            <w:r w:rsidRPr="00277328">
              <w:rPr>
                <w:rFonts w:cstheme="minorHAnsi"/>
                <w:b w:val="0"/>
                <w:color w:val="auto"/>
                <w:lang w:val="en-GB"/>
              </w:rPr>
              <w:t>Narcolepsy</w:t>
            </w:r>
          </w:p>
        </w:tc>
        <w:tc>
          <w:tcPr>
            <w:tcW w:w="1545" w:type="dxa"/>
          </w:tcPr>
          <w:p w:rsidR="00BA6DDC" w:rsidRPr="00277328" w:rsidRDefault="0093064E" w:rsidP="0093064E">
            <w:pPr>
              <w:cnfStyle w:val="000000000000"/>
              <w:rPr>
                <w:rFonts w:cstheme="minorHAnsi"/>
                <w:color w:val="auto"/>
                <w:lang w:val="en-GB"/>
              </w:rPr>
            </w:pPr>
            <w:r w:rsidRPr="00277328">
              <w:rPr>
                <w:rFonts w:cstheme="minorHAnsi"/>
                <w:color w:val="auto"/>
                <w:lang w:val="en-GB"/>
              </w:rPr>
              <w:t>-</w:t>
            </w:r>
          </w:p>
        </w:tc>
        <w:tc>
          <w:tcPr>
            <w:tcW w:w="1545" w:type="dxa"/>
          </w:tcPr>
          <w:p w:rsidR="00BA6DDC" w:rsidRPr="00277328" w:rsidRDefault="005D2DEE" w:rsidP="0093064E">
            <w:pPr>
              <w:cnfStyle w:val="000000000000"/>
              <w:rPr>
                <w:rFonts w:cstheme="minorHAnsi"/>
                <w:color w:val="auto"/>
                <w:lang w:val="en-GB"/>
              </w:rPr>
            </w:pPr>
            <w:r w:rsidRPr="00277328">
              <w:rPr>
                <w:rFonts w:cstheme="minorHAnsi"/>
                <w:color w:val="auto"/>
                <w:lang w:val="en-GB"/>
              </w:rPr>
              <w:t>0.02</w:t>
            </w:r>
          </w:p>
        </w:tc>
        <w:tc>
          <w:tcPr>
            <w:tcW w:w="1358" w:type="dxa"/>
          </w:tcPr>
          <w:p w:rsidR="00BA6DDC" w:rsidRPr="00277328" w:rsidRDefault="0093064E" w:rsidP="0093064E">
            <w:pPr>
              <w:cnfStyle w:val="000000000000"/>
              <w:rPr>
                <w:rFonts w:cstheme="minorHAnsi"/>
                <w:color w:val="auto"/>
                <w:lang w:val="en-GB"/>
              </w:rPr>
            </w:pPr>
            <w:r w:rsidRPr="00277328">
              <w:rPr>
                <w:rFonts w:cstheme="minorHAnsi"/>
                <w:color w:val="auto"/>
                <w:lang w:val="en-GB"/>
              </w:rPr>
              <w:t>-</w:t>
            </w:r>
          </w:p>
        </w:tc>
        <w:tc>
          <w:tcPr>
            <w:tcW w:w="1358" w:type="dxa"/>
          </w:tcPr>
          <w:p w:rsidR="00BA6DDC" w:rsidRPr="00277328" w:rsidRDefault="005D2DEE" w:rsidP="0093064E">
            <w:pPr>
              <w:cnfStyle w:val="000000000000"/>
              <w:rPr>
                <w:rFonts w:cstheme="minorHAnsi"/>
                <w:color w:val="auto"/>
                <w:lang w:val="en-GB"/>
              </w:rPr>
            </w:pPr>
            <w:r w:rsidRPr="00277328">
              <w:rPr>
                <w:rFonts w:cstheme="minorHAnsi"/>
                <w:color w:val="auto"/>
                <w:lang w:val="en-GB"/>
              </w:rPr>
              <w:t>0.1</w:t>
            </w:r>
          </w:p>
        </w:tc>
      </w:tr>
      <w:tr w:rsidR="00BA6DDC" w:rsidRPr="00277328" w:rsidTr="008E2EDE">
        <w:trPr>
          <w:cnfStyle w:val="000000100000"/>
          <w:trHeight w:val="328"/>
        </w:trPr>
        <w:tc>
          <w:tcPr>
            <w:cnfStyle w:val="001000000000"/>
            <w:tcW w:w="2716" w:type="dxa"/>
            <w:tcBorders>
              <w:left w:val="none" w:sz="0" w:space="0" w:color="auto"/>
              <w:right w:val="none" w:sz="0" w:space="0" w:color="auto"/>
            </w:tcBorders>
          </w:tcPr>
          <w:p w:rsidR="00BA6DDC" w:rsidRPr="00277328" w:rsidRDefault="00470E21" w:rsidP="0093064E">
            <w:pPr>
              <w:rPr>
                <w:rFonts w:cstheme="minorHAnsi"/>
                <w:b w:val="0"/>
                <w:color w:val="auto"/>
                <w:lang w:val="en-GB"/>
              </w:rPr>
            </w:pPr>
            <w:r w:rsidRPr="00277328">
              <w:rPr>
                <w:rFonts w:cstheme="minorHAnsi"/>
                <w:b w:val="0"/>
                <w:color w:val="auto"/>
                <w:lang w:val="en-GB"/>
              </w:rPr>
              <w:t>Sleep apnoea</w:t>
            </w:r>
          </w:p>
        </w:tc>
        <w:tc>
          <w:tcPr>
            <w:tcW w:w="1545" w:type="dxa"/>
            <w:tcBorders>
              <w:left w:val="none" w:sz="0" w:space="0" w:color="auto"/>
              <w:right w:val="none" w:sz="0" w:space="0" w:color="auto"/>
            </w:tcBorders>
          </w:tcPr>
          <w:p w:rsidR="00BA6DDC" w:rsidRPr="00277328" w:rsidRDefault="0093064E" w:rsidP="0093064E">
            <w:pPr>
              <w:cnfStyle w:val="000000100000"/>
              <w:rPr>
                <w:rFonts w:cstheme="minorHAnsi"/>
                <w:color w:val="auto"/>
                <w:lang w:val="en-GB"/>
              </w:rPr>
            </w:pPr>
            <w:r w:rsidRPr="00277328">
              <w:rPr>
                <w:rFonts w:cstheme="minorHAnsi"/>
                <w:color w:val="auto"/>
                <w:lang w:val="en-GB"/>
              </w:rPr>
              <w:t>-</w:t>
            </w:r>
          </w:p>
        </w:tc>
        <w:tc>
          <w:tcPr>
            <w:tcW w:w="1545" w:type="dxa"/>
            <w:tcBorders>
              <w:left w:val="none" w:sz="0" w:space="0" w:color="auto"/>
              <w:right w:val="none" w:sz="0" w:space="0" w:color="auto"/>
            </w:tcBorders>
          </w:tcPr>
          <w:p w:rsidR="00BA6DDC" w:rsidRPr="00277328" w:rsidRDefault="005D2DEE" w:rsidP="0093064E">
            <w:pPr>
              <w:cnfStyle w:val="000000100000"/>
              <w:rPr>
                <w:rFonts w:cstheme="minorHAnsi"/>
                <w:color w:val="auto"/>
                <w:lang w:val="en-GB"/>
              </w:rPr>
            </w:pPr>
            <w:r w:rsidRPr="00277328">
              <w:rPr>
                <w:rFonts w:cstheme="minorHAnsi"/>
                <w:color w:val="auto"/>
                <w:lang w:val="en-GB"/>
              </w:rPr>
              <w:t>3.0</w:t>
            </w:r>
          </w:p>
        </w:tc>
        <w:tc>
          <w:tcPr>
            <w:tcW w:w="1358" w:type="dxa"/>
            <w:tcBorders>
              <w:left w:val="none" w:sz="0" w:space="0" w:color="auto"/>
              <w:right w:val="none" w:sz="0" w:space="0" w:color="auto"/>
            </w:tcBorders>
          </w:tcPr>
          <w:p w:rsidR="00BA6DDC" w:rsidRPr="00277328" w:rsidRDefault="0093064E" w:rsidP="0093064E">
            <w:pPr>
              <w:cnfStyle w:val="000000100000"/>
              <w:rPr>
                <w:rFonts w:cstheme="minorHAnsi"/>
                <w:color w:val="auto"/>
                <w:lang w:val="en-GB"/>
              </w:rPr>
            </w:pPr>
            <w:r w:rsidRPr="00277328">
              <w:rPr>
                <w:rFonts w:cstheme="minorHAnsi"/>
                <w:color w:val="auto"/>
                <w:lang w:val="en-GB"/>
              </w:rPr>
              <w:t>-</w:t>
            </w:r>
          </w:p>
        </w:tc>
        <w:tc>
          <w:tcPr>
            <w:tcW w:w="1358" w:type="dxa"/>
            <w:tcBorders>
              <w:left w:val="none" w:sz="0" w:space="0" w:color="auto"/>
              <w:right w:val="none" w:sz="0" w:space="0" w:color="auto"/>
            </w:tcBorders>
          </w:tcPr>
          <w:p w:rsidR="00BA6DDC" w:rsidRPr="00277328" w:rsidRDefault="005D2DEE" w:rsidP="0093064E">
            <w:pPr>
              <w:cnfStyle w:val="000000100000"/>
              <w:rPr>
                <w:rFonts w:cstheme="minorHAnsi"/>
                <w:color w:val="auto"/>
                <w:lang w:val="en-GB"/>
              </w:rPr>
            </w:pPr>
            <w:r w:rsidRPr="00277328">
              <w:rPr>
                <w:rFonts w:cstheme="minorHAnsi"/>
                <w:color w:val="auto"/>
                <w:lang w:val="en-GB"/>
              </w:rPr>
              <w:t>12.5</w:t>
            </w:r>
          </w:p>
        </w:tc>
      </w:tr>
      <w:tr w:rsidR="00BA6DDC" w:rsidRPr="00277328" w:rsidTr="008E2EDE">
        <w:trPr>
          <w:trHeight w:val="328"/>
        </w:trPr>
        <w:tc>
          <w:tcPr>
            <w:cnfStyle w:val="001000000000"/>
            <w:tcW w:w="2716" w:type="dxa"/>
          </w:tcPr>
          <w:p w:rsidR="00BA6DDC" w:rsidRPr="00277328" w:rsidRDefault="00470E21" w:rsidP="0093064E">
            <w:pPr>
              <w:rPr>
                <w:rFonts w:cstheme="minorHAnsi"/>
                <w:b w:val="0"/>
                <w:color w:val="auto"/>
                <w:lang w:val="en-GB"/>
              </w:rPr>
            </w:pPr>
            <w:r w:rsidRPr="00277328">
              <w:rPr>
                <w:rFonts w:cstheme="minorHAnsi"/>
                <w:b w:val="0"/>
                <w:color w:val="auto"/>
                <w:lang w:val="en-GB"/>
              </w:rPr>
              <w:t xml:space="preserve">Dementias </w:t>
            </w:r>
            <w:r w:rsidRPr="00277328">
              <w:rPr>
                <w:rFonts w:cstheme="minorHAnsi"/>
                <w:b w:val="0"/>
                <w:color w:val="auto"/>
                <w:vertAlign w:val="superscript"/>
                <w:lang w:val="en-GB"/>
              </w:rPr>
              <w:t>b</w:t>
            </w:r>
          </w:p>
        </w:tc>
        <w:tc>
          <w:tcPr>
            <w:tcW w:w="1545" w:type="dxa"/>
          </w:tcPr>
          <w:p w:rsidR="00BA6DDC" w:rsidRPr="00277328" w:rsidRDefault="0093064E" w:rsidP="0093064E">
            <w:pPr>
              <w:cnfStyle w:val="000000000000"/>
              <w:rPr>
                <w:rFonts w:cstheme="minorHAnsi"/>
                <w:color w:val="auto"/>
                <w:lang w:val="en-GB"/>
              </w:rPr>
            </w:pPr>
            <w:r w:rsidRPr="00277328">
              <w:rPr>
                <w:rFonts w:cstheme="minorHAnsi"/>
                <w:color w:val="auto"/>
                <w:lang w:val="en-GB"/>
              </w:rPr>
              <w:t>-</w:t>
            </w:r>
          </w:p>
        </w:tc>
        <w:tc>
          <w:tcPr>
            <w:tcW w:w="1545" w:type="dxa"/>
          </w:tcPr>
          <w:p w:rsidR="00BA6DDC" w:rsidRPr="00277328" w:rsidRDefault="005D2DEE" w:rsidP="0093064E">
            <w:pPr>
              <w:cnfStyle w:val="000000000000"/>
              <w:rPr>
                <w:rFonts w:cstheme="minorHAnsi"/>
                <w:color w:val="auto"/>
                <w:lang w:val="en-GB"/>
              </w:rPr>
            </w:pPr>
            <w:r w:rsidRPr="00277328">
              <w:rPr>
                <w:rFonts w:cstheme="minorHAnsi"/>
                <w:color w:val="auto"/>
                <w:lang w:val="en-GB"/>
              </w:rPr>
              <w:t>(5.4) 1.2</w:t>
            </w:r>
          </w:p>
        </w:tc>
        <w:tc>
          <w:tcPr>
            <w:tcW w:w="1358" w:type="dxa"/>
          </w:tcPr>
          <w:p w:rsidR="00BA6DDC" w:rsidRPr="00277328" w:rsidRDefault="0093064E" w:rsidP="0093064E">
            <w:pPr>
              <w:cnfStyle w:val="000000000000"/>
              <w:rPr>
                <w:rFonts w:cstheme="minorHAnsi"/>
                <w:color w:val="auto"/>
                <w:lang w:val="en-GB"/>
              </w:rPr>
            </w:pPr>
            <w:r w:rsidRPr="00277328">
              <w:rPr>
                <w:rFonts w:cstheme="minorHAnsi"/>
                <w:color w:val="auto"/>
                <w:lang w:val="en-GB"/>
              </w:rPr>
              <w:t>-</w:t>
            </w:r>
          </w:p>
        </w:tc>
        <w:tc>
          <w:tcPr>
            <w:tcW w:w="1358" w:type="dxa"/>
          </w:tcPr>
          <w:p w:rsidR="00BA6DDC" w:rsidRPr="00277328" w:rsidRDefault="005D2DEE" w:rsidP="0093064E">
            <w:pPr>
              <w:cnfStyle w:val="000000000000"/>
              <w:rPr>
                <w:rFonts w:cstheme="minorHAnsi"/>
                <w:color w:val="auto"/>
                <w:lang w:val="en-GB"/>
              </w:rPr>
            </w:pPr>
            <w:r w:rsidRPr="00277328">
              <w:rPr>
                <w:rFonts w:cstheme="minorHAnsi"/>
                <w:color w:val="auto"/>
                <w:lang w:val="en-GB"/>
              </w:rPr>
              <w:t>6.3</w:t>
            </w:r>
          </w:p>
        </w:tc>
      </w:tr>
      <w:tr w:rsidR="00BA6DDC" w:rsidRPr="00277328" w:rsidTr="008E2EDE">
        <w:trPr>
          <w:cnfStyle w:val="000000100000"/>
          <w:trHeight w:val="328"/>
        </w:trPr>
        <w:tc>
          <w:tcPr>
            <w:cnfStyle w:val="001000000000"/>
            <w:tcW w:w="2716" w:type="dxa"/>
            <w:tcBorders>
              <w:left w:val="none" w:sz="0" w:space="0" w:color="auto"/>
              <w:right w:val="none" w:sz="0" w:space="0" w:color="auto"/>
            </w:tcBorders>
          </w:tcPr>
          <w:p w:rsidR="00BA6DDC" w:rsidRPr="00277328" w:rsidRDefault="00470E21" w:rsidP="0093064E">
            <w:pPr>
              <w:rPr>
                <w:rFonts w:cstheme="minorHAnsi"/>
                <w:b w:val="0"/>
                <w:color w:val="auto"/>
                <w:lang w:val="en-GB"/>
              </w:rPr>
            </w:pPr>
            <w:r w:rsidRPr="00277328">
              <w:rPr>
                <w:rFonts w:cstheme="minorHAnsi"/>
                <w:b w:val="0"/>
                <w:color w:val="auto"/>
                <w:lang w:val="en-GB"/>
              </w:rPr>
              <w:t>Total any group B</w:t>
            </w:r>
          </w:p>
        </w:tc>
        <w:tc>
          <w:tcPr>
            <w:tcW w:w="1545" w:type="dxa"/>
            <w:tcBorders>
              <w:left w:val="none" w:sz="0" w:space="0" w:color="auto"/>
              <w:right w:val="none" w:sz="0" w:space="0" w:color="auto"/>
            </w:tcBorders>
          </w:tcPr>
          <w:p w:rsidR="00BA6DDC" w:rsidRPr="00277328" w:rsidRDefault="0093064E" w:rsidP="0093064E">
            <w:pPr>
              <w:cnfStyle w:val="000000100000"/>
              <w:rPr>
                <w:rFonts w:cstheme="minorHAnsi"/>
                <w:color w:val="auto"/>
                <w:lang w:val="en-GB"/>
              </w:rPr>
            </w:pPr>
            <w:r w:rsidRPr="00277328">
              <w:rPr>
                <w:rFonts w:cstheme="minorHAnsi"/>
                <w:color w:val="auto"/>
                <w:lang w:val="en-GB"/>
              </w:rPr>
              <w:t>-</w:t>
            </w:r>
          </w:p>
        </w:tc>
        <w:tc>
          <w:tcPr>
            <w:tcW w:w="1545" w:type="dxa"/>
            <w:tcBorders>
              <w:left w:val="none" w:sz="0" w:space="0" w:color="auto"/>
              <w:right w:val="none" w:sz="0" w:space="0" w:color="auto"/>
            </w:tcBorders>
          </w:tcPr>
          <w:p w:rsidR="00BA6DDC" w:rsidRPr="00277328" w:rsidRDefault="005D2DEE" w:rsidP="0093064E">
            <w:pPr>
              <w:cnfStyle w:val="000000100000"/>
              <w:rPr>
                <w:rFonts w:cstheme="minorHAnsi"/>
                <w:i/>
                <w:color w:val="auto"/>
                <w:lang w:val="en-GB"/>
              </w:rPr>
            </w:pPr>
            <w:r w:rsidRPr="00277328">
              <w:rPr>
                <w:rFonts w:cstheme="minorHAnsi"/>
                <w:i/>
                <w:color w:val="auto"/>
                <w:lang w:val="en-GB"/>
              </w:rPr>
              <w:t>27.1</w:t>
            </w:r>
          </w:p>
        </w:tc>
        <w:tc>
          <w:tcPr>
            <w:tcW w:w="1358" w:type="dxa"/>
            <w:tcBorders>
              <w:left w:val="none" w:sz="0" w:space="0" w:color="auto"/>
              <w:right w:val="none" w:sz="0" w:space="0" w:color="auto"/>
            </w:tcBorders>
          </w:tcPr>
          <w:p w:rsidR="00BA6DDC" w:rsidRPr="00277328" w:rsidRDefault="0093064E" w:rsidP="0093064E">
            <w:pPr>
              <w:cnfStyle w:val="000000100000"/>
              <w:rPr>
                <w:rFonts w:cstheme="minorHAnsi"/>
                <w:i/>
                <w:color w:val="auto"/>
                <w:lang w:val="en-GB"/>
              </w:rPr>
            </w:pPr>
            <w:r w:rsidRPr="00277328">
              <w:rPr>
                <w:rFonts w:cstheme="minorHAnsi"/>
                <w:i/>
                <w:color w:val="auto"/>
                <w:lang w:val="en-GB"/>
              </w:rPr>
              <w:t>-</w:t>
            </w:r>
          </w:p>
        </w:tc>
        <w:tc>
          <w:tcPr>
            <w:tcW w:w="1358" w:type="dxa"/>
            <w:tcBorders>
              <w:left w:val="none" w:sz="0" w:space="0" w:color="auto"/>
              <w:right w:val="none" w:sz="0" w:space="0" w:color="auto"/>
            </w:tcBorders>
          </w:tcPr>
          <w:p w:rsidR="00BA6DDC" w:rsidRPr="00277328" w:rsidRDefault="005D2DEE" w:rsidP="0093064E">
            <w:pPr>
              <w:cnfStyle w:val="000000100000"/>
              <w:rPr>
                <w:rFonts w:cstheme="minorHAnsi"/>
                <w:i/>
                <w:color w:val="auto"/>
                <w:lang w:val="en-GB"/>
              </w:rPr>
            </w:pPr>
            <w:r w:rsidRPr="00277328">
              <w:rPr>
                <w:rFonts w:cstheme="minorHAnsi"/>
                <w:i/>
                <w:color w:val="auto"/>
                <w:lang w:val="en-GB"/>
              </w:rPr>
              <w:t>51.0</w:t>
            </w:r>
          </w:p>
        </w:tc>
      </w:tr>
      <w:tr w:rsidR="00470E21" w:rsidRPr="00277328" w:rsidTr="008E2EDE">
        <w:trPr>
          <w:trHeight w:val="328"/>
        </w:trPr>
        <w:tc>
          <w:tcPr>
            <w:cnfStyle w:val="001000000000"/>
            <w:tcW w:w="2716" w:type="dxa"/>
          </w:tcPr>
          <w:p w:rsidR="00470E21" w:rsidRPr="00277328" w:rsidRDefault="00470E21" w:rsidP="0093064E">
            <w:pPr>
              <w:rPr>
                <w:rFonts w:cstheme="minorHAnsi"/>
                <w:b w:val="0"/>
                <w:color w:val="auto"/>
                <w:lang w:val="en-GB"/>
              </w:rPr>
            </w:pPr>
            <w:r w:rsidRPr="00277328">
              <w:rPr>
                <w:rFonts w:cstheme="minorHAnsi"/>
                <w:b w:val="0"/>
                <w:color w:val="auto"/>
                <w:lang w:val="en-GB"/>
              </w:rPr>
              <w:t>Total A and B</w:t>
            </w:r>
          </w:p>
        </w:tc>
        <w:tc>
          <w:tcPr>
            <w:tcW w:w="1545" w:type="dxa"/>
          </w:tcPr>
          <w:p w:rsidR="00470E21" w:rsidRPr="00277328" w:rsidRDefault="005D2DEE" w:rsidP="0093064E">
            <w:pPr>
              <w:cnfStyle w:val="000000000000"/>
              <w:rPr>
                <w:rFonts w:cstheme="minorHAnsi"/>
                <w:color w:val="auto"/>
                <w:lang w:val="en-GB"/>
              </w:rPr>
            </w:pPr>
            <w:r w:rsidRPr="00277328">
              <w:rPr>
                <w:rFonts w:cstheme="minorHAnsi"/>
                <w:color w:val="auto"/>
                <w:lang w:val="en-GB"/>
              </w:rPr>
              <w:t>27.4%</w:t>
            </w:r>
          </w:p>
        </w:tc>
        <w:tc>
          <w:tcPr>
            <w:tcW w:w="1545" w:type="dxa"/>
          </w:tcPr>
          <w:p w:rsidR="00470E21" w:rsidRPr="00277328" w:rsidRDefault="005D2DEE" w:rsidP="0093064E">
            <w:pPr>
              <w:cnfStyle w:val="000000000000"/>
              <w:rPr>
                <w:rFonts w:cstheme="minorHAnsi"/>
                <w:color w:val="auto"/>
                <w:lang w:val="en-GB"/>
              </w:rPr>
            </w:pPr>
            <w:r w:rsidRPr="00277328">
              <w:rPr>
                <w:rFonts w:cstheme="minorHAnsi"/>
                <w:color w:val="auto"/>
                <w:lang w:val="en-GB"/>
              </w:rPr>
              <w:t>38.2%</w:t>
            </w:r>
          </w:p>
        </w:tc>
        <w:tc>
          <w:tcPr>
            <w:tcW w:w="1358" w:type="dxa"/>
          </w:tcPr>
          <w:p w:rsidR="00470E21" w:rsidRPr="00277328" w:rsidRDefault="005D2DEE" w:rsidP="0093064E">
            <w:pPr>
              <w:cnfStyle w:val="000000000000"/>
              <w:rPr>
                <w:rFonts w:cstheme="minorHAnsi"/>
                <w:color w:val="auto"/>
                <w:lang w:val="en-GB"/>
              </w:rPr>
            </w:pPr>
            <w:r w:rsidRPr="00277328">
              <w:rPr>
                <w:rFonts w:cstheme="minorHAnsi"/>
                <w:color w:val="auto"/>
                <w:lang w:val="en-GB"/>
              </w:rPr>
              <w:t>82.7</w:t>
            </w:r>
          </w:p>
        </w:tc>
        <w:tc>
          <w:tcPr>
            <w:tcW w:w="1358" w:type="dxa"/>
          </w:tcPr>
          <w:p w:rsidR="00470E21" w:rsidRPr="00277328" w:rsidRDefault="005D2DEE" w:rsidP="0093064E">
            <w:pPr>
              <w:cnfStyle w:val="000000000000"/>
              <w:rPr>
                <w:rFonts w:cstheme="minorHAnsi"/>
                <w:color w:val="auto"/>
                <w:lang w:val="en-GB"/>
              </w:rPr>
            </w:pPr>
            <w:r w:rsidRPr="00277328">
              <w:rPr>
                <w:rFonts w:cstheme="minorHAnsi"/>
                <w:color w:val="auto"/>
                <w:lang w:val="en-GB"/>
              </w:rPr>
              <w:t>164.8</w:t>
            </w:r>
          </w:p>
        </w:tc>
      </w:tr>
      <w:tr w:rsidR="0093064E" w:rsidRPr="00277328" w:rsidTr="008E2EDE">
        <w:trPr>
          <w:cnfStyle w:val="000000100000"/>
          <w:trHeight w:val="1110"/>
        </w:trPr>
        <w:tc>
          <w:tcPr>
            <w:cnfStyle w:val="001000000000"/>
            <w:tcW w:w="8522" w:type="dxa"/>
            <w:gridSpan w:val="5"/>
            <w:tcBorders>
              <w:left w:val="none" w:sz="0" w:space="0" w:color="auto"/>
              <w:right w:val="none" w:sz="0" w:space="0" w:color="auto"/>
            </w:tcBorders>
          </w:tcPr>
          <w:p w:rsidR="0093064E" w:rsidRPr="00277328" w:rsidRDefault="0093064E" w:rsidP="0093064E">
            <w:pPr>
              <w:rPr>
                <w:b w:val="0"/>
                <w:color w:val="auto"/>
                <w:sz w:val="18"/>
                <w:szCs w:val="18"/>
                <w:lang w:val="en-GB"/>
              </w:rPr>
            </w:pPr>
            <w:r w:rsidRPr="00277328">
              <w:rPr>
                <w:b w:val="0"/>
                <w:color w:val="auto"/>
                <w:sz w:val="18"/>
                <w:szCs w:val="18"/>
                <w:lang w:val="en-GB"/>
              </w:rPr>
              <w:t xml:space="preserve">Note: Estimated prevalences do not correspond to number of persons due to age group-specific adjustments. </w:t>
            </w:r>
          </w:p>
          <w:p w:rsidR="0093064E" w:rsidRPr="00277328" w:rsidRDefault="0093064E" w:rsidP="0093064E">
            <w:pPr>
              <w:rPr>
                <w:b w:val="0"/>
                <w:color w:val="auto"/>
                <w:sz w:val="18"/>
                <w:szCs w:val="18"/>
                <w:lang w:val="en-GB"/>
              </w:rPr>
            </w:pPr>
            <w:proofErr w:type="gramStart"/>
            <w:r w:rsidRPr="00277328">
              <w:rPr>
                <w:b w:val="0"/>
                <w:color w:val="auto"/>
                <w:sz w:val="18"/>
                <w:szCs w:val="18"/>
                <w:vertAlign w:val="superscript"/>
                <w:lang w:val="en-GB"/>
              </w:rPr>
              <w:t>a</w:t>
            </w:r>
            <w:proofErr w:type="gramEnd"/>
            <w:r w:rsidRPr="00277328">
              <w:rPr>
                <w:b w:val="0"/>
                <w:color w:val="auto"/>
                <w:sz w:val="18"/>
                <w:szCs w:val="18"/>
                <w:lang w:val="en-GB"/>
              </w:rPr>
              <w:t xml:space="preserve"> Borderline and dissocial personality disorders not counted in subtotal to avoid double counting with disorders from Group A.</w:t>
            </w:r>
          </w:p>
          <w:p w:rsidR="0093064E" w:rsidRPr="00277328" w:rsidRDefault="0093064E" w:rsidP="0093064E">
            <w:pPr>
              <w:rPr>
                <w:b w:val="0"/>
                <w:color w:val="auto"/>
                <w:sz w:val="18"/>
                <w:szCs w:val="18"/>
                <w:lang w:val="en-GB"/>
              </w:rPr>
            </w:pPr>
            <w:proofErr w:type="gramStart"/>
            <w:r w:rsidRPr="00277328">
              <w:rPr>
                <w:b w:val="0"/>
                <w:color w:val="auto"/>
                <w:sz w:val="18"/>
                <w:szCs w:val="18"/>
                <w:vertAlign w:val="superscript"/>
                <w:lang w:val="en-GB"/>
              </w:rPr>
              <w:t>b</w:t>
            </w:r>
            <w:proofErr w:type="gramEnd"/>
            <w:r w:rsidRPr="00277328">
              <w:rPr>
                <w:b w:val="0"/>
                <w:color w:val="auto"/>
                <w:sz w:val="18"/>
                <w:szCs w:val="18"/>
                <w:vertAlign w:val="superscript"/>
                <w:lang w:val="en-GB"/>
              </w:rPr>
              <w:t xml:space="preserve"> </w:t>
            </w:r>
            <w:r w:rsidRPr="00277328">
              <w:rPr>
                <w:b w:val="0"/>
                <w:color w:val="auto"/>
                <w:sz w:val="18"/>
                <w:szCs w:val="18"/>
                <w:lang w:val="en-GB"/>
              </w:rPr>
              <w:t>Childhood/Adolescence disorders, except for autism, rates () refer to age group 2-17. Therefore the age group prevalence was adjusted to reflect the total population. Dementia rates (applicable age range 60+) were also adjusted.</w:t>
            </w:r>
          </w:p>
          <w:p w:rsidR="0093064E" w:rsidRPr="00277328" w:rsidRDefault="0093064E" w:rsidP="0093064E">
            <w:pPr>
              <w:rPr>
                <w:b w:val="0"/>
                <w:color w:val="auto"/>
                <w:sz w:val="18"/>
                <w:szCs w:val="18"/>
                <w:lang w:val="en-GB"/>
              </w:rPr>
            </w:pPr>
            <w:proofErr w:type="gramStart"/>
            <w:r w:rsidRPr="00277328">
              <w:rPr>
                <w:b w:val="0"/>
                <w:color w:val="auto"/>
                <w:sz w:val="18"/>
                <w:szCs w:val="18"/>
                <w:vertAlign w:val="superscript"/>
                <w:lang w:val="en-GB"/>
              </w:rPr>
              <w:t>c</w:t>
            </w:r>
            <w:proofErr w:type="gramEnd"/>
            <w:r w:rsidRPr="00277328">
              <w:rPr>
                <w:b w:val="0"/>
                <w:color w:val="auto"/>
                <w:sz w:val="18"/>
                <w:szCs w:val="18"/>
                <w:vertAlign w:val="superscript"/>
                <w:lang w:val="en-GB"/>
              </w:rPr>
              <w:t xml:space="preserve"> </w:t>
            </w:r>
            <w:r w:rsidRPr="00277328">
              <w:rPr>
                <w:b w:val="0"/>
                <w:color w:val="auto"/>
                <w:sz w:val="18"/>
                <w:szCs w:val="18"/>
                <w:lang w:val="en-GB"/>
              </w:rPr>
              <w:t>Insomnia counted only for 50% (as a conservative strategy in order to avoid double counting with disorders from Group A.</w:t>
            </w:r>
          </w:p>
          <w:p w:rsidR="0093064E" w:rsidRPr="00277328" w:rsidRDefault="0093064E" w:rsidP="0093064E">
            <w:pPr>
              <w:rPr>
                <w:b w:val="0"/>
                <w:color w:val="auto"/>
                <w:sz w:val="18"/>
                <w:szCs w:val="18"/>
                <w:lang w:val="en-GB"/>
              </w:rPr>
            </w:pPr>
            <w:proofErr w:type="gramStart"/>
            <w:r w:rsidRPr="00277328">
              <w:rPr>
                <w:b w:val="0"/>
                <w:color w:val="auto"/>
                <w:sz w:val="18"/>
                <w:szCs w:val="18"/>
                <w:vertAlign w:val="superscript"/>
                <w:lang w:val="en-GB"/>
              </w:rPr>
              <w:t>d</w:t>
            </w:r>
            <w:proofErr w:type="gramEnd"/>
            <w:r w:rsidRPr="00277328">
              <w:rPr>
                <w:b w:val="0"/>
                <w:color w:val="auto"/>
                <w:sz w:val="18"/>
                <w:szCs w:val="18"/>
                <w:vertAlign w:val="superscript"/>
                <w:lang w:val="en-GB"/>
              </w:rPr>
              <w:t xml:space="preserve"> </w:t>
            </w:r>
            <w:r w:rsidRPr="00277328">
              <w:rPr>
                <w:b w:val="0"/>
                <w:color w:val="auto"/>
                <w:sz w:val="18"/>
                <w:szCs w:val="18"/>
                <w:lang w:val="en-GB"/>
              </w:rPr>
              <w:t>Without headache.</w:t>
            </w:r>
          </w:p>
        </w:tc>
      </w:tr>
    </w:tbl>
    <w:p w:rsidR="001E74C6" w:rsidRDefault="0093064E" w:rsidP="0093064E">
      <w:pPr>
        <w:rPr>
          <w:lang w:val="en-GB"/>
        </w:rPr>
      </w:pPr>
      <w:r w:rsidRPr="00277328">
        <w:rPr>
          <w:lang w:val="en-GB"/>
        </w:rPr>
        <w:t xml:space="preserve">Source: </w:t>
      </w:r>
      <w:r w:rsidR="001E74C6" w:rsidRPr="00277328">
        <w:rPr>
          <w:lang w:val="en-GB"/>
        </w:rPr>
        <w:t>Wittchen et al. 2010</w:t>
      </w:r>
    </w:p>
    <w:p w:rsidR="005B5C82" w:rsidRPr="00277328" w:rsidRDefault="005B5C82" w:rsidP="0093064E">
      <w:pPr>
        <w:rPr>
          <w:lang w:val="en-GB"/>
        </w:rPr>
      </w:pPr>
    </w:p>
    <w:p w:rsidR="0093064E" w:rsidRPr="00277328" w:rsidRDefault="0093064E" w:rsidP="003414E6">
      <w:pPr>
        <w:pStyle w:val="Heading2"/>
        <w:rPr>
          <w:szCs w:val="24"/>
          <w:lang w:val="en-GB"/>
        </w:rPr>
      </w:pPr>
      <w:bookmarkStart w:id="3" w:name="_Toc367790995"/>
      <w:r w:rsidRPr="00277328">
        <w:rPr>
          <w:szCs w:val="24"/>
          <w:lang w:val="en-GB"/>
        </w:rPr>
        <w:t>Economic burden of mental disorders</w:t>
      </w:r>
      <w:bookmarkEnd w:id="3"/>
    </w:p>
    <w:p w:rsidR="00A42699" w:rsidRPr="00277328" w:rsidRDefault="00A42699" w:rsidP="00A42699">
      <w:pPr>
        <w:rPr>
          <w:lang w:val="en-GB"/>
        </w:rPr>
      </w:pPr>
      <w:r w:rsidRPr="00277328">
        <w:rPr>
          <w:lang w:val="en-GB"/>
        </w:rPr>
        <w:t>It becomes evident that, given the prevalence of brain disorders in the EU, their economic burden is immense. The economic impacts of ill mental health include, apart from the direct costs of care and treatment, significant financial, social and emotional burden for the patients and their families. A summary of the overall economic burden of mental disorders is give</w:t>
      </w:r>
      <w:r w:rsidR="00743B9A" w:rsidRPr="00277328">
        <w:rPr>
          <w:lang w:val="en-GB"/>
        </w:rPr>
        <w:t>n in Table 2</w:t>
      </w:r>
      <w:sdt>
        <w:sdtPr>
          <w:rPr>
            <w:lang w:val="en-GB"/>
          </w:rPr>
          <w:id w:val="40653344"/>
          <w:citation/>
        </w:sdtPr>
        <w:sdtContent>
          <w:r w:rsidR="00E93150" w:rsidRPr="00277328">
            <w:rPr>
              <w:lang w:val="en-GB"/>
            </w:rPr>
            <w:fldChar w:fldCharType="begin"/>
          </w:r>
          <w:r w:rsidR="00FB0F77" w:rsidRPr="00277328">
            <w:rPr>
              <w:lang w:val="en-GB"/>
            </w:rPr>
            <w:instrText xml:space="preserve"> CITATION WHO03 \l 1033 </w:instrText>
          </w:r>
          <w:r w:rsidR="00E93150" w:rsidRPr="00277328">
            <w:rPr>
              <w:lang w:val="en-GB"/>
            </w:rPr>
            <w:fldChar w:fldCharType="separate"/>
          </w:r>
          <w:r w:rsidR="008930F2" w:rsidRPr="00277328">
            <w:rPr>
              <w:lang w:val="en-GB"/>
            </w:rPr>
            <w:t xml:space="preserve"> (WHO, Investing in Mental Health 2003)</w:t>
          </w:r>
          <w:r w:rsidR="00E93150" w:rsidRPr="00277328">
            <w:rPr>
              <w:lang w:val="en-GB"/>
            </w:rPr>
            <w:fldChar w:fldCharType="end"/>
          </w:r>
        </w:sdtContent>
      </w:sdt>
      <w:r w:rsidRPr="00277328">
        <w:rPr>
          <w:lang w:val="en-GB"/>
        </w:rPr>
        <w:t xml:space="preserve">. As </w:t>
      </w:r>
      <w:r w:rsidR="009C2467" w:rsidRPr="00433AE6">
        <w:rPr>
          <w:lang w:val="en-GB"/>
        </w:rPr>
        <w:t>noted</w:t>
      </w:r>
      <w:r w:rsidRPr="00277328">
        <w:rPr>
          <w:lang w:val="en-GB"/>
        </w:rPr>
        <w:t xml:space="preserve"> in the Table, the types </w:t>
      </w:r>
      <w:r w:rsidR="00E23D1E" w:rsidRPr="00277328">
        <w:rPr>
          <w:lang w:val="en-GB"/>
        </w:rPr>
        <w:t>of measurable costs include also</w:t>
      </w:r>
      <w:r w:rsidRPr="00277328">
        <w:rPr>
          <w:lang w:val="en-GB"/>
        </w:rPr>
        <w:t xml:space="preserve"> indirect costs concerning the earning and productivity losses due to the brain disorders. These economic impacts </w:t>
      </w:r>
      <w:r w:rsidR="009C2467">
        <w:rPr>
          <w:lang w:val="en-GB"/>
        </w:rPr>
        <w:t>affect not only the</w:t>
      </w:r>
      <w:r w:rsidRPr="00277328">
        <w:rPr>
          <w:lang w:val="en-GB"/>
        </w:rPr>
        <w:t xml:space="preserve"> patients</w:t>
      </w:r>
      <w:r w:rsidR="009C2467">
        <w:rPr>
          <w:lang w:val="en-GB"/>
        </w:rPr>
        <w:t xml:space="preserve">, but </w:t>
      </w:r>
      <w:r w:rsidRPr="00277328">
        <w:rPr>
          <w:lang w:val="en-GB"/>
        </w:rPr>
        <w:t xml:space="preserve">also the </w:t>
      </w:r>
      <w:r w:rsidRPr="00277328">
        <w:rPr>
          <w:lang w:val="en-GB"/>
        </w:rPr>
        <w:lastRenderedPageBreak/>
        <w:t xml:space="preserve">productivity contributions of their caregivers as well as the contributions to the national economy. </w:t>
      </w:r>
    </w:p>
    <w:p w:rsidR="00433AE6" w:rsidRDefault="00433AE6" w:rsidP="00A42699">
      <w:pPr>
        <w:rPr>
          <w:b/>
          <w:u w:val="single"/>
          <w:lang w:val="en-GB"/>
        </w:rPr>
      </w:pPr>
    </w:p>
    <w:p w:rsidR="00A42699" w:rsidRPr="00277328" w:rsidRDefault="001E74C6" w:rsidP="00A42699">
      <w:pPr>
        <w:rPr>
          <w:b/>
          <w:u w:val="single"/>
          <w:lang w:val="en-GB"/>
        </w:rPr>
      </w:pPr>
      <w:r w:rsidRPr="00277328">
        <w:rPr>
          <w:b/>
          <w:u w:val="single"/>
          <w:lang w:val="en-GB"/>
        </w:rPr>
        <w:t>Table 2</w:t>
      </w:r>
      <w:r w:rsidR="00D125A0" w:rsidRPr="00277328">
        <w:rPr>
          <w:b/>
          <w:u w:val="single"/>
          <w:lang w:val="en-GB"/>
        </w:rPr>
        <w:t>: The overall economic burden of mental disorders</w:t>
      </w:r>
    </w:p>
    <w:tbl>
      <w:tblPr>
        <w:tblStyle w:val="LightShading-Accent2"/>
        <w:tblW w:w="0" w:type="auto"/>
        <w:tblBorders>
          <w:left w:val="single" w:sz="8" w:space="0" w:color="C0504D" w:themeColor="accent2"/>
          <w:right w:val="single" w:sz="8" w:space="0" w:color="C0504D" w:themeColor="accent2"/>
          <w:insideH w:val="single" w:sz="8" w:space="0" w:color="C0504D" w:themeColor="accent2"/>
          <w:insideV w:val="single" w:sz="8" w:space="0" w:color="C0504D" w:themeColor="accent2"/>
        </w:tblBorders>
        <w:tblLook w:val="04A0"/>
      </w:tblPr>
      <w:tblGrid>
        <w:gridCol w:w="2130"/>
        <w:gridCol w:w="2130"/>
        <w:gridCol w:w="2131"/>
        <w:gridCol w:w="2131"/>
      </w:tblGrid>
      <w:tr w:rsidR="004F20CA" w:rsidRPr="00277328" w:rsidTr="008E2EDE">
        <w:trPr>
          <w:cnfStyle w:val="100000000000"/>
        </w:trPr>
        <w:tc>
          <w:tcPr>
            <w:cnfStyle w:val="001000000000"/>
            <w:tcW w:w="2130" w:type="dxa"/>
            <w:tcBorders>
              <w:top w:val="none" w:sz="0" w:space="0" w:color="auto"/>
              <w:left w:val="none" w:sz="0" w:space="0" w:color="auto"/>
              <w:bottom w:val="none" w:sz="0" w:space="0" w:color="auto"/>
              <w:right w:val="none" w:sz="0" w:space="0" w:color="auto"/>
            </w:tcBorders>
          </w:tcPr>
          <w:p w:rsidR="004F20CA" w:rsidRPr="00277328" w:rsidRDefault="004F20CA" w:rsidP="00A42699">
            <w:pPr>
              <w:rPr>
                <w:color w:val="auto"/>
                <w:lang w:val="en-GB"/>
              </w:rPr>
            </w:pPr>
          </w:p>
        </w:tc>
        <w:tc>
          <w:tcPr>
            <w:tcW w:w="2130" w:type="dxa"/>
            <w:tcBorders>
              <w:top w:val="none" w:sz="0" w:space="0" w:color="auto"/>
              <w:left w:val="none" w:sz="0" w:space="0" w:color="auto"/>
              <w:bottom w:val="none" w:sz="0" w:space="0" w:color="auto"/>
              <w:right w:val="none" w:sz="0" w:space="0" w:color="auto"/>
            </w:tcBorders>
          </w:tcPr>
          <w:p w:rsidR="004F20CA" w:rsidRPr="00277328" w:rsidRDefault="004F20CA" w:rsidP="00A42699">
            <w:pPr>
              <w:cnfStyle w:val="100000000000"/>
              <w:rPr>
                <w:b w:val="0"/>
                <w:color w:val="auto"/>
                <w:lang w:val="en-GB"/>
              </w:rPr>
            </w:pPr>
            <w:r w:rsidRPr="00277328">
              <w:rPr>
                <w:b w:val="0"/>
                <w:color w:val="auto"/>
                <w:lang w:val="en-GB"/>
              </w:rPr>
              <w:t>Care costs</w:t>
            </w:r>
          </w:p>
        </w:tc>
        <w:tc>
          <w:tcPr>
            <w:tcW w:w="2131" w:type="dxa"/>
            <w:tcBorders>
              <w:top w:val="none" w:sz="0" w:space="0" w:color="auto"/>
              <w:left w:val="none" w:sz="0" w:space="0" w:color="auto"/>
              <w:bottom w:val="none" w:sz="0" w:space="0" w:color="auto"/>
              <w:right w:val="none" w:sz="0" w:space="0" w:color="auto"/>
            </w:tcBorders>
          </w:tcPr>
          <w:p w:rsidR="004F20CA" w:rsidRPr="00277328" w:rsidRDefault="004F20CA" w:rsidP="00A42699">
            <w:pPr>
              <w:cnfStyle w:val="100000000000"/>
              <w:rPr>
                <w:b w:val="0"/>
                <w:color w:val="auto"/>
                <w:lang w:val="en-GB"/>
              </w:rPr>
            </w:pPr>
            <w:r w:rsidRPr="00277328">
              <w:rPr>
                <w:b w:val="0"/>
                <w:color w:val="auto"/>
                <w:lang w:val="en-GB"/>
              </w:rPr>
              <w:t>Productivity costs</w:t>
            </w:r>
          </w:p>
        </w:tc>
        <w:tc>
          <w:tcPr>
            <w:tcW w:w="2131" w:type="dxa"/>
            <w:tcBorders>
              <w:top w:val="none" w:sz="0" w:space="0" w:color="auto"/>
              <w:left w:val="none" w:sz="0" w:space="0" w:color="auto"/>
              <w:bottom w:val="none" w:sz="0" w:space="0" w:color="auto"/>
              <w:right w:val="none" w:sz="0" w:space="0" w:color="auto"/>
            </w:tcBorders>
          </w:tcPr>
          <w:p w:rsidR="004F20CA" w:rsidRPr="00277328" w:rsidRDefault="004F20CA" w:rsidP="00A42699">
            <w:pPr>
              <w:cnfStyle w:val="100000000000"/>
              <w:rPr>
                <w:b w:val="0"/>
                <w:color w:val="auto"/>
                <w:lang w:val="en-GB"/>
              </w:rPr>
            </w:pPr>
            <w:r w:rsidRPr="00277328">
              <w:rPr>
                <w:b w:val="0"/>
                <w:color w:val="auto"/>
                <w:lang w:val="en-GB"/>
              </w:rPr>
              <w:t>Other costs</w:t>
            </w:r>
          </w:p>
        </w:tc>
      </w:tr>
      <w:tr w:rsidR="004F20CA" w:rsidRPr="00277328" w:rsidTr="008E2EDE">
        <w:trPr>
          <w:cnfStyle w:val="000000100000"/>
        </w:trPr>
        <w:tc>
          <w:tcPr>
            <w:cnfStyle w:val="001000000000"/>
            <w:tcW w:w="2130" w:type="dxa"/>
            <w:tcBorders>
              <w:left w:val="none" w:sz="0" w:space="0" w:color="auto"/>
              <w:right w:val="none" w:sz="0" w:space="0" w:color="auto"/>
            </w:tcBorders>
          </w:tcPr>
          <w:p w:rsidR="004F20CA" w:rsidRPr="00277328" w:rsidRDefault="004F20CA" w:rsidP="00A42699">
            <w:pPr>
              <w:rPr>
                <w:b w:val="0"/>
                <w:color w:val="auto"/>
                <w:lang w:val="en-GB"/>
              </w:rPr>
            </w:pPr>
            <w:r w:rsidRPr="00277328">
              <w:rPr>
                <w:b w:val="0"/>
                <w:color w:val="auto"/>
                <w:lang w:val="en-GB"/>
              </w:rPr>
              <w:t>Sufferers</w:t>
            </w:r>
          </w:p>
        </w:tc>
        <w:tc>
          <w:tcPr>
            <w:tcW w:w="2130" w:type="dxa"/>
            <w:tcBorders>
              <w:left w:val="none" w:sz="0" w:space="0" w:color="auto"/>
              <w:right w:val="none" w:sz="0" w:space="0" w:color="auto"/>
            </w:tcBorders>
          </w:tcPr>
          <w:p w:rsidR="004F20CA" w:rsidRPr="00277328" w:rsidRDefault="004F20CA" w:rsidP="00A42699">
            <w:pPr>
              <w:cnfStyle w:val="000000100000"/>
              <w:rPr>
                <w:color w:val="auto"/>
                <w:lang w:val="en-GB"/>
              </w:rPr>
            </w:pPr>
            <w:r w:rsidRPr="00277328">
              <w:rPr>
                <w:color w:val="auto"/>
                <w:lang w:val="en-GB"/>
              </w:rPr>
              <w:t>Treatment and service fees/payments</w:t>
            </w:r>
          </w:p>
        </w:tc>
        <w:tc>
          <w:tcPr>
            <w:tcW w:w="2131" w:type="dxa"/>
            <w:tcBorders>
              <w:left w:val="none" w:sz="0" w:space="0" w:color="auto"/>
              <w:right w:val="none" w:sz="0" w:space="0" w:color="auto"/>
            </w:tcBorders>
          </w:tcPr>
          <w:p w:rsidR="004F20CA" w:rsidRPr="00277328" w:rsidRDefault="004F20CA" w:rsidP="00A42699">
            <w:pPr>
              <w:cnfStyle w:val="000000100000"/>
              <w:rPr>
                <w:color w:val="auto"/>
                <w:lang w:val="en-GB"/>
              </w:rPr>
            </w:pPr>
            <w:r w:rsidRPr="00277328">
              <w:rPr>
                <w:color w:val="auto"/>
                <w:lang w:val="en-GB"/>
              </w:rPr>
              <w:t>Work disability; lost earnings</w:t>
            </w:r>
          </w:p>
        </w:tc>
        <w:tc>
          <w:tcPr>
            <w:tcW w:w="2131" w:type="dxa"/>
            <w:tcBorders>
              <w:left w:val="none" w:sz="0" w:space="0" w:color="auto"/>
              <w:right w:val="none" w:sz="0" w:space="0" w:color="auto"/>
            </w:tcBorders>
          </w:tcPr>
          <w:p w:rsidR="004F20CA" w:rsidRPr="00277328" w:rsidRDefault="004F20CA" w:rsidP="00A42699">
            <w:pPr>
              <w:cnfStyle w:val="000000100000"/>
              <w:rPr>
                <w:color w:val="auto"/>
                <w:lang w:val="en-GB"/>
              </w:rPr>
            </w:pPr>
            <w:r w:rsidRPr="00277328">
              <w:rPr>
                <w:color w:val="auto"/>
                <w:lang w:val="en-GB"/>
              </w:rPr>
              <w:t>Anguish/suffering; treatments side-effects; suicide</w:t>
            </w:r>
          </w:p>
        </w:tc>
      </w:tr>
      <w:tr w:rsidR="004F20CA" w:rsidRPr="00277328" w:rsidTr="008E2EDE">
        <w:tc>
          <w:tcPr>
            <w:cnfStyle w:val="001000000000"/>
            <w:tcW w:w="2130" w:type="dxa"/>
          </w:tcPr>
          <w:p w:rsidR="004F20CA" w:rsidRPr="00277328" w:rsidRDefault="004F20CA" w:rsidP="00A42699">
            <w:pPr>
              <w:rPr>
                <w:b w:val="0"/>
                <w:color w:val="auto"/>
                <w:lang w:val="en-GB"/>
              </w:rPr>
            </w:pPr>
            <w:r w:rsidRPr="00277328">
              <w:rPr>
                <w:b w:val="0"/>
                <w:color w:val="auto"/>
                <w:lang w:val="en-GB"/>
              </w:rPr>
              <w:t>Family and friends</w:t>
            </w:r>
          </w:p>
        </w:tc>
        <w:tc>
          <w:tcPr>
            <w:tcW w:w="2130" w:type="dxa"/>
          </w:tcPr>
          <w:p w:rsidR="004F20CA" w:rsidRPr="00277328" w:rsidRDefault="004F20CA" w:rsidP="00A42699">
            <w:pPr>
              <w:cnfStyle w:val="000000000000"/>
              <w:rPr>
                <w:color w:val="auto"/>
                <w:lang w:val="en-GB"/>
              </w:rPr>
            </w:pPr>
            <w:r w:rsidRPr="00277328">
              <w:rPr>
                <w:color w:val="auto"/>
                <w:lang w:val="en-GB"/>
              </w:rPr>
              <w:t>Informal care giving</w:t>
            </w:r>
          </w:p>
        </w:tc>
        <w:tc>
          <w:tcPr>
            <w:tcW w:w="2131" w:type="dxa"/>
          </w:tcPr>
          <w:p w:rsidR="004F20CA" w:rsidRPr="00277328" w:rsidRDefault="004F20CA" w:rsidP="00A42699">
            <w:pPr>
              <w:cnfStyle w:val="000000000000"/>
              <w:rPr>
                <w:color w:val="auto"/>
                <w:lang w:val="en-GB"/>
              </w:rPr>
            </w:pPr>
            <w:r w:rsidRPr="00277328">
              <w:rPr>
                <w:color w:val="auto"/>
                <w:lang w:val="en-GB"/>
              </w:rPr>
              <w:t>Time off work</w:t>
            </w:r>
          </w:p>
        </w:tc>
        <w:tc>
          <w:tcPr>
            <w:tcW w:w="2131" w:type="dxa"/>
          </w:tcPr>
          <w:p w:rsidR="004F20CA" w:rsidRPr="00277328" w:rsidRDefault="004F20CA" w:rsidP="004F20CA">
            <w:pPr>
              <w:cnfStyle w:val="000000000000"/>
              <w:rPr>
                <w:color w:val="auto"/>
                <w:lang w:val="en-GB"/>
              </w:rPr>
            </w:pPr>
            <w:r w:rsidRPr="00277328">
              <w:rPr>
                <w:color w:val="auto"/>
                <w:lang w:val="en-GB"/>
              </w:rPr>
              <w:t>Anguish; isolation; stigma</w:t>
            </w:r>
          </w:p>
        </w:tc>
      </w:tr>
      <w:tr w:rsidR="004F20CA" w:rsidRPr="00277328" w:rsidTr="008E2EDE">
        <w:trPr>
          <w:cnfStyle w:val="000000100000"/>
        </w:trPr>
        <w:tc>
          <w:tcPr>
            <w:cnfStyle w:val="001000000000"/>
            <w:tcW w:w="2130" w:type="dxa"/>
            <w:tcBorders>
              <w:left w:val="none" w:sz="0" w:space="0" w:color="auto"/>
              <w:right w:val="none" w:sz="0" w:space="0" w:color="auto"/>
            </w:tcBorders>
          </w:tcPr>
          <w:p w:rsidR="004F20CA" w:rsidRPr="00277328" w:rsidRDefault="004F20CA" w:rsidP="00A42699">
            <w:pPr>
              <w:rPr>
                <w:b w:val="0"/>
                <w:color w:val="auto"/>
                <w:lang w:val="en-GB"/>
              </w:rPr>
            </w:pPr>
            <w:r w:rsidRPr="00277328">
              <w:rPr>
                <w:b w:val="0"/>
                <w:color w:val="auto"/>
                <w:lang w:val="en-GB"/>
              </w:rPr>
              <w:t>Employers</w:t>
            </w:r>
          </w:p>
        </w:tc>
        <w:tc>
          <w:tcPr>
            <w:tcW w:w="2130" w:type="dxa"/>
            <w:tcBorders>
              <w:left w:val="none" w:sz="0" w:space="0" w:color="auto"/>
              <w:right w:val="none" w:sz="0" w:space="0" w:color="auto"/>
            </w:tcBorders>
          </w:tcPr>
          <w:p w:rsidR="004F20CA" w:rsidRPr="00277328" w:rsidRDefault="004F20CA" w:rsidP="00A42699">
            <w:pPr>
              <w:cnfStyle w:val="000000100000"/>
              <w:rPr>
                <w:color w:val="auto"/>
                <w:lang w:val="en-GB"/>
              </w:rPr>
            </w:pPr>
            <w:r w:rsidRPr="00277328">
              <w:rPr>
                <w:color w:val="auto"/>
                <w:lang w:val="en-GB"/>
              </w:rPr>
              <w:t>Contributions to treatment and care</w:t>
            </w:r>
          </w:p>
        </w:tc>
        <w:tc>
          <w:tcPr>
            <w:tcW w:w="2131" w:type="dxa"/>
            <w:tcBorders>
              <w:left w:val="none" w:sz="0" w:space="0" w:color="auto"/>
              <w:right w:val="none" w:sz="0" w:space="0" w:color="auto"/>
            </w:tcBorders>
          </w:tcPr>
          <w:p w:rsidR="004F20CA" w:rsidRPr="00277328" w:rsidRDefault="004F20CA" w:rsidP="00A42699">
            <w:pPr>
              <w:cnfStyle w:val="000000100000"/>
              <w:rPr>
                <w:color w:val="auto"/>
                <w:lang w:val="en-GB"/>
              </w:rPr>
            </w:pPr>
            <w:r w:rsidRPr="00277328">
              <w:rPr>
                <w:color w:val="auto"/>
                <w:lang w:val="en-GB"/>
              </w:rPr>
              <w:t>Reduced productivity</w:t>
            </w:r>
          </w:p>
        </w:tc>
        <w:tc>
          <w:tcPr>
            <w:tcW w:w="2131" w:type="dxa"/>
            <w:tcBorders>
              <w:left w:val="none" w:sz="0" w:space="0" w:color="auto"/>
              <w:right w:val="none" w:sz="0" w:space="0" w:color="auto"/>
            </w:tcBorders>
          </w:tcPr>
          <w:p w:rsidR="004F20CA" w:rsidRPr="00277328" w:rsidRDefault="004F20CA" w:rsidP="004F20CA">
            <w:pPr>
              <w:jc w:val="center"/>
              <w:cnfStyle w:val="000000100000"/>
              <w:rPr>
                <w:color w:val="auto"/>
                <w:lang w:val="en-GB"/>
              </w:rPr>
            </w:pPr>
            <w:r w:rsidRPr="00277328">
              <w:rPr>
                <w:color w:val="auto"/>
                <w:lang w:val="en-GB"/>
              </w:rPr>
              <w:t>-</w:t>
            </w:r>
          </w:p>
        </w:tc>
      </w:tr>
      <w:tr w:rsidR="004F20CA" w:rsidRPr="00277328" w:rsidTr="008E2EDE">
        <w:tc>
          <w:tcPr>
            <w:cnfStyle w:val="001000000000"/>
            <w:tcW w:w="2130" w:type="dxa"/>
          </w:tcPr>
          <w:p w:rsidR="004F20CA" w:rsidRPr="00277328" w:rsidRDefault="004F20CA" w:rsidP="00A42699">
            <w:pPr>
              <w:rPr>
                <w:b w:val="0"/>
                <w:color w:val="auto"/>
                <w:lang w:val="en-GB"/>
              </w:rPr>
            </w:pPr>
            <w:r w:rsidRPr="00277328">
              <w:rPr>
                <w:b w:val="0"/>
                <w:color w:val="auto"/>
                <w:lang w:val="en-GB"/>
              </w:rPr>
              <w:t>Society</w:t>
            </w:r>
          </w:p>
        </w:tc>
        <w:tc>
          <w:tcPr>
            <w:tcW w:w="2130" w:type="dxa"/>
          </w:tcPr>
          <w:p w:rsidR="004F20CA" w:rsidRPr="00277328" w:rsidRDefault="004F20CA" w:rsidP="00A42699">
            <w:pPr>
              <w:cnfStyle w:val="000000000000"/>
              <w:rPr>
                <w:color w:val="auto"/>
                <w:lang w:val="en-GB"/>
              </w:rPr>
            </w:pPr>
            <w:r w:rsidRPr="00277328">
              <w:rPr>
                <w:color w:val="auto"/>
                <w:lang w:val="en-GB"/>
              </w:rPr>
              <w:t>Provision of mental health care and general medical care (taxation/insurance)</w:t>
            </w:r>
          </w:p>
        </w:tc>
        <w:tc>
          <w:tcPr>
            <w:tcW w:w="2131" w:type="dxa"/>
          </w:tcPr>
          <w:p w:rsidR="004F20CA" w:rsidRPr="00277328" w:rsidRDefault="004F20CA" w:rsidP="00A42699">
            <w:pPr>
              <w:cnfStyle w:val="000000000000"/>
              <w:rPr>
                <w:color w:val="auto"/>
                <w:lang w:val="en-GB"/>
              </w:rPr>
            </w:pPr>
            <w:r w:rsidRPr="00277328">
              <w:rPr>
                <w:color w:val="auto"/>
                <w:lang w:val="en-GB"/>
              </w:rPr>
              <w:t>Reduced productivity</w:t>
            </w:r>
          </w:p>
        </w:tc>
        <w:tc>
          <w:tcPr>
            <w:tcW w:w="2131" w:type="dxa"/>
          </w:tcPr>
          <w:p w:rsidR="004F20CA" w:rsidRPr="00277328" w:rsidRDefault="004F20CA" w:rsidP="00A42699">
            <w:pPr>
              <w:cnfStyle w:val="000000000000"/>
              <w:rPr>
                <w:color w:val="auto"/>
                <w:lang w:val="en-GB"/>
              </w:rPr>
            </w:pPr>
            <w:r w:rsidRPr="00277328">
              <w:rPr>
                <w:color w:val="auto"/>
                <w:lang w:val="en-GB"/>
              </w:rPr>
              <w:t>Loss of lives; untreated illnesses (unmet needs); social exclusion</w:t>
            </w:r>
          </w:p>
        </w:tc>
      </w:tr>
    </w:tbl>
    <w:p w:rsidR="001E74C6" w:rsidRPr="00277328" w:rsidRDefault="001E74C6" w:rsidP="001E74C6">
      <w:pPr>
        <w:rPr>
          <w:lang w:val="en-GB"/>
        </w:rPr>
      </w:pPr>
      <w:r w:rsidRPr="00277328">
        <w:rPr>
          <w:lang w:val="en-GB"/>
        </w:rPr>
        <w:t xml:space="preserve"> Source: WHO Department of Mental Health and Substance Dependence, 2003</w:t>
      </w:r>
      <w:r w:rsidR="00E23D1E" w:rsidRPr="00277328">
        <w:rPr>
          <w:lang w:val="en-GB"/>
        </w:rPr>
        <w:t xml:space="preserve"> (Investing in Mental Health, 2003)</w:t>
      </w:r>
    </w:p>
    <w:p w:rsidR="00A42699" w:rsidRPr="00277328" w:rsidRDefault="00A42699" w:rsidP="00A42699">
      <w:pPr>
        <w:rPr>
          <w:lang w:val="en-GB"/>
        </w:rPr>
      </w:pPr>
      <w:r w:rsidRPr="00277328">
        <w:rPr>
          <w:lang w:val="en-GB"/>
        </w:rPr>
        <w:t>A recent study on the economic costs of brain disorders in Europe estimated that, given the 19 major groups of disorders included, the total European costs for 2010 reached 798 billion. Direct health care costs alone accounted for 37%, while indirect costs counted for 40%</w:t>
      </w:r>
      <w:r w:rsidR="00743B9A" w:rsidRPr="00277328">
        <w:rPr>
          <w:lang w:val="en-GB"/>
        </w:rPr>
        <w:t xml:space="preserve"> of the total costs</w:t>
      </w:r>
      <w:sdt>
        <w:sdtPr>
          <w:rPr>
            <w:lang w:val="en-GB"/>
          </w:rPr>
          <w:id w:val="40653345"/>
          <w:citation/>
        </w:sdtPr>
        <w:sdtContent>
          <w:r w:rsidR="00E93150" w:rsidRPr="00277328">
            <w:rPr>
              <w:lang w:val="en-GB"/>
            </w:rPr>
            <w:fldChar w:fldCharType="begin"/>
          </w:r>
          <w:r w:rsidR="00FB0F77" w:rsidRPr="00277328">
            <w:rPr>
              <w:lang w:val="en-GB"/>
            </w:rPr>
            <w:instrText xml:space="preserve"> CITATION Ole12 \l 1033 </w:instrText>
          </w:r>
          <w:r w:rsidR="00E93150" w:rsidRPr="00277328">
            <w:rPr>
              <w:lang w:val="en-GB"/>
            </w:rPr>
            <w:fldChar w:fldCharType="separate"/>
          </w:r>
          <w:r w:rsidR="008930F2" w:rsidRPr="00277328">
            <w:rPr>
              <w:lang w:val="en-GB"/>
            </w:rPr>
            <w:t xml:space="preserve"> (Olesen, et al. 2012)</w:t>
          </w:r>
          <w:r w:rsidR="00E93150" w:rsidRPr="00277328">
            <w:rPr>
              <w:lang w:val="en-GB"/>
            </w:rPr>
            <w:fldChar w:fldCharType="end"/>
          </w:r>
        </w:sdtContent>
      </w:sdt>
      <w:r w:rsidRPr="00277328">
        <w:rPr>
          <w:lang w:val="en-GB"/>
        </w:rPr>
        <w:t xml:space="preserve">. Moreover, compared to certain physical diseases, neurological disorders such as Alzheimer’s disease and schizophrenia are proved to be more costly in terms of average cost per patient. Compared to other chronic diseases, mental chronic disease conditions such as neurosis and psychosis tend to have higher annual </w:t>
      </w:r>
      <w:r w:rsidR="00743B9A" w:rsidRPr="00277328">
        <w:rPr>
          <w:lang w:val="en-GB"/>
        </w:rPr>
        <w:t>expenditure</w:t>
      </w:r>
      <w:sdt>
        <w:sdtPr>
          <w:rPr>
            <w:lang w:val="en-GB"/>
          </w:rPr>
          <w:id w:val="40653346"/>
          <w:citation/>
        </w:sdtPr>
        <w:sdtContent>
          <w:r w:rsidR="00E93150" w:rsidRPr="00277328">
            <w:rPr>
              <w:lang w:val="en-GB"/>
            </w:rPr>
            <w:fldChar w:fldCharType="begin"/>
          </w:r>
          <w:r w:rsidR="00FB0F77" w:rsidRPr="00277328">
            <w:rPr>
              <w:lang w:val="en-GB"/>
            </w:rPr>
            <w:instrText xml:space="preserve"> CITATION WHO03 \l 1033 </w:instrText>
          </w:r>
          <w:r w:rsidR="00E93150" w:rsidRPr="00277328">
            <w:rPr>
              <w:lang w:val="en-GB"/>
            </w:rPr>
            <w:fldChar w:fldCharType="separate"/>
          </w:r>
          <w:r w:rsidR="008930F2" w:rsidRPr="00277328">
            <w:rPr>
              <w:lang w:val="en-GB"/>
            </w:rPr>
            <w:t xml:space="preserve"> (WHO, Investing in Mental Health 2003)</w:t>
          </w:r>
          <w:r w:rsidR="00E93150" w:rsidRPr="00277328">
            <w:rPr>
              <w:lang w:val="en-GB"/>
            </w:rPr>
            <w:fldChar w:fldCharType="end"/>
          </w:r>
        </w:sdtContent>
      </w:sdt>
      <w:r w:rsidRPr="00277328">
        <w:rPr>
          <w:lang w:val="en-GB"/>
        </w:rPr>
        <w:t>. However, these extreme cost levels of mental disorders are highly attributed to their indirect costs</w:t>
      </w:r>
      <w:r w:rsidR="0051557B" w:rsidRPr="00277328">
        <w:rPr>
          <w:lang w:val="en-GB"/>
        </w:rPr>
        <w:t>. In</w:t>
      </w:r>
      <w:r w:rsidRPr="00277328">
        <w:rPr>
          <w:lang w:val="en-GB"/>
        </w:rPr>
        <w:t xml:space="preserve"> many high income countries, 35% to 45% of sick leaves from work are due to mental health problems. Health care expenditure for mental diseases is considered to be significantly lower than the direct cos</w:t>
      </w:r>
      <w:r w:rsidR="00743B9A" w:rsidRPr="00277328">
        <w:rPr>
          <w:lang w:val="en-GB"/>
        </w:rPr>
        <w:t xml:space="preserve">ts of other physical disorders </w:t>
      </w:r>
      <w:sdt>
        <w:sdtPr>
          <w:rPr>
            <w:lang w:val="en-GB"/>
          </w:rPr>
          <w:id w:val="40653347"/>
          <w:citation/>
        </w:sdtPr>
        <w:sdtContent>
          <w:r w:rsidR="00E93150" w:rsidRPr="00277328">
            <w:rPr>
              <w:lang w:val="en-GB"/>
            </w:rPr>
            <w:fldChar w:fldCharType="begin"/>
          </w:r>
          <w:r w:rsidR="00FB0F77" w:rsidRPr="00277328">
            <w:rPr>
              <w:lang w:val="en-GB"/>
            </w:rPr>
            <w:instrText xml:space="preserve"> CITATION Wit11 \l 1033 </w:instrText>
          </w:r>
          <w:r w:rsidR="00E93150" w:rsidRPr="00277328">
            <w:rPr>
              <w:lang w:val="en-GB"/>
            </w:rPr>
            <w:fldChar w:fldCharType="separate"/>
          </w:r>
          <w:r w:rsidR="008930F2" w:rsidRPr="00277328">
            <w:rPr>
              <w:lang w:val="en-GB"/>
            </w:rPr>
            <w:t>(Wittchen, et al. 2011)</w:t>
          </w:r>
          <w:r w:rsidR="00E93150" w:rsidRPr="00277328">
            <w:rPr>
              <w:lang w:val="en-GB"/>
            </w:rPr>
            <w:fldChar w:fldCharType="end"/>
          </w:r>
        </w:sdtContent>
      </w:sdt>
      <w:r w:rsidRPr="00277328">
        <w:rPr>
          <w:lang w:val="en-GB"/>
        </w:rPr>
        <w:t xml:space="preserve">.   </w:t>
      </w:r>
    </w:p>
    <w:p w:rsidR="005B5C82" w:rsidRPr="005B5C82" w:rsidRDefault="0051557B">
      <w:pPr>
        <w:rPr>
          <w:lang w:val="en-GB"/>
        </w:rPr>
      </w:pPr>
      <w:r w:rsidRPr="00277328">
        <w:rPr>
          <w:lang w:val="en-GB"/>
        </w:rPr>
        <w:t xml:space="preserve">These findings indicate </w:t>
      </w:r>
      <w:r w:rsidR="00A42699" w:rsidRPr="00277328">
        <w:rPr>
          <w:lang w:val="en-GB"/>
        </w:rPr>
        <w:t>that the economic and disease burden of brain disorders has been significantly growing during the last decade. Mental and neurological disorders and poor mental hea</w:t>
      </w:r>
      <w:r w:rsidRPr="00277328">
        <w:rPr>
          <w:lang w:val="en-GB"/>
        </w:rPr>
        <w:t xml:space="preserve">lth appear across different </w:t>
      </w:r>
      <w:r w:rsidR="00A42699" w:rsidRPr="00277328">
        <w:rPr>
          <w:lang w:val="en-GB"/>
        </w:rPr>
        <w:t>age and population groups, as well as diverse cultures. The total costs of mental health problems are continuously increasing and up to 2006 they have been estimated at between 3%</w:t>
      </w:r>
      <w:r w:rsidR="00743B9A" w:rsidRPr="00277328">
        <w:rPr>
          <w:lang w:val="en-GB"/>
        </w:rPr>
        <w:t xml:space="preserve"> and 4% of GDP</w:t>
      </w:r>
      <w:sdt>
        <w:sdtPr>
          <w:rPr>
            <w:lang w:val="en-GB"/>
          </w:rPr>
          <w:id w:val="40653348"/>
          <w:citation/>
        </w:sdtPr>
        <w:sdtContent>
          <w:r w:rsidR="00E93150" w:rsidRPr="00277328">
            <w:rPr>
              <w:lang w:val="en-GB"/>
            </w:rPr>
            <w:fldChar w:fldCharType="begin"/>
          </w:r>
          <w:r w:rsidR="00FB0F77" w:rsidRPr="00277328">
            <w:rPr>
              <w:lang w:val="en-GB"/>
            </w:rPr>
            <w:instrText xml:space="preserve"> CITATION Jan06 \l 1033 </w:instrText>
          </w:r>
          <w:r w:rsidR="00E93150" w:rsidRPr="00277328">
            <w:rPr>
              <w:lang w:val="en-GB"/>
            </w:rPr>
            <w:fldChar w:fldCharType="separate"/>
          </w:r>
          <w:r w:rsidR="008930F2" w:rsidRPr="00277328">
            <w:rPr>
              <w:lang w:val="en-GB"/>
            </w:rPr>
            <w:t xml:space="preserve"> (Jané-Llopis and Anderson 2006)</w:t>
          </w:r>
          <w:r w:rsidR="00E93150" w:rsidRPr="00277328">
            <w:rPr>
              <w:lang w:val="en-GB"/>
            </w:rPr>
            <w:fldChar w:fldCharType="end"/>
          </w:r>
        </w:sdtContent>
      </w:sdt>
      <w:r w:rsidR="00A42699" w:rsidRPr="00277328">
        <w:rPr>
          <w:lang w:val="en-GB"/>
        </w:rPr>
        <w:t>. The main driver of these costs is lost productivity at work due to mental disability. Further non-health costs include the impact of mental disorders on social, educational and criminal systems as well as the stigmatization of mentally ill individuals. This continuously increasing prevalence of mental health disorders gradually upgraded mental health policy to a core health</w:t>
      </w:r>
      <w:r w:rsidR="005B5C82">
        <w:rPr>
          <w:lang w:val="en-GB"/>
        </w:rPr>
        <w:t xml:space="preserve"> care challenge across the EU.</w:t>
      </w:r>
    </w:p>
    <w:p w:rsidR="005B5C82" w:rsidRDefault="005B5C82">
      <w:pPr>
        <w:rPr>
          <w:rFonts w:eastAsiaTheme="majorEastAsia" w:cstheme="majorBidi"/>
          <w:b/>
          <w:bCs/>
          <w:sz w:val="28"/>
          <w:szCs w:val="28"/>
          <w:lang w:val="en-GB"/>
        </w:rPr>
      </w:pPr>
      <w:r>
        <w:rPr>
          <w:lang w:val="en-GB"/>
        </w:rPr>
        <w:br w:type="page"/>
      </w:r>
    </w:p>
    <w:p w:rsidR="00A42699" w:rsidRPr="00277328" w:rsidRDefault="00A42699" w:rsidP="003414E6">
      <w:pPr>
        <w:pStyle w:val="Heading1"/>
        <w:rPr>
          <w:lang w:val="en-GB"/>
        </w:rPr>
      </w:pPr>
      <w:bookmarkStart w:id="4" w:name="_Toc367790996"/>
      <w:r w:rsidRPr="00277328">
        <w:rPr>
          <w:lang w:val="en-GB"/>
        </w:rPr>
        <w:lastRenderedPageBreak/>
        <w:t>BACKGROUND</w:t>
      </w:r>
      <w:bookmarkEnd w:id="4"/>
    </w:p>
    <w:p w:rsidR="00A42699" w:rsidRPr="00277328" w:rsidRDefault="00A42699" w:rsidP="00A42699">
      <w:pPr>
        <w:pStyle w:val="ListParagraph"/>
        <w:rPr>
          <w:b/>
          <w:sz w:val="28"/>
          <w:szCs w:val="28"/>
          <w:lang w:val="en-GB"/>
        </w:rPr>
      </w:pPr>
    </w:p>
    <w:p w:rsidR="00A42699" w:rsidRPr="00277328" w:rsidRDefault="00A42699" w:rsidP="003414E6">
      <w:pPr>
        <w:pStyle w:val="Heading2"/>
        <w:rPr>
          <w:szCs w:val="24"/>
          <w:lang w:val="en-GB"/>
        </w:rPr>
      </w:pPr>
      <w:bookmarkStart w:id="5" w:name="_Toc367790997"/>
      <w:r w:rsidRPr="00277328">
        <w:rPr>
          <w:szCs w:val="24"/>
          <w:lang w:val="en-GB"/>
        </w:rPr>
        <w:t>The Spanish health system reforms</w:t>
      </w:r>
      <w:bookmarkEnd w:id="5"/>
    </w:p>
    <w:p w:rsidR="00A42699" w:rsidRPr="00277328" w:rsidRDefault="00A42699" w:rsidP="00A42699">
      <w:pPr>
        <w:rPr>
          <w:lang w:val="en-GB"/>
        </w:rPr>
      </w:pPr>
      <w:r w:rsidRPr="00277328">
        <w:rPr>
          <w:lang w:val="en-GB"/>
        </w:rPr>
        <w:t>The Spanish Health System has been significantly transformed during the last two decades. In 1986, the General Health Law (</w:t>
      </w:r>
      <w:r w:rsidRPr="00277328">
        <w:rPr>
          <w:i/>
          <w:lang w:val="en-GB"/>
        </w:rPr>
        <w:t>Ley General de Sanidad</w:t>
      </w:r>
      <w:r w:rsidR="0051557B" w:rsidRPr="00277328">
        <w:rPr>
          <w:lang w:val="en-GB"/>
        </w:rPr>
        <w:t xml:space="preserve">) </w:t>
      </w:r>
      <w:r w:rsidR="00AF352F">
        <w:rPr>
          <w:lang w:val="en-GB"/>
        </w:rPr>
        <w:t>provided</w:t>
      </w:r>
      <w:r w:rsidR="0051557B" w:rsidRPr="00277328">
        <w:rPr>
          <w:lang w:val="en-GB"/>
        </w:rPr>
        <w:t xml:space="preserve"> all </w:t>
      </w:r>
      <w:r w:rsidRPr="00277328">
        <w:rPr>
          <w:lang w:val="en-GB"/>
        </w:rPr>
        <w:t xml:space="preserve">citizens </w:t>
      </w:r>
      <w:r w:rsidR="00AF352F">
        <w:rPr>
          <w:lang w:val="en-GB"/>
        </w:rPr>
        <w:t>the right</w:t>
      </w:r>
      <w:r w:rsidR="0051557B" w:rsidRPr="00277328">
        <w:rPr>
          <w:lang w:val="en-GB"/>
        </w:rPr>
        <w:t xml:space="preserve"> to health care</w:t>
      </w:r>
      <w:r w:rsidRPr="00277328">
        <w:rPr>
          <w:lang w:val="en-GB"/>
        </w:rPr>
        <w:t xml:space="preserve"> by creating a universal and decentrali</w:t>
      </w:r>
      <w:r w:rsidR="00F16517">
        <w:rPr>
          <w:lang w:val="en-GB"/>
        </w:rPr>
        <w:t>s</w:t>
      </w:r>
      <w:r w:rsidRPr="00277328">
        <w:rPr>
          <w:lang w:val="en-GB"/>
        </w:rPr>
        <w:t>ed health system, the Spanish National Health System (</w:t>
      </w:r>
      <w:r w:rsidRPr="00277328">
        <w:rPr>
          <w:i/>
          <w:lang w:val="en-GB"/>
        </w:rPr>
        <w:t>Systema Nacional de Salud</w:t>
      </w:r>
      <w:r w:rsidRPr="00277328">
        <w:rPr>
          <w:lang w:val="en-GB"/>
        </w:rPr>
        <w:t>, SNS). According</w:t>
      </w:r>
      <w:r w:rsidR="00F16517">
        <w:rPr>
          <w:lang w:val="en-GB"/>
        </w:rPr>
        <w:t xml:space="preserve"> to this law, SNS is characteris</w:t>
      </w:r>
      <w:r w:rsidRPr="00277328">
        <w:rPr>
          <w:lang w:val="en-GB"/>
        </w:rPr>
        <w:t xml:space="preserve">ed, among others, by the extension of services to the entire population and the provision of comprehensive health care, including promotion of </w:t>
      </w:r>
      <w:r w:rsidR="00D22CD1" w:rsidRPr="00277328">
        <w:rPr>
          <w:lang w:val="en-GB"/>
        </w:rPr>
        <w:t>care and prevention of disease (RDL 14/1986)</w:t>
      </w:r>
      <w:r w:rsidRPr="00277328">
        <w:rPr>
          <w:lang w:val="en-GB"/>
        </w:rPr>
        <w:t>. The expansion of health coverage ha</w:t>
      </w:r>
      <w:r w:rsidR="0066055F">
        <w:rPr>
          <w:lang w:val="en-GB"/>
        </w:rPr>
        <w:t>s been followed by a decentralis</w:t>
      </w:r>
      <w:r w:rsidRPr="00277328">
        <w:rPr>
          <w:lang w:val="en-GB"/>
        </w:rPr>
        <w:t xml:space="preserve">ation process </w:t>
      </w:r>
      <w:r w:rsidR="0051557B" w:rsidRPr="00277328">
        <w:rPr>
          <w:lang w:val="en-GB"/>
        </w:rPr>
        <w:t xml:space="preserve">which gradually transferred </w:t>
      </w:r>
      <w:r w:rsidRPr="00277328">
        <w:rPr>
          <w:lang w:val="en-GB"/>
        </w:rPr>
        <w:t xml:space="preserve">health management responsibilities to the distinct regions, also named </w:t>
      </w:r>
      <w:r w:rsidR="00277328" w:rsidRPr="00277328">
        <w:rPr>
          <w:lang w:val="en-GB"/>
        </w:rPr>
        <w:t>ACs</w:t>
      </w:r>
      <w:r w:rsidRPr="00277328">
        <w:rPr>
          <w:lang w:val="en-GB"/>
        </w:rPr>
        <w:t xml:space="preserve"> of Spain. This procedure was completed in 2002, when all seventeen ACs have been authori</w:t>
      </w:r>
      <w:r w:rsidR="00F16517">
        <w:rPr>
          <w:lang w:val="en-GB"/>
        </w:rPr>
        <w:t>s</w:t>
      </w:r>
      <w:r w:rsidRPr="00277328">
        <w:rPr>
          <w:lang w:val="en-GB"/>
        </w:rPr>
        <w:t>e</w:t>
      </w:r>
      <w:r w:rsidR="00D8463F" w:rsidRPr="00277328">
        <w:rPr>
          <w:lang w:val="en-GB"/>
        </w:rPr>
        <w:t xml:space="preserve">d with health responsibilities </w:t>
      </w:r>
      <w:sdt>
        <w:sdtPr>
          <w:rPr>
            <w:lang w:val="en-GB"/>
          </w:rPr>
          <w:id w:val="40653349"/>
          <w:citation/>
        </w:sdtPr>
        <w:sdtContent>
          <w:r w:rsidR="00E93150" w:rsidRPr="00277328">
            <w:rPr>
              <w:lang w:val="en-GB"/>
            </w:rPr>
            <w:fldChar w:fldCharType="begin"/>
          </w:r>
          <w:r w:rsidR="00FB0F77" w:rsidRPr="00277328">
            <w:rPr>
              <w:lang w:val="en-GB"/>
            </w:rPr>
            <w:instrText xml:space="preserve"> CITATION Gui05 \l 1033  </w:instrText>
          </w:r>
          <w:r w:rsidR="00E93150" w:rsidRPr="00277328">
            <w:rPr>
              <w:lang w:val="en-GB"/>
            </w:rPr>
            <w:fldChar w:fldCharType="separate"/>
          </w:r>
          <w:r w:rsidR="0051557B" w:rsidRPr="00277328">
            <w:rPr>
              <w:lang w:val="en-GB"/>
            </w:rPr>
            <w:t>(Lopez-Casasnovas, Costa-Font and Planasa 2005)</w:t>
          </w:r>
          <w:r w:rsidR="00E93150" w:rsidRPr="00277328">
            <w:rPr>
              <w:lang w:val="en-GB"/>
            </w:rPr>
            <w:fldChar w:fldCharType="end"/>
          </w:r>
        </w:sdtContent>
      </w:sdt>
      <w:r w:rsidR="00D8463F" w:rsidRPr="00277328">
        <w:rPr>
          <w:lang w:val="en-GB"/>
        </w:rPr>
        <w:t>.</w:t>
      </w:r>
    </w:p>
    <w:p w:rsidR="00A42699" w:rsidRPr="00277328" w:rsidRDefault="00A42699" w:rsidP="00A42699">
      <w:pPr>
        <w:rPr>
          <w:rFonts w:eastAsia="Times New Roman" w:cstheme="minorHAnsi"/>
          <w:iCs/>
          <w:color w:val="000000"/>
          <w:lang w:val="en-GB" w:eastAsia="el-GR"/>
        </w:rPr>
      </w:pPr>
      <w:r w:rsidRPr="00277328">
        <w:rPr>
          <w:lang w:val="en-GB"/>
        </w:rPr>
        <w:t>The creation of SNS and the devolution of health care to the Spanish regions were accompanied by a reorganization of the legislative and financing regimes of the health system.</w:t>
      </w:r>
      <w:r w:rsidRPr="00277328">
        <w:rPr>
          <w:rFonts w:eastAsia="Times New Roman" w:cstheme="minorHAnsi"/>
          <w:iCs/>
          <w:color w:val="000000"/>
          <w:lang w:val="en-GB" w:eastAsia="el-GR"/>
        </w:rPr>
        <w:t xml:space="preserve"> The General Health Law introduced the Interterritorial Council of the Spanish National Health Service (</w:t>
      </w:r>
      <w:r w:rsidRPr="00277328">
        <w:rPr>
          <w:rFonts w:eastAsia="Times New Roman" w:cstheme="minorHAnsi"/>
          <w:i/>
          <w:iCs/>
          <w:color w:val="000000"/>
          <w:lang w:val="en-GB" w:eastAsia="el-GR"/>
        </w:rPr>
        <w:t>Consejo Interterritorial del Servicio Nacional de Salud de España</w:t>
      </w:r>
      <w:r w:rsidRPr="00277328">
        <w:rPr>
          <w:rFonts w:eastAsia="Times New Roman" w:cstheme="minorHAnsi"/>
          <w:color w:val="000000"/>
          <w:lang w:val="en-GB" w:eastAsia="el-GR"/>
        </w:rPr>
        <w:t xml:space="preserve">, CISNS) as an organ of cohesion among the regional health policies. </w:t>
      </w:r>
      <w:r w:rsidRPr="00277328">
        <w:rPr>
          <w:lang w:val="en-GB"/>
        </w:rPr>
        <w:t>While the Ministry of Health, Social Services and Equality (</w:t>
      </w:r>
      <w:r w:rsidRPr="00277328">
        <w:rPr>
          <w:rFonts w:eastAsia="Times New Roman" w:cstheme="minorHAnsi"/>
          <w:i/>
          <w:iCs/>
          <w:color w:val="000000"/>
          <w:lang w:val="en-GB" w:eastAsia="el-GR"/>
        </w:rPr>
        <w:t>Ministerio de Sanidad, Servicios Sociales e Igualdad, MSSSI)</w:t>
      </w:r>
      <w:r w:rsidRPr="00277328">
        <w:rPr>
          <w:rFonts w:eastAsia="Times New Roman" w:cstheme="minorHAnsi"/>
          <w:iCs/>
          <w:color w:val="000000"/>
          <w:lang w:val="en-GB" w:eastAsia="el-GR"/>
        </w:rPr>
        <w:t xml:space="preserve"> is still delegated with the centra</w:t>
      </w:r>
      <w:r w:rsidR="0051557B" w:rsidRPr="00277328">
        <w:rPr>
          <w:rFonts w:eastAsia="Times New Roman" w:cstheme="minorHAnsi"/>
          <w:iCs/>
          <w:color w:val="000000"/>
          <w:lang w:val="en-GB" w:eastAsia="el-GR"/>
        </w:rPr>
        <w:t>l governance of health care,</w:t>
      </w:r>
      <w:r w:rsidRPr="00277328">
        <w:rPr>
          <w:rFonts w:eastAsia="Times New Roman" w:cstheme="minorHAnsi"/>
          <w:iCs/>
          <w:color w:val="000000"/>
          <w:lang w:val="en-GB" w:eastAsia="el-GR"/>
        </w:rPr>
        <w:t xml:space="preserve"> CISNS functions as the general coordinator in health care issues between the central state and the regional governments of the ACs. Jointly composed by central and regional representatives, CISNS consorts with the diverse health activities of the autonomous communities. </w:t>
      </w:r>
    </w:p>
    <w:p w:rsidR="00A42699" w:rsidRPr="00277328" w:rsidRDefault="00A42699" w:rsidP="00A42699">
      <w:pPr>
        <w:rPr>
          <w:rFonts w:eastAsia="Times New Roman" w:cstheme="minorHAnsi"/>
          <w:iCs/>
          <w:color w:val="000000"/>
          <w:lang w:val="en-GB" w:eastAsia="el-GR"/>
        </w:rPr>
      </w:pPr>
      <w:r w:rsidRPr="00277328">
        <w:rPr>
          <w:rFonts w:eastAsia="Times New Roman" w:cstheme="minorHAnsi"/>
          <w:iCs/>
          <w:color w:val="000000"/>
          <w:lang w:val="en-GB" w:eastAsia="el-GR"/>
        </w:rPr>
        <w:t xml:space="preserve">Gradually, ACs developed regional financing and delivery schemes. At present, all ACs are delegated with full health care responsibilities, except for some financial constraints imposed by the central state </w:t>
      </w:r>
      <w:sdt>
        <w:sdtPr>
          <w:rPr>
            <w:rFonts w:eastAsia="Times New Roman" w:cstheme="minorHAnsi"/>
            <w:iCs/>
            <w:color w:val="000000"/>
            <w:lang w:val="en-GB" w:eastAsia="el-GR"/>
          </w:rPr>
          <w:id w:val="40678341"/>
          <w:citation/>
        </w:sdtPr>
        <w:sdtContent>
          <w:r w:rsidR="00E93150" w:rsidRPr="00277328">
            <w:rPr>
              <w:rFonts w:eastAsia="Times New Roman" w:cstheme="minorHAnsi"/>
              <w:iCs/>
              <w:color w:val="000000"/>
              <w:lang w:val="en-GB" w:eastAsia="el-GR"/>
            </w:rPr>
            <w:fldChar w:fldCharType="begin"/>
          </w:r>
          <w:r w:rsidR="0051557B" w:rsidRPr="00277328">
            <w:rPr>
              <w:rFonts w:eastAsia="Times New Roman" w:cstheme="minorHAnsi"/>
              <w:iCs/>
              <w:color w:val="000000"/>
              <w:lang w:val="en-GB" w:eastAsia="el-GR"/>
            </w:rPr>
            <w:instrText xml:space="preserve"> CITATION Gui05 \l 1033  </w:instrText>
          </w:r>
          <w:r w:rsidR="00E93150" w:rsidRPr="00277328">
            <w:rPr>
              <w:rFonts w:eastAsia="Times New Roman" w:cstheme="minorHAnsi"/>
              <w:iCs/>
              <w:color w:val="000000"/>
              <w:lang w:val="en-GB" w:eastAsia="el-GR"/>
            </w:rPr>
            <w:fldChar w:fldCharType="separate"/>
          </w:r>
          <w:r w:rsidR="0051557B" w:rsidRPr="00277328">
            <w:rPr>
              <w:rFonts w:eastAsia="Times New Roman" w:cstheme="minorHAnsi"/>
              <w:color w:val="000000"/>
              <w:lang w:val="en-GB" w:eastAsia="el-GR"/>
            </w:rPr>
            <w:t>(Lopez-Casasnovas, Costa-Font and Planasa 2005)</w:t>
          </w:r>
          <w:r w:rsidR="00E93150" w:rsidRPr="00277328">
            <w:rPr>
              <w:rFonts w:eastAsia="Times New Roman" w:cstheme="minorHAnsi"/>
              <w:iCs/>
              <w:color w:val="000000"/>
              <w:lang w:val="en-GB" w:eastAsia="el-GR"/>
            </w:rPr>
            <w:fldChar w:fldCharType="end"/>
          </w:r>
        </w:sdtContent>
      </w:sdt>
      <w:r w:rsidR="008474FC" w:rsidRPr="00277328">
        <w:rPr>
          <w:rFonts w:eastAsia="Times New Roman" w:cstheme="minorHAnsi"/>
          <w:iCs/>
          <w:color w:val="000000"/>
          <w:lang w:val="en-GB" w:eastAsia="el-GR"/>
        </w:rPr>
        <w:t xml:space="preserve">. However, </w:t>
      </w:r>
      <w:r w:rsidRPr="00277328">
        <w:rPr>
          <w:rFonts w:eastAsia="Times New Roman" w:cstheme="minorHAnsi"/>
          <w:iCs/>
          <w:color w:val="000000"/>
          <w:lang w:val="en-GB" w:eastAsia="el-GR"/>
        </w:rPr>
        <w:t>these reforms occurred at different speeds across the country, resulting in potential health care inequalities among the regions. This led to the Law of Cohesion and Quality (</w:t>
      </w:r>
      <w:r w:rsidRPr="00277328">
        <w:rPr>
          <w:rFonts w:eastAsia="Times New Roman" w:cstheme="minorHAnsi"/>
          <w:i/>
          <w:iCs/>
          <w:color w:val="000000"/>
          <w:lang w:val="en-GB" w:eastAsia="el-GR"/>
        </w:rPr>
        <w:t>Ley de Cohesión y Calidad de Sistema Nacional de Salud</w:t>
      </w:r>
      <w:r w:rsidRPr="00277328">
        <w:rPr>
          <w:rFonts w:eastAsia="Times New Roman" w:cstheme="minorHAnsi"/>
          <w:iCs/>
          <w:color w:val="000000"/>
          <w:lang w:val="en-GB" w:eastAsia="el-GR"/>
        </w:rPr>
        <w:t xml:space="preserve">) in 2003, which complemented the General Health Act basic lines in order to reflect the current social reality. The law demonstrated a further cooperation of public health authorities in order to warrant citizens’ rights to health protection and quality of care; strengthen the equality of health services among regions; and support the social participation in the SNS. </w:t>
      </w:r>
    </w:p>
    <w:p w:rsidR="00A42699" w:rsidRPr="00277328" w:rsidRDefault="00A42699" w:rsidP="00A42699">
      <w:pPr>
        <w:rPr>
          <w:rFonts w:eastAsia="Times New Roman" w:cstheme="minorHAnsi"/>
          <w:iCs/>
          <w:color w:val="000000"/>
          <w:lang w:val="en-GB" w:eastAsia="el-GR"/>
        </w:rPr>
      </w:pPr>
      <w:r w:rsidRPr="00277328">
        <w:rPr>
          <w:rFonts w:eastAsia="Times New Roman" w:cstheme="minorHAnsi"/>
          <w:iCs/>
          <w:color w:val="000000"/>
          <w:lang w:val="en-GB" w:eastAsia="el-GR"/>
        </w:rPr>
        <w:t>During the last years, the Spanish health system faced further challenges due to the global economic downturn. The economic crisis put pressure on the sustainability of public finances in Spain. In a context of continuously rising health care expenditure, this led to a need for structural reforms in order to reassure the efficiency of the health system. To this end, two new Royal Decree-Acts (20 April 2012 and 3 August 2012, respectively) have been implemented</w:t>
      </w:r>
      <w:r w:rsidR="00D22CD1" w:rsidRPr="00277328">
        <w:rPr>
          <w:rFonts w:eastAsia="Times New Roman" w:cstheme="minorHAnsi"/>
          <w:iCs/>
          <w:color w:val="000000"/>
          <w:lang w:val="en-GB" w:eastAsia="el-GR"/>
        </w:rPr>
        <w:t xml:space="preserve"> (RDL 20/2012; RDL 3/2012)</w:t>
      </w:r>
      <w:r w:rsidRPr="00277328">
        <w:rPr>
          <w:rFonts w:eastAsia="Times New Roman" w:cstheme="minorHAnsi"/>
          <w:iCs/>
          <w:color w:val="000000"/>
          <w:lang w:val="en-GB" w:eastAsia="el-GR"/>
        </w:rPr>
        <w:t xml:space="preserve">. These laws introduced several structural changes in the SNS, targeting the effective coordination of the system and the application of </w:t>
      </w:r>
      <w:r w:rsidRPr="00277328">
        <w:rPr>
          <w:rFonts w:eastAsia="Times New Roman" w:cstheme="minorHAnsi"/>
          <w:iCs/>
          <w:color w:val="000000"/>
          <w:lang w:val="en-GB" w:eastAsia="el-GR"/>
        </w:rPr>
        <w:lastRenderedPageBreak/>
        <w:t>community and pharmaceutical legislat</w:t>
      </w:r>
      <w:r w:rsidR="00D22CD1" w:rsidRPr="00277328">
        <w:rPr>
          <w:rFonts w:eastAsia="Times New Roman" w:cstheme="minorHAnsi"/>
          <w:iCs/>
          <w:color w:val="000000"/>
          <w:lang w:val="en-GB" w:eastAsia="el-GR"/>
        </w:rPr>
        <w:t xml:space="preserve">ion </w:t>
      </w:r>
      <w:r w:rsidR="00D22CD1" w:rsidRPr="00277328">
        <w:rPr>
          <w:rFonts w:eastAsia="Times New Roman" w:cstheme="minorHAnsi"/>
          <w:color w:val="000000"/>
          <w:lang w:val="en-GB" w:eastAsia="el-GR"/>
        </w:rPr>
        <w:t>(International Social Security Association, ISSA 2013)</w:t>
      </w:r>
      <w:r w:rsidR="008474FC" w:rsidRPr="00277328">
        <w:rPr>
          <w:rFonts w:eastAsia="Times New Roman" w:cstheme="minorHAnsi"/>
          <w:iCs/>
          <w:color w:val="000000"/>
          <w:lang w:val="en-GB" w:eastAsia="el-GR"/>
        </w:rPr>
        <w:t xml:space="preserve">. </w:t>
      </w:r>
    </w:p>
    <w:p w:rsidR="00A42699" w:rsidRPr="00277328" w:rsidRDefault="00A42699" w:rsidP="00A42699">
      <w:pPr>
        <w:rPr>
          <w:rFonts w:eastAsia="Times New Roman" w:cstheme="minorHAnsi"/>
          <w:iCs/>
          <w:color w:val="000000"/>
          <w:lang w:val="en-GB" w:eastAsia="el-GR"/>
        </w:rPr>
      </w:pPr>
      <w:r w:rsidRPr="00277328">
        <w:rPr>
          <w:rFonts w:eastAsia="Times New Roman" w:cstheme="minorHAnsi"/>
          <w:iCs/>
          <w:color w:val="000000"/>
          <w:lang w:val="en-GB" w:eastAsia="el-GR"/>
        </w:rPr>
        <w:t>Overall, the Spanish health system has undergone significant changes during the last decades. The consolidation of health care services under the SNS and the devolution of health responsibilities to the ACs have given ambiguous results. The devolution of health authorities and fiscal responsibilities to the autonomous communities seems to have improved the quality of health care, without necessarily increasing inequalities among the regions in terms of access to hea</w:t>
      </w:r>
      <w:r w:rsidR="00D67F21" w:rsidRPr="00277328">
        <w:rPr>
          <w:rFonts w:eastAsia="Times New Roman" w:cstheme="minorHAnsi"/>
          <w:iCs/>
          <w:color w:val="000000"/>
          <w:lang w:val="en-GB" w:eastAsia="el-GR"/>
        </w:rPr>
        <w:t>lth care</w:t>
      </w:r>
      <w:sdt>
        <w:sdtPr>
          <w:rPr>
            <w:rFonts w:eastAsia="Times New Roman" w:cstheme="minorHAnsi"/>
            <w:iCs/>
            <w:color w:val="000000"/>
            <w:lang w:val="en-GB" w:eastAsia="el-GR"/>
          </w:rPr>
          <w:id w:val="40653351"/>
          <w:citation/>
        </w:sdtPr>
        <w:sdtContent>
          <w:r w:rsidR="00E93150" w:rsidRPr="00277328">
            <w:rPr>
              <w:rFonts w:eastAsia="Times New Roman" w:cstheme="minorHAnsi"/>
              <w:iCs/>
              <w:color w:val="000000"/>
              <w:lang w:val="en-GB" w:eastAsia="el-GR"/>
            </w:rPr>
            <w:fldChar w:fldCharType="begin"/>
          </w:r>
          <w:r w:rsidR="00D22CD1" w:rsidRPr="00277328">
            <w:rPr>
              <w:rFonts w:eastAsia="Times New Roman" w:cstheme="minorHAnsi"/>
              <w:iCs/>
              <w:color w:val="000000"/>
              <w:lang w:val="en-GB" w:eastAsia="el-GR"/>
            </w:rPr>
            <w:instrText xml:space="preserve"> CITATION Mar09 \l 1033 </w:instrText>
          </w:r>
          <w:r w:rsidR="00E93150" w:rsidRPr="00277328">
            <w:rPr>
              <w:rFonts w:eastAsia="Times New Roman" w:cstheme="minorHAnsi"/>
              <w:iCs/>
              <w:color w:val="000000"/>
              <w:lang w:val="en-GB" w:eastAsia="el-GR"/>
            </w:rPr>
            <w:fldChar w:fldCharType="separate"/>
          </w:r>
          <w:r w:rsidR="008930F2" w:rsidRPr="00277328">
            <w:rPr>
              <w:rFonts w:eastAsia="Times New Roman" w:cstheme="minorHAnsi"/>
              <w:iCs/>
              <w:color w:val="000000"/>
              <w:lang w:val="en-GB" w:eastAsia="el-GR"/>
            </w:rPr>
            <w:t xml:space="preserve"> </w:t>
          </w:r>
          <w:r w:rsidR="008930F2" w:rsidRPr="00277328">
            <w:rPr>
              <w:rFonts w:eastAsia="Times New Roman" w:cstheme="minorHAnsi"/>
              <w:color w:val="000000"/>
              <w:lang w:val="en-GB" w:eastAsia="el-GR"/>
            </w:rPr>
            <w:t>(Martin-Moreno and Collegues 2009)</w:t>
          </w:r>
          <w:r w:rsidR="00E93150" w:rsidRPr="00277328">
            <w:rPr>
              <w:rFonts w:eastAsia="Times New Roman" w:cstheme="minorHAnsi"/>
              <w:iCs/>
              <w:color w:val="000000"/>
              <w:lang w:val="en-GB" w:eastAsia="el-GR"/>
            </w:rPr>
            <w:fldChar w:fldCharType="end"/>
          </w:r>
        </w:sdtContent>
      </w:sdt>
      <w:r w:rsidRPr="00277328">
        <w:rPr>
          <w:rFonts w:eastAsia="Times New Roman" w:cstheme="minorHAnsi"/>
          <w:iCs/>
          <w:color w:val="000000"/>
          <w:lang w:val="en-GB" w:eastAsia="el-GR"/>
        </w:rPr>
        <w:t>. However, several discrepancies between the regions are observed concerning health outcomes and health care funding. In order to tackle these inequalities, further improvements have to take place in the coordination of regional governmen</w:t>
      </w:r>
      <w:r w:rsidR="008474FC" w:rsidRPr="00277328">
        <w:rPr>
          <w:rFonts w:eastAsia="Times New Roman" w:cstheme="minorHAnsi"/>
          <w:iCs/>
          <w:color w:val="000000"/>
          <w:lang w:val="en-GB" w:eastAsia="el-GR"/>
        </w:rPr>
        <w:t xml:space="preserve">ts. </w:t>
      </w:r>
    </w:p>
    <w:p w:rsidR="00A42699" w:rsidRPr="00277328" w:rsidRDefault="00A42699" w:rsidP="00A42699">
      <w:pPr>
        <w:rPr>
          <w:rFonts w:eastAsia="Times New Roman" w:cstheme="minorHAnsi"/>
          <w:iCs/>
          <w:color w:val="000000"/>
          <w:sz w:val="24"/>
          <w:szCs w:val="24"/>
          <w:lang w:val="en-GB" w:eastAsia="el-GR"/>
        </w:rPr>
      </w:pPr>
    </w:p>
    <w:p w:rsidR="00A42699" w:rsidRPr="005B5C82" w:rsidRDefault="00A42699" w:rsidP="005B5C82">
      <w:pPr>
        <w:pStyle w:val="Heading2"/>
        <w:rPr>
          <w:lang w:val="en-GB"/>
        </w:rPr>
      </w:pPr>
      <w:bookmarkStart w:id="6" w:name="_Toc367790998"/>
      <w:r w:rsidRPr="00277328">
        <w:rPr>
          <w:lang w:val="en-GB"/>
        </w:rPr>
        <w:t>Health care financing and delivery in Spain</w:t>
      </w:r>
      <w:bookmarkEnd w:id="6"/>
      <w:r w:rsidRPr="00277328">
        <w:rPr>
          <w:lang w:val="en-GB"/>
        </w:rPr>
        <w:t xml:space="preserve"> </w:t>
      </w:r>
    </w:p>
    <w:p w:rsidR="00A42699" w:rsidRPr="00277328" w:rsidRDefault="00A42699" w:rsidP="003414E6">
      <w:pPr>
        <w:pStyle w:val="Heading3"/>
        <w:rPr>
          <w:rFonts w:eastAsia="Times New Roman"/>
          <w:lang w:val="en-GB" w:eastAsia="el-GR"/>
        </w:rPr>
      </w:pPr>
      <w:bookmarkStart w:id="7" w:name="_Toc367790999"/>
      <w:r w:rsidRPr="00277328">
        <w:rPr>
          <w:rFonts w:eastAsia="Times New Roman"/>
          <w:lang w:val="en-GB" w:eastAsia="el-GR"/>
        </w:rPr>
        <w:t>Health care funding and expenditure</w:t>
      </w:r>
      <w:bookmarkEnd w:id="7"/>
    </w:p>
    <w:p w:rsidR="00A42699" w:rsidRPr="00277328" w:rsidRDefault="00A42699" w:rsidP="00A42699">
      <w:pPr>
        <w:rPr>
          <w:rStyle w:val="Strong"/>
          <w:rFonts w:cstheme="minorHAnsi"/>
          <w:b w:val="0"/>
          <w:shd w:val="clear" w:color="auto" w:fill="FFFFFF"/>
          <w:lang w:val="en-GB"/>
        </w:rPr>
      </w:pPr>
      <w:r w:rsidRPr="00277328">
        <w:rPr>
          <w:rFonts w:eastAsia="Times New Roman" w:cstheme="minorHAnsi"/>
          <w:iCs/>
          <w:color w:val="000000"/>
          <w:lang w:val="en-GB" w:eastAsia="el-GR"/>
        </w:rPr>
        <w:t xml:space="preserve">Health expenditures in Spain have been significantly increasing during the last decades. Total expenditures have increased from 5.3% of the GDP in 1980 to 7.5% in 2001 and 9.5% of the GDP in 2009 (OECD Health Data, 2013). However, health expenditures in Spain exhibit negative growth rates in 2010 and 2011 due to significant </w:t>
      </w:r>
      <w:r w:rsidR="008474FC" w:rsidRPr="00277328">
        <w:rPr>
          <w:rFonts w:eastAsia="Times New Roman" w:cstheme="minorHAnsi"/>
          <w:iCs/>
          <w:color w:val="000000"/>
          <w:lang w:val="en-GB" w:eastAsia="el-GR"/>
        </w:rPr>
        <w:t xml:space="preserve">cuts in </w:t>
      </w:r>
      <w:r w:rsidRPr="00277328">
        <w:rPr>
          <w:rFonts w:eastAsia="Times New Roman" w:cstheme="minorHAnsi"/>
          <w:iCs/>
          <w:color w:val="000000"/>
          <w:lang w:val="en-GB" w:eastAsia="el-GR"/>
        </w:rPr>
        <w:t>public health spending. In 2011, total spending accounted for 9.3% of GDP, with the largest share being public health expenditures (73% of total expenditure). Considering the devolved structure of the health system, public expenditures vary across the Spa</w:t>
      </w:r>
      <w:r w:rsidR="00600D28">
        <w:rPr>
          <w:rFonts w:eastAsia="Times New Roman" w:cstheme="minorHAnsi"/>
          <w:iCs/>
          <w:color w:val="000000"/>
          <w:lang w:val="en-GB" w:eastAsia="el-GR"/>
        </w:rPr>
        <w:t>nish regions, from 877 thousand</w:t>
      </w:r>
      <w:r w:rsidRPr="00277328">
        <w:rPr>
          <w:rFonts w:eastAsia="Times New Roman" w:cstheme="minorHAnsi"/>
          <w:iCs/>
          <w:color w:val="000000"/>
          <w:lang w:val="en-GB" w:eastAsia="el-GR"/>
        </w:rPr>
        <w:t xml:space="preserve"> in Cantabria to 11 </w:t>
      </w:r>
      <w:r w:rsidR="00600D28" w:rsidRPr="00277328">
        <w:rPr>
          <w:rFonts w:eastAsia="Times New Roman" w:cstheme="minorHAnsi"/>
          <w:iCs/>
          <w:color w:val="000000"/>
          <w:lang w:val="en-GB" w:eastAsia="el-GR"/>
        </w:rPr>
        <w:t>million</w:t>
      </w:r>
      <w:r w:rsidR="00600D28">
        <w:rPr>
          <w:rFonts w:eastAsia="Times New Roman" w:cstheme="minorHAnsi"/>
          <w:iCs/>
          <w:color w:val="000000"/>
          <w:lang w:val="en-GB" w:eastAsia="el-GR"/>
        </w:rPr>
        <w:t xml:space="preserve"> in </w:t>
      </w:r>
      <w:r w:rsidR="004C7C4C">
        <w:rPr>
          <w:rFonts w:eastAsia="Times New Roman" w:cstheme="minorHAnsi"/>
          <w:iCs/>
          <w:color w:val="000000"/>
          <w:lang w:val="en-GB" w:eastAsia="el-GR"/>
        </w:rPr>
        <w:t>Catalonia</w:t>
      </w:r>
      <w:r w:rsidR="00600D28">
        <w:rPr>
          <w:rFonts w:eastAsia="Times New Roman" w:cstheme="minorHAnsi"/>
          <w:iCs/>
          <w:color w:val="000000"/>
          <w:lang w:val="en-GB" w:eastAsia="el-GR"/>
        </w:rPr>
        <w:t xml:space="preserve"> and 8 million</w:t>
      </w:r>
      <w:r w:rsidRPr="00277328">
        <w:rPr>
          <w:rFonts w:eastAsia="Times New Roman" w:cstheme="minorHAnsi"/>
          <w:iCs/>
          <w:color w:val="000000"/>
          <w:lang w:val="en-GB" w:eastAsia="el-GR"/>
        </w:rPr>
        <w:t xml:space="preserve"> in Ma</w:t>
      </w:r>
      <w:r w:rsidR="00D67F21" w:rsidRPr="00277328">
        <w:rPr>
          <w:rFonts w:eastAsia="Times New Roman" w:cstheme="minorHAnsi"/>
          <w:iCs/>
          <w:color w:val="000000"/>
          <w:lang w:val="en-GB" w:eastAsia="el-GR"/>
        </w:rPr>
        <w:t>drid</w:t>
      </w:r>
      <w:sdt>
        <w:sdtPr>
          <w:rPr>
            <w:rFonts w:eastAsia="Times New Roman" w:cstheme="minorHAnsi"/>
            <w:iCs/>
            <w:color w:val="000000"/>
            <w:lang w:val="en-GB" w:eastAsia="el-GR"/>
          </w:rPr>
          <w:id w:val="40653353"/>
          <w:citation/>
        </w:sdtPr>
        <w:sdtContent>
          <w:r w:rsidR="00E93150" w:rsidRPr="00277328">
            <w:rPr>
              <w:rFonts w:eastAsia="Times New Roman" w:cstheme="minorHAnsi"/>
              <w:iCs/>
              <w:color w:val="000000"/>
              <w:lang w:val="en-GB" w:eastAsia="el-GR"/>
            </w:rPr>
            <w:fldChar w:fldCharType="begin"/>
          </w:r>
          <w:r w:rsidR="00D67F21" w:rsidRPr="00277328">
            <w:rPr>
              <w:rFonts w:eastAsia="Times New Roman" w:cstheme="minorHAnsi"/>
              <w:iCs/>
              <w:color w:val="000000"/>
              <w:lang w:val="en-GB" w:eastAsia="el-GR"/>
            </w:rPr>
            <w:instrText xml:space="preserve"> CITATION FBB11 \l 1033 </w:instrText>
          </w:r>
          <w:r w:rsidR="00E93150" w:rsidRPr="00277328">
            <w:rPr>
              <w:rFonts w:eastAsia="Times New Roman" w:cstheme="minorHAnsi"/>
              <w:iCs/>
              <w:color w:val="000000"/>
              <w:lang w:val="en-GB" w:eastAsia="el-GR"/>
            </w:rPr>
            <w:fldChar w:fldCharType="separate"/>
          </w:r>
          <w:r w:rsidR="008930F2" w:rsidRPr="00277328">
            <w:rPr>
              <w:rFonts w:eastAsia="Times New Roman" w:cstheme="minorHAnsi"/>
              <w:iCs/>
              <w:color w:val="000000"/>
              <w:lang w:val="en-GB" w:eastAsia="el-GR"/>
            </w:rPr>
            <w:t xml:space="preserve"> </w:t>
          </w:r>
          <w:r w:rsidR="008930F2" w:rsidRPr="00277328">
            <w:rPr>
              <w:rFonts w:eastAsia="Times New Roman" w:cstheme="minorHAnsi"/>
              <w:color w:val="000000"/>
              <w:lang w:val="en-GB" w:eastAsia="el-GR"/>
            </w:rPr>
            <w:t>(FBBVA 2011)</w:t>
          </w:r>
          <w:r w:rsidR="00E93150" w:rsidRPr="00277328">
            <w:rPr>
              <w:rFonts w:eastAsia="Times New Roman" w:cstheme="minorHAnsi"/>
              <w:iCs/>
              <w:color w:val="000000"/>
              <w:lang w:val="en-GB" w:eastAsia="el-GR"/>
            </w:rPr>
            <w:fldChar w:fldCharType="end"/>
          </w:r>
        </w:sdtContent>
      </w:sdt>
      <w:r w:rsidRPr="00277328">
        <w:rPr>
          <w:rStyle w:val="Strong"/>
          <w:rFonts w:cstheme="minorHAnsi"/>
          <w:b w:val="0"/>
          <w:shd w:val="clear" w:color="auto" w:fill="FFFFFF"/>
          <w:lang w:val="en-GB"/>
        </w:rPr>
        <w:t>.</w:t>
      </w:r>
    </w:p>
    <w:p w:rsidR="005B5C82" w:rsidRDefault="00A42699" w:rsidP="00A42699">
      <w:pPr>
        <w:rPr>
          <w:rFonts w:eastAsia="Times New Roman" w:cstheme="minorHAnsi"/>
          <w:iCs/>
          <w:color w:val="000000"/>
          <w:lang w:val="en-GB" w:eastAsia="el-GR"/>
        </w:rPr>
      </w:pPr>
      <w:r w:rsidRPr="00277328">
        <w:rPr>
          <w:rFonts w:eastAsia="Times New Roman" w:cstheme="minorHAnsi"/>
          <w:iCs/>
          <w:color w:val="000000"/>
          <w:lang w:val="en-GB" w:eastAsia="el-GR"/>
        </w:rPr>
        <w:t>SNS reforms have driven significa</w:t>
      </w:r>
      <w:r w:rsidR="008474FC" w:rsidRPr="00277328">
        <w:rPr>
          <w:rFonts w:eastAsia="Times New Roman" w:cstheme="minorHAnsi"/>
          <w:iCs/>
          <w:color w:val="000000"/>
          <w:lang w:val="en-GB" w:eastAsia="el-GR"/>
        </w:rPr>
        <w:t>nt changes in the financing and resource allocation schemes</w:t>
      </w:r>
      <w:r w:rsidRPr="00277328">
        <w:rPr>
          <w:rFonts w:eastAsia="Times New Roman" w:cstheme="minorHAnsi"/>
          <w:iCs/>
          <w:color w:val="000000"/>
          <w:lang w:val="en-GB" w:eastAsia="el-GR"/>
        </w:rPr>
        <w:t>. Currently, SNS is publicly funded by general taxes (excluding the mutual funds of civil servants), which are collected by the central government and further allocated</w:t>
      </w:r>
      <w:r w:rsidR="00D67F21" w:rsidRPr="00277328">
        <w:rPr>
          <w:rFonts w:eastAsia="Times New Roman" w:cstheme="minorHAnsi"/>
          <w:iCs/>
          <w:color w:val="000000"/>
          <w:lang w:val="en-GB" w:eastAsia="el-GR"/>
        </w:rPr>
        <w:t xml:space="preserve"> to the ACs</w:t>
      </w:r>
      <w:sdt>
        <w:sdtPr>
          <w:rPr>
            <w:rFonts w:eastAsia="Times New Roman" w:cstheme="minorHAnsi"/>
            <w:iCs/>
            <w:color w:val="000000"/>
            <w:lang w:val="en-GB" w:eastAsia="el-GR"/>
          </w:rPr>
          <w:id w:val="40653352"/>
          <w:citation/>
        </w:sdtPr>
        <w:sdtContent>
          <w:r w:rsidR="00E93150" w:rsidRPr="00277328">
            <w:rPr>
              <w:rFonts w:eastAsia="Times New Roman" w:cstheme="minorHAnsi"/>
              <w:iCs/>
              <w:color w:val="000000"/>
              <w:lang w:val="en-GB" w:eastAsia="el-GR"/>
            </w:rPr>
            <w:fldChar w:fldCharType="begin"/>
          </w:r>
          <w:r w:rsidR="0051557B" w:rsidRPr="00277328">
            <w:rPr>
              <w:rFonts w:eastAsia="Times New Roman" w:cstheme="minorHAnsi"/>
              <w:iCs/>
              <w:color w:val="000000"/>
              <w:lang w:val="en-GB" w:eastAsia="el-GR"/>
            </w:rPr>
            <w:instrText xml:space="preserve"> CITATION Gui05 \l 1033  </w:instrText>
          </w:r>
          <w:r w:rsidR="00E93150" w:rsidRPr="00277328">
            <w:rPr>
              <w:rFonts w:eastAsia="Times New Roman" w:cstheme="minorHAnsi"/>
              <w:iCs/>
              <w:color w:val="000000"/>
              <w:lang w:val="en-GB" w:eastAsia="el-GR"/>
            </w:rPr>
            <w:fldChar w:fldCharType="separate"/>
          </w:r>
          <w:r w:rsidR="0051557B" w:rsidRPr="00277328">
            <w:rPr>
              <w:rFonts w:eastAsia="Times New Roman" w:cstheme="minorHAnsi"/>
              <w:iCs/>
              <w:color w:val="000000"/>
              <w:lang w:val="en-GB" w:eastAsia="el-GR"/>
            </w:rPr>
            <w:t xml:space="preserve"> </w:t>
          </w:r>
          <w:r w:rsidR="0051557B" w:rsidRPr="00277328">
            <w:rPr>
              <w:rFonts w:eastAsia="Times New Roman" w:cstheme="minorHAnsi"/>
              <w:color w:val="000000"/>
              <w:lang w:val="en-GB" w:eastAsia="el-GR"/>
            </w:rPr>
            <w:t>(Lopez-Casasnovas, Costa-Font and Planasa 2005)</w:t>
          </w:r>
          <w:r w:rsidR="00E93150" w:rsidRPr="00277328">
            <w:rPr>
              <w:rFonts w:eastAsia="Times New Roman" w:cstheme="minorHAnsi"/>
              <w:iCs/>
              <w:color w:val="000000"/>
              <w:lang w:val="en-GB" w:eastAsia="el-GR"/>
            </w:rPr>
            <w:fldChar w:fldCharType="end"/>
          </w:r>
        </w:sdtContent>
      </w:sdt>
      <w:r w:rsidRPr="00277328">
        <w:rPr>
          <w:rFonts w:eastAsia="Times New Roman" w:cstheme="minorHAnsi"/>
          <w:iCs/>
          <w:color w:val="000000"/>
          <w:lang w:val="en-GB" w:eastAsia="el-GR"/>
        </w:rPr>
        <w:t xml:space="preserve">. </w:t>
      </w:r>
      <w:r w:rsidRPr="008418C4">
        <w:rPr>
          <w:rFonts w:eastAsia="Times New Roman" w:cstheme="minorHAnsi"/>
          <w:iCs/>
          <w:color w:val="000000"/>
          <w:lang w:val="en-GB" w:eastAsia="el-GR"/>
        </w:rPr>
        <w:t>The Spanish financing scheme is overall proportional or mildly progressive, based on income and consumption taxes. The total amount of health expenditure is defined by the Spanish Parliament in the Nation</w:t>
      </w:r>
      <w:r w:rsidR="008474FC" w:rsidRPr="008418C4">
        <w:rPr>
          <w:rFonts w:eastAsia="Times New Roman" w:cstheme="minorHAnsi"/>
          <w:iCs/>
          <w:color w:val="000000"/>
          <w:lang w:val="en-GB" w:eastAsia="el-GR"/>
        </w:rPr>
        <w:t>al General Budget and subsequently</w:t>
      </w:r>
      <w:r w:rsidRPr="008418C4">
        <w:rPr>
          <w:rFonts w:eastAsia="Times New Roman" w:cstheme="minorHAnsi"/>
          <w:iCs/>
          <w:color w:val="000000"/>
          <w:lang w:val="en-GB" w:eastAsia="el-GR"/>
        </w:rPr>
        <w:t xml:space="preserve"> distributed to the regions, following a certain allocation formula. This formula has been transformed after 2002, in order to reduce overspending in certain regions. This reform established the participation of the ACs in the revenues collection. Even more, new funds have been introduced, which acted as mechanisms to reassure equity of health care spending among the regions.</w:t>
      </w:r>
    </w:p>
    <w:p w:rsidR="005B5C82" w:rsidRPr="005B5C82" w:rsidRDefault="005B5C82" w:rsidP="00A42699">
      <w:pPr>
        <w:rPr>
          <w:rFonts w:eastAsia="Times New Roman" w:cstheme="minorHAnsi"/>
          <w:iCs/>
          <w:color w:val="000000"/>
          <w:lang w:val="en-GB" w:eastAsia="el-GR"/>
        </w:rPr>
      </w:pPr>
    </w:p>
    <w:p w:rsidR="00A42699" w:rsidRPr="00277328" w:rsidRDefault="00A42699" w:rsidP="003414E6">
      <w:pPr>
        <w:pStyle w:val="Heading3"/>
        <w:rPr>
          <w:rFonts w:eastAsia="Times New Roman"/>
          <w:lang w:val="en-GB" w:eastAsia="el-GR"/>
        </w:rPr>
      </w:pPr>
      <w:bookmarkStart w:id="8" w:name="_Toc367791000"/>
      <w:r w:rsidRPr="00277328">
        <w:rPr>
          <w:rFonts w:eastAsia="Times New Roman"/>
          <w:lang w:val="en-GB" w:eastAsia="el-GR"/>
        </w:rPr>
        <w:t>Pharmaceutical expenditure</w:t>
      </w:r>
      <w:bookmarkEnd w:id="8"/>
    </w:p>
    <w:p w:rsidR="00A42699" w:rsidRPr="00277328" w:rsidRDefault="00A42699" w:rsidP="00A42699">
      <w:pPr>
        <w:rPr>
          <w:rFonts w:eastAsia="Times New Roman" w:cstheme="minorHAnsi"/>
          <w:iCs/>
          <w:color w:val="000000"/>
          <w:lang w:val="en-GB" w:eastAsia="el-GR"/>
        </w:rPr>
      </w:pPr>
      <w:r w:rsidRPr="00277328">
        <w:rPr>
          <w:rFonts w:eastAsia="Times New Roman" w:cstheme="minorHAnsi"/>
          <w:iCs/>
          <w:color w:val="000000"/>
          <w:lang w:val="en-GB" w:eastAsia="el-GR"/>
        </w:rPr>
        <w:t xml:space="preserve">As discussed earlier, the importance of pharmaceutical expenditure in Spain is of great interest for two main reasons. First, pharmaceutical costs remain uncontrolled, despite the initiatives of the Spanish government during the last decades. This is mainly attributed to the introduction of new, more expensive drug treatments which do not often contribute in the improvement of existing therapies. </w:t>
      </w:r>
      <w:r w:rsidR="00741031">
        <w:rPr>
          <w:rFonts w:eastAsia="Times New Roman" w:cstheme="minorHAnsi"/>
          <w:iCs/>
          <w:color w:val="000000"/>
          <w:lang w:val="en-GB" w:eastAsia="el-GR"/>
        </w:rPr>
        <w:t>Moreover</w:t>
      </w:r>
      <w:r w:rsidRPr="00277328">
        <w:rPr>
          <w:rFonts w:eastAsia="Times New Roman" w:cstheme="minorHAnsi"/>
          <w:iCs/>
          <w:color w:val="000000"/>
          <w:lang w:val="en-GB" w:eastAsia="el-GR"/>
        </w:rPr>
        <w:t xml:space="preserve">, there is a lack of generic markets and </w:t>
      </w:r>
      <w:r w:rsidRPr="00277328">
        <w:rPr>
          <w:rFonts w:eastAsia="Times New Roman" w:cstheme="minorHAnsi"/>
          <w:iCs/>
          <w:color w:val="000000"/>
          <w:lang w:val="en-GB" w:eastAsia="el-GR"/>
        </w:rPr>
        <w:lastRenderedPageBreak/>
        <w:t>effective control o</w:t>
      </w:r>
      <w:r w:rsidR="006114F3" w:rsidRPr="00277328">
        <w:rPr>
          <w:rFonts w:eastAsia="Times New Roman" w:cstheme="minorHAnsi"/>
          <w:iCs/>
          <w:color w:val="000000"/>
          <w:lang w:val="en-GB" w:eastAsia="el-GR"/>
        </w:rPr>
        <w:t>n the demand side</w:t>
      </w:r>
      <w:sdt>
        <w:sdtPr>
          <w:rPr>
            <w:rFonts w:eastAsia="Times New Roman" w:cstheme="minorHAnsi"/>
            <w:iCs/>
            <w:color w:val="000000"/>
            <w:lang w:val="en-GB" w:eastAsia="el-GR"/>
          </w:rPr>
          <w:id w:val="40653354"/>
          <w:citation/>
        </w:sdtPr>
        <w:sdtContent>
          <w:r w:rsidR="00E93150" w:rsidRPr="00277328">
            <w:rPr>
              <w:rFonts w:eastAsia="Times New Roman" w:cstheme="minorHAnsi"/>
              <w:iCs/>
              <w:color w:val="000000"/>
              <w:lang w:val="en-GB" w:eastAsia="el-GR"/>
            </w:rPr>
            <w:fldChar w:fldCharType="begin"/>
          </w:r>
          <w:r w:rsidR="006114F3" w:rsidRPr="00277328">
            <w:rPr>
              <w:rFonts w:eastAsia="Times New Roman" w:cstheme="minorHAnsi"/>
              <w:iCs/>
              <w:color w:val="000000"/>
              <w:lang w:val="en-GB" w:eastAsia="el-GR"/>
            </w:rPr>
            <w:instrText xml:space="preserve"> CITATION Lop00 \l 1033 </w:instrText>
          </w:r>
          <w:r w:rsidR="00E93150" w:rsidRPr="00277328">
            <w:rPr>
              <w:rFonts w:eastAsia="Times New Roman" w:cstheme="minorHAnsi"/>
              <w:iCs/>
              <w:color w:val="000000"/>
              <w:lang w:val="en-GB" w:eastAsia="el-GR"/>
            </w:rPr>
            <w:fldChar w:fldCharType="separate"/>
          </w:r>
          <w:r w:rsidR="008930F2" w:rsidRPr="00277328">
            <w:rPr>
              <w:rFonts w:eastAsia="Times New Roman" w:cstheme="minorHAnsi"/>
              <w:iCs/>
              <w:color w:val="000000"/>
              <w:lang w:val="en-GB" w:eastAsia="el-GR"/>
            </w:rPr>
            <w:t xml:space="preserve"> </w:t>
          </w:r>
          <w:r w:rsidR="008930F2" w:rsidRPr="00277328">
            <w:rPr>
              <w:rFonts w:eastAsia="Times New Roman" w:cstheme="minorHAnsi"/>
              <w:color w:val="000000"/>
              <w:lang w:val="en-GB" w:eastAsia="el-GR"/>
            </w:rPr>
            <w:t>(Lopez Bastida and Mossialos 2000)</w:t>
          </w:r>
          <w:r w:rsidR="00E93150" w:rsidRPr="00277328">
            <w:rPr>
              <w:rFonts w:eastAsia="Times New Roman" w:cstheme="minorHAnsi"/>
              <w:iCs/>
              <w:color w:val="000000"/>
              <w:lang w:val="en-GB" w:eastAsia="el-GR"/>
            </w:rPr>
            <w:fldChar w:fldCharType="end"/>
          </w:r>
        </w:sdtContent>
      </w:sdt>
      <w:r w:rsidRPr="00277328">
        <w:rPr>
          <w:rFonts w:eastAsia="Times New Roman" w:cstheme="minorHAnsi"/>
          <w:iCs/>
          <w:color w:val="000000"/>
          <w:lang w:val="en-GB" w:eastAsia="el-GR"/>
        </w:rPr>
        <w:t xml:space="preserve">. Pharmaceutical expenditures in Spain have been continuously increasing until 2002, when they reached their maximum (21.8% of total health expenditures). </w:t>
      </w:r>
    </w:p>
    <w:p w:rsidR="00A42699" w:rsidRPr="00277328" w:rsidRDefault="00A42699" w:rsidP="00A42699">
      <w:pPr>
        <w:rPr>
          <w:rFonts w:eastAsia="Times New Roman" w:cstheme="minorHAnsi"/>
          <w:iCs/>
          <w:color w:val="000000"/>
          <w:lang w:val="en-GB" w:eastAsia="el-GR"/>
        </w:rPr>
      </w:pPr>
      <w:r w:rsidRPr="00277328">
        <w:rPr>
          <w:rFonts w:eastAsia="Times New Roman" w:cstheme="minorHAnsi"/>
          <w:iCs/>
          <w:color w:val="000000"/>
          <w:lang w:val="en-GB" w:eastAsia="el-GR"/>
        </w:rPr>
        <w:t>Although an essential decrease is being noticed since then, the relative weight of these expenditures is stil</w:t>
      </w:r>
      <w:r w:rsidR="008474FC" w:rsidRPr="00277328">
        <w:rPr>
          <w:rFonts w:eastAsia="Times New Roman" w:cstheme="minorHAnsi"/>
          <w:iCs/>
          <w:color w:val="000000"/>
          <w:lang w:val="en-GB" w:eastAsia="el-GR"/>
        </w:rPr>
        <w:t xml:space="preserve">l greater in Spain than </w:t>
      </w:r>
      <w:r w:rsidRPr="00277328">
        <w:rPr>
          <w:rFonts w:eastAsia="Times New Roman" w:cstheme="minorHAnsi"/>
          <w:iCs/>
          <w:color w:val="000000"/>
          <w:lang w:val="en-GB" w:eastAsia="el-GR"/>
        </w:rPr>
        <w:t>in other countries (</w:t>
      </w:r>
      <w:r w:rsidRPr="00277328">
        <w:rPr>
          <w:rFonts w:cstheme="minorHAnsi"/>
          <w:lang w:val="en-GB"/>
        </w:rPr>
        <w:t xml:space="preserve">the average </w:t>
      </w:r>
      <w:r w:rsidR="006114F3" w:rsidRPr="00277328">
        <w:rPr>
          <w:rFonts w:cstheme="minorHAnsi"/>
          <w:lang w:val="en-GB"/>
        </w:rPr>
        <w:t>of OECD countries was of 16.9% i</w:t>
      </w:r>
      <w:r w:rsidR="00D30BA4" w:rsidRPr="00277328">
        <w:rPr>
          <w:rFonts w:cstheme="minorHAnsi"/>
          <w:lang w:val="en-GB"/>
        </w:rPr>
        <w:t>n 2008)</w:t>
      </w:r>
      <w:r w:rsidR="008D1FE1" w:rsidRPr="00277328">
        <w:rPr>
          <w:rFonts w:cstheme="minorHAnsi"/>
          <w:lang w:val="en-GB"/>
        </w:rPr>
        <w:t xml:space="preserve"> </w:t>
      </w:r>
      <w:r w:rsidR="00060DD4" w:rsidRPr="00277328">
        <w:rPr>
          <w:rFonts w:cstheme="minorHAnsi"/>
          <w:lang w:val="en-GB"/>
        </w:rPr>
        <w:t>(</w:t>
      </w:r>
      <w:r w:rsidR="008D1FE1" w:rsidRPr="00277328">
        <w:rPr>
          <w:rFonts w:cstheme="minorHAnsi"/>
          <w:lang w:val="en-GB"/>
        </w:rPr>
        <w:t>OECD 2011)</w:t>
      </w:r>
      <w:r w:rsidRPr="00277328">
        <w:rPr>
          <w:rFonts w:eastAsia="Times New Roman" w:cstheme="minorHAnsi"/>
          <w:iCs/>
          <w:color w:val="000000"/>
          <w:lang w:val="en-GB" w:eastAsia="el-GR"/>
        </w:rPr>
        <w:t xml:space="preserve">. In 2011, pharmaceutical spending accounted for 17.4% of total expenditure in Spain. However, if hospitals’ expenditures in pharmaceuticals are taken into account, this share might reach 34% of total spending. In these terms, real pharmaceutical expenditures become the second </w:t>
      </w:r>
      <w:r w:rsidR="00741031">
        <w:rPr>
          <w:rFonts w:eastAsia="Times New Roman" w:cstheme="minorHAnsi"/>
          <w:iCs/>
          <w:color w:val="000000"/>
          <w:lang w:val="en-GB" w:eastAsia="el-GR"/>
        </w:rPr>
        <w:t>most</w:t>
      </w:r>
      <w:r w:rsidRPr="00277328">
        <w:rPr>
          <w:rFonts w:eastAsia="Times New Roman" w:cstheme="minorHAnsi"/>
          <w:iCs/>
          <w:color w:val="000000"/>
          <w:lang w:val="en-GB" w:eastAsia="el-GR"/>
        </w:rPr>
        <w:t xml:space="preserve"> important determinant of total health spending, after personnel costs. Figure 1 presents the trends of pharmaceutical expenditures for certain OECD countries between 1990 and 2010</w:t>
      </w:r>
      <w:r w:rsidR="00D30BA4" w:rsidRPr="00277328">
        <w:rPr>
          <w:rFonts w:eastAsia="Times New Roman" w:cstheme="minorHAnsi"/>
          <w:iCs/>
          <w:color w:val="000000"/>
          <w:lang w:val="en-GB" w:eastAsia="el-GR"/>
        </w:rPr>
        <w:t xml:space="preserve"> </w:t>
      </w:r>
      <w:r w:rsidR="00D30BA4" w:rsidRPr="00277328">
        <w:rPr>
          <w:rFonts w:eastAsia="Times New Roman" w:cstheme="minorHAnsi"/>
          <w:color w:val="000000"/>
          <w:lang w:val="en-GB" w:eastAsia="el-GR"/>
        </w:rPr>
        <w:t>(OECD 2013)</w:t>
      </w:r>
      <w:r w:rsidRPr="00277328">
        <w:rPr>
          <w:rFonts w:eastAsia="Times New Roman" w:cstheme="minorHAnsi"/>
          <w:iCs/>
          <w:color w:val="000000"/>
          <w:lang w:val="en-GB" w:eastAsia="el-GR"/>
        </w:rPr>
        <w:t xml:space="preserve">. </w:t>
      </w:r>
    </w:p>
    <w:p w:rsidR="005B5C82" w:rsidRDefault="00A42699">
      <w:pPr>
        <w:rPr>
          <w:rFonts w:eastAsia="Times New Roman" w:cstheme="minorHAnsi"/>
          <w:iCs/>
          <w:color w:val="000000"/>
          <w:lang w:val="en-GB" w:eastAsia="el-GR"/>
        </w:rPr>
      </w:pPr>
      <w:r w:rsidRPr="00277328">
        <w:rPr>
          <w:rFonts w:eastAsia="Times New Roman" w:cstheme="minorHAnsi"/>
          <w:iCs/>
          <w:color w:val="000000"/>
          <w:lang w:val="en-GB" w:eastAsia="el-GR"/>
        </w:rPr>
        <w:t>Second, the failure of cost-containment measures applied in Spain indicates a lack of effective decision-making concerning pharmaceutical polices. The decentralization process resulted in separate regional health plans for each community. However, the Ministry of Health, Social Services and Equality remains responsible for pharmaceutical policy initiatives. Several measures targeting cuts on pharmaceutical expenditure were applied in Spain during the last decades. Until 1993, every approved drug w</w:t>
      </w:r>
      <w:r w:rsidR="00D30BA4" w:rsidRPr="00277328">
        <w:rPr>
          <w:rFonts w:eastAsia="Times New Roman" w:cstheme="minorHAnsi"/>
          <w:iCs/>
          <w:color w:val="000000"/>
          <w:lang w:val="en-GB" w:eastAsia="el-GR"/>
        </w:rPr>
        <w:t>as eligible for public funding</w:t>
      </w:r>
      <w:sdt>
        <w:sdtPr>
          <w:rPr>
            <w:rFonts w:eastAsia="Times New Roman" w:cstheme="minorHAnsi"/>
            <w:iCs/>
            <w:color w:val="000000"/>
            <w:lang w:val="en-GB" w:eastAsia="el-GR"/>
          </w:rPr>
          <w:id w:val="40653356"/>
          <w:citation/>
        </w:sdtPr>
        <w:sdtContent>
          <w:r w:rsidR="00E93150" w:rsidRPr="00277328">
            <w:rPr>
              <w:rFonts w:eastAsia="Times New Roman" w:cstheme="minorHAnsi"/>
              <w:iCs/>
              <w:color w:val="000000"/>
              <w:lang w:val="en-GB" w:eastAsia="el-GR"/>
            </w:rPr>
            <w:fldChar w:fldCharType="begin"/>
          </w:r>
          <w:r w:rsidR="00D30BA4" w:rsidRPr="00277328">
            <w:rPr>
              <w:rFonts w:eastAsia="Times New Roman" w:cstheme="minorHAnsi"/>
              <w:iCs/>
              <w:color w:val="000000"/>
              <w:lang w:val="en-GB" w:eastAsia="el-GR"/>
            </w:rPr>
            <w:instrText xml:space="preserve"> CITATION Gam99 \l 1033 </w:instrText>
          </w:r>
          <w:r w:rsidR="00E93150" w:rsidRPr="00277328">
            <w:rPr>
              <w:rFonts w:eastAsia="Times New Roman" w:cstheme="minorHAnsi"/>
              <w:iCs/>
              <w:color w:val="000000"/>
              <w:lang w:val="en-GB" w:eastAsia="el-GR"/>
            </w:rPr>
            <w:fldChar w:fldCharType="separate"/>
          </w:r>
          <w:r w:rsidR="008930F2" w:rsidRPr="00277328">
            <w:rPr>
              <w:rFonts w:eastAsia="Times New Roman" w:cstheme="minorHAnsi"/>
              <w:iCs/>
              <w:color w:val="000000"/>
              <w:lang w:val="en-GB" w:eastAsia="el-GR"/>
            </w:rPr>
            <w:t xml:space="preserve"> </w:t>
          </w:r>
          <w:r w:rsidR="008930F2" w:rsidRPr="00277328">
            <w:rPr>
              <w:rFonts w:eastAsia="Times New Roman" w:cstheme="minorHAnsi"/>
              <w:color w:val="000000"/>
              <w:lang w:val="en-GB" w:eastAsia="el-GR"/>
            </w:rPr>
            <w:t>(Gaminde 1999)</w:t>
          </w:r>
          <w:r w:rsidR="00E93150" w:rsidRPr="00277328">
            <w:rPr>
              <w:rFonts w:eastAsia="Times New Roman" w:cstheme="minorHAnsi"/>
              <w:iCs/>
              <w:color w:val="000000"/>
              <w:lang w:val="en-GB" w:eastAsia="el-GR"/>
            </w:rPr>
            <w:fldChar w:fldCharType="end"/>
          </w:r>
        </w:sdtContent>
      </w:sdt>
      <w:r w:rsidRPr="00277328">
        <w:rPr>
          <w:rFonts w:eastAsia="Times New Roman" w:cstheme="minorHAnsi"/>
          <w:iCs/>
          <w:color w:val="000000"/>
          <w:lang w:val="en-GB" w:eastAsia="el-GR"/>
        </w:rPr>
        <w:t xml:space="preserve">. In order to reduce pharmaceutical costs, the Royal Decree in 1993 (83/1993) introduced a negative list of drugs not to be reimbursed by the Spanish NHS. This list has been extended in 1998 (Royal Decree 1663/1998). </w:t>
      </w:r>
    </w:p>
    <w:p w:rsidR="00433AE6" w:rsidRDefault="00433AE6">
      <w:pPr>
        <w:rPr>
          <w:rFonts w:eastAsia="Times New Roman" w:cstheme="minorHAnsi"/>
          <w:iCs/>
          <w:color w:val="000000"/>
          <w:lang w:val="en-GB" w:eastAsia="el-GR"/>
        </w:rPr>
      </w:pPr>
    </w:p>
    <w:p w:rsidR="006573F1" w:rsidRDefault="004F20CA" w:rsidP="006573F1">
      <w:pPr>
        <w:keepNext/>
      </w:pPr>
      <w:r w:rsidRPr="00277328">
        <w:rPr>
          <w:rFonts w:cstheme="minorHAnsi"/>
          <w:b/>
          <w:u w:val="single"/>
          <w:lang w:val="en-GB"/>
        </w:rPr>
        <w:t>Figure 1: Pharmaceutical expenditures PPP US$. 1995-2011</w:t>
      </w:r>
    </w:p>
    <w:p w:rsidR="00E86D6F" w:rsidRPr="00277328" w:rsidRDefault="00E86D6F" w:rsidP="00E86D6F">
      <w:pPr>
        <w:rPr>
          <w:rFonts w:cstheme="minorHAnsi"/>
          <w:b/>
          <w:sz w:val="24"/>
          <w:szCs w:val="24"/>
          <w:lang w:val="en-GB"/>
        </w:rPr>
      </w:pPr>
      <w:r w:rsidRPr="00277328">
        <w:rPr>
          <w:noProof/>
          <w:szCs w:val="24"/>
        </w:rPr>
        <w:drawing>
          <wp:inline distT="0" distB="0" distL="0" distR="0">
            <wp:extent cx="5274310" cy="3185474"/>
            <wp:effectExtent l="19050" t="0" r="2540" b="0"/>
            <wp:docPr id="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274310" cy="3185474"/>
                    </a:xfrm>
                    <a:prstGeom prst="rect">
                      <a:avLst/>
                    </a:prstGeom>
                    <a:noFill/>
                    <a:ln w="9525">
                      <a:noFill/>
                      <a:miter lim="800000"/>
                      <a:headEnd/>
                      <a:tailEnd/>
                    </a:ln>
                  </pic:spPr>
                </pic:pic>
              </a:graphicData>
            </a:graphic>
          </wp:inline>
        </w:drawing>
      </w:r>
    </w:p>
    <w:p w:rsidR="00E86D6F" w:rsidRPr="00277328" w:rsidRDefault="00E86D6F" w:rsidP="00E86D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cstheme="minorHAnsi"/>
          <w:lang w:val="en-GB"/>
        </w:rPr>
      </w:pPr>
      <w:r w:rsidRPr="00277328">
        <w:rPr>
          <w:rFonts w:cstheme="minorHAnsi"/>
          <w:lang w:val="en-GB"/>
        </w:rPr>
        <w:t>Source: OECD Health Data 2013</w:t>
      </w:r>
    </w:p>
    <w:p w:rsidR="00E86D6F" w:rsidRPr="00277328" w:rsidRDefault="00E86D6F" w:rsidP="00E86D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cstheme="minorHAnsi"/>
          <w:lang w:val="en-GB"/>
        </w:rPr>
      </w:pPr>
    </w:p>
    <w:p w:rsidR="00A42699" w:rsidRPr="00277328" w:rsidRDefault="002F613E" w:rsidP="00A42699">
      <w:pPr>
        <w:rPr>
          <w:rFonts w:eastAsia="Times New Roman" w:cstheme="minorHAnsi"/>
          <w:iCs/>
          <w:color w:val="000000"/>
          <w:lang w:val="en-GB" w:eastAsia="el-GR"/>
        </w:rPr>
      </w:pPr>
      <w:r w:rsidRPr="00277328">
        <w:rPr>
          <w:rFonts w:eastAsia="Times New Roman" w:cstheme="minorHAnsi"/>
          <w:iCs/>
          <w:color w:val="000000"/>
          <w:lang w:val="en-GB" w:eastAsia="el-GR"/>
        </w:rPr>
        <w:lastRenderedPageBreak/>
        <w:t xml:space="preserve">Furthermore, the new Health Law passed in 2006 modified several aspects of public financing </w:t>
      </w:r>
      <w:r w:rsidR="00A42699" w:rsidRPr="00277328">
        <w:rPr>
          <w:rFonts w:cstheme="minorHAnsi"/>
          <w:lang w:val="en-GB"/>
        </w:rPr>
        <w:t xml:space="preserve">(Ley 29/2006, de 26 de Julio, Boletín Oficial </w:t>
      </w:r>
      <w:proofErr w:type="gramStart"/>
      <w:r w:rsidR="00A42699" w:rsidRPr="00277328">
        <w:rPr>
          <w:rFonts w:cstheme="minorHAnsi"/>
          <w:lang w:val="en-GB"/>
        </w:rPr>
        <w:t>del</w:t>
      </w:r>
      <w:proofErr w:type="gramEnd"/>
      <w:r w:rsidR="00A42699" w:rsidRPr="00277328">
        <w:rPr>
          <w:rFonts w:cstheme="minorHAnsi"/>
          <w:lang w:val="en-GB"/>
        </w:rPr>
        <w:t xml:space="preserve"> Estado, 2006)</w:t>
      </w:r>
      <w:r w:rsidR="00A42699" w:rsidRPr="00277328">
        <w:rPr>
          <w:rFonts w:eastAsia="Times New Roman" w:cstheme="minorHAnsi"/>
          <w:iCs/>
          <w:color w:val="000000"/>
          <w:lang w:val="en-GB" w:eastAsia="el-GR"/>
        </w:rPr>
        <w:t xml:space="preserve">. </w:t>
      </w:r>
      <w:r w:rsidRPr="00277328">
        <w:rPr>
          <w:rFonts w:eastAsia="Times New Roman" w:cstheme="minorHAnsi"/>
          <w:iCs/>
          <w:color w:val="000000"/>
          <w:lang w:val="en-GB" w:eastAsia="el-GR"/>
        </w:rPr>
        <w:t>These aspects included</w:t>
      </w:r>
      <w:r w:rsidR="00A42699" w:rsidRPr="00277328">
        <w:rPr>
          <w:rFonts w:eastAsia="Times New Roman" w:cstheme="minorHAnsi"/>
          <w:iCs/>
          <w:color w:val="000000"/>
          <w:lang w:val="en-GB" w:eastAsia="el-GR"/>
        </w:rPr>
        <w:t xml:space="preserve"> changes in reference pricing systems and sales margins for pharmaceutical laboratories. More recently, the economic crisis posed further restrictions on public finances. Therefore, extended cuts in pharmaceutical spending have been implemented. The last health reform in Spain (RDL 16/2012) introduced increased</w:t>
      </w:r>
      <w:r w:rsidRPr="00277328">
        <w:rPr>
          <w:rFonts w:eastAsia="Times New Roman" w:cstheme="minorHAnsi"/>
          <w:iCs/>
          <w:color w:val="000000"/>
          <w:lang w:val="en-GB" w:eastAsia="el-GR"/>
        </w:rPr>
        <w:t xml:space="preserve"> co-payments for pharmaceutical </w:t>
      </w:r>
      <w:r w:rsidR="00A42699" w:rsidRPr="00277328">
        <w:rPr>
          <w:rFonts w:eastAsia="Times New Roman" w:cstheme="minorHAnsi"/>
          <w:iCs/>
          <w:color w:val="000000"/>
          <w:lang w:val="en-GB" w:eastAsia="el-GR"/>
        </w:rPr>
        <w:t>products.</w:t>
      </w:r>
    </w:p>
    <w:p w:rsidR="00A42699" w:rsidRPr="00277328" w:rsidRDefault="00A42699" w:rsidP="00A42699">
      <w:pPr>
        <w:rPr>
          <w:rFonts w:cstheme="minorHAnsi"/>
          <w:color w:val="141413"/>
          <w:lang w:val="en-GB"/>
        </w:rPr>
      </w:pPr>
      <w:r w:rsidRPr="008418C4">
        <w:rPr>
          <w:rFonts w:eastAsia="Times New Roman" w:cstheme="minorHAnsi"/>
          <w:iCs/>
          <w:color w:val="000000"/>
          <w:lang w:val="en-GB" w:eastAsia="el-GR"/>
        </w:rPr>
        <w:t xml:space="preserve">Currently, cost-sharing of prescribed drugs is mandatory not only for individuals under 65 years but also </w:t>
      </w:r>
      <w:r w:rsidRPr="008418C4">
        <w:rPr>
          <w:rFonts w:cstheme="minorHAnsi"/>
          <w:color w:val="141413"/>
          <w:lang w:val="en-GB"/>
        </w:rPr>
        <w:t>retirees with ceiling costs depending on the level of income. However, some groups of individuals are exempted from the co-payment (e.g. patients with specific chronic diseases). The cuts in pharmaceutical expenditures have been accompanied by a reduction in public workers’ wages up to 7% in July 2012 (RDL 20/2012).</w:t>
      </w:r>
      <w:r w:rsidRPr="00277328">
        <w:rPr>
          <w:rFonts w:cstheme="minorHAnsi"/>
          <w:color w:val="141413"/>
          <w:lang w:val="en-GB"/>
        </w:rPr>
        <w:t xml:space="preserve"> These regulations reflect the current general consensus that personnel and pharmaceutical costs are the most important determinants of total health expenditures in Spain. </w:t>
      </w:r>
    </w:p>
    <w:p w:rsidR="00A42699" w:rsidRPr="00277328" w:rsidRDefault="00A42699" w:rsidP="00A42699">
      <w:pPr>
        <w:rPr>
          <w:rFonts w:eastAsia="Times New Roman" w:cstheme="minorHAnsi"/>
          <w:iCs/>
          <w:color w:val="000000"/>
          <w:sz w:val="24"/>
          <w:szCs w:val="24"/>
          <w:lang w:val="en-GB" w:eastAsia="el-GR"/>
        </w:rPr>
      </w:pPr>
      <w:r w:rsidRPr="00277328">
        <w:rPr>
          <w:rFonts w:cstheme="minorHAnsi"/>
          <w:color w:val="141413"/>
          <w:lang w:val="en-GB"/>
        </w:rPr>
        <w:t>Despite all these efforts, the relative weight of pharmaceutical expenditures is still at high levels, imposing further challenges in the Spanish health system. This is extremely relevant in times of financial crisis, when all social sectors are being</w:t>
      </w:r>
      <w:r w:rsidRPr="00277328">
        <w:rPr>
          <w:rFonts w:cstheme="minorHAnsi"/>
          <w:color w:val="141413"/>
          <w:sz w:val="24"/>
          <w:szCs w:val="24"/>
          <w:lang w:val="en-GB"/>
        </w:rPr>
        <w:t xml:space="preserve"> affected. </w:t>
      </w:r>
      <w:r w:rsidRPr="00277328">
        <w:rPr>
          <w:rFonts w:cstheme="minorHAnsi"/>
          <w:color w:val="141413"/>
          <w:lang w:val="en-GB"/>
        </w:rPr>
        <w:t xml:space="preserve">Therefore, priorities on the allocation of these scarce health resources should be reconsidered. In the Spanish context, preferences of stakeholders responsible for pharmaceutical polices are of great importance. </w:t>
      </w:r>
    </w:p>
    <w:p w:rsidR="00A42699" w:rsidRPr="00277328" w:rsidRDefault="00A42699" w:rsidP="00950BD7">
      <w:pPr>
        <w:pStyle w:val="Heading3"/>
        <w:rPr>
          <w:rFonts w:eastAsia="Times New Roman"/>
          <w:lang w:val="en-GB" w:eastAsia="el-GR"/>
        </w:rPr>
      </w:pPr>
      <w:bookmarkStart w:id="9" w:name="_Toc367791001"/>
      <w:r w:rsidRPr="00277328">
        <w:rPr>
          <w:rFonts w:eastAsia="Times New Roman"/>
          <w:lang w:val="en-GB" w:eastAsia="el-GR"/>
        </w:rPr>
        <w:t>Health care planning and delivery</w:t>
      </w:r>
      <w:bookmarkEnd w:id="9"/>
    </w:p>
    <w:p w:rsidR="00A42699" w:rsidRPr="00277328" w:rsidRDefault="00A42699" w:rsidP="00A42699">
      <w:pPr>
        <w:rPr>
          <w:rFonts w:eastAsia="Times New Roman" w:cstheme="minorHAnsi"/>
          <w:iCs/>
          <w:color w:val="000000"/>
          <w:lang w:val="en-GB" w:eastAsia="el-GR"/>
        </w:rPr>
      </w:pPr>
      <w:r w:rsidRPr="00277328">
        <w:rPr>
          <w:rFonts w:eastAsia="Times New Roman" w:cstheme="minorHAnsi"/>
          <w:iCs/>
          <w:color w:val="000000"/>
          <w:lang w:val="en-GB" w:eastAsia="el-GR"/>
        </w:rPr>
        <w:t>The General Health Law in 1986 established the Spanish national health system of universal coverage. However, some regions enjoy greater health responsibilities than other</w:t>
      </w:r>
      <w:r w:rsidR="002F613E" w:rsidRPr="00277328">
        <w:rPr>
          <w:rFonts w:eastAsia="Times New Roman" w:cstheme="minorHAnsi"/>
          <w:iCs/>
          <w:color w:val="000000"/>
          <w:lang w:val="en-GB" w:eastAsia="el-GR"/>
        </w:rPr>
        <w:t>s</w:t>
      </w:r>
      <w:r w:rsidRPr="00277328">
        <w:rPr>
          <w:rFonts w:eastAsia="Times New Roman" w:cstheme="minorHAnsi"/>
          <w:iCs/>
          <w:color w:val="000000"/>
          <w:lang w:val="en-GB" w:eastAsia="el-GR"/>
        </w:rPr>
        <w:t>, due</w:t>
      </w:r>
      <w:r w:rsidR="002B6D06">
        <w:rPr>
          <w:rFonts w:eastAsia="Times New Roman" w:cstheme="minorHAnsi"/>
          <w:iCs/>
          <w:color w:val="000000"/>
          <w:lang w:val="en-GB" w:eastAsia="el-GR"/>
        </w:rPr>
        <w:t xml:space="preserve"> to the delay in the decentralis</w:t>
      </w:r>
      <w:r w:rsidRPr="00277328">
        <w:rPr>
          <w:rFonts w:eastAsia="Times New Roman" w:cstheme="minorHAnsi"/>
          <w:iCs/>
          <w:color w:val="000000"/>
          <w:lang w:val="en-GB" w:eastAsia="el-GR"/>
        </w:rPr>
        <w:t xml:space="preserve">ation process completion. For instance, Catalonia was the first community that created a regional health plan in 1981, followed by </w:t>
      </w:r>
      <w:r w:rsidR="002B6D06" w:rsidRPr="00277328">
        <w:rPr>
          <w:rFonts w:eastAsia="Times New Roman" w:cstheme="minorHAnsi"/>
          <w:iCs/>
          <w:color w:val="000000"/>
          <w:lang w:val="en-GB" w:eastAsia="el-GR"/>
        </w:rPr>
        <w:t>Andalucía</w:t>
      </w:r>
      <w:r w:rsidRPr="00277328">
        <w:rPr>
          <w:rFonts w:eastAsia="Times New Roman" w:cstheme="minorHAnsi"/>
          <w:iCs/>
          <w:color w:val="000000"/>
          <w:lang w:val="en-GB" w:eastAsia="el-GR"/>
        </w:rPr>
        <w:t xml:space="preserve"> in 1984 and the Basque Country in 1988. Therefore, important inequalities in health care access are being observed among the regions. The basic health benefits package provided by the NHS offers coverage of all main services. </w:t>
      </w:r>
    </w:p>
    <w:p w:rsidR="00A42699" w:rsidRPr="00277328" w:rsidRDefault="00A42699" w:rsidP="00A42699">
      <w:pPr>
        <w:rPr>
          <w:rFonts w:cstheme="minorHAnsi"/>
          <w:color w:val="141413"/>
          <w:lang w:val="en-GB"/>
        </w:rPr>
      </w:pPr>
      <w:r w:rsidRPr="00277328">
        <w:rPr>
          <w:rFonts w:eastAsia="Times New Roman" w:cstheme="minorHAnsi"/>
          <w:iCs/>
          <w:color w:val="000000"/>
          <w:lang w:val="en-GB" w:eastAsia="el-GR"/>
        </w:rPr>
        <w:t xml:space="preserve">Still, each AC is allowed to establish its own package, by adding new services without necessarily dropping any of </w:t>
      </w:r>
      <w:r w:rsidR="00D30BA4" w:rsidRPr="00277328">
        <w:rPr>
          <w:rFonts w:eastAsia="Times New Roman" w:cstheme="minorHAnsi"/>
          <w:iCs/>
          <w:color w:val="000000"/>
          <w:lang w:val="en-GB" w:eastAsia="el-GR"/>
        </w:rPr>
        <w:t>the existing ones</w:t>
      </w:r>
      <w:sdt>
        <w:sdtPr>
          <w:rPr>
            <w:rFonts w:eastAsia="Times New Roman" w:cstheme="minorHAnsi"/>
            <w:iCs/>
            <w:color w:val="000000"/>
            <w:lang w:val="en-GB" w:eastAsia="el-GR"/>
          </w:rPr>
          <w:id w:val="40653358"/>
          <w:citation/>
        </w:sdtPr>
        <w:sdtContent>
          <w:r w:rsidR="00E93150" w:rsidRPr="00277328">
            <w:rPr>
              <w:rFonts w:eastAsia="Times New Roman" w:cstheme="minorHAnsi"/>
              <w:iCs/>
              <w:color w:val="000000"/>
              <w:lang w:val="en-GB" w:eastAsia="el-GR"/>
            </w:rPr>
            <w:fldChar w:fldCharType="begin"/>
          </w:r>
          <w:r w:rsidR="00D30BA4" w:rsidRPr="00277328">
            <w:rPr>
              <w:rFonts w:eastAsia="Times New Roman" w:cstheme="minorHAnsi"/>
              <w:iCs/>
              <w:color w:val="000000"/>
              <w:lang w:val="en-GB" w:eastAsia="el-GR"/>
            </w:rPr>
            <w:instrText xml:space="preserve"> CITATION Gam99 \l 1033 </w:instrText>
          </w:r>
          <w:r w:rsidR="00E93150" w:rsidRPr="00277328">
            <w:rPr>
              <w:rFonts w:eastAsia="Times New Roman" w:cstheme="minorHAnsi"/>
              <w:iCs/>
              <w:color w:val="000000"/>
              <w:lang w:val="en-GB" w:eastAsia="el-GR"/>
            </w:rPr>
            <w:fldChar w:fldCharType="separate"/>
          </w:r>
          <w:r w:rsidR="008930F2" w:rsidRPr="00277328">
            <w:rPr>
              <w:rFonts w:eastAsia="Times New Roman" w:cstheme="minorHAnsi"/>
              <w:iCs/>
              <w:color w:val="000000"/>
              <w:lang w:val="en-GB" w:eastAsia="el-GR"/>
            </w:rPr>
            <w:t xml:space="preserve"> </w:t>
          </w:r>
          <w:r w:rsidR="008930F2" w:rsidRPr="00277328">
            <w:rPr>
              <w:rFonts w:eastAsia="Times New Roman" w:cstheme="minorHAnsi"/>
              <w:color w:val="000000"/>
              <w:lang w:val="en-GB" w:eastAsia="el-GR"/>
            </w:rPr>
            <w:t>(Gaminde 1999)</w:t>
          </w:r>
          <w:r w:rsidR="00E93150" w:rsidRPr="00277328">
            <w:rPr>
              <w:rFonts w:eastAsia="Times New Roman" w:cstheme="minorHAnsi"/>
              <w:iCs/>
              <w:color w:val="000000"/>
              <w:lang w:val="en-GB" w:eastAsia="el-GR"/>
            </w:rPr>
            <w:fldChar w:fldCharType="end"/>
          </w:r>
        </w:sdtContent>
      </w:sdt>
      <w:r w:rsidR="00D30BA4" w:rsidRPr="00277328">
        <w:rPr>
          <w:rFonts w:eastAsia="Times New Roman" w:cstheme="minorHAnsi"/>
          <w:iCs/>
          <w:color w:val="000000"/>
          <w:lang w:val="en-GB" w:eastAsia="el-GR"/>
        </w:rPr>
        <w:t>.</w:t>
      </w:r>
      <w:r w:rsidRPr="00277328">
        <w:rPr>
          <w:rFonts w:eastAsia="Times New Roman" w:cstheme="minorHAnsi"/>
          <w:iCs/>
          <w:color w:val="000000"/>
          <w:lang w:val="en-GB" w:eastAsia="el-GR"/>
        </w:rPr>
        <w:t xml:space="preserve"> Therefore, the coverage of additional services, such as dental and long-term care varies within the country. In each community, the Health Council (</w:t>
      </w:r>
      <w:r w:rsidRPr="00277328">
        <w:rPr>
          <w:rFonts w:cstheme="minorHAnsi"/>
          <w:color w:val="141413"/>
          <w:lang w:val="en-GB"/>
        </w:rPr>
        <w:t xml:space="preserve">Consejería de Salud) is responsible for the overall organization, funding and delivery of health care. The coordination of the regional health departments and health services is achieved through a contract programme, which regulates the objectives, the budget and the evaluation of the system. </w:t>
      </w:r>
    </w:p>
    <w:p w:rsidR="00A42699" w:rsidRPr="005B5C82" w:rsidRDefault="00A42699" w:rsidP="00A42699">
      <w:pPr>
        <w:rPr>
          <w:rFonts w:eastAsia="Times New Roman" w:cstheme="minorHAnsi"/>
          <w:iCs/>
          <w:color w:val="000000"/>
          <w:lang w:val="en-GB" w:eastAsia="el-GR"/>
        </w:rPr>
      </w:pPr>
      <w:r w:rsidRPr="00277328">
        <w:rPr>
          <w:rFonts w:eastAsia="Times New Roman" w:cstheme="minorHAnsi"/>
          <w:iCs/>
          <w:color w:val="000000"/>
          <w:lang w:val="en-GB" w:eastAsia="el-GR"/>
        </w:rPr>
        <w:t>Health care delivery is mostly provided by publicly owned centres and services, free at the point of use. Despite the free access, SNS health care coverage is often supplemented by a private health insurance that offers improved health care benefits, in terms of waiting lists and hospit</w:t>
      </w:r>
      <w:r w:rsidR="00D30BA4" w:rsidRPr="00277328">
        <w:rPr>
          <w:rFonts w:eastAsia="Times New Roman" w:cstheme="minorHAnsi"/>
          <w:iCs/>
          <w:color w:val="000000"/>
          <w:lang w:val="en-GB" w:eastAsia="el-GR"/>
        </w:rPr>
        <w:t>al amenities</w:t>
      </w:r>
      <w:sdt>
        <w:sdtPr>
          <w:rPr>
            <w:rFonts w:eastAsia="Times New Roman" w:cstheme="minorHAnsi"/>
            <w:iCs/>
            <w:color w:val="000000"/>
            <w:lang w:val="en-GB" w:eastAsia="el-GR"/>
          </w:rPr>
          <w:id w:val="40653359"/>
          <w:citation/>
        </w:sdtPr>
        <w:sdtContent>
          <w:r w:rsidR="00E93150" w:rsidRPr="00277328">
            <w:rPr>
              <w:rFonts w:eastAsia="Times New Roman" w:cstheme="minorHAnsi"/>
              <w:iCs/>
              <w:color w:val="000000"/>
              <w:lang w:val="en-GB" w:eastAsia="el-GR"/>
            </w:rPr>
            <w:fldChar w:fldCharType="begin"/>
          </w:r>
          <w:r w:rsidR="0051557B" w:rsidRPr="00277328">
            <w:rPr>
              <w:rFonts w:eastAsia="Times New Roman" w:cstheme="minorHAnsi"/>
              <w:iCs/>
              <w:color w:val="000000"/>
              <w:lang w:val="en-GB" w:eastAsia="el-GR"/>
            </w:rPr>
            <w:instrText xml:space="preserve"> CITATION Gui05 \l 1033  </w:instrText>
          </w:r>
          <w:r w:rsidR="00E93150" w:rsidRPr="00277328">
            <w:rPr>
              <w:rFonts w:eastAsia="Times New Roman" w:cstheme="minorHAnsi"/>
              <w:iCs/>
              <w:color w:val="000000"/>
              <w:lang w:val="en-GB" w:eastAsia="el-GR"/>
            </w:rPr>
            <w:fldChar w:fldCharType="separate"/>
          </w:r>
          <w:r w:rsidR="0051557B" w:rsidRPr="00277328">
            <w:rPr>
              <w:rFonts w:eastAsia="Times New Roman" w:cstheme="minorHAnsi"/>
              <w:iCs/>
              <w:color w:val="000000"/>
              <w:lang w:val="en-GB" w:eastAsia="el-GR"/>
            </w:rPr>
            <w:t xml:space="preserve"> </w:t>
          </w:r>
          <w:r w:rsidR="0051557B" w:rsidRPr="00277328">
            <w:rPr>
              <w:rFonts w:eastAsia="Times New Roman" w:cstheme="minorHAnsi"/>
              <w:color w:val="000000"/>
              <w:lang w:val="en-GB" w:eastAsia="el-GR"/>
            </w:rPr>
            <w:t>(Lopez-Casasnovas, Costa-Font and Planasa 2005)</w:t>
          </w:r>
          <w:r w:rsidR="00E93150" w:rsidRPr="00277328">
            <w:rPr>
              <w:rFonts w:eastAsia="Times New Roman" w:cstheme="minorHAnsi"/>
              <w:iCs/>
              <w:color w:val="000000"/>
              <w:lang w:val="en-GB" w:eastAsia="el-GR"/>
            </w:rPr>
            <w:fldChar w:fldCharType="end"/>
          </w:r>
        </w:sdtContent>
      </w:sdt>
      <w:r w:rsidRPr="00277328">
        <w:rPr>
          <w:rFonts w:eastAsia="Times New Roman" w:cstheme="minorHAnsi"/>
          <w:iCs/>
          <w:color w:val="000000"/>
          <w:lang w:val="en-GB" w:eastAsia="el-GR"/>
        </w:rPr>
        <w:t xml:space="preserve">. Primary care provision is integrated into geographical health zones, which are managed at the level of health areas, covering certain amounts of the population. Due to the discrepancies among </w:t>
      </w:r>
      <w:r w:rsidRPr="00277328">
        <w:rPr>
          <w:rFonts w:eastAsia="Times New Roman" w:cstheme="minorHAnsi"/>
          <w:iCs/>
          <w:color w:val="000000"/>
          <w:lang w:val="en-GB" w:eastAsia="el-GR"/>
        </w:rPr>
        <w:lastRenderedPageBreak/>
        <w:t>regions, significant geographical differences are observed in terms of primary</w:t>
      </w:r>
      <w:r w:rsidR="002B6D06">
        <w:rPr>
          <w:rFonts w:eastAsia="Times New Roman" w:cstheme="minorHAnsi"/>
          <w:iCs/>
          <w:color w:val="000000"/>
          <w:lang w:val="en-GB" w:eastAsia="el-GR"/>
        </w:rPr>
        <w:t xml:space="preserve"> care</w:t>
      </w:r>
      <w:r w:rsidR="005B5C82">
        <w:rPr>
          <w:rFonts w:eastAsia="Times New Roman" w:cstheme="minorHAnsi"/>
          <w:iCs/>
          <w:color w:val="000000"/>
          <w:lang w:val="en-GB" w:eastAsia="el-GR"/>
        </w:rPr>
        <w:t xml:space="preserve"> and inpatient care provision. </w:t>
      </w:r>
      <w:r w:rsidR="005B5C82">
        <w:rPr>
          <w:rFonts w:eastAsia="Times New Roman" w:cstheme="minorHAnsi"/>
          <w:iCs/>
          <w:color w:val="000000"/>
          <w:lang w:val="en-GB" w:eastAsia="el-GR"/>
        </w:rPr>
        <w:br/>
      </w:r>
    </w:p>
    <w:p w:rsidR="00A42699" w:rsidRPr="00277328" w:rsidRDefault="00A42699" w:rsidP="003414E6">
      <w:pPr>
        <w:pStyle w:val="Heading2"/>
        <w:rPr>
          <w:lang w:val="en-GB"/>
        </w:rPr>
      </w:pPr>
      <w:bookmarkStart w:id="10" w:name="_Toc367791002"/>
      <w:r w:rsidRPr="00277328">
        <w:rPr>
          <w:lang w:val="en-GB"/>
        </w:rPr>
        <w:t>Mental health policy in Spain</w:t>
      </w:r>
      <w:bookmarkEnd w:id="10"/>
    </w:p>
    <w:p w:rsidR="00A42699" w:rsidRPr="00277328" w:rsidRDefault="00A42699" w:rsidP="00A42699">
      <w:pPr>
        <w:rPr>
          <w:lang w:val="en-GB"/>
        </w:rPr>
      </w:pPr>
      <w:r w:rsidRPr="00277328">
        <w:rPr>
          <w:lang w:val="en-GB"/>
        </w:rPr>
        <w:t xml:space="preserve">As in most European countries, mental health has until recently been a neglected policy area within the Spanish health system. It was not </w:t>
      </w:r>
      <w:r w:rsidR="00431A3D">
        <w:rPr>
          <w:lang w:val="en-GB"/>
        </w:rPr>
        <w:t>until</w:t>
      </w:r>
      <w:r w:rsidR="0027652B">
        <w:rPr>
          <w:lang w:val="en-GB"/>
        </w:rPr>
        <w:t xml:space="preserve"> the 1980</w:t>
      </w:r>
      <w:r w:rsidRPr="00277328">
        <w:rPr>
          <w:lang w:val="en-GB"/>
        </w:rPr>
        <w:t>s that Spain shifted towards mental health policy reforms, following a general focus on mental health strategies across European countries. Initially, mental health services were provided through a fragmented network of public organizations outside the NHS (often called asylums) as well as private and religious institutions. These services were characteri</w:t>
      </w:r>
      <w:r w:rsidR="00F16517">
        <w:rPr>
          <w:lang w:val="en-GB"/>
        </w:rPr>
        <w:t>s</w:t>
      </w:r>
      <w:r w:rsidRPr="00277328">
        <w:rPr>
          <w:lang w:val="en-GB"/>
        </w:rPr>
        <w:t>ed by limited coordination among organizations and provision of out</w:t>
      </w:r>
      <w:r w:rsidR="00060DD4" w:rsidRPr="00277328">
        <w:rPr>
          <w:lang w:val="en-GB"/>
        </w:rPr>
        <w:t>patient care</w:t>
      </w:r>
      <w:sdt>
        <w:sdtPr>
          <w:rPr>
            <w:lang w:val="en-GB"/>
          </w:rPr>
          <w:id w:val="40654305"/>
          <w:citation/>
        </w:sdtPr>
        <w:sdtContent>
          <w:r w:rsidR="00E93150" w:rsidRPr="00277328">
            <w:rPr>
              <w:lang w:val="en-GB"/>
            </w:rPr>
            <w:fldChar w:fldCharType="begin"/>
          </w:r>
          <w:r w:rsidR="00FB0F77" w:rsidRPr="00277328">
            <w:rPr>
              <w:lang w:val="en-GB"/>
            </w:rPr>
            <w:instrText xml:space="preserve"> CITATION Gar10 \l 1033 </w:instrText>
          </w:r>
          <w:r w:rsidR="00E93150" w:rsidRPr="00277328">
            <w:rPr>
              <w:lang w:val="en-GB"/>
            </w:rPr>
            <w:fldChar w:fldCharType="separate"/>
          </w:r>
          <w:r w:rsidR="008930F2" w:rsidRPr="00277328">
            <w:rPr>
              <w:lang w:val="en-GB"/>
            </w:rPr>
            <w:t xml:space="preserve"> (García-Armesto, et al. 2010)</w:t>
          </w:r>
          <w:r w:rsidR="00E93150" w:rsidRPr="00277328">
            <w:rPr>
              <w:lang w:val="en-GB"/>
            </w:rPr>
            <w:fldChar w:fldCharType="end"/>
          </w:r>
        </w:sdtContent>
      </w:sdt>
      <w:r w:rsidRPr="008418C4">
        <w:rPr>
          <w:lang w:val="en-GB"/>
        </w:rPr>
        <w:t>. The first initiative towards mental health reform was in 1985, with the establishment of a Ministerial Commission for Psychiatric Reform focusing on the integration of mental health services within the general health system.</w:t>
      </w:r>
      <w:r w:rsidRPr="00277328">
        <w:rPr>
          <w:lang w:val="en-GB"/>
        </w:rPr>
        <w:t xml:space="preserve"> Following the principles of the General Health Act (1986), several reforms have taken place targeting the creation of a community-based network for mental health care provision, treatment and promotion. </w:t>
      </w:r>
    </w:p>
    <w:p w:rsidR="00A42699" w:rsidRPr="00277328" w:rsidRDefault="00A42699" w:rsidP="00A42699">
      <w:pPr>
        <w:rPr>
          <w:lang w:val="en-GB"/>
        </w:rPr>
      </w:pPr>
      <w:r w:rsidRPr="00277328">
        <w:rPr>
          <w:lang w:val="en-GB"/>
        </w:rPr>
        <w:t xml:space="preserve">However, these reforms targeted a rather small proportion of the mentally ill population, especially those with severe mental conditions. The need for further reforms with the participation of a wider range of stakeholders led to </w:t>
      </w:r>
      <w:r w:rsidR="002F613E" w:rsidRPr="00277328">
        <w:rPr>
          <w:lang w:val="en-GB"/>
        </w:rPr>
        <w:t xml:space="preserve">the </w:t>
      </w:r>
      <w:r w:rsidRPr="00277328">
        <w:rPr>
          <w:lang w:val="en-GB"/>
        </w:rPr>
        <w:t>SNS Strategy on Mental Health (2007). This reform was in line with the principles of Helsinki Declaration, signed in 2005 by WHO European Region health ministers</w:t>
      </w:r>
      <w:r w:rsidR="00A55735" w:rsidRPr="00277328">
        <w:rPr>
          <w:lang w:val="en-GB"/>
        </w:rPr>
        <w:t xml:space="preserve"> (WHO 2005)</w:t>
      </w:r>
      <w:r w:rsidRPr="00277328">
        <w:rPr>
          <w:lang w:val="en-GB"/>
        </w:rPr>
        <w:t>. According to the strategy, mental health is recogn</w:t>
      </w:r>
      <w:r w:rsidR="00F16517">
        <w:rPr>
          <w:lang w:val="en-GB"/>
        </w:rPr>
        <w:t>is</w:t>
      </w:r>
      <w:r w:rsidRPr="00277328">
        <w:rPr>
          <w:lang w:val="en-GB"/>
        </w:rPr>
        <w:t xml:space="preserve">ed as a primary policy area and several objectives have to be satisfied, including mental health prevention and stigma eradication, continuity of mental health care, institutional coordination and research empowerment </w:t>
      </w:r>
      <w:r w:rsidR="00A55735" w:rsidRPr="00277328">
        <w:rPr>
          <w:lang w:val="en-GB"/>
        </w:rPr>
        <w:t xml:space="preserve">(Strategy on Mental Health, 2008). </w:t>
      </w:r>
      <w:r w:rsidRPr="00277328">
        <w:rPr>
          <w:lang w:val="en-GB"/>
        </w:rPr>
        <w:t>These objectives are not only consistent with the WHO suggestions but also in accordance with the specific constitutional structure of Spain.</w:t>
      </w:r>
    </w:p>
    <w:p w:rsidR="00A42699" w:rsidRPr="00277328" w:rsidRDefault="00A42699" w:rsidP="00A42699">
      <w:pPr>
        <w:rPr>
          <w:lang w:val="en-GB"/>
        </w:rPr>
      </w:pPr>
      <w:r w:rsidRPr="00277328">
        <w:rPr>
          <w:lang w:val="en-GB"/>
        </w:rPr>
        <w:t xml:space="preserve">Put differently, the initiative for the latest mental health reforms is attributed not only to the need for a convergence of mental health polices in Europe but also to </w:t>
      </w:r>
      <w:r w:rsidR="00FA4456" w:rsidRPr="00277328">
        <w:rPr>
          <w:lang w:val="en-GB"/>
        </w:rPr>
        <w:t xml:space="preserve">the </w:t>
      </w:r>
      <w:r w:rsidRPr="00277328">
        <w:rPr>
          <w:lang w:val="en-GB"/>
        </w:rPr>
        <w:t>changes in the general welfare gover</w:t>
      </w:r>
      <w:r w:rsidR="00FA4456" w:rsidRPr="00277328">
        <w:rPr>
          <w:lang w:val="en-GB"/>
        </w:rPr>
        <w:t>nance of Spain. T</w:t>
      </w:r>
      <w:r w:rsidRPr="00277328">
        <w:rPr>
          <w:lang w:val="en-GB"/>
        </w:rPr>
        <w:t xml:space="preserve">he reorganization of the Spanish mental health policy </w:t>
      </w:r>
      <w:r w:rsidR="00FA4456" w:rsidRPr="00277328">
        <w:rPr>
          <w:lang w:val="en-GB"/>
        </w:rPr>
        <w:t>coincided with t</w:t>
      </w:r>
      <w:r w:rsidRPr="00277328">
        <w:rPr>
          <w:lang w:val="en-GB"/>
        </w:rPr>
        <w:t>he deinstitutionalization process</w:t>
      </w:r>
      <w:r w:rsidR="00FA4456" w:rsidRPr="00277328">
        <w:rPr>
          <w:lang w:val="en-GB"/>
        </w:rPr>
        <w:t xml:space="preserve">. </w:t>
      </w:r>
      <w:r w:rsidRPr="00277328">
        <w:rPr>
          <w:lang w:val="en-GB"/>
        </w:rPr>
        <w:t>Consequently, reforms were adapted at different speeds across the country potentially causing inequalities in mental health care access among the regions. Therefore, the strategy on mental health aimed at the coordination of these different plans nat</w:t>
      </w:r>
      <w:r w:rsidR="00A55735" w:rsidRPr="00277328">
        <w:rPr>
          <w:lang w:val="en-GB"/>
        </w:rPr>
        <w:t xml:space="preserve">ionwide </w:t>
      </w:r>
      <w:sdt>
        <w:sdtPr>
          <w:rPr>
            <w:lang w:val="en-GB"/>
          </w:rPr>
          <w:id w:val="40654958"/>
          <w:citation/>
        </w:sdtPr>
        <w:sdtContent>
          <w:r w:rsidR="00E93150" w:rsidRPr="00277328">
            <w:rPr>
              <w:lang w:val="en-GB"/>
            </w:rPr>
            <w:fldChar w:fldCharType="begin"/>
          </w:r>
          <w:r w:rsidR="00FB0F77" w:rsidRPr="00277328">
            <w:rPr>
              <w:lang w:val="en-GB"/>
            </w:rPr>
            <w:instrText xml:space="preserve"> CITATION Cos11 \l 1033 </w:instrText>
          </w:r>
          <w:r w:rsidR="00E93150" w:rsidRPr="00277328">
            <w:rPr>
              <w:lang w:val="en-GB"/>
            </w:rPr>
            <w:fldChar w:fldCharType="separate"/>
          </w:r>
          <w:r w:rsidR="008930F2" w:rsidRPr="00277328">
            <w:rPr>
              <w:lang w:val="en-GB"/>
            </w:rPr>
            <w:t>(Costa-Font, et al. 2011)</w:t>
          </w:r>
          <w:r w:rsidR="00E93150" w:rsidRPr="00277328">
            <w:rPr>
              <w:lang w:val="en-GB"/>
            </w:rPr>
            <w:fldChar w:fldCharType="end"/>
          </w:r>
        </w:sdtContent>
      </w:sdt>
      <w:r w:rsidRPr="00277328">
        <w:rPr>
          <w:lang w:val="en-GB"/>
        </w:rPr>
        <w:t xml:space="preserve">. This strategy has been updated to the 2009-2013 Mental Health Strategic Plan, after evaluation and improvement of the 2006 plan </w:t>
      </w:r>
      <w:sdt>
        <w:sdtPr>
          <w:rPr>
            <w:lang w:val="en-GB"/>
          </w:rPr>
          <w:id w:val="40654959"/>
          <w:citation/>
        </w:sdtPr>
        <w:sdtContent>
          <w:r w:rsidR="00E93150" w:rsidRPr="00277328">
            <w:rPr>
              <w:lang w:val="en-GB"/>
            </w:rPr>
            <w:fldChar w:fldCharType="begin"/>
          </w:r>
          <w:r w:rsidR="00FB0F77" w:rsidRPr="00277328">
            <w:rPr>
              <w:lang w:val="en-GB"/>
            </w:rPr>
            <w:instrText xml:space="preserve"> CITATION Bob12 \l 1033 </w:instrText>
          </w:r>
          <w:r w:rsidR="00E93150" w:rsidRPr="00277328">
            <w:rPr>
              <w:lang w:val="en-GB"/>
            </w:rPr>
            <w:fldChar w:fldCharType="separate"/>
          </w:r>
          <w:r w:rsidR="008930F2" w:rsidRPr="00277328">
            <w:rPr>
              <w:lang w:val="en-GB"/>
            </w:rPr>
            <w:t>(Bobes, et al. 2012)</w:t>
          </w:r>
          <w:r w:rsidR="00E93150" w:rsidRPr="00277328">
            <w:rPr>
              <w:lang w:val="en-GB"/>
            </w:rPr>
            <w:fldChar w:fldCharType="end"/>
          </w:r>
        </w:sdtContent>
      </w:sdt>
      <w:r w:rsidR="00B91495" w:rsidRPr="00277328">
        <w:rPr>
          <w:lang w:val="en-GB"/>
        </w:rPr>
        <w:t>.</w:t>
      </w:r>
    </w:p>
    <w:p w:rsidR="00A42699" w:rsidRPr="00277328" w:rsidRDefault="00A42699" w:rsidP="00A42699">
      <w:pPr>
        <w:rPr>
          <w:lang w:val="en-GB"/>
        </w:rPr>
      </w:pPr>
      <w:r w:rsidRPr="00277328">
        <w:rPr>
          <w:lang w:val="en-GB"/>
        </w:rPr>
        <w:t>At present, the Spanish health system ranks as one of the most efficient systems among the European countries. The move towards universal and free health coverage and the improvement of primary care services resulted in more equitable access to health care. At the same time, the devolution of health responsibilities into the 17 ACs led to a variety of efficient regional health models. Autonomous government of health care services allowed for policy initiatives targeting specific populations’ needs and resulting in great health benefits for regions like Catalonia and the Basque country</w:t>
      </w:r>
      <w:r w:rsidR="00B91495" w:rsidRPr="00277328">
        <w:rPr>
          <w:lang w:val="en-GB"/>
        </w:rPr>
        <w:t xml:space="preserve"> </w:t>
      </w:r>
      <w:sdt>
        <w:sdtPr>
          <w:rPr>
            <w:lang w:val="en-GB"/>
          </w:rPr>
          <w:id w:val="40654960"/>
          <w:citation/>
        </w:sdtPr>
        <w:sdtContent>
          <w:r w:rsidR="00E93150" w:rsidRPr="00277328">
            <w:rPr>
              <w:lang w:val="en-GB"/>
            </w:rPr>
            <w:fldChar w:fldCharType="begin"/>
          </w:r>
          <w:r w:rsidR="00FB0F77" w:rsidRPr="00277328">
            <w:rPr>
              <w:lang w:val="en-GB"/>
            </w:rPr>
            <w:instrText xml:space="preserve"> CITATION Mar09 \l 1033 </w:instrText>
          </w:r>
          <w:r w:rsidR="00E93150" w:rsidRPr="00277328">
            <w:rPr>
              <w:lang w:val="en-GB"/>
            </w:rPr>
            <w:fldChar w:fldCharType="separate"/>
          </w:r>
          <w:r w:rsidR="008930F2" w:rsidRPr="00277328">
            <w:rPr>
              <w:lang w:val="en-GB"/>
            </w:rPr>
            <w:t xml:space="preserve">(Martin-Moreno and Collegues </w:t>
          </w:r>
          <w:r w:rsidR="008930F2" w:rsidRPr="00277328">
            <w:rPr>
              <w:lang w:val="en-GB"/>
            </w:rPr>
            <w:lastRenderedPageBreak/>
            <w:t>2009)</w:t>
          </w:r>
          <w:r w:rsidR="00E93150" w:rsidRPr="00277328">
            <w:rPr>
              <w:lang w:val="en-GB"/>
            </w:rPr>
            <w:fldChar w:fldCharType="end"/>
          </w:r>
        </w:sdtContent>
      </w:sdt>
      <w:r w:rsidRPr="00277328">
        <w:rPr>
          <w:lang w:val="en-GB"/>
        </w:rPr>
        <w:t>. Concerning mental health, it has been argued that the decentralization process contributed to a greater awareness for the need of mental hea</w:t>
      </w:r>
      <w:r w:rsidR="00B91495" w:rsidRPr="00277328">
        <w:rPr>
          <w:lang w:val="en-GB"/>
        </w:rPr>
        <w:t xml:space="preserve">lth reforms in Spain </w:t>
      </w:r>
      <w:sdt>
        <w:sdtPr>
          <w:rPr>
            <w:lang w:val="en-GB"/>
          </w:rPr>
          <w:id w:val="40654961"/>
          <w:citation/>
        </w:sdtPr>
        <w:sdtContent>
          <w:r w:rsidR="00E93150" w:rsidRPr="00277328">
            <w:rPr>
              <w:lang w:val="en-GB"/>
            </w:rPr>
            <w:fldChar w:fldCharType="begin"/>
          </w:r>
          <w:r w:rsidR="00FB0F77" w:rsidRPr="00277328">
            <w:rPr>
              <w:lang w:val="en-GB"/>
            </w:rPr>
            <w:instrText xml:space="preserve"> CITATION Cos11 \l 1033 </w:instrText>
          </w:r>
          <w:r w:rsidR="00E93150" w:rsidRPr="00277328">
            <w:rPr>
              <w:lang w:val="en-GB"/>
            </w:rPr>
            <w:fldChar w:fldCharType="separate"/>
          </w:r>
          <w:r w:rsidR="008930F2" w:rsidRPr="00277328">
            <w:rPr>
              <w:lang w:val="en-GB"/>
            </w:rPr>
            <w:t>(Costa-Font, et al. 2011)</w:t>
          </w:r>
          <w:r w:rsidR="00E93150" w:rsidRPr="00277328">
            <w:rPr>
              <w:lang w:val="en-GB"/>
            </w:rPr>
            <w:fldChar w:fldCharType="end"/>
          </w:r>
        </w:sdtContent>
      </w:sdt>
      <w:r w:rsidRPr="00277328">
        <w:rPr>
          <w:lang w:val="en-GB"/>
        </w:rPr>
        <w:t>. In other words, the participation of different stakeholders in decision-making processes (including publ</w:t>
      </w:r>
      <w:r w:rsidR="009C7662">
        <w:rPr>
          <w:lang w:val="en-GB"/>
        </w:rPr>
        <w:t>ic support) led to the prioritis</w:t>
      </w:r>
      <w:r w:rsidRPr="00277328">
        <w:rPr>
          <w:lang w:val="en-GB"/>
        </w:rPr>
        <w:t xml:space="preserve">ation of mental health reforms in the Spanish policy agenda. </w:t>
      </w:r>
    </w:p>
    <w:p w:rsidR="00FA4456" w:rsidRDefault="00A42699">
      <w:pPr>
        <w:rPr>
          <w:lang w:val="en-GB"/>
        </w:rPr>
      </w:pPr>
      <w:r w:rsidRPr="00277328">
        <w:rPr>
          <w:lang w:val="en-GB"/>
        </w:rPr>
        <w:t>However, several problems concerning resource allocation have not yet been addressed. The Spanish central government fails at coordinating the regional health plans, since each region structures its priorities differently. In this context, the preceded mental health reforms have not yet addressed ine</w:t>
      </w:r>
      <w:r w:rsidR="00F16517">
        <w:rPr>
          <w:lang w:val="en-GB"/>
        </w:rPr>
        <w:t>qualities in access to specialis</w:t>
      </w:r>
      <w:r w:rsidRPr="00277328">
        <w:rPr>
          <w:lang w:val="en-GB"/>
        </w:rPr>
        <w:t>ed care and treatment. Even more, information networks and evidence-based research are still underdeveloped</w:t>
      </w:r>
      <w:r w:rsidR="00B91495" w:rsidRPr="00277328">
        <w:rPr>
          <w:lang w:val="en-GB"/>
        </w:rPr>
        <w:t xml:space="preserve"> </w:t>
      </w:r>
      <w:sdt>
        <w:sdtPr>
          <w:rPr>
            <w:lang w:val="en-GB"/>
          </w:rPr>
          <w:id w:val="40654962"/>
          <w:citation/>
        </w:sdtPr>
        <w:sdtContent>
          <w:r w:rsidR="00E93150" w:rsidRPr="00277328">
            <w:rPr>
              <w:lang w:val="en-GB"/>
            </w:rPr>
            <w:fldChar w:fldCharType="begin"/>
          </w:r>
          <w:r w:rsidR="00FB0F77" w:rsidRPr="00277328">
            <w:rPr>
              <w:lang w:val="en-GB"/>
            </w:rPr>
            <w:instrText xml:space="preserve"> CITATION Gar10 \l 1033 </w:instrText>
          </w:r>
          <w:r w:rsidR="00E93150" w:rsidRPr="00277328">
            <w:rPr>
              <w:lang w:val="en-GB"/>
            </w:rPr>
            <w:fldChar w:fldCharType="separate"/>
          </w:r>
          <w:r w:rsidR="008930F2" w:rsidRPr="00277328">
            <w:rPr>
              <w:lang w:val="en-GB"/>
            </w:rPr>
            <w:t>(García-Armesto, et al. 2010)</w:t>
          </w:r>
          <w:r w:rsidR="00E93150" w:rsidRPr="00277328">
            <w:rPr>
              <w:lang w:val="en-GB"/>
            </w:rPr>
            <w:fldChar w:fldCharType="end"/>
          </w:r>
        </w:sdtContent>
      </w:sdt>
      <w:r w:rsidRPr="00277328">
        <w:rPr>
          <w:lang w:val="en-GB"/>
        </w:rPr>
        <w:t>. Therefore, mental health policy in Spain has not yet reached the European standards. Mental health care remains underfunded (up to 5% of total health expenditure), while prevention and promotion of mental health are still limited</w:t>
      </w:r>
      <w:r w:rsidR="00B91495" w:rsidRPr="00277328">
        <w:rPr>
          <w:lang w:val="en-GB"/>
        </w:rPr>
        <w:t xml:space="preserve"> </w:t>
      </w:r>
      <w:sdt>
        <w:sdtPr>
          <w:rPr>
            <w:lang w:val="en-GB"/>
          </w:rPr>
          <w:id w:val="40654963"/>
          <w:citation/>
        </w:sdtPr>
        <w:sdtContent>
          <w:r w:rsidR="00E93150" w:rsidRPr="00277328">
            <w:rPr>
              <w:lang w:val="en-GB"/>
            </w:rPr>
            <w:fldChar w:fldCharType="begin"/>
          </w:r>
          <w:r w:rsidR="00FB0F77" w:rsidRPr="00277328">
            <w:rPr>
              <w:lang w:val="en-GB"/>
            </w:rPr>
            <w:instrText xml:space="preserve"> CITATION Cab10 \l 1033 </w:instrText>
          </w:r>
          <w:r w:rsidR="00E93150" w:rsidRPr="00277328">
            <w:rPr>
              <w:lang w:val="en-GB"/>
            </w:rPr>
            <w:fldChar w:fldCharType="separate"/>
          </w:r>
          <w:r w:rsidR="008930F2" w:rsidRPr="00277328">
            <w:rPr>
              <w:lang w:val="en-GB"/>
            </w:rPr>
            <w:t>(Cabasés and Salvador-Carulla 2010)</w:t>
          </w:r>
          <w:r w:rsidR="00E93150" w:rsidRPr="00277328">
            <w:rPr>
              <w:lang w:val="en-GB"/>
            </w:rPr>
            <w:fldChar w:fldCharType="end"/>
          </w:r>
        </w:sdtContent>
      </w:sdt>
      <w:r w:rsidRPr="00277328">
        <w:rPr>
          <w:lang w:val="en-GB"/>
        </w:rPr>
        <w:t>. Although implemented reforms have rendered mental health crucial in the policy agenda, further initiatives have to take place in order to a</w:t>
      </w:r>
      <w:r w:rsidR="005B5C82">
        <w:rPr>
          <w:lang w:val="en-GB"/>
        </w:rPr>
        <w:t>ddress mental health disorders.</w:t>
      </w:r>
    </w:p>
    <w:p w:rsidR="005B5C82" w:rsidRPr="005B5C82" w:rsidRDefault="005B5C82">
      <w:pPr>
        <w:rPr>
          <w:lang w:val="en-GB"/>
        </w:rPr>
      </w:pPr>
    </w:p>
    <w:p w:rsidR="00A42699" w:rsidRPr="00277328" w:rsidRDefault="00A42699" w:rsidP="003414E6">
      <w:pPr>
        <w:pStyle w:val="Heading2"/>
        <w:rPr>
          <w:lang w:val="en-GB"/>
        </w:rPr>
      </w:pPr>
      <w:bookmarkStart w:id="11" w:name="_Toc367791003"/>
      <w:r w:rsidRPr="00277328">
        <w:rPr>
          <w:lang w:val="en-GB"/>
        </w:rPr>
        <w:t>Evidence from Spain</w:t>
      </w:r>
      <w:bookmarkEnd w:id="11"/>
    </w:p>
    <w:p w:rsidR="00A42699" w:rsidRPr="00277328" w:rsidRDefault="00A42699" w:rsidP="003414E6">
      <w:pPr>
        <w:pStyle w:val="Heading3"/>
        <w:rPr>
          <w:lang w:val="en-GB"/>
        </w:rPr>
      </w:pPr>
      <w:bookmarkStart w:id="12" w:name="_Toc367791004"/>
      <w:r w:rsidRPr="00277328">
        <w:rPr>
          <w:lang w:val="en-GB"/>
        </w:rPr>
        <w:t>Burden of disease</w:t>
      </w:r>
      <w:bookmarkEnd w:id="12"/>
    </w:p>
    <w:p w:rsidR="00A42699" w:rsidRPr="00277328" w:rsidRDefault="00A42699" w:rsidP="00A42699">
      <w:pPr>
        <w:rPr>
          <w:lang w:val="en-GB"/>
        </w:rPr>
      </w:pPr>
      <w:r w:rsidRPr="008418C4">
        <w:rPr>
          <w:lang w:val="en-GB"/>
        </w:rPr>
        <w:t>The National Plan on Research and Development</w:t>
      </w:r>
      <w:r w:rsidR="00391AAC" w:rsidRPr="008418C4">
        <w:rPr>
          <w:lang w:val="en-GB"/>
        </w:rPr>
        <w:t xml:space="preserve"> </w:t>
      </w:r>
      <w:r w:rsidR="00433AE6">
        <w:rPr>
          <w:lang w:val="en-GB"/>
        </w:rPr>
        <w:t>(Plan Nacional de I+D+</w:t>
      </w:r>
      <w:r w:rsidR="0056072F" w:rsidRPr="008418C4">
        <w:rPr>
          <w:lang w:val="en-GB"/>
        </w:rPr>
        <w:t xml:space="preserve">i </w:t>
      </w:r>
      <w:r w:rsidR="00391AAC" w:rsidRPr="008418C4">
        <w:rPr>
          <w:lang w:val="en-GB"/>
        </w:rPr>
        <w:t>2008</w:t>
      </w:r>
      <w:r w:rsidR="0056072F" w:rsidRPr="008418C4">
        <w:rPr>
          <w:lang w:val="en-GB"/>
        </w:rPr>
        <w:t>-2013</w:t>
      </w:r>
      <w:r w:rsidR="00391AAC" w:rsidRPr="008418C4">
        <w:rPr>
          <w:lang w:val="en-GB"/>
        </w:rPr>
        <w:t>)</w:t>
      </w:r>
      <w:r w:rsidRPr="008418C4">
        <w:rPr>
          <w:lang w:val="en-GB"/>
        </w:rPr>
        <w:t xml:space="preserve"> and the Quality Plan for the Spanish NHS</w:t>
      </w:r>
      <w:r w:rsidR="0056072F" w:rsidRPr="008418C4">
        <w:rPr>
          <w:lang w:val="en-GB"/>
        </w:rPr>
        <w:t xml:space="preserve"> </w:t>
      </w:r>
      <w:r w:rsidRPr="008418C4">
        <w:rPr>
          <w:lang w:val="en-GB"/>
        </w:rPr>
        <w:t>(Quality Plan Report 2006-2010)</w:t>
      </w:r>
      <w:r w:rsidR="00FA4456" w:rsidRPr="008418C4">
        <w:rPr>
          <w:lang w:val="en-GB"/>
        </w:rPr>
        <w:t xml:space="preserve"> indicate that </w:t>
      </w:r>
      <w:r w:rsidRPr="008418C4">
        <w:rPr>
          <w:lang w:val="en-GB"/>
        </w:rPr>
        <w:t xml:space="preserve">the burden of disease depicts the </w:t>
      </w:r>
      <w:r w:rsidR="00FA4456" w:rsidRPr="008418C4">
        <w:rPr>
          <w:lang w:val="en-GB"/>
        </w:rPr>
        <w:t>need for health care provision</w:t>
      </w:r>
      <w:r w:rsidRPr="008418C4">
        <w:rPr>
          <w:lang w:val="en-GB"/>
        </w:rPr>
        <w:t xml:space="preserve"> within the Spanis</w:t>
      </w:r>
      <w:r w:rsidR="00FA4456" w:rsidRPr="008418C4">
        <w:rPr>
          <w:lang w:val="en-GB"/>
        </w:rPr>
        <w:t>h NHS. However,</w:t>
      </w:r>
      <w:r w:rsidRPr="008418C4">
        <w:rPr>
          <w:lang w:val="en-GB"/>
        </w:rPr>
        <w:t xml:space="preserve"> a greater burden of disease conditions does not necessarily imply greater benefits from the health intervention. That is, other dimensions apart from the burden of disease should be</w:t>
      </w:r>
      <w:r w:rsidR="009C7662" w:rsidRPr="008418C4">
        <w:rPr>
          <w:lang w:val="en-GB"/>
        </w:rPr>
        <w:t xml:space="preserve"> taken into account in prioritis</w:t>
      </w:r>
      <w:r w:rsidRPr="008418C4">
        <w:rPr>
          <w:lang w:val="en-GB"/>
        </w:rPr>
        <w:t>ation processes.</w:t>
      </w:r>
      <w:r w:rsidRPr="00277328">
        <w:rPr>
          <w:lang w:val="en-GB"/>
        </w:rPr>
        <w:t xml:space="preserve"> </w:t>
      </w:r>
    </w:p>
    <w:p w:rsidR="00A42699" w:rsidRPr="00277328" w:rsidRDefault="00391AAC" w:rsidP="00A42699">
      <w:pPr>
        <w:rPr>
          <w:lang w:val="en-GB"/>
        </w:rPr>
      </w:pPr>
      <w:r w:rsidRPr="00277328">
        <w:rPr>
          <w:rFonts w:cstheme="minorHAnsi"/>
          <w:lang w:val="en-GB"/>
        </w:rPr>
        <w:t>Catalá López</w:t>
      </w:r>
      <w:r w:rsidRPr="00277328">
        <w:rPr>
          <w:lang w:val="en-GB"/>
        </w:rPr>
        <w:t xml:space="preserve"> </w:t>
      </w:r>
      <w:r w:rsidR="0056072F" w:rsidRPr="00277328">
        <w:rPr>
          <w:lang w:val="en-GB"/>
        </w:rPr>
        <w:t xml:space="preserve">et al. </w:t>
      </w:r>
      <w:sdt>
        <w:sdtPr>
          <w:rPr>
            <w:lang w:val="en-GB"/>
          </w:rPr>
          <w:id w:val="40654966"/>
          <w:citation/>
        </w:sdtPr>
        <w:sdtContent>
          <w:r w:rsidR="00E93150" w:rsidRPr="00277328">
            <w:rPr>
              <w:lang w:val="en-GB"/>
            </w:rPr>
            <w:fldChar w:fldCharType="begin"/>
          </w:r>
          <w:r w:rsidR="00FB0F77" w:rsidRPr="00277328">
            <w:rPr>
              <w:lang w:val="en-GB"/>
            </w:rPr>
            <w:instrText xml:space="preserve"> CITATION Cat09 \l 1033 </w:instrText>
          </w:r>
          <w:r w:rsidR="00E93150" w:rsidRPr="00277328">
            <w:rPr>
              <w:lang w:val="en-GB"/>
            </w:rPr>
            <w:fldChar w:fldCharType="separate"/>
          </w:r>
          <w:r w:rsidR="008930F2" w:rsidRPr="00277328">
            <w:rPr>
              <w:lang w:val="en-GB"/>
            </w:rPr>
            <w:t>(Catalá López, et al. 2009)</w:t>
          </w:r>
          <w:r w:rsidR="00E93150" w:rsidRPr="00277328">
            <w:rPr>
              <w:lang w:val="en-GB"/>
            </w:rPr>
            <w:fldChar w:fldCharType="end"/>
          </w:r>
        </w:sdtContent>
      </w:sdt>
      <w:r w:rsidR="00A42699" w:rsidRPr="00277328">
        <w:rPr>
          <w:lang w:val="en-GB"/>
        </w:rPr>
        <w:t xml:space="preserve"> provided burden of disease calculations for Spain in 2006. These calculations were based on the methodology proposed by Murray and </w:t>
      </w:r>
      <w:r w:rsidR="002449C7" w:rsidRPr="00277328">
        <w:rPr>
          <w:rFonts w:cstheme="minorHAnsi"/>
          <w:lang w:val="en-GB"/>
        </w:rPr>
        <w:t>López</w:t>
      </w:r>
      <w:r w:rsidR="002449C7" w:rsidRPr="00277328">
        <w:rPr>
          <w:lang w:val="en-GB"/>
        </w:rPr>
        <w:t xml:space="preserve"> </w:t>
      </w:r>
      <w:sdt>
        <w:sdtPr>
          <w:rPr>
            <w:lang w:val="en-GB"/>
          </w:rPr>
          <w:id w:val="40654967"/>
          <w:citation/>
        </w:sdtPr>
        <w:sdtContent>
          <w:r w:rsidR="00E93150" w:rsidRPr="00277328">
            <w:rPr>
              <w:lang w:val="en-GB"/>
            </w:rPr>
            <w:fldChar w:fldCharType="begin"/>
          </w:r>
          <w:r w:rsidR="00FB0F77" w:rsidRPr="00277328">
            <w:rPr>
              <w:lang w:val="en-GB"/>
            </w:rPr>
            <w:instrText xml:space="preserve"> CITATION Mur96 \l 1033 </w:instrText>
          </w:r>
          <w:r w:rsidR="00E93150" w:rsidRPr="00277328">
            <w:rPr>
              <w:lang w:val="en-GB"/>
            </w:rPr>
            <w:fldChar w:fldCharType="separate"/>
          </w:r>
          <w:r w:rsidR="008930F2" w:rsidRPr="00277328">
            <w:rPr>
              <w:lang w:val="en-GB"/>
            </w:rPr>
            <w:t>(Murray and Lopez 1996)</w:t>
          </w:r>
          <w:r w:rsidR="00E93150" w:rsidRPr="00277328">
            <w:rPr>
              <w:lang w:val="en-GB"/>
            </w:rPr>
            <w:fldChar w:fldCharType="end"/>
          </w:r>
        </w:sdtContent>
      </w:sdt>
      <w:r w:rsidR="00A42699" w:rsidRPr="00277328">
        <w:rPr>
          <w:lang w:val="en-GB"/>
        </w:rPr>
        <w:t xml:space="preserve"> and adapted by W</w:t>
      </w:r>
      <w:r w:rsidR="001E74C6" w:rsidRPr="00277328">
        <w:rPr>
          <w:lang w:val="en-GB"/>
        </w:rPr>
        <w:t xml:space="preserve">orld </w:t>
      </w:r>
      <w:r w:rsidR="00A42699" w:rsidRPr="00277328">
        <w:rPr>
          <w:lang w:val="en-GB"/>
        </w:rPr>
        <w:t>H</w:t>
      </w:r>
      <w:r w:rsidR="001E74C6" w:rsidRPr="00277328">
        <w:rPr>
          <w:lang w:val="en-GB"/>
        </w:rPr>
        <w:t xml:space="preserve">ealth </w:t>
      </w:r>
      <w:r w:rsidR="00A42699" w:rsidRPr="00277328">
        <w:rPr>
          <w:lang w:val="en-GB"/>
        </w:rPr>
        <w:t>O</w:t>
      </w:r>
      <w:r w:rsidR="001E74C6" w:rsidRPr="00277328">
        <w:rPr>
          <w:lang w:val="en-GB"/>
        </w:rPr>
        <w:t>rganization (WHO)</w:t>
      </w:r>
      <w:r w:rsidR="00A42699" w:rsidRPr="00277328">
        <w:rPr>
          <w:lang w:val="en-GB"/>
        </w:rPr>
        <w:t xml:space="preserve">, the World Bank and Harvard University. According to this method, the set of conditions is divided into three main groups: communicable diseases, non-communicable diseases and accidents. Subsequently, they are separated into different sub-categories. The calculations are based on Disability Adjusted Life Years (DALYs), which take into account both the years lost due to premature death and the quality of life lost due to the years with disability. </w:t>
      </w:r>
    </w:p>
    <w:p w:rsidR="00433AE6" w:rsidRDefault="00A42699" w:rsidP="00A10138">
      <w:pPr>
        <w:rPr>
          <w:lang w:val="en-GB"/>
        </w:rPr>
      </w:pPr>
      <w:r w:rsidRPr="00277328">
        <w:rPr>
          <w:lang w:val="en-GB"/>
        </w:rPr>
        <w:t xml:space="preserve">The results in Spain indicate the importance of the burden of disease as a determinant of health care decisions. In particular, Spain exhibits a loss of 5.025.472 DALYs only in 2006, meaning 11.404 DALYs per 100.000 inhabitants. Around 58% of those are attributed to lost quality or disability, while 42% are related to early death. In burden of disease terms, the most significant groups include neuropsychiatric disorders (31.8% of total cost); malign </w:t>
      </w:r>
      <w:r w:rsidR="00433AE6">
        <w:rPr>
          <w:lang w:val="en-GB"/>
        </w:rPr>
        <w:t>tumo</w:t>
      </w:r>
      <w:r w:rsidR="00433AE6" w:rsidRPr="00277328">
        <w:rPr>
          <w:lang w:val="en-GB"/>
        </w:rPr>
        <w:t>rs’</w:t>
      </w:r>
      <w:r w:rsidRPr="00277328">
        <w:rPr>
          <w:lang w:val="en-GB"/>
        </w:rPr>
        <w:t xml:space="preserve"> (15.9%); and cardiovascular and respiratory diseases (12.3% and 7.5% respectively). Table 3 provides a summary of this information. </w:t>
      </w:r>
    </w:p>
    <w:p w:rsidR="007B24FE" w:rsidRPr="00433AE6" w:rsidRDefault="00A10138" w:rsidP="00A10138">
      <w:pPr>
        <w:rPr>
          <w:lang w:val="en-GB"/>
        </w:rPr>
      </w:pPr>
      <w:r w:rsidRPr="00277328">
        <w:rPr>
          <w:b/>
          <w:u w:val="single"/>
          <w:lang w:val="en-GB"/>
        </w:rPr>
        <w:lastRenderedPageBreak/>
        <w:t>Table 3: Burden of disease in Spain in 2006</w:t>
      </w:r>
    </w:p>
    <w:tbl>
      <w:tblPr>
        <w:tblStyle w:val="LightShading-Accent2"/>
        <w:tblW w:w="5000" w:type="pct"/>
        <w:tblBorders>
          <w:left w:val="single" w:sz="8" w:space="0" w:color="C0504D" w:themeColor="accent2"/>
          <w:right w:val="single" w:sz="8" w:space="0" w:color="C0504D" w:themeColor="accent2"/>
          <w:insideH w:val="single" w:sz="8" w:space="0" w:color="C0504D" w:themeColor="accent2"/>
          <w:insideV w:val="single" w:sz="8" w:space="0" w:color="C0504D" w:themeColor="accent2"/>
        </w:tblBorders>
        <w:tblLayout w:type="fixed"/>
        <w:tblLook w:val="04A0"/>
      </w:tblPr>
      <w:tblGrid>
        <w:gridCol w:w="2517"/>
        <w:gridCol w:w="1365"/>
        <w:gridCol w:w="602"/>
        <w:gridCol w:w="1362"/>
        <w:gridCol w:w="602"/>
        <w:gridCol w:w="1384"/>
        <w:gridCol w:w="690"/>
      </w:tblGrid>
      <w:tr w:rsidR="00A10138" w:rsidRPr="00277328" w:rsidTr="008E2EDE">
        <w:trPr>
          <w:cnfStyle w:val="100000000000"/>
        </w:trPr>
        <w:tc>
          <w:tcPr>
            <w:cnfStyle w:val="001000000000"/>
            <w:tcW w:w="1477" w:type="pct"/>
            <w:tcBorders>
              <w:top w:val="none" w:sz="0" w:space="0" w:color="auto"/>
              <w:left w:val="none" w:sz="0" w:space="0" w:color="auto"/>
              <w:bottom w:val="none" w:sz="0" w:space="0" w:color="auto"/>
              <w:right w:val="none" w:sz="0" w:space="0" w:color="auto"/>
            </w:tcBorders>
          </w:tcPr>
          <w:p w:rsidR="00A10138" w:rsidRPr="00277328" w:rsidRDefault="00A10138" w:rsidP="00A10138">
            <w:pPr>
              <w:rPr>
                <w:color w:val="auto"/>
                <w:sz w:val="24"/>
                <w:szCs w:val="24"/>
                <w:lang w:val="en-GB"/>
              </w:rPr>
            </w:pPr>
          </w:p>
        </w:tc>
        <w:tc>
          <w:tcPr>
            <w:tcW w:w="801" w:type="pct"/>
            <w:tcBorders>
              <w:top w:val="none" w:sz="0" w:space="0" w:color="auto"/>
              <w:left w:val="none" w:sz="0" w:space="0" w:color="auto"/>
              <w:bottom w:val="none" w:sz="0" w:space="0" w:color="auto"/>
              <w:right w:val="none" w:sz="0" w:space="0" w:color="auto"/>
            </w:tcBorders>
          </w:tcPr>
          <w:p w:rsidR="00A10138" w:rsidRPr="00277328" w:rsidRDefault="00A10138" w:rsidP="00A10138">
            <w:pPr>
              <w:cnfStyle w:val="100000000000"/>
              <w:rPr>
                <w:color w:val="auto"/>
                <w:lang w:val="en-GB"/>
              </w:rPr>
            </w:pPr>
            <w:r w:rsidRPr="00277328">
              <w:rPr>
                <w:color w:val="auto"/>
                <w:lang w:val="en-GB"/>
              </w:rPr>
              <w:t>DALYS (thousands)</w:t>
            </w:r>
          </w:p>
        </w:tc>
        <w:tc>
          <w:tcPr>
            <w:tcW w:w="353" w:type="pct"/>
            <w:tcBorders>
              <w:top w:val="none" w:sz="0" w:space="0" w:color="auto"/>
              <w:left w:val="none" w:sz="0" w:space="0" w:color="auto"/>
              <w:bottom w:val="none" w:sz="0" w:space="0" w:color="auto"/>
              <w:right w:val="none" w:sz="0" w:space="0" w:color="auto"/>
            </w:tcBorders>
          </w:tcPr>
          <w:p w:rsidR="00A10138" w:rsidRPr="00277328" w:rsidRDefault="00A10138" w:rsidP="00A10138">
            <w:pPr>
              <w:jc w:val="center"/>
              <w:cnfStyle w:val="100000000000"/>
              <w:rPr>
                <w:color w:val="auto"/>
                <w:lang w:val="en-GB"/>
              </w:rPr>
            </w:pPr>
            <w:r w:rsidRPr="00277328">
              <w:rPr>
                <w:color w:val="auto"/>
                <w:lang w:val="en-GB"/>
              </w:rPr>
              <w:t>%</w:t>
            </w:r>
          </w:p>
        </w:tc>
        <w:tc>
          <w:tcPr>
            <w:tcW w:w="799" w:type="pct"/>
            <w:tcBorders>
              <w:top w:val="none" w:sz="0" w:space="0" w:color="auto"/>
              <w:left w:val="none" w:sz="0" w:space="0" w:color="auto"/>
              <w:bottom w:val="none" w:sz="0" w:space="0" w:color="auto"/>
              <w:right w:val="none" w:sz="0" w:space="0" w:color="auto"/>
            </w:tcBorders>
          </w:tcPr>
          <w:p w:rsidR="00A10138" w:rsidRPr="00277328" w:rsidRDefault="00A10138" w:rsidP="00A10138">
            <w:pPr>
              <w:cnfStyle w:val="100000000000"/>
              <w:rPr>
                <w:color w:val="auto"/>
                <w:lang w:val="en-GB"/>
              </w:rPr>
            </w:pPr>
            <w:r w:rsidRPr="00277328">
              <w:rPr>
                <w:color w:val="auto"/>
                <w:lang w:val="en-GB"/>
              </w:rPr>
              <w:t>Lost years (thousands)</w:t>
            </w:r>
          </w:p>
        </w:tc>
        <w:tc>
          <w:tcPr>
            <w:tcW w:w="353" w:type="pct"/>
            <w:tcBorders>
              <w:top w:val="none" w:sz="0" w:space="0" w:color="auto"/>
              <w:left w:val="none" w:sz="0" w:space="0" w:color="auto"/>
              <w:bottom w:val="none" w:sz="0" w:space="0" w:color="auto"/>
              <w:right w:val="none" w:sz="0" w:space="0" w:color="auto"/>
            </w:tcBorders>
          </w:tcPr>
          <w:p w:rsidR="00A10138" w:rsidRPr="00277328" w:rsidRDefault="00A10138" w:rsidP="00A10138">
            <w:pPr>
              <w:jc w:val="center"/>
              <w:cnfStyle w:val="100000000000"/>
              <w:rPr>
                <w:color w:val="auto"/>
                <w:lang w:val="en-GB"/>
              </w:rPr>
            </w:pPr>
            <w:r w:rsidRPr="00277328">
              <w:rPr>
                <w:color w:val="auto"/>
                <w:lang w:val="en-GB"/>
              </w:rPr>
              <w:t>%</w:t>
            </w:r>
          </w:p>
        </w:tc>
        <w:tc>
          <w:tcPr>
            <w:tcW w:w="812" w:type="pct"/>
            <w:tcBorders>
              <w:top w:val="none" w:sz="0" w:space="0" w:color="auto"/>
              <w:left w:val="none" w:sz="0" w:space="0" w:color="auto"/>
              <w:bottom w:val="none" w:sz="0" w:space="0" w:color="auto"/>
              <w:right w:val="none" w:sz="0" w:space="0" w:color="auto"/>
            </w:tcBorders>
          </w:tcPr>
          <w:p w:rsidR="00A10138" w:rsidRPr="00277328" w:rsidRDefault="00A10138" w:rsidP="00A10138">
            <w:pPr>
              <w:cnfStyle w:val="100000000000"/>
              <w:rPr>
                <w:color w:val="auto"/>
                <w:lang w:val="en-GB"/>
              </w:rPr>
            </w:pPr>
            <w:r w:rsidRPr="00277328">
              <w:rPr>
                <w:color w:val="auto"/>
                <w:lang w:val="en-GB"/>
              </w:rPr>
              <w:t>Mortality (thousands)</w:t>
            </w:r>
          </w:p>
        </w:tc>
        <w:tc>
          <w:tcPr>
            <w:tcW w:w="406" w:type="pct"/>
            <w:tcBorders>
              <w:top w:val="none" w:sz="0" w:space="0" w:color="auto"/>
              <w:left w:val="none" w:sz="0" w:space="0" w:color="auto"/>
              <w:bottom w:val="none" w:sz="0" w:space="0" w:color="auto"/>
              <w:right w:val="none" w:sz="0" w:space="0" w:color="auto"/>
            </w:tcBorders>
          </w:tcPr>
          <w:p w:rsidR="00A10138" w:rsidRPr="00277328" w:rsidRDefault="00A10138" w:rsidP="00A10138">
            <w:pPr>
              <w:jc w:val="center"/>
              <w:cnfStyle w:val="100000000000"/>
              <w:rPr>
                <w:color w:val="auto"/>
                <w:lang w:val="en-GB"/>
              </w:rPr>
            </w:pPr>
            <w:r w:rsidRPr="00277328">
              <w:rPr>
                <w:color w:val="auto"/>
                <w:lang w:val="en-GB"/>
              </w:rPr>
              <w:t>%</w:t>
            </w:r>
          </w:p>
        </w:tc>
      </w:tr>
      <w:tr w:rsidR="000476F6" w:rsidRPr="00277328" w:rsidTr="008E2EDE">
        <w:trPr>
          <w:cnfStyle w:val="000000100000"/>
        </w:trPr>
        <w:tc>
          <w:tcPr>
            <w:cnfStyle w:val="001000000000"/>
            <w:tcW w:w="1477" w:type="pct"/>
            <w:tcBorders>
              <w:left w:val="none" w:sz="0" w:space="0" w:color="auto"/>
              <w:right w:val="none" w:sz="0" w:space="0" w:color="auto"/>
            </w:tcBorders>
          </w:tcPr>
          <w:p w:rsidR="000476F6" w:rsidRPr="00277328" w:rsidRDefault="000476F6" w:rsidP="00A10138">
            <w:pPr>
              <w:rPr>
                <w:b w:val="0"/>
                <w:color w:val="auto"/>
                <w:sz w:val="24"/>
                <w:szCs w:val="24"/>
                <w:lang w:val="en-GB"/>
              </w:rPr>
            </w:pPr>
            <w:r w:rsidRPr="00277328">
              <w:rPr>
                <w:b w:val="0"/>
                <w:color w:val="auto"/>
                <w:sz w:val="24"/>
                <w:szCs w:val="24"/>
                <w:lang w:val="en-GB"/>
              </w:rPr>
              <w:t>Communicable, maternal, perinatal and nutritional diseases</w:t>
            </w:r>
          </w:p>
        </w:tc>
        <w:tc>
          <w:tcPr>
            <w:tcW w:w="801" w:type="pct"/>
            <w:tcBorders>
              <w:left w:val="none" w:sz="0" w:space="0" w:color="auto"/>
              <w:right w:val="none" w:sz="0" w:space="0" w:color="auto"/>
            </w:tcBorders>
          </w:tcPr>
          <w:p w:rsidR="000476F6" w:rsidRPr="00277328" w:rsidRDefault="000476F6" w:rsidP="000476F6">
            <w:pPr>
              <w:jc w:val="center"/>
              <w:cnfStyle w:val="000000100000"/>
              <w:rPr>
                <w:rFonts w:cstheme="minorHAnsi"/>
                <w:b/>
                <w:bCs/>
                <w:color w:val="auto"/>
                <w:lang w:val="en-GB" w:eastAsia="es-ES_tradnl"/>
              </w:rPr>
            </w:pPr>
            <w:r w:rsidRPr="00277328">
              <w:rPr>
                <w:rFonts w:cstheme="minorHAnsi"/>
                <w:b/>
                <w:bCs/>
                <w:color w:val="auto"/>
                <w:lang w:val="en-GB" w:eastAsia="es-ES_tradnl"/>
              </w:rPr>
              <w:t>247,7</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b/>
                <w:bCs/>
                <w:color w:val="auto"/>
                <w:lang w:val="en-GB" w:eastAsia="es-ES_tradnl"/>
              </w:rPr>
            </w:pPr>
            <w:r w:rsidRPr="00277328">
              <w:rPr>
                <w:rFonts w:cstheme="minorHAnsi"/>
                <w:b/>
                <w:bCs/>
                <w:color w:val="auto"/>
                <w:lang w:val="en-GB" w:eastAsia="es-ES_tradnl"/>
              </w:rPr>
              <w:t>4,9</w:t>
            </w:r>
          </w:p>
        </w:tc>
        <w:tc>
          <w:tcPr>
            <w:tcW w:w="799" w:type="pct"/>
            <w:tcBorders>
              <w:left w:val="none" w:sz="0" w:space="0" w:color="auto"/>
              <w:right w:val="none" w:sz="0" w:space="0" w:color="auto"/>
            </w:tcBorders>
          </w:tcPr>
          <w:p w:rsidR="000476F6" w:rsidRPr="00277328" w:rsidRDefault="000476F6" w:rsidP="000476F6">
            <w:pPr>
              <w:jc w:val="center"/>
              <w:cnfStyle w:val="000000100000"/>
              <w:rPr>
                <w:rFonts w:cstheme="minorHAnsi"/>
                <w:b/>
                <w:bCs/>
                <w:color w:val="auto"/>
                <w:lang w:val="en-GB" w:eastAsia="es-ES_tradnl"/>
              </w:rPr>
            </w:pPr>
            <w:r w:rsidRPr="00277328">
              <w:rPr>
                <w:rFonts w:cstheme="minorHAnsi"/>
                <w:b/>
                <w:bCs/>
                <w:color w:val="auto"/>
                <w:lang w:val="en-GB" w:eastAsia="es-ES_tradnl"/>
              </w:rPr>
              <w:t>133,1</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b/>
                <w:bCs/>
                <w:color w:val="auto"/>
                <w:lang w:val="en-GB" w:eastAsia="es-ES_tradnl"/>
              </w:rPr>
            </w:pPr>
            <w:r w:rsidRPr="00277328">
              <w:rPr>
                <w:rFonts w:cstheme="minorHAnsi"/>
                <w:b/>
                <w:bCs/>
                <w:color w:val="auto"/>
                <w:lang w:val="en-GB" w:eastAsia="es-ES_tradnl"/>
              </w:rPr>
              <w:t>6,3</w:t>
            </w:r>
          </w:p>
        </w:tc>
        <w:tc>
          <w:tcPr>
            <w:tcW w:w="812" w:type="pct"/>
            <w:tcBorders>
              <w:left w:val="none" w:sz="0" w:space="0" w:color="auto"/>
              <w:right w:val="none" w:sz="0" w:space="0" w:color="auto"/>
            </w:tcBorders>
          </w:tcPr>
          <w:p w:rsidR="000476F6" w:rsidRPr="00277328" w:rsidRDefault="000476F6" w:rsidP="000476F6">
            <w:pPr>
              <w:jc w:val="center"/>
              <w:cnfStyle w:val="000000100000"/>
              <w:rPr>
                <w:rFonts w:cstheme="minorHAnsi"/>
                <w:b/>
                <w:bCs/>
                <w:color w:val="auto"/>
                <w:lang w:val="en-GB" w:eastAsia="es-ES_tradnl"/>
              </w:rPr>
            </w:pPr>
            <w:r w:rsidRPr="00277328">
              <w:rPr>
                <w:rFonts w:cstheme="minorHAnsi"/>
                <w:b/>
                <w:bCs/>
                <w:color w:val="auto"/>
                <w:lang w:val="en-GB" w:eastAsia="es-ES_tradnl"/>
              </w:rPr>
              <w:t>17,6</w:t>
            </w:r>
          </w:p>
        </w:tc>
        <w:tc>
          <w:tcPr>
            <w:tcW w:w="406" w:type="pct"/>
            <w:tcBorders>
              <w:left w:val="none" w:sz="0" w:space="0" w:color="auto"/>
              <w:right w:val="none" w:sz="0" w:space="0" w:color="auto"/>
            </w:tcBorders>
          </w:tcPr>
          <w:p w:rsidR="000476F6" w:rsidRPr="00277328" w:rsidRDefault="000476F6" w:rsidP="000476F6">
            <w:pPr>
              <w:jc w:val="center"/>
              <w:cnfStyle w:val="000000100000"/>
              <w:rPr>
                <w:rFonts w:cstheme="minorHAnsi"/>
                <w:b/>
                <w:bCs/>
                <w:color w:val="auto"/>
                <w:lang w:val="en-GB" w:eastAsia="es-ES_tradnl"/>
              </w:rPr>
            </w:pPr>
            <w:r w:rsidRPr="00277328">
              <w:rPr>
                <w:rFonts w:cstheme="minorHAnsi"/>
                <w:b/>
                <w:bCs/>
                <w:color w:val="auto"/>
                <w:lang w:val="en-GB" w:eastAsia="es-ES_tradnl"/>
              </w:rPr>
              <w:t>4,7</w:t>
            </w:r>
          </w:p>
        </w:tc>
      </w:tr>
      <w:tr w:rsidR="000476F6" w:rsidRPr="00277328" w:rsidTr="008E2EDE">
        <w:trPr>
          <w:trHeight w:val="77"/>
        </w:trPr>
        <w:tc>
          <w:tcPr>
            <w:cnfStyle w:val="001000000000"/>
            <w:tcW w:w="1477" w:type="pct"/>
          </w:tcPr>
          <w:p w:rsidR="000476F6" w:rsidRPr="00277328" w:rsidRDefault="000476F6" w:rsidP="00A10138">
            <w:pPr>
              <w:rPr>
                <w:rFonts w:cstheme="minorHAnsi"/>
                <w:b w:val="0"/>
                <w:color w:val="auto"/>
                <w:lang w:val="en-GB"/>
              </w:rPr>
            </w:pPr>
            <w:r w:rsidRPr="00277328">
              <w:rPr>
                <w:rFonts w:cstheme="minorHAnsi"/>
                <w:b w:val="0"/>
                <w:color w:val="auto"/>
                <w:lang w:val="en-GB"/>
              </w:rPr>
              <w:t xml:space="preserve">Infectious and parasitic </w:t>
            </w:r>
          </w:p>
        </w:tc>
        <w:tc>
          <w:tcPr>
            <w:tcW w:w="801" w:type="pct"/>
          </w:tcPr>
          <w:p w:rsidR="000476F6" w:rsidRPr="00277328" w:rsidRDefault="000476F6" w:rsidP="000476F6">
            <w:pPr>
              <w:jc w:val="center"/>
              <w:cnfStyle w:val="000000000000"/>
              <w:rPr>
                <w:rFonts w:cstheme="minorHAnsi"/>
                <w:color w:val="auto"/>
                <w:lang w:val="en-GB" w:eastAsia="es-ES_tradnl"/>
              </w:rPr>
            </w:pPr>
            <w:r w:rsidRPr="00277328">
              <w:rPr>
                <w:rFonts w:cstheme="minorHAnsi"/>
                <w:color w:val="auto"/>
                <w:lang w:val="en-GB" w:eastAsia="es-ES_tradnl"/>
              </w:rPr>
              <w:t>113,7</w:t>
            </w:r>
          </w:p>
        </w:tc>
        <w:tc>
          <w:tcPr>
            <w:tcW w:w="353" w:type="pct"/>
          </w:tcPr>
          <w:p w:rsidR="000476F6" w:rsidRPr="00277328" w:rsidRDefault="000476F6" w:rsidP="000476F6">
            <w:pPr>
              <w:jc w:val="center"/>
              <w:cnfStyle w:val="000000000000"/>
              <w:rPr>
                <w:rFonts w:cstheme="minorHAnsi"/>
                <w:color w:val="auto"/>
                <w:lang w:val="en-GB" w:eastAsia="es-ES_tradnl"/>
              </w:rPr>
            </w:pPr>
            <w:r w:rsidRPr="00277328">
              <w:rPr>
                <w:rFonts w:cstheme="minorHAnsi"/>
                <w:color w:val="auto"/>
                <w:lang w:val="en-GB" w:eastAsia="es-ES_tradnl"/>
              </w:rPr>
              <w:t>2,3</w:t>
            </w:r>
          </w:p>
        </w:tc>
        <w:tc>
          <w:tcPr>
            <w:tcW w:w="799" w:type="pct"/>
          </w:tcPr>
          <w:p w:rsidR="000476F6" w:rsidRPr="00277328" w:rsidRDefault="000476F6" w:rsidP="000476F6">
            <w:pPr>
              <w:jc w:val="center"/>
              <w:cnfStyle w:val="000000000000"/>
              <w:rPr>
                <w:rFonts w:cstheme="minorHAnsi"/>
                <w:color w:val="auto"/>
                <w:lang w:val="en-GB" w:eastAsia="es-ES_tradnl"/>
              </w:rPr>
            </w:pPr>
            <w:r w:rsidRPr="00277328">
              <w:rPr>
                <w:rFonts w:cstheme="minorHAnsi"/>
                <w:color w:val="auto"/>
                <w:lang w:val="en-GB" w:eastAsia="es-ES_tradnl"/>
              </w:rPr>
              <w:t>66,9</w:t>
            </w:r>
          </w:p>
        </w:tc>
        <w:tc>
          <w:tcPr>
            <w:tcW w:w="353" w:type="pct"/>
          </w:tcPr>
          <w:p w:rsidR="000476F6" w:rsidRPr="00277328" w:rsidRDefault="000476F6" w:rsidP="000476F6">
            <w:pPr>
              <w:jc w:val="center"/>
              <w:cnfStyle w:val="000000000000"/>
              <w:rPr>
                <w:rFonts w:cstheme="minorHAnsi"/>
                <w:color w:val="auto"/>
                <w:lang w:val="en-GB" w:eastAsia="es-ES_tradnl"/>
              </w:rPr>
            </w:pPr>
            <w:r w:rsidRPr="00277328">
              <w:rPr>
                <w:rFonts w:cstheme="minorHAnsi"/>
                <w:color w:val="auto"/>
                <w:lang w:val="en-GB" w:eastAsia="es-ES_tradnl"/>
              </w:rPr>
              <w:t>3,1</w:t>
            </w:r>
          </w:p>
        </w:tc>
        <w:tc>
          <w:tcPr>
            <w:tcW w:w="812" w:type="pct"/>
          </w:tcPr>
          <w:p w:rsidR="000476F6" w:rsidRPr="00277328" w:rsidRDefault="000476F6" w:rsidP="000476F6">
            <w:pPr>
              <w:jc w:val="center"/>
              <w:cnfStyle w:val="000000000000"/>
              <w:rPr>
                <w:rFonts w:cstheme="minorHAnsi"/>
                <w:color w:val="auto"/>
                <w:lang w:val="en-GB" w:eastAsia="es-ES_tradnl"/>
              </w:rPr>
            </w:pPr>
            <w:r w:rsidRPr="00277328">
              <w:rPr>
                <w:rFonts w:cstheme="minorHAnsi"/>
                <w:color w:val="auto"/>
                <w:lang w:val="en-GB" w:eastAsia="es-ES_tradnl"/>
              </w:rPr>
              <w:t>7,4</w:t>
            </w:r>
          </w:p>
        </w:tc>
        <w:tc>
          <w:tcPr>
            <w:tcW w:w="406" w:type="pct"/>
          </w:tcPr>
          <w:p w:rsidR="000476F6" w:rsidRPr="00277328" w:rsidRDefault="000476F6" w:rsidP="000476F6">
            <w:pPr>
              <w:jc w:val="center"/>
              <w:cnfStyle w:val="000000000000"/>
              <w:rPr>
                <w:rFonts w:cstheme="minorHAnsi"/>
                <w:color w:val="auto"/>
                <w:lang w:val="en-GB" w:eastAsia="es-ES_tradnl"/>
              </w:rPr>
            </w:pPr>
            <w:r w:rsidRPr="00277328">
              <w:rPr>
                <w:rFonts w:cstheme="minorHAnsi"/>
                <w:color w:val="auto"/>
                <w:lang w:val="en-GB" w:eastAsia="es-ES_tradnl"/>
              </w:rPr>
              <w:t>2</w:t>
            </w:r>
          </w:p>
        </w:tc>
      </w:tr>
      <w:tr w:rsidR="000476F6" w:rsidRPr="00277328" w:rsidTr="008E2EDE">
        <w:trPr>
          <w:cnfStyle w:val="000000100000"/>
        </w:trPr>
        <w:tc>
          <w:tcPr>
            <w:cnfStyle w:val="001000000000"/>
            <w:tcW w:w="1477" w:type="pct"/>
            <w:tcBorders>
              <w:left w:val="none" w:sz="0" w:space="0" w:color="auto"/>
              <w:right w:val="none" w:sz="0" w:space="0" w:color="auto"/>
            </w:tcBorders>
          </w:tcPr>
          <w:p w:rsidR="000476F6" w:rsidRPr="00277328" w:rsidRDefault="000476F6" w:rsidP="00A10138">
            <w:pPr>
              <w:rPr>
                <w:rFonts w:cstheme="minorHAnsi"/>
                <w:i/>
                <w:color w:val="auto"/>
                <w:lang w:val="en-GB"/>
              </w:rPr>
            </w:pPr>
            <w:r w:rsidRPr="00277328">
              <w:rPr>
                <w:rFonts w:cstheme="minorHAnsi"/>
                <w:i/>
                <w:color w:val="auto"/>
                <w:lang w:val="en-GB"/>
              </w:rPr>
              <w:t>HIV / AIDS</w:t>
            </w:r>
          </w:p>
          <w:p w:rsidR="000476F6" w:rsidRPr="00277328" w:rsidRDefault="000476F6" w:rsidP="00A10138">
            <w:pPr>
              <w:rPr>
                <w:rFonts w:cstheme="minorHAnsi"/>
                <w:i/>
                <w:color w:val="auto"/>
                <w:lang w:val="en-GB"/>
              </w:rPr>
            </w:pPr>
            <w:r w:rsidRPr="00277328">
              <w:rPr>
                <w:rFonts w:cstheme="minorHAnsi"/>
                <w:i/>
                <w:color w:val="auto"/>
                <w:lang w:val="en-GB"/>
              </w:rPr>
              <w:t>    </w:t>
            </w:r>
          </w:p>
        </w:tc>
        <w:tc>
          <w:tcPr>
            <w:tcW w:w="801"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36,9</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0,7</w:t>
            </w:r>
          </w:p>
        </w:tc>
        <w:tc>
          <w:tcPr>
            <w:tcW w:w="799"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28,1</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1,3</w:t>
            </w:r>
          </w:p>
        </w:tc>
        <w:tc>
          <w:tcPr>
            <w:tcW w:w="812"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1,4</w:t>
            </w:r>
          </w:p>
        </w:tc>
        <w:tc>
          <w:tcPr>
            <w:tcW w:w="406"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0,4</w:t>
            </w:r>
          </w:p>
        </w:tc>
      </w:tr>
      <w:tr w:rsidR="000476F6" w:rsidRPr="00277328" w:rsidTr="008E2EDE">
        <w:tc>
          <w:tcPr>
            <w:cnfStyle w:val="001000000000"/>
            <w:tcW w:w="1477" w:type="pct"/>
          </w:tcPr>
          <w:p w:rsidR="000476F6" w:rsidRPr="00277328" w:rsidRDefault="000476F6" w:rsidP="00A10138">
            <w:pPr>
              <w:rPr>
                <w:rFonts w:cstheme="minorHAnsi"/>
                <w:i/>
                <w:color w:val="auto"/>
                <w:lang w:val="en-GB"/>
              </w:rPr>
            </w:pPr>
            <w:r w:rsidRPr="00277328">
              <w:rPr>
                <w:rFonts w:cstheme="minorHAnsi"/>
                <w:i/>
                <w:color w:val="auto"/>
                <w:lang w:val="en-GB"/>
              </w:rPr>
              <w:t>Diarrhea</w:t>
            </w:r>
          </w:p>
          <w:p w:rsidR="000476F6" w:rsidRPr="00277328" w:rsidRDefault="000476F6" w:rsidP="00A10138">
            <w:pPr>
              <w:rPr>
                <w:rFonts w:cstheme="minorHAnsi"/>
                <w:i/>
                <w:color w:val="auto"/>
                <w:lang w:val="en-GB"/>
              </w:rPr>
            </w:pPr>
          </w:p>
        </w:tc>
        <w:tc>
          <w:tcPr>
            <w:tcW w:w="801"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11,5</w:t>
            </w:r>
          </w:p>
        </w:tc>
        <w:tc>
          <w:tcPr>
            <w:tcW w:w="353"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0,2</w:t>
            </w:r>
          </w:p>
        </w:tc>
        <w:tc>
          <w:tcPr>
            <w:tcW w:w="799"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1,5</w:t>
            </w:r>
          </w:p>
        </w:tc>
        <w:tc>
          <w:tcPr>
            <w:tcW w:w="353"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0,1</w:t>
            </w:r>
          </w:p>
        </w:tc>
        <w:tc>
          <w:tcPr>
            <w:tcW w:w="812"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0,4</w:t>
            </w:r>
          </w:p>
        </w:tc>
        <w:tc>
          <w:tcPr>
            <w:tcW w:w="406"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0,1</w:t>
            </w:r>
          </w:p>
        </w:tc>
      </w:tr>
      <w:tr w:rsidR="000476F6" w:rsidRPr="00277328" w:rsidTr="008E2EDE">
        <w:trPr>
          <w:cnfStyle w:val="000000100000"/>
        </w:trPr>
        <w:tc>
          <w:tcPr>
            <w:cnfStyle w:val="001000000000"/>
            <w:tcW w:w="1477" w:type="pct"/>
            <w:tcBorders>
              <w:left w:val="none" w:sz="0" w:space="0" w:color="auto"/>
              <w:right w:val="none" w:sz="0" w:space="0" w:color="auto"/>
            </w:tcBorders>
          </w:tcPr>
          <w:p w:rsidR="000476F6" w:rsidRPr="00277328" w:rsidRDefault="000476F6" w:rsidP="00A10138">
            <w:pPr>
              <w:rPr>
                <w:rFonts w:cstheme="minorHAnsi"/>
                <w:i/>
                <w:color w:val="auto"/>
                <w:lang w:val="en-GB"/>
              </w:rPr>
            </w:pPr>
            <w:r w:rsidRPr="00277328">
              <w:rPr>
                <w:rFonts w:cstheme="minorHAnsi"/>
                <w:i/>
                <w:color w:val="auto"/>
                <w:lang w:val="en-GB"/>
              </w:rPr>
              <w:t>Hepatitis B and C</w:t>
            </w:r>
          </w:p>
          <w:p w:rsidR="000476F6" w:rsidRPr="00277328" w:rsidRDefault="000476F6" w:rsidP="00A10138">
            <w:pPr>
              <w:rPr>
                <w:rFonts w:cstheme="minorHAnsi"/>
                <w:i/>
                <w:color w:val="auto"/>
                <w:lang w:val="en-GB"/>
              </w:rPr>
            </w:pPr>
          </w:p>
        </w:tc>
        <w:tc>
          <w:tcPr>
            <w:tcW w:w="801"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10,3</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0,2</w:t>
            </w:r>
          </w:p>
        </w:tc>
        <w:tc>
          <w:tcPr>
            <w:tcW w:w="799"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8,9</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0,4</w:t>
            </w:r>
          </w:p>
        </w:tc>
        <w:tc>
          <w:tcPr>
            <w:tcW w:w="812"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1</w:t>
            </w:r>
          </w:p>
        </w:tc>
        <w:tc>
          <w:tcPr>
            <w:tcW w:w="406"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0,3</w:t>
            </w:r>
          </w:p>
        </w:tc>
      </w:tr>
      <w:tr w:rsidR="000476F6" w:rsidRPr="00277328" w:rsidTr="008E2EDE">
        <w:tc>
          <w:tcPr>
            <w:cnfStyle w:val="001000000000"/>
            <w:tcW w:w="1477" w:type="pct"/>
          </w:tcPr>
          <w:p w:rsidR="000476F6" w:rsidRPr="00277328" w:rsidRDefault="000476F6" w:rsidP="00A10138">
            <w:pPr>
              <w:rPr>
                <w:rFonts w:cstheme="minorHAnsi"/>
                <w:i/>
                <w:color w:val="auto"/>
                <w:lang w:val="en-GB"/>
              </w:rPr>
            </w:pPr>
            <w:r w:rsidRPr="00277328">
              <w:rPr>
                <w:rFonts w:cstheme="minorHAnsi"/>
                <w:i/>
                <w:color w:val="auto"/>
                <w:lang w:val="en-GB"/>
              </w:rPr>
              <w:t xml:space="preserve"> ETS</w:t>
            </w:r>
          </w:p>
          <w:p w:rsidR="000476F6" w:rsidRPr="00277328" w:rsidRDefault="000476F6" w:rsidP="00A10138">
            <w:pPr>
              <w:rPr>
                <w:rFonts w:cstheme="minorHAnsi"/>
                <w:i/>
                <w:color w:val="auto"/>
                <w:lang w:val="en-GB"/>
              </w:rPr>
            </w:pPr>
          </w:p>
        </w:tc>
        <w:tc>
          <w:tcPr>
            <w:tcW w:w="801"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8,9</w:t>
            </w:r>
          </w:p>
        </w:tc>
        <w:tc>
          <w:tcPr>
            <w:tcW w:w="353"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0,2</w:t>
            </w:r>
          </w:p>
        </w:tc>
        <w:tc>
          <w:tcPr>
            <w:tcW w:w="799"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0,2</w:t>
            </w:r>
          </w:p>
        </w:tc>
        <w:tc>
          <w:tcPr>
            <w:tcW w:w="353"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w:t>
            </w:r>
          </w:p>
        </w:tc>
        <w:tc>
          <w:tcPr>
            <w:tcW w:w="812"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w:t>
            </w:r>
          </w:p>
        </w:tc>
        <w:tc>
          <w:tcPr>
            <w:tcW w:w="406"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w:t>
            </w:r>
          </w:p>
        </w:tc>
      </w:tr>
      <w:tr w:rsidR="000476F6" w:rsidRPr="00277328" w:rsidTr="008E2EDE">
        <w:trPr>
          <w:cnfStyle w:val="000000100000"/>
        </w:trPr>
        <w:tc>
          <w:tcPr>
            <w:cnfStyle w:val="001000000000"/>
            <w:tcW w:w="1477" w:type="pct"/>
            <w:tcBorders>
              <w:left w:val="none" w:sz="0" w:space="0" w:color="auto"/>
              <w:right w:val="none" w:sz="0" w:space="0" w:color="auto"/>
            </w:tcBorders>
          </w:tcPr>
          <w:p w:rsidR="000476F6" w:rsidRPr="00277328" w:rsidRDefault="000476F6" w:rsidP="00A10138">
            <w:pPr>
              <w:rPr>
                <w:rFonts w:cstheme="minorHAnsi"/>
                <w:i/>
                <w:color w:val="auto"/>
                <w:lang w:val="en-GB"/>
              </w:rPr>
            </w:pPr>
            <w:r w:rsidRPr="00277328">
              <w:rPr>
                <w:rFonts w:cstheme="minorHAnsi"/>
                <w:i/>
                <w:color w:val="auto"/>
                <w:lang w:val="en-GB"/>
              </w:rPr>
              <w:t>Meningitis</w:t>
            </w:r>
          </w:p>
        </w:tc>
        <w:tc>
          <w:tcPr>
            <w:tcW w:w="801"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4,9</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0,1</w:t>
            </w:r>
          </w:p>
        </w:tc>
        <w:tc>
          <w:tcPr>
            <w:tcW w:w="799"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3</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0,1</w:t>
            </w:r>
          </w:p>
        </w:tc>
        <w:tc>
          <w:tcPr>
            <w:tcW w:w="812"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0,2</w:t>
            </w:r>
          </w:p>
        </w:tc>
        <w:tc>
          <w:tcPr>
            <w:tcW w:w="406"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0,1</w:t>
            </w:r>
          </w:p>
        </w:tc>
      </w:tr>
      <w:tr w:rsidR="000476F6" w:rsidRPr="00277328" w:rsidTr="008E2EDE">
        <w:tc>
          <w:tcPr>
            <w:cnfStyle w:val="001000000000"/>
            <w:tcW w:w="1477" w:type="pct"/>
          </w:tcPr>
          <w:p w:rsidR="000476F6" w:rsidRPr="00277328" w:rsidRDefault="000476F6" w:rsidP="00A10138">
            <w:pPr>
              <w:rPr>
                <w:rFonts w:cstheme="minorHAnsi"/>
                <w:i/>
                <w:color w:val="auto"/>
                <w:lang w:val="en-GB"/>
              </w:rPr>
            </w:pPr>
            <w:r w:rsidRPr="00277328">
              <w:rPr>
                <w:rFonts w:cstheme="minorHAnsi"/>
                <w:i/>
                <w:color w:val="auto"/>
                <w:lang w:val="en-GB"/>
              </w:rPr>
              <w:t>Tuberculosis</w:t>
            </w:r>
          </w:p>
          <w:p w:rsidR="000476F6" w:rsidRPr="00277328" w:rsidRDefault="000476F6" w:rsidP="00A10138">
            <w:pPr>
              <w:rPr>
                <w:rFonts w:cstheme="minorHAnsi"/>
                <w:i/>
                <w:color w:val="auto"/>
                <w:lang w:val="en-GB"/>
              </w:rPr>
            </w:pPr>
          </w:p>
        </w:tc>
        <w:tc>
          <w:tcPr>
            <w:tcW w:w="801"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4,6</w:t>
            </w:r>
          </w:p>
        </w:tc>
        <w:tc>
          <w:tcPr>
            <w:tcW w:w="353"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0,1</w:t>
            </w:r>
          </w:p>
        </w:tc>
        <w:tc>
          <w:tcPr>
            <w:tcW w:w="799"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2,9</w:t>
            </w:r>
          </w:p>
        </w:tc>
        <w:tc>
          <w:tcPr>
            <w:tcW w:w="353"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0,1</w:t>
            </w:r>
          </w:p>
        </w:tc>
        <w:tc>
          <w:tcPr>
            <w:tcW w:w="812"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0,4</w:t>
            </w:r>
          </w:p>
        </w:tc>
        <w:tc>
          <w:tcPr>
            <w:tcW w:w="406"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0,1</w:t>
            </w:r>
          </w:p>
        </w:tc>
      </w:tr>
      <w:tr w:rsidR="000476F6" w:rsidRPr="00277328" w:rsidTr="008E2EDE">
        <w:trPr>
          <w:cnfStyle w:val="000000100000"/>
        </w:trPr>
        <w:tc>
          <w:tcPr>
            <w:cnfStyle w:val="001000000000"/>
            <w:tcW w:w="1477" w:type="pct"/>
            <w:tcBorders>
              <w:left w:val="none" w:sz="0" w:space="0" w:color="auto"/>
              <w:right w:val="none" w:sz="0" w:space="0" w:color="auto"/>
            </w:tcBorders>
          </w:tcPr>
          <w:p w:rsidR="000476F6" w:rsidRPr="00277328" w:rsidRDefault="000476F6" w:rsidP="00A10138">
            <w:pPr>
              <w:rPr>
                <w:rFonts w:cstheme="minorHAnsi"/>
                <w:b w:val="0"/>
                <w:color w:val="auto"/>
                <w:lang w:val="en-GB"/>
              </w:rPr>
            </w:pPr>
            <w:r w:rsidRPr="00277328">
              <w:rPr>
                <w:rFonts w:cstheme="minorHAnsi"/>
                <w:b w:val="0"/>
                <w:color w:val="auto"/>
                <w:lang w:val="en-GB"/>
              </w:rPr>
              <w:t>Respiratory infections</w:t>
            </w:r>
          </w:p>
        </w:tc>
        <w:tc>
          <w:tcPr>
            <w:tcW w:w="801"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36,6</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0,7</w:t>
            </w:r>
          </w:p>
        </w:tc>
        <w:tc>
          <w:tcPr>
            <w:tcW w:w="799"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31,6</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1,5</w:t>
            </w:r>
          </w:p>
        </w:tc>
        <w:tc>
          <w:tcPr>
            <w:tcW w:w="812"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8,8</w:t>
            </w:r>
          </w:p>
        </w:tc>
        <w:tc>
          <w:tcPr>
            <w:tcW w:w="406"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2,4</w:t>
            </w:r>
          </w:p>
        </w:tc>
      </w:tr>
      <w:tr w:rsidR="000476F6" w:rsidRPr="00277328" w:rsidTr="008E2EDE">
        <w:tc>
          <w:tcPr>
            <w:cnfStyle w:val="001000000000"/>
            <w:tcW w:w="1477" w:type="pct"/>
          </w:tcPr>
          <w:p w:rsidR="000476F6" w:rsidRPr="00277328" w:rsidRDefault="000476F6" w:rsidP="00A10138">
            <w:pPr>
              <w:rPr>
                <w:rFonts w:cstheme="minorHAnsi"/>
                <w:i/>
                <w:color w:val="auto"/>
                <w:lang w:val="en-GB"/>
              </w:rPr>
            </w:pPr>
            <w:r w:rsidRPr="00277328">
              <w:rPr>
                <w:rFonts w:cstheme="minorHAnsi"/>
                <w:i/>
                <w:color w:val="auto"/>
                <w:lang w:val="en-GB"/>
              </w:rPr>
              <w:t>Lower respiratory tract</w:t>
            </w:r>
          </w:p>
          <w:p w:rsidR="000476F6" w:rsidRPr="00277328" w:rsidRDefault="000476F6" w:rsidP="00A10138">
            <w:pPr>
              <w:rPr>
                <w:rFonts w:cstheme="minorHAnsi"/>
                <w:i/>
                <w:color w:val="auto"/>
                <w:lang w:val="en-GB"/>
              </w:rPr>
            </w:pPr>
          </w:p>
        </w:tc>
        <w:tc>
          <w:tcPr>
            <w:tcW w:w="801"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32,7</w:t>
            </w:r>
          </w:p>
        </w:tc>
        <w:tc>
          <w:tcPr>
            <w:tcW w:w="353"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0,7</w:t>
            </w:r>
          </w:p>
        </w:tc>
        <w:tc>
          <w:tcPr>
            <w:tcW w:w="799"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31,3</w:t>
            </w:r>
          </w:p>
        </w:tc>
        <w:tc>
          <w:tcPr>
            <w:tcW w:w="353"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1,5</w:t>
            </w:r>
          </w:p>
        </w:tc>
        <w:tc>
          <w:tcPr>
            <w:tcW w:w="812"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8,8</w:t>
            </w:r>
          </w:p>
        </w:tc>
        <w:tc>
          <w:tcPr>
            <w:tcW w:w="406"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2,4</w:t>
            </w:r>
          </w:p>
        </w:tc>
      </w:tr>
      <w:tr w:rsidR="000476F6" w:rsidRPr="00277328" w:rsidTr="008E2EDE">
        <w:trPr>
          <w:cnfStyle w:val="000000100000"/>
        </w:trPr>
        <w:tc>
          <w:tcPr>
            <w:cnfStyle w:val="001000000000"/>
            <w:tcW w:w="1477" w:type="pct"/>
            <w:tcBorders>
              <w:left w:val="none" w:sz="0" w:space="0" w:color="auto"/>
              <w:right w:val="none" w:sz="0" w:space="0" w:color="auto"/>
            </w:tcBorders>
          </w:tcPr>
          <w:p w:rsidR="000476F6" w:rsidRPr="00277328" w:rsidRDefault="000476F6" w:rsidP="00A10138">
            <w:pPr>
              <w:rPr>
                <w:rFonts w:cstheme="minorHAnsi"/>
                <w:i/>
                <w:color w:val="auto"/>
                <w:lang w:val="en-GB"/>
              </w:rPr>
            </w:pPr>
            <w:r w:rsidRPr="00277328">
              <w:rPr>
                <w:rFonts w:cstheme="minorHAnsi"/>
                <w:i/>
                <w:color w:val="auto"/>
                <w:lang w:val="en-GB"/>
              </w:rPr>
              <w:t>Otitis media</w:t>
            </w:r>
          </w:p>
        </w:tc>
        <w:tc>
          <w:tcPr>
            <w:tcW w:w="801"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3,2</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0,1</w:t>
            </w:r>
          </w:p>
        </w:tc>
        <w:tc>
          <w:tcPr>
            <w:tcW w:w="799"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0</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0</w:t>
            </w:r>
          </w:p>
        </w:tc>
        <w:tc>
          <w:tcPr>
            <w:tcW w:w="812"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0</w:t>
            </w:r>
          </w:p>
        </w:tc>
        <w:tc>
          <w:tcPr>
            <w:tcW w:w="406"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0</w:t>
            </w:r>
          </w:p>
        </w:tc>
      </w:tr>
      <w:tr w:rsidR="000476F6" w:rsidRPr="00277328" w:rsidTr="008E2EDE">
        <w:tc>
          <w:tcPr>
            <w:cnfStyle w:val="001000000000"/>
            <w:tcW w:w="1477" w:type="pct"/>
          </w:tcPr>
          <w:p w:rsidR="000476F6" w:rsidRPr="00277328" w:rsidRDefault="000476F6" w:rsidP="00D47C7C">
            <w:pPr>
              <w:rPr>
                <w:rFonts w:cstheme="minorHAnsi"/>
                <w:i/>
                <w:color w:val="auto"/>
                <w:lang w:val="en-GB"/>
              </w:rPr>
            </w:pPr>
            <w:r w:rsidRPr="00277328">
              <w:rPr>
                <w:rFonts w:cstheme="minorHAnsi"/>
                <w:i/>
                <w:color w:val="auto"/>
                <w:lang w:val="en-GB"/>
              </w:rPr>
              <w:t>Upper respiratory tract</w:t>
            </w:r>
          </w:p>
        </w:tc>
        <w:tc>
          <w:tcPr>
            <w:tcW w:w="801"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0,6</w:t>
            </w:r>
          </w:p>
        </w:tc>
        <w:tc>
          <w:tcPr>
            <w:tcW w:w="353"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w:t>
            </w:r>
          </w:p>
        </w:tc>
        <w:tc>
          <w:tcPr>
            <w:tcW w:w="799"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0,3</w:t>
            </w:r>
          </w:p>
        </w:tc>
        <w:tc>
          <w:tcPr>
            <w:tcW w:w="353"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w:t>
            </w:r>
          </w:p>
        </w:tc>
        <w:tc>
          <w:tcPr>
            <w:tcW w:w="812"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0,1</w:t>
            </w:r>
          </w:p>
        </w:tc>
        <w:tc>
          <w:tcPr>
            <w:tcW w:w="406"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w:t>
            </w:r>
          </w:p>
        </w:tc>
      </w:tr>
      <w:tr w:rsidR="000476F6" w:rsidRPr="00277328" w:rsidTr="008E2EDE">
        <w:trPr>
          <w:cnfStyle w:val="000000100000"/>
        </w:trPr>
        <w:tc>
          <w:tcPr>
            <w:cnfStyle w:val="001000000000"/>
            <w:tcW w:w="1477" w:type="pct"/>
            <w:tcBorders>
              <w:left w:val="none" w:sz="0" w:space="0" w:color="auto"/>
              <w:right w:val="none" w:sz="0" w:space="0" w:color="auto"/>
            </w:tcBorders>
          </w:tcPr>
          <w:p w:rsidR="000476F6" w:rsidRPr="00277328" w:rsidRDefault="000476F6" w:rsidP="00A10138">
            <w:pPr>
              <w:rPr>
                <w:rFonts w:cstheme="minorHAnsi"/>
                <w:b w:val="0"/>
                <w:color w:val="auto"/>
                <w:lang w:val="en-GB"/>
              </w:rPr>
            </w:pPr>
            <w:r w:rsidRPr="00277328">
              <w:rPr>
                <w:rFonts w:cstheme="minorHAnsi"/>
                <w:b w:val="0"/>
                <w:color w:val="auto"/>
                <w:lang w:val="en-GB"/>
              </w:rPr>
              <w:t>Maternal conditions</w:t>
            </w:r>
          </w:p>
          <w:p w:rsidR="000476F6" w:rsidRPr="00277328" w:rsidRDefault="000476F6" w:rsidP="00A10138">
            <w:pPr>
              <w:rPr>
                <w:rFonts w:cstheme="minorHAnsi"/>
                <w:b w:val="0"/>
                <w:color w:val="auto"/>
                <w:sz w:val="24"/>
                <w:szCs w:val="24"/>
                <w:lang w:val="en-GB"/>
              </w:rPr>
            </w:pPr>
          </w:p>
        </w:tc>
        <w:tc>
          <w:tcPr>
            <w:tcW w:w="801"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18,2</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0,4</w:t>
            </w:r>
          </w:p>
        </w:tc>
        <w:tc>
          <w:tcPr>
            <w:tcW w:w="799"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0,4</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0</w:t>
            </w:r>
          </w:p>
        </w:tc>
        <w:tc>
          <w:tcPr>
            <w:tcW w:w="812"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0</w:t>
            </w:r>
          </w:p>
        </w:tc>
        <w:tc>
          <w:tcPr>
            <w:tcW w:w="406"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0</w:t>
            </w:r>
          </w:p>
        </w:tc>
      </w:tr>
      <w:tr w:rsidR="000476F6" w:rsidRPr="00277328" w:rsidTr="008E2EDE">
        <w:tc>
          <w:tcPr>
            <w:cnfStyle w:val="001000000000"/>
            <w:tcW w:w="1477" w:type="pct"/>
          </w:tcPr>
          <w:p w:rsidR="000476F6" w:rsidRPr="00277328" w:rsidRDefault="000476F6" w:rsidP="00A10138">
            <w:pPr>
              <w:rPr>
                <w:rFonts w:cstheme="minorHAnsi"/>
                <w:b w:val="0"/>
                <w:color w:val="auto"/>
                <w:lang w:val="en-GB"/>
              </w:rPr>
            </w:pPr>
            <w:r w:rsidRPr="00277328">
              <w:rPr>
                <w:rFonts w:cstheme="minorHAnsi"/>
                <w:b w:val="0"/>
                <w:color w:val="auto"/>
                <w:lang w:val="en-GB"/>
              </w:rPr>
              <w:t>Perinatal conditions</w:t>
            </w:r>
          </w:p>
        </w:tc>
        <w:tc>
          <w:tcPr>
            <w:tcW w:w="801" w:type="pct"/>
          </w:tcPr>
          <w:p w:rsidR="000476F6" w:rsidRPr="00277328" w:rsidRDefault="000476F6" w:rsidP="000476F6">
            <w:pPr>
              <w:jc w:val="center"/>
              <w:cnfStyle w:val="000000000000"/>
              <w:rPr>
                <w:rFonts w:cstheme="minorHAnsi"/>
                <w:color w:val="auto"/>
                <w:lang w:val="en-GB" w:eastAsia="es-ES_tradnl"/>
              </w:rPr>
            </w:pPr>
            <w:r w:rsidRPr="00277328">
              <w:rPr>
                <w:rFonts w:cstheme="minorHAnsi"/>
                <w:color w:val="auto"/>
                <w:lang w:val="en-GB" w:eastAsia="es-ES_tradnl"/>
              </w:rPr>
              <w:t>49,2</w:t>
            </w:r>
          </w:p>
        </w:tc>
        <w:tc>
          <w:tcPr>
            <w:tcW w:w="353" w:type="pct"/>
          </w:tcPr>
          <w:p w:rsidR="000476F6" w:rsidRPr="00277328" w:rsidRDefault="000476F6" w:rsidP="000476F6">
            <w:pPr>
              <w:jc w:val="center"/>
              <w:cnfStyle w:val="000000000000"/>
              <w:rPr>
                <w:rFonts w:cstheme="minorHAnsi"/>
                <w:color w:val="auto"/>
                <w:lang w:val="en-GB" w:eastAsia="es-ES_tradnl"/>
              </w:rPr>
            </w:pPr>
            <w:r w:rsidRPr="00277328">
              <w:rPr>
                <w:rFonts w:cstheme="minorHAnsi"/>
                <w:color w:val="auto"/>
                <w:lang w:val="en-GB" w:eastAsia="es-ES_tradnl"/>
              </w:rPr>
              <w:t>1</w:t>
            </w:r>
          </w:p>
        </w:tc>
        <w:tc>
          <w:tcPr>
            <w:tcW w:w="799" w:type="pct"/>
          </w:tcPr>
          <w:p w:rsidR="000476F6" w:rsidRPr="00277328" w:rsidRDefault="000476F6" w:rsidP="000476F6">
            <w:pPr>
              <w:jc w:val="center"/>
              <w:cnfStyle w:val="000000000000"/>
              <w:rPr>
                <w:rFonts w:cstheme="minorHAnsi"/>
                <w:color w:val="auto"/>
                <w:lang w:val="en-GB" w:eastAsia="es-ES_tradnl"/>
              </w:rPr>
            </w:pPr>
            <w:r w:rsidRPr="00277328">
              <w:rPr>
                <w:rFonts w:cstheme="minorHAnsi"/>
                <w:color w:val="auto"/>
                <w:lang w:val="en-GB" w:eastAsia="es-ES_tradnl"/>
              </w:rPr>
              <w:t>33,2</w:t>
            </w:r>
          </w:p>
        </w:tc>
        <w:tc>
          <w:tcPr>
            <w:tcW w:w="353" w:type="pct"/>
          </w:tcPr>
          <w:p w:rsidR="000476F6" w:rsidRPr="00277328" w:rsidRDefault="000476F6" w:rsidP="000476F6">
            <w:pPr>
              <w:jc w:val="center"/>
              <w:cnfStyle w:val="000000000000"/>
              <w:rPr>
                <w:rFonts w:cstheme="minorHAnsi"/>
                <w:color w:val="auto"/>
                <w:lang w:val="en-GB" w:eastAsia="es-ES_tradnl"/>
              </w:rPr>
            </w:pPr>
            <w:r w:rsidRPr="00277328">
              <w:rPr>
                <w:rFonts w:cstheme="minorHAnsi"/>
                <w:color w:val="auto"/>
                <w:lang w:val="en-GB" w:eastAsia="es-ES_tradnl"/>
              </w:rPr>
              <w:t>1,6</w:t>
            </w:r>
          </w:p>
        </w:tc>
        <w:tc>
          <w:tcPr>
            <w:tcW w:w="812" w:type="pct"/>
          </w:tcPr>
          <w:p w:rsidR="000476F6" w:rsidRPr="00277328" w:rsidRDefault="000476F6" w:rsidP="000476F6">
            <w:pPr>
              <w:jc w:val="center"/>
              <w:cnfStyle w:val="000000000000"/>
              <w:rPr>
                <w:rFonts w:cstheme="minorHAnsi"/>
                <w:color w:val="auto"/>
                <w:lang w:val="en-GB" w:eastAsia="es-ES_tradnl"/>
              </w:rPr>
            </w:pPr>
            <w:r w:rsidRPr="00277328">
              <w:rPr>
                <w:rFonts w:cstheme="minorHAnsi"/>
                <w:color w:val="auto"/>
                <w:lang w:val="en-GB" w:eastAsia="es-ES_tradnl"/>
              </w:rPr>
              <w:t>1</w:t>
            </w:r>
          </w:p>
        </w:tc>
        <w:tc>
          <w:tcPr>
            <w:tcW w:w="406" w:type="pct"/>
          </w:tcPr>
          <w:p w:rsidR="000476F6" w:rsidRPr="00277328" w:rsidRDefault="000476F6" w:rsidP="000476F6">
            <w:pPr>
              <w:jc w:val="center"/>
              <w:cnfStyle w:val="000000000000"/>
              <w:rPr>
                <w:rFonts w:cstheme="minorHAnsi"/>
                <w:color w:val="auto"/>
                <w:lang w:val="en-GB" w:eastAsia="es-ES_tradnl"/>
              </w:rPr>
            </w:pPr>
            <w:r w:rsidRPr="00277328">
              <w:rPr>
                <w:rFonts w:cstheme="minorHAnsi"/>
                <w:color w:val="auto"/>
                <w:lang w:val="en-GB" w:eastAsia="es-ES_tradnl"/>
              </w:rPr>
              <w:t>0,3</w:t>
            </w:r>
          </w:p>
        </w:tc>
      </w:tr>
      <w:tr w:rsidR="000476F6" w:rsidRPr="00277328" w:rsidTr="008E2EDE">
        <w:trPr>
          <w:cnfStyle w:val="000000100000"/>
        </w:trPr>
        <w:tc>
          <w:tcPr>
            <w:cnfStyle w:val="001000000000"/>
            <w:tcW w:w="1477" w:type="pct"/>
            <w:tcBorders>
              <w:left w:val="none" w:sz="0" w:space="0" w:color="auto"/>
              <w:right w:val="none" w:sz="0" w:space="0" w:color="auto"/>
            </w:tcBorders>
          </w:tcPr>
          <w:p w:rsidR="000476F6" w:rsidRPr="00277328" w:rsidRDefault="000476F6" w:rsidP="00A10138">
            <w:pPr>
              <w:rPr>
                <w:rFonts w:cstheme="minorHAnsi"/>
                <w:b w:val="0"/>
                <w:color w:val="auto"/>
                <w:lang w:val="en-GB"/>
              </w:rPr>
            </w:pPr>
            <w:r w:rsidRPr="00277328">
              <w:rPr>
                <w:rFonts w:cstheme="minorHAnsi"/>
                <w:b w:val="0"/>
                <w:color w:val="auto"/>
                <w:lang w:val="en-GB"/>
              </w:rPr>
              <w:t>Nutritional deficiencies</w:t>
            </w:r>
          </w:p>
        </w:tc>
        <w:tc>
          <w:tcPr>
            <w:tcW w:w="801"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30,1</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0,6</w:t>
            </w:r>
          </w:p>
        </w:tc>
        <w:tc>
          <w:tcPr>
            <w:tcW w:w="799"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1,1</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0,1</w:t>
            </w:r>
          </w:p>
        </w:tc>
        <w:tc>
          <w:tcPr>
            <w:tcW w:w="812"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0,3</w:t>
            </w:r>
          </w:p>
        </w:tc>
        <w:tc>
          <w:tcPr>
            <w:tcW w:w="406"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0,1</w:t>
            </w:r>
          </w:p>
        </w:tc>
      </w:tr>
      <w:tr w:rsidR="000476F6" w:rsidRPr="00277328" w:rsidTr="008E2EDE">
        <w:tc>
          <w:tcPr>
            <w:cnfStyle w:val="001000000000"/>
            <w:tcW w:w="1477" w:type="pct"/>
          </w:tcPr>
          <w:p w:rsidR="000476F6" w:rsidRPr="00277328" w:rsidRDefault="000476F6" w:rsidP="00A10138">
            <w:pPr>
              <w:rPr>
                <w:b w:val="0"/>
                <w:color w:val="auto"/>
                <w:sz w:val="24"/>
                <w:szCs w:val="24"/>
                <w:lang w:val="en-GB"/>
              </w:rPr>
            </w:pPr>
            <w:r w:rsidRPr="00277328">
              <w:rPr>
                <w:b w:val="0"/>
                <w:color w:val="auto"/>
                <w:sz w:val="24"/>
                <w:szCs w:val="24"/>
                <w:lang w:val="en-GB"/>
              </w:rPr>
              <w:t>Non-communicable diseases</w:t>
            </w:r>
          </w:p>
        </w:tc>
        <w:tc>
          <w:tcPr>
            <w:tcW w:w="801" w:type="pct"/>
          </w:tcPr>
          <w:p w:rsidR="000476F6" w:rsidRPr="00277328" w:rsidRDefault="000476F6" w:rsidP="000476F6">
            <w:pPr>
              <w:jc w:val="center"/>
              <w:cnfStyle w:val="000000000000"/>
              <w:rPr>
                <w:rFonts w:cstheme="minorHAnsi"/>
                <w:color w:val="auto"/>
                <w:lang w:val="en-GB" w:eastAsia="es-ES_tradnl"/>
              </w:rPr>
            </w:pPr>
          </w:p>
        </w:tc>
        <w:tc>
          <w:tcPr>
            <w:tcW w:w="353" w:type="pct"/>
          </w:tcPr>
          <w:p w:rsidR="000476F6" w:rsidRPr="00277328" w:rsidRDefault="000476F6" w:rsidP="000476F6">
            <w:pPr>
              <w:jc w:val="center"/>
              <w:cnfStyle w:val="000000000000"/>
              <w:rPr>
                <w:rFonts w:cstheme="minorHAnsi"/>
                <w:color w:val="auto"/>
                <w:lang w:val="en-GB" w:eastAsia="es-ES_tradnl"/>
              </w:rPr>
            </w:pPr>
          </w:p>
        </w:tc>
        <w:tc>
          <w:tcPr>
            <w:tcW w:w="799" w:type="pct"/>
          </w:tcPr>
          <w:p w:rsidR="000476F6" w:rsidRPr="00277328" w:rsidRDefault="000476F6" w:rsidP="000476F6">
            <w:pPr>
              <w:jc w:val="center"/>
              <w:cnfStyle w:val="000000000000"/>
              <w:rPr>
                <w:rFonts w:cstheme="minorHAnsi"/>
                <w:color w:val="auto"/>
                <w:lang w:val="en-GB" w:eastAsia="es-ES_tradnl"/>
              </w:rPr>
            </w:pPr>
          </w:p>
        </w:tc>
        <w:tc>
          <w:tcPr>
            <w:tcW w:w="353" w:type="pct"/>
          </w:tcPr>
          <w:p w:rsidR="000476F6" w:rsidRPr="00277328" w:rsidRDefault="000476F6" w:rsidP="000476F6">
            <w:pPr>
              <w:jc w:val="center"/>
              <w:cnfStyle w:val="000000000000"/>
              <w:rPr>
                <w:rFonts w:cstheme="minorHAnsi"/>
                <w:color w:val="auto"/>
                <w:lang w:val="en-GB" w:eastAsia="es-ES_tradnl"/>
              </w:rPr>
            </w:pPr>
          </w:p>
        </w:tc>
        <w:tc>
          <w:tcPr>
            <w:tcW w:w="812" w:type="pct"/>
          </w:tcPr>
          <w:p w:rsidR="000476F6" w:rsidRPr="00277328" w:rsidRDefault="000476F6" w:rsidP="000476F6">
            <w:pPr>
              <w:jc w:val="center"/>
              <w:cnfStyle w:val="000000000000"/>
              <w:rPr>
                <w:rFonts w:cstheme="minorHAnsi"/>
                <w:color w:val="auto"/>
                <w:lang w:val="en-GB" w:eastAsia="es-ES_tradnl"/>
              </w:rPr>
            </w:pPr>
          </w:p>
        </w:tc>
        <w:tc>
          <w:tcPr>
            <w:tcW w:w="406" w:type="pct"/>
          </w:tcPr>
          <w:p w:rsidR="000476F6" w:rsidRPr="00277328" w:rsidRDefault="000476F6" w:rsidP="000476F6">
            <w:pPr>
              <w:jc w:val="center"/>
              <w:cnfStyle w:val="000000000000"/>
              <w:rPr>
                <w:rFonts w:cstheme="minorHAnsi"/>
                <w:color w:val="auto"/>
                <w:lang w:val="en-GB" w:eastAsia="es-ES_tradnl"/>
              </w:rPr>
            </w:pPr>
          </w:p>
        </w:tc>
      </w:tr>
      <w:tr w:rsidR="000476F6" w:rsidRPr="00277328" w:rsidTr="008E2EDE">
        <w:trPr>
          <w:cnfStyle w:val="000000100000"/>
        </w:trPr>
        <w:tc>
          <w:tcPr>
            <w:cnfStyle w:val="001000000000"/>
            <w:tcW w:w="1477" w:type="pct"/>
            <w:tcBorders>
              <w:left w:val="none" w:sz="0" w:space="0" w:color="auto"/>
              <w:right w:val="none" w:sz="0" w:space="0" w:color="auto"/>
            </w:tcBorders>
          </w:tcPr>
          <w:p w:rsidR="000476F6" w:rsidRPr="00277328" w:rsidRDefault="000476F6" w:rsidP="00D47C7C">
            <w:pPr>
              <w:rPr>
                <w:rFonts w:cstheme="minorHAnsi"/>
                <w:b w:val="0"/>
                <w:color w:val="auto"/>
                <w:lang w:val="en-GB"/>
              </w:rPr>
            </w:pPr>
            <w:r w:rsidRPr="00277328">
              <w:rPr>
                <w:rFonts w:cstheme="minorHAnsi"/>
                <w:b w:val="0"/>
                <w:color w:val="auto"/>
                <w:lang w:val="en-GB"/>
              </w:rPr>
              <w:t>Malignancies</w:t>
            </w:r>
          </w:p>
          <w:p w:rsidR="000476F6" w:rsidRPr="00277328" w:rsidRDefault="000476F6" w:rsidP="00D47C7C">
            <w:pPr>
              <w:rPr>
                <w:color w:val="auto"/>
                <w:sz w:val="24"/>
                <w:szCs w:val="24"/>
                <w:lang w:val="en-GB"/>
              </w:rPr>
            </w:pPr>
            <w:r w:rsidRPr="00277328">
              <w:rPr>
                <w:color w:val="auto"/>
                <w:sz w:val="24"/>
                <w:szCs w:val="24"/>
                <w:lang w:val="en-GB"/>
              </w:rPr>
              <w:t>  </w:t>
            </w:r>
          </w:p>
        </w:tc>
        <w:tc>
          <w:tcPr>
            <w:tcW w:w="801" w:type="pct"/>
            <w:tcBorders>
              <w:left w:val="none" w:sz="0" w:space="0" w:color="auto"/>
              <w:right w:val="none" w:sz="0" w:space="0" w:color="auto"/>
            </w:tcBorders>
          </w:tcPr>
          <w:p w:rsidR="000476F6" w:rsidRPr="00277328" w:rsidRDefault="000476F6" w:rsidP="000476F6">
            <w:pPr>
              <w:jc w:val="center"/>
              <w:cnfStyle w:val="000000100000"/>
              <w:rPr>
                <w:rFonts w:cstheme="minorHAnsi"/>
                <w:b/>
                <w:bCs/>
                <w:color w:val="auto"/>
                <w:lang w:val="en-GB" w:eastAsia="es-ES_tradnl"/>
              </w:rPr>
            </w:pPr>
            <w:r w:rsidRPr="00277328">
              <w:rPr>
                <w:rFonts w:cstheme="minorHAnsi"/>
                <w:b/>
                <w:bCs/>
                <w:color w:val="auto"/>
                <w:lang w:val="en-GB" w:eastAsia="es-ES_tradnl"/>
              </w:rPr>
              <w:t>4.441,00</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b/>
                <w:bCs/>
                <w:color w:val="auto"/>
                <w:lang w:val="en-GB" w:eastAsia="es-ES_tradnl"/>
              </w:rPr>
            </w:pPr>
            <w:r w:rsidRPr="00277328">
              <w:rPr>
                <w:rFonts w:cstheme="minorHAnsi"/>
                <w:b/>
                <w:bCs/>
                <w:color w:val="auto"/>
                <w:lang w:val="en-GB" w:eastAsia="es-ES_tradnl"/>
              </w:rPr>
              <w:t>88,4</w:t>
            </w:r>
          </w:p>
        </w:tc>
        <w:tc>
          <w:tcPr>
            <w:tcW w:w="799" w:type="pct"/>
            <w:tcBorders>
              <w:left w:val="none" w:sz="0" w:space="0" w:color="auto"/>
              <w:right w:val="none" w:sz="0" w:space="0" w:color="auto"/>
            </w:tcBorders>
          </w:tcPr>
          <w:p w:rsidR="000476F6" w:rsidRPr="00277328" w:rsidRDefault="000476F6" w:rsidP="000476F6">
            <w:pPr>
              <w:jc w:val="center"/>
              <w:cnfStyle w:val="000000100000"/>
              <w:rPr>
                <w:rFonts w:cstheme="minorHAnsi"/>
                <w:b/>
                <w:bCs/>
                <w:color w:val="auto"/>
                <w:lang w:val="en-GB" w:eastAsia="es-ES_tradnl"/>
              </w:rPr>
            </w:pPr>
            <w:r w:rsidRPr="00277328">
              <w:rPr>
                <w:rFonts w:cstheme="minorHAnsi"/>
                <w:b/>
                <w:bCs/>
                <w:color w:val="auto"/>
                <w:lang w:val="en-GB" w:eastAsia="es-ES_tradnl"/>
              </w:rPr>
              <w:t>1.748,80</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b/>
                <w:bCs/>
                <w:color w:val="auto"/>
                <w:lang w:val="en-GB" w:eastAsia="es-ES_tradnl"/>
              </w:rPr>
            </w:pPr>
            <w:r w:rsidRPr="00277328">
              <w:rPr>
                <w:rFonts w:cstheme="minorHAnsi"/>
                <w:b/>
                <w:bCs/>
                <w:color w:val="auto"/>
                <w:lang w:val="en-GB" w:eastAsia="es-ES_tradnl"/>
              </w:rPr>
              <w:t>82,4</w:t>
            </w:r>
          </w:p>
        </w:tc>
        <w:tc>
          <w:tcPr>
            <w:tcW w:w="812" w:type="pct"/>
            <w:tcBorders>
              <w:left w:val="none" w:sz="0" w:space="0" w:color="auto"/>
              <w:right w:val="none" w:sz="0" w:space="0" w:color="auto"/>
            </w:tcBorders>
          </w:tcPr>
          <w:p w:rsidR="000476F6" w:rsidRPr="00277328" w:rsidRDefault="000476F6" w:rsidP="000476F6">
            <w:pPr>
              <w:jc w:val="center"/>
              <w:cnfStyle w:val="000000100000"/>
              <w:rPr>
                <w:rFonts w:cstheme="minorHAnsi"/>
                <w:b/>
                <w:bCs/>
                <w:color w:val="auto"/>
                <w:lang w:val="en-GB" w:eastAsia="es-ES_tradnl"/>
              </w:rPr>
            </w:pPr>
            <w:r w:rsidRPr="00277328">
              <w:rPr>
                <w:rFonts w:cstheme="minorHAnsi"/>
                <w:b/>
                <w:bCs/>
                <w:color w:val="auto"/>
                <w:lang w:val="en-GB" w:eastAsia="es-ES_tradnl"/>
              </w:rPr>
              <w:t>337,8</w:t>
            </w:r>
          </w:p>
        </w:tc>
        <w:tc>
          <w:tcPr>
            <w:tcW w:w="406" w:type="pct"/>
            <w:tcBorders>
              <w:left w:val="none" w:sz="0" w:space="0" w:color="auto"/>
              <w:right w:val="none" w:sz="0" w:space="0" w:color="auto"/>
            </w:tcBorders>
          </w:tcPr>
          <w:p w:rsidR="000476F6" w:rsidRPr="00277328" w:rsidRDefault="000476F6" w:rsidP="000476F6">
            <w:pPr>
              <w:jc w:val="center"/>
              <w:cnfStyle w:val="000000100000"/>
              <w:rPr>
                <w:rFonts w:cstheme="minorHAnsi"/>
                <w:b/>
                <w:bCs/>
                <w:color w:val="auto"/>
                <w:lang w:val="en-GB" w:eastAsia="es-ES_tradnl"/>
              </w:rPr>
            </w:pPr>
            <w:r w:rsidRPr="00277328">
              <w:rPr>
                <w:rFonts w:cstheme="minorHAnsi"/>
                <w:b/>
                <w:bCs/>
                <w:color w:val="auto"/>
                <w:lang w:val="en-GB" w:eastAsia="es-ES_tradnl"/>
              </w:rPr>
              <w:t>90,9</w:t>
            </w:r>
          </w:p>
        </w:tc>
      </w:tr>
      <w:tr w:rsidR="000476F6" w:rsidRPr="00277328" w:rsidTr="008E2EDE">
        <w:tc>
          <w:tcPr>
            <w:cnfStyle w:val="001000000000"/>
            <w:tcW w:w="1477" w:type="pct"/>
          </w:tcPr>
          <w:p w:rsidR="000476F6" w:rsidRPr="00277328" w:rsidRDefault="000476F6" w:rsidP="00D47C7C">
            <w:pPr>
              <w:rPr>
                <w:i/>
                <w:color w:val="auto"/>
                <w:lang w:val="en-GB"/>
              </w:rPr>
            </w:pPr>
            <w:r w:rsidRPr="00277328">
              <w:rPr>
                <w:i/>
                <w:color w:val="auto"/>
                <w:lang w:val="en-GB"/>
              </w:rPr>
              <w:t>Lung</w:t>
            </w:r>
          </w:p>
          <w:p w:rsidR="000476F6" w:rsidRPr="00277328" w:rsidRDefault="000476F6" w:rsidP="00A10138">
            <w:pPr>
              <w:rPr>
                <w:i/>
                <w:color w:val="auto"/>
                <w:lang w:val="en-GB"/>
              </w:rPr>
            </w:pPr>
          </w:p>
        </w:tc>
        <w:tc>
          <w:tcPr>
            <w:tcW w:w="801" w:type="pct"/>
          </w:tcPr>
          <w:p w:rsidR="000476F6" w:rsidRPr="00277328" w:rsidRDefault="000476F6" w:rsidP="000476F6">
            <w:pPr>
              <w:jc w:val="center"/>
              <w:cnfStyle w:val="000000000000"/>
              <w:rPr>
                <w:rFonts w:cstheme="minorHAnsi"/>
                <w:color w:val="auto"/>
                <w:lang w:val="en-GB" w:eastAsia="es-ES_tradnl"/>
              </w:rPr>
            </w:pPr>
            <w:r w:rsidRPr="00277328">
              <w:rPr>
                <w:rFonts w:cstheme="minorHAnsi"/>
                <w:color w:val="auto"/>
                <w:lang w:val="en-GB" w:eastAsia="es-ES_tradnl"/>
              </w:rPr>
              <w:t>797,7</w:t>
            </w:r>
          </w:p>
        </w:tc>
        <w:tc>
          <w:tcPr>
            <w:tcW w:w="353" w:type="pct"/>
          </w:tcPr>
          <w:p w:rsidR="000476F6" w:rsidRPr="00277328" w:rsidRDefault="000476F6" w:rsidP="000476F6">
            <w:pPr>
              <w:jc w:val="center"/>
              <w:cnfStyle w:val="000000000000"/>
              <w:rPr>
                <w:rFonts w:cstheme="minorHAnsi"/>
                <w:color w:val="auto"/>
                <w:lang w:val="en-GB" w:eastAsia="es-ES_tradnl"/>
              </w:rPr>
            </w:pPr>
            <w:r w:rsidRPr="00277328">
              <w:rPr>
                <w:rFonts w:cstheme="minorHAnsi"/>
                <w:color w:val="auto"/>
                <w:lang w:val="en-GB" w:eastAsia="es-ES_tradnl"/>
              </w:rPr>
              <w:t>15,9</w:t>
            </w:r>
          </w:p>
        </w:tc>
        <w:tc>
          <w:tcPr>
            <w:tcW w:w="799" w:type="pct"/>
          </w:tcPr>
          <w:p w:rsidR="000476F6" w:rsidRPr="00277328" w:rsidRDefault="000476F6" w:rsidP="000476F6">
            <w:pPr>
              <w:jc w:val="center"/>
              <w:cnfStyle w:val="000000000000"/>
              <w:rPr>
                <w:rFonts w:cstheme="minorHAnsi"/>
                <w:color w:val="auto"/>
                <w:lang w:val="en-GB" w:eastAsia="es-ES_tradnl"/>
              </w:rPr>
            </w:pPr>
            <w:r w:rsidRPr="00277328">
              <w:rPr>
                <w:rFonts w:cstheme="minorHAnsi"/>
                <w:color w:val="auto"/>
                <w:lang w:val="en-GB" w:eastAsia="es-ES_tradnl"/>
              </w:rPr>
              <w:t>720,2</w:t>
            </w:r>
          </w:p>
        </w:tc>
        <w:tc>
          <w:tcPr>
            <w:tcW w:w="353" w:type="pct"/>
          </w:tcPr>
          <w:p w:rsidR="000476F6" w:rsidRPr="00277328" w:rsidRDefault="000476F6" w:rsidP="000476F6">
            <w:pPr>
              <w:jc w:val="center"/>
              <w:cnfStyle w:val="000000000000"/>
              <w:rPr>
                <w:rFonts w:cstheme="minorHAnsi"/>
                <w:color w:val="auto"/>
                <w:lang w:val="en-GB" w:eastAsia="es-ES_tradnl"/>
              </w:rPr>
            </w:pPr>
            <w:r w:rsidRPr="00277328">
              <w:rPr>
                <w:rFonts w:cstheme="minorHAnsi"/>
                <w:color w:val="auto"/>
                <w:lang w:val="en-GB" w:eastAsia="es-ES_tradnl"/>
              </w:rPr>
              <w:t>33,9</w:t>
            </w:r>
          </w:p>
        </w:tc>
        <w:tc>
          <w:tcPr>
            <w:tcW w:w="812" w:type="pct"/>
          </w:tcPr>
          <w:p w:rsidR="000476F6" w:rsidRPr="00277328" w:rsidRDefault="000476F6" w:rsidP="000476F6">
            <w:pPr>
              <w:jc w:val="center"/>
              <w:cnfStyle w:val="000000000000"/>
              <w:rPr>
                <w:rFonts w:cstheme="minorHAnsi"/>
                <w:color w:val="auto"/>
                <w:lang w:val="en-GB" w:eastAsia="es-ES_tradnl"/>
              </w:rPr>
            </w:pPr>
            <w:r w:rsidRPr="00277328">
              <w:rPr>
                <w:rFonts w:cstheme="minorHAnsi"/>
                <w:color w:val="auto"/>
                <w:lang w:val="en-GB" w:eastAsia="es-ES_tradnl"/>
              </w:rPr>
              <w:t>101</w:t>
            </w:r>
          </w:p>
        </w:tc>
        <w:tc>
          <w:tcPr>
            <w:tcW w:w="406" w:type="pct"/>
          </w:tcPr>
          <w:p w:rsidR="000476F6" w:rsidRPr="00277328" w:rsidRDefault="000476F6" w:rsidP="000476F6">
            <w:pPr>
              <w:jc w:val="center"/>
              <w:cnfStyle w:val="000000000000"/>
              <w:rPr>
                <w:rFonts w:cstheme="minorHAnsi"/>
                <w:color w:val="auto"/>
                <w:lang w:val="en-GB" w:eastAsia="es-ES_tradnl"/>
              </w:rPr>
            </w:pPr>
            <w:r w:rsidRPr="00277328">
              <w:rPr>
                <w:rFonts w:cstheme="minorHAnsi"/>
                <w:color w:val="auto"/>
                <w:lang w:val="en-GB" w:eastAsia="es-ES_tradnl"/>
              </w:rPr>
              <w:t>27,2</w:t>
            </w:r>
          </w:p>
        </w:tc>
      </w:tr>
      <w:tr w:rsidR="000476F6" w:rsidRPr="00277328" w:rsidTr="008E2EDE">
        <w:trPr>
          <w:cnfStyle w:val="000000100000"/>
        </w:trPr>
        <w:tc>
          <w:tcPr>
            <w:cnfStyle w:val="001000000000"/>
            <w:tcW w:w="1477" w:type="pct"/>
            <w:tcBorders>
              <w:left w:val="none" w:sz="0" w:space="0" w:color="auto"/>
              <w:right w:val="none" w:sz="0" w:space="0" w:color="auto"/>
            </w:tcBorders>
          </w:tcPr>
          <w:p w:rsidR="000476F6" w:rsidRPr="00277328" w:rsidRDefault="000476F6" w:rsidP="00A10138">
            <w:pPr>
              <w:rPr>
                <w:i/>
                <w:color w:val="auto"/>
                <w:lang w:val="en-GB"/>
              </w:rPr>
            </w:pPr>
            <w:r w:rsidRPr="00277328">
              <w:rPr>
                <w:i/>
                <w:color w:val="auto"/>
                <w:lang w:val="en-GB"/>
              </w:rPr>
              <w:t xml:space="preserve"> Colon / rectum</w:t>
            </w:r>
          </w:p>
        </w:tc>
        <w:tc>
          <w:tcPr>
            <w:tcW w:w="801"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171,4</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3,4</w:t>
            </w:r>
          </w:p>
        </w:tc>
        <w:tc>
          <w:tcPr>
            <w:tcW w:w="799"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166,4</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7,8</w:t>
            </w:r>
          </w:p>
        </w:tc>
        <w:tc>
          <w:tcPr>
            <w:tcW w:w="812"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21,1</w:t>
            </w:r>
          </w:p>
        </w:tc>
        <w:tc>
          <w:tcPr>
            <w:tcW w:w="406"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5,7</w:t>
            </w:r>
          </w:p>
        </w:tc>
      </w:tr>
      <w:tr w:rsidR="000476F6" w:rsidRPr="00277328" w:rsidTr="008E2EDE">
        <w:trPr>
          <w:trHeight w:val="331"/>
        </w:trPr>
        <w:tc>
          <w:tcPr>
            <w:cnfStyle w:val="001000000000"/>
            <w:tcW w:w="1477" w:type="pct"/>
          </w:tcPr>
          <w:p w:rsidR="000476F6" w:rsidRPr="00277328" w:rsidRDefault="000476F6" w:rsidP="00A10138">
            <w:pPr>
              <w:rPr>
                <w:i/>
                <w:color w:val="auto"/>
                <w:lang w:val="en-GB"/>
              </w:rPr>
            </w:pPr>
            <w:r w:rsidRPr="00277328">
              <w:rPr>
                <w:i/>
                <w:color w:val="auto"/>
                <w:lang w:val="en-GB"/>
              </w:rPr>
              <w:t>Breast</w:t>
            </w:r>
          </w:p>
        </w:tc>
        <w:tc>
          <w:tcPr>
            <w:tcW w:w="801"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101,3</w:t>
            </w:r>
          </w:p>
        </w:tc>
        <w:tc>
          <w:tcPr>
            <w:tcW w:w="353"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2</w:t>
            </w:r>
          </w:p>
        </w:tc>
        <w:tc>
          <w:tcPr>
            <w:tcW w:w="799"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84</w:t>
            </w:r>
          </w:p>
        </w:tc>
        <w:tc>
          <w:tcPr>
            <w:tcW w:w="353"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4</w:t>
            </w:r>
          </w:p>
        </w:tc>
        <w:tc>
          <w:tcPr>
            <w:tcW w:w="812"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14,3</w:t>
            </w:r>
          </w:p>
        </w:tc>
        <w:tc>
          <w:tcPr>
            <w:tcW w:w="406"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3,8</w:t>
            </w:r>
          </w:p>
        </w:tc>
      </w:tr>
      <w:tr w:rsidR="000476F6" w:rsidRPr="00277328" w:rsidTr="008E2EDE">
        <w:trPr>
          <w:cnfStyle w:val="000000100000"/>
        </w:trPr>
        <w:tc>
          <w:tcPr>
            <w:cnfStyle w:val="001000000000"/>
            <w:tcW w:w="1477" w:type="pct"/>
            <w:tcBorders>
              <w:left w:val="none" w:sz="0" w:space="0" w:color="auto"/>
              <w:right w:val="none" w:sz="0" w:space="0" w:color="auto"/>
            </w:tcBorders>
          </w:tcPr>
          <w:p w:rsidR="000476F6" w:rsidRPr="00277328" w:rsidRDefault="000476F6" w:rsidP="00A10138">
            <w:pPr>
              <w:rPr>
                <w:i/>
                <w:color w:val="auto"/>
                <w:lang w:val="en-GB"/>
              </w:rPr>
            </w:pPr>
            <w:r w:rsidRPr="00277328">
              <w:rPr>
                <w:i/>
                <w:color w:val="auto"/>
                <w:lang w:val="en-GB"/>
              </w:rPr>
              <w:t>Stomach</w:t>
            </w:r>
          </w:p>
        </w:tc>
        <w:tc>
          <w:tcPr>
            <w:tcW w:w="801"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70,6</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1,4</w:t>
            </w:r>
          </w:p>
        </w:tc>
        <w:tc>
          <w:tcPr>
            <w:tcW w:w="799"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58,2</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2,7</w:t>
            </w:r>
          </w:p>
        </w:tc>
        <w:tc>
          <w:tcPr>
            <w:tcW w:w="812"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6,6</w:t>
            </w:r>
          </w:p>
        </w:tc>
        <w:tc>
          <w:tcPr>
            <w:tcW w:w="406"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1,8</w:t>
            </w:r>
          </w:p>
        </w:tc>
      </w:tr>
      <w:tr w:rsidR="000476F6" w:rsidRPr="00277328" w:rsidTr="008E2EDE">
        <w:tc>
          <w:tcPr>
            <w:cnfStyle w:val="001000000000"/>
            <w:tcW w:w="1477" w:type="pct"/>
          </w:tcPr>
          <w:p w:rsidR="000476F6" w:rsidRPr="00277328" w:rsidRDefault="000476F6" w:rsidP="00A10138">
            <w:pPr>
              <w:rPr>
                <w:i/>
                <w:color w:val="auto"/>
                <w:lang w:val="en-GB"/>
              </w:rPr>
            </w:pPr>
            <w:r w:rsidRPr="00277328">
              <w:rPr>
                <w:i/>
                <w:color w:val="auto"/>
                <w:lang w:val="en-GB"/>
              </w:rPr>
              <w:t>Pancreas</w:t>
            </w:r>
          </w:p>
        </w:tc>
        <w:tc>
          <w:tcPr>
            <w:tcW w:w="801"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42,4</w:t>
            </w:r>
          </w:p>
        </w:tc>
        <w:tc>
          <w:tcPr>
            <w:tcW w:w="353"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0,8</w:t>
            </w:r>
          </w:p>
        </w:tc>
        <w:tc>
          <w:tcPr>
            <w:tcW w:w="799"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40,6</w:t>
            </w:r>
          </w:p>
        </w:tc>
        <w:tc>
          <w:tcPr>
            <w:tcW w:w="353"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1,9</w:t>
            </w:r>
          </w:p>
        </w:tc>
        <w:tc>
          <w:tcPr>
            <w:tcW w:w="812"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6,2</w:t>
            </w:r>
          </w:p>
        </w:tc>
        <w:tc>
          <w:tcPr>
            <w:tcW w:w="406"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1,7</w:t>
            </w:r>
          </w:p>
        </w:tc>
      </w:tr>
      <w:tr w:rsidR="000476F6" w:rsidRPr="00277328" w:rsidTr="008E2EDE">
        <w:trPr>
          <w:cnfStyle w:val="000000100000"/>
        </w:trPr>
        <w:tc>
          <w:tcPr>
            <w:cnfStyle w:val="001000000000"/>
            <w:tcW w:w="1477" w:type="pct"/>
            <w:tcBorders>
              <w:left w:val="none" w:sz="0" w:space="0" w:color="auto"/>
              <w:right w:val="none" w:sz="0" w:space="0" w:color="auto"/>
            </w:tcBorders>
          </w:tcPr>
          <w:p w:rsidR="000476F6" w:rsidRPr="00277328" w:rsidRDefault="000476F6" w:rsidP="00A10138">
            <w:pPr>
              <w:rPr>
                <w:i/>
                <w:color w:val="auto"/>
                <w:lang w:val="en-GB"/>
              </w:rPr>
            </w:pPr>
            <w:r w:rsidRPr="00277328">
              <w:rPr>
                <w:i/>
                <w:color w:val="auto"/>
                <w:lang w:val="en-GB"/>
              </w:rPr>
              <w:t>Lymphoma, myeloma</w:t>
            </w:r>
          </w:p>
        </w:tc>
        <w:tc>
          <w:tcPr>
            <w:tcW w:w="801"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37,9</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0,8</w:t>
            </w:r>
          </w:p>
        </w:tc>
        <w:tc>
          <w:tcPr>
            <w:tcW w:w="799"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36,9</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1,7</w:t>
            </w:r>
          </w:p>
        </w:tc>
        <w:tc>
          <w:tcPr>
            <w:tcW w:w="812"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5,3</w:t>
            </w:r>
          </w:p>
        </w:tc>
        <w:tc>
          <w:tcPr>
            <w:tcW w:w="406"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1,4</w:t>
            </w:r>
          </w:p>
        </w:tc>
      </w:tr>
      <w:tr w:rsidR="000476F6" w:rsidRPr="00277328" w:rsidTr="008E2EDE">
        <w:tc>
          <w:tcPr>
            <w:cnfStyle w:val="001000000000"/>
            <w:tcW w:w="1477" w:type="pct"/>
          </w:tcPr>
          <w:p w:rsidR="000476F6" w:rsidRPr="00277328" w:rsidRDefault="000476F6" w:rsidP="00D47C7C">
            <w:pPr>
              <w:rPr>
                <w:i/>
                <w:color w:val="auto"/>
                <w:lang w:val="en-GB"/>
              </w:rPr>
            </w:pPr>
            <w:r w:rsidRPr="00277328">
              <w:rPr>
                <w:i/>
                <w:color w:val="auto"/>
                <w:lang w:val="en-GB"/>
              </w:rPr>
              <w:t>Liver</w:t>
            </w:r>
          </w:p>
          <w:p w:rsidR="000476F6" w:rsidRPr="00277328" w:rsidRDefault="000476F6" w:rsidP="00A10138">
            <w:pPr>
              <w:rPr>
                <w:i/>
                <w:color w:val="auto"/>
                <w:lang w:val="en-GB"/>
              </w:rPr>
            </w:pPr>
          </w:p>
        </w:tc>
        <w:tc>
          <w:tcPr>
            <w:tcW w:w="801"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33,7</w:t>
            </w:r>
          </w:p>
        </w:tc>
        <w:tc>
          <w:tcPr>
            <w:tcW w:w="353"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0,7</w:t>
            </w:r>
          </w:p>
        </w:tc>
        <w:tc>
          <w:tcPr>
            <w:tcW w:w="799"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31,9</w:t>
            </w:r>
          </w:p>
        </w:tc>
        <w:tc>
          <w:tcPr>
            <w:tcW w:w="353"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1,5</w:t>
            </w:r>
          </w:p>
        </w:tc>
        <w:tc>
          <w:tcPr>
            <w:tcW w:w="812"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4,5</w:t>
            </w:r>
          </w:p>
        </w:tc>
        <w:tc>
          <w:tcPr>
            <w:tcW w:w="406"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1,2</w:t>
            </w:r>
          </w:p>
        </w:tc>
      </w:tr>
      <w:tr w:rsidR="000476F6" w:rsidRPr="00277328" w:rsidTr="008E2EDE">
        <w:trPr>
          <w:cnfStyle w:val="000000100000"/>
        </w:trPr>
        <w:tc>
          <w:tcPr>
            <w:cnfStyle w:val="001000000000"/>
            <w:tcW w:w="1477" w:type="pct"/>
            <w:tcBorders>
              <w:left w:val="none" w:sz="0" w:space="0" w:color="auto"/>
              <w:right w:val="none" w:sz="0" w:space="0" w:color="auto"/>
            </w:tcBorders>
          </w:tcPr>
          <w:p w:rsidR="000476F6" w:rsidRPr="00277328" w:rsidRDefault="000476F6" w:rsidP="00A10138">
            <w:pPr>
              <w:rPr>
                <w:i/>
                <w:color w:val="auto"/>
                <w:lang w:val="en-GB"/>
              </w:rPr>
            </w:pPr>
            <w:r w:rsidRPr="00277328">
              <w:rPr>
                <w:i/>
                <w:color w:val="auto"/>
                <w:lang w:val="en-GB"/>
              </w:rPr>
              <w:t>Bladder</w:t>
            </w:r>
          </w:p>
        </w:tc>
        <w:tc>
          <w:tcPr>
            <w:tcW w:w="801"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32,5</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0,6</w:t>
            </w:r>
          </w:p>
        </w:tc>
        <w:tc>
          <w:tcPr>
            <w:tcW w:w="799"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31,9</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1,5</w:t>
            </w:r>
          </w:p>
        </w:tc>
        <w:tc>
          <w:tcPr>
            <w:tcW w:w="812"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4,8</w:t>
            </w:r>
          </w:p>
        </w:tc>
        <w:tc>
          <w:tcPr>
            <w:tcW w:w="406"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1,3</w:t>
            </w:r>
          </w:p>
        </w:tc>
      </w:tr>
      <w:tr w:rsidR="000476F6" w:rsidRPr="00277328" w:rsidTr="008E2EDE">
        <w:tc>
          <w:tcPr>
            <w:cnfStyle w:val="001000000000"/>
            <w:tcW w:w="1477" w:type="pct"/>
          </w:tcPr>
          <w:p w:rsidR="000476F6" w:rsidRPr="00277328" w:rsidRDefault="000476F6" w:rsidP="00A10138">
            <w:pPr>
              <w:rPr>
                <w:i/>
                <w:color w:val="auto"/>
                <w:lang w:val="en-GB"/>
              </w:rPr>
            </w:pPr>
            <w:r w:rsidRPr="00277328">
              <w:rPr>
                <w:i/>
                <w:color w:val="auto"/>
                <w:lang w:val="en-GB"/>
              </w:rPr>
              <w:t>Brain</w:t>
            </w:r>
          </w:p>
        </w:tc>
        <w:tc>
          <w:tcPr>
            <w:tcW w:w="801"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31,9</w:t>
            </w:r>
          </w:p>
        </w:tc>
        <w:tc>
          <w:tcPr>
            <w:tcW w:w="353"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0,6</w:t>
            </w:r>
          </w:p>
        </w:tc>
        <w:tc>
          <w:tcPr>
            <w:tcW w:w="799"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25,2</w:t>
            </w:r>
          </w:p>
        </w:tc>
        <w:tc>
          <w:tcPr>
            <w:tcW w:w="353"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1,2</w:t>
            </w:r>
          </w:p>
        </w:tc>
        <w:tc>
          <w:tcPr>
            <w:tcW w:w="812"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4,9</w:t>
            </w:r>
          </w:p>
        </w:tc>
        <w:tc>
          <w:tcPr>
            <w:tcW w:w="406"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1,3</w:t>
            </w:r>
          </w:p>
        </w:tc>
      </w:tr>
      <w:tr w:rsidR="000476F6" w:rsidRPr="00277328" w:rsidTr="008E2EDE">
        <w:trPr>
          <w:cnfStyle w:val="000000100000"/>
        </w:trPr>
        <w:tc>
          <w:tcPr>
            <w:cnfStyle w:val="001000000000"/>
            <w:tcW w:w="1477" w:type="pct"/>
            <w:tcBorders>
              <w:left w:val="none" w:sz="0" w:space="0" w:color="auto"/>
              <w:right w:val="none" w:sz="0" w:space="0" w:color="auto"/>
            </w:tcBorders>
          </w:tcPr>
          <w:p w:rsidR="000476F6" w:rsidRPr="00277328" w:rsidRDefault="000476F6" w:rsidP="00A10138">
            <w:pPr>
              <w:rPr>
                <w:i/>
                <w:color w:val="auto"/>
                <w:lang w:val="en-GB"/>
              </w:rPr>
            </w:pPr>
            <w:r w:rsidRPr="00277328">
              <w:rPr>
                <w:i/>
                <w:color w:val="auto"/>
                <w:lang w:val="en-GB"/>
              </w:rPr>
              <w:t>Leukemia</w:t>
            </w:r>
          </w:p>
        </w:tc>
        <w:tc>
          <w:tcPr>
            <w:tcW w:w="801"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30,7</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0,6</w:t>
            </w:r>
          </w:p>
        </w:tc>
        <w:tc>
          <w:tcPr>
            <w:tcW w:w="799"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29,9</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1,4</w:t>
            </w:r>
          </w:p>
        </w:tc>
        <w:tc>
          <w:tcPr>
            <w:tcW w:w="812"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2,7</w:t>
            </w:r>
          </w:p>
        </w:tc>
        <w:tc>
          <w:tcPr>
            <w:tcW w:w="406"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0,7</w:t>
            </w:r>
          </w:p>
        </w:tc>
      </w:tr>
      <w:tr w:rsidR="000476F6" w:rsidRPr="00277328" w:rsidTr="008E2EDE">
        <w:tc>
          <w:tcPr>
            <w:cnfStyle w:val="001000000000"/>
            <w:tcW w:w="1477" w:type="pct"/>
          </w:tcPr>
          <w:p w:rsidR="000476F6" w:rsidRPr="00277328" w:rsidRDefault="000476F6" w:rsidP="00A10138">
            <w:pPr>
              <w:rPr>
                <w:i/>
                <w:color w:val="auto"/>
                <w:lang w:val="en-GB"/>
              </w:rPr>
            </w:pPr>
            <w:r w:rsidRPr="00277328">
              <w:rPr>
                <w:i/>
                <w:color w:val="auto"/>
                <w:lang w:val="en-GB"/>
              </w:rPr>
              <w:t>Prostate</w:t>
            </w:r>
          </w:p>
        </w:tc>
        <w:tc>
          <w:tcPr>
            <w:tcW w:w="801"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28,9</w:t>
            </w:r>
          </w:p>
        </w:tc>
        <w:tc>
          <w:tcPr>
            <w:tcW w:w="353"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0,6</w:t>
            </w:r>
          </w:p>
        </w:tc>
        <w:tc>
          <w:tcPr>
            <w:tcW w:w="799"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27,6</w:t>
            </w:r>
          </w:p>
        </w:tc>
        <w:tc>
          <w:tcPr>
            <w:tcW w:w="353"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1,3</w:t>
            </w:r>
          </w:p>
        </w:tc>
        <w:tc>
          <w:tcPr>
            <w:tcW w:w="812"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3,4</w:t>
            </w:r>
          </w:p>
        </w:tc>
        <w:tc>
          <w:tcPr>
            <w:tcW w:w="406"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0,9</w:t>
            </w:r>
          </w:p>
        </w:tc>
      </w:tr>
      <w:tr w:rsidR="000476F6" w:rsidRPr="00277328" w:rsidTr="008E2EDE">
        <w:trPr>
          <w:cnfStyle w:val="000000100000"/>
        </w:trPr>
        <w:tc>
          <w:tcPr>
            <w:cnfStyle w:val="001000000000"/>
            <w:tcW w:w="1477" w:type="pct"/>
            <w:tcBorders>
              <w:left w:val="none" w:sz="0" w:space="0" w:color="auto"/>
              <w:right w:val="none" w:sz="0" w:space="0" w:color="auto"/>
            </w:tcBorders>
          </w:tcPr>
          <w:p w:rsidR="000476F6" w:rsidRPr="00277328" w:rsidRDefault="000476F6" w:rsidP="00A10138">
            <w:pPr>
              <w:rPr>
                <w:i/>
                <w:color w:val="auto"/>
                <w:lang w:val="en-GB"/>
              </w:rPr>
            </w:pPr>
            <w:r w:rsidRPr="00277328">
              <w:rPr>
                <w:i/>
                <w:color w:val="auto"/>
                <w:lang w:val="en-GB"/>
              </w:rPr>
              <w:t>Mouth and oropharynx</w:t>
            </w:r>
          </w:p>
        </w:tc>
        <w:tc>
          <w:tcPr>
            <w:tcW w:w="801"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27,5</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0,5</w:t>
            </w:r>
          </w:p>
        </w:tc>
        <w:tc>
          <w:tcPr>
            <w:tcW w:w="799"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21,8</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1</w:t>
            </w:r>
          </w:p>
        </w:tc>
        <w:tc>
          <w:tcPr>
            <w:tcW w:w="812"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5,8</w:t>
            </w:r>
          </w:p>
        </w:tc>
        <w:tc>
          <w:tcPr>
            <w:tcW w:w="406"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1,6</w:t>
            </w:r>
          </w:p>
        </w:tc>
      </w:tr>
      <w:tr w:rsidR="000476F6" w:rsidRPr="00277328" w:rsidTr="008E2EDE">
        <w:tc>
          <w:tcPr>
            <w:cnfStyle w:val="001000000000"/>
            <w:tcW w:w="1477" w:type="pct"/>
          </w:tcPr>
          <w:p w:rsidR="000476F6" w:rsidRPr="00277328" w:rsidRDefault="000476F6" w:rsidP="00A10138">
            <w:pPr>
              <w:rPr>
                <w:i/>
                <w:color w:val="auto"/>
                <w:lang w:val="en-GB"/>
              </w:rPr>
            </w:pPr>
            <w:r w:rsidRPr="00277328">
              <w:rPr>
                <w:i/>
                <w:color w:val="auto"/>
                <w:lang w:val="en-GB"/>
              </w:rPr>
              <w:t>Ovary</w:t>
            </w:r>
          </w:p>
        </w:tc>
        <w:tc>
          <w:tcPr>
            <w:tcW w:w="801"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23,9</w:t>
            </w:r>
          </w:p>
        </w:tc>
        <w:tc>
          <w:tcPr>
            <w:tcW w:w="353"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0,5</w:t>
            </w:r>
          </w:p>
        </w:tc>
        <w:tc>
          <w:tcPr>
            <w:tcW w:w="799"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22,3</w:t>
            </w:r>
          </w:p>
        </w:tc>
        <w:tc>
          <w:tcPr>
            <w:tcW w:w="353"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1,1</w:t>
            </w:r>
          </w:p>
        </w:tc>
        <w:tc>
          <w:tcPr>
            <w:tcW w:w="812"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2,3</w:t>
            </w:r>
          </w:p>
        </w:tc>
        <w:tc>
          <w:tcPr>
            <w:tcW w:w="406"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0,6</w:t>
            </w:r>
          </w:p>
        </w:tc>
      </w:tr>
      <w:tr w:rsidR="000476F6" w:rsidRPr="00277328" w:rsidTr="008E2EDE">
        <w:trPr>
          <w:cnfStyle w:val="000000100000"/>
        </w:trPr>
        <w:tc>
          <w:tcPr>
            <w:cnfStyle w:val="001000000000"/>
            <w:tcW w:w="1477" w:type="pct"/>
            <w:tcBorders>
              <w:left w:val="none" w:sz="0" w:space="0" w:color="auto"/>
              <w:right w:val="none" w:sz="0" w:space="0" w:color="auto"/>
            </w:tcBorders>
          </w:tcPr>
          <w:p w:rsidR="000476F6" w:rsidRPr="00277328" w:rsidRDefault="000476F6" w:rsidP="00A10138">
            <w:pPr>
              <w:rPr>
                <w:i/>
                <w:color w:val="auto"/>
                <w:lang w:val="en-GB"/>
              </w:rPr>
            </w:pPr>
            <w:r w:rsidRPr="00277328">
              <w:rPr>
                <w:i/>
                <w:color w:val="auto"/>
                <w:lang w:val="en-GB"/>
              </w:rPr>
              <w:t>Uterine corpus</w:t>
            </w:r>
          </w:p>
        </w:tc>
        <w:tc>
          <w:tcPr>
            <w:tcW w:w="801"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19,1</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0,4</w:t>
            </w:r>
          </w:p>
        </w:tc>
        <w:tc>
          <w:tcPr>
            <w:tcW w:w="799"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16,8</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0,8</w:t>
            </w:r>
          </w:p>
        </w:tc>
        <w:tc>
          <w:tcPr>
            <w:tcW w:w="812"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1,9</w:t>
            </w:r>
          </w:p>
        </w:tc>
        <w:tc>
          <w:tcPr>
            <w:tcW w:w="406"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0,5</w:t>
            </w:r>
          </w:p>
        </w:tc>
      </w:tr>
      <w:tr w:rsidR="000476F6" w:rsidRPr="00277328" w:rsidTr="008E2EDE">
        <w:tc>
          <w:tcPr>
            <w:cnfStyle w:val="001000000000"/>
            <w:tcW w:w="1477" w:type="pct"/>
          </w:tcPr>
          <w:p w:rsidR="000476F6" w:rsidRPr="00277328" w:rsidRDefault="000476F6" w:rsidP="00A10138">
            <w:pPr>
              <w:rPr>
                <w:i/>
                <w:color w:val="auto"/>
                <w:lang w:val="en-GB"/>
              </w:rPr>
            </w:pPr>
            <w:r w:rsidRPr="00277328">
              <w:rPr>
                <w:i/>
                <w:color w:val="auto"/>
                <w:lang w:val="en-GB"/>
              </w:rPr>
              <w:lastRenderedPageBreak/>
              <w:t>Esophagus</w:t>
            </w:r>
          </w:p>
        </w:tc>
        <w:tc>
          <w:tcPr>
            <w:tcW w:w="801"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19,1</w:t>
            </w:r>
          </w:p>
        </w:tc>
        <w:tc>
          <w:tcPr>
            <w:tcW w:w="353"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0,4</w:t>
            </w:r>
          </w:p>
        </w:tc>
        <w:tc>
          <w:tcPr>
            <w:tcW w:w="799"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9,5</w:t>
            </w:r>
          </w:p>
        </w:tc>
        <w:tc>
          <w:tcPr>
            <w:tcW w:w="353"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0,4</w:t>
            </w:r>
          </w:p>
        </w:tc>
        <w:tc>
          <w:tcPr>
            <w:tcW w:w="812"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1,5</w:t>
            </w:r>
          </w:p>
        </w:tc>
        <w:tc>
          <w:tcPr>
            <w:tcW w:w="406"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0,4</w:t>
            </w:r>
          </w:p>
        </w:tc>
      </w:tr>
      <w:tr w:rsidR="000476F6" w:rsidRPr="00277328" w:rsidTr="008E2EDE">
        <w:trPr>
          <w:cnfStyle w:val="000000100000"/>
        </w:trPr>
        <w:tc>
          <w:tcPr>
            <w:cnfStyle w:val="001000000000"/>
            <w:tcW w:w="1477" w:type="pct"/>
            <w:tcBorders>
              <w:left w:val="none" w:sz="0" w:space="0" w:color="auto"/>
              <w:right w:val="none" w:sz="0" w:space="0" w:color="auto"/>
            </w:tcBorders>
          </w:tcPr>
          <w:p w:rsidR="000476F6" w:rsidRPr="00277328" w:rsidRDefault="000476F6" w:rsidP="00D47C7C">
            <w:pPr>
              <w:rPr>
                <w:i/>
                <w:color w:val="auto"/>
                <w:lang w:val="en-GB"/>
              </w:rPr>
            </w:pPr>
            <w:r w:rsidRPr="00277328">
              <w:rPr>
                <w:i/>
                <w:color w:val="auto"/>
                <w:lang w:val="en-GB"/>
              </w:rPr>
              <w:t>Kidney</w:t>
            </w:r>
          </w:p>
          <w:p w:rsidR="000476F6" w:rsidRPr="00277328" w:rsidRDefault="000476F6" w:rsidP="00A10138">
            <w:pPr>
              <w:rPr>
                <w:i/>
                <w:color w:val="auto"/>
                <w:lang w:val="en-GB"/>
              </w:rPr>
            </w:pPr>
          </w:p>
        </w:tc>
        <w:tc>
          <w:tcPr>
            <w:tcW w:w="801"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16,5</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0,3</w:t>
            </w:r>
          </w:p>
        </w:tc>
        <w:tc>
          <w:tcPr>
            <w:tcW w:w="799"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16</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0,8</w:t>
            </w:r>
          </w:p>
        </w:tc>
        <w:tc>
          <w:tcPr>
            <w:tcW w:w="812"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1,9</w:t>
            </w:r>
          </w:p>
        </w:tc>
        <w:tc>
          <w:tcPr>
            <w:tcW w:w="406"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0,5</w:t>
            </w:r>
          </w:p>
        </w:tc>
      </w:tr>
      <w:tr w:rsidR="000476F6" w:rsidRPr="00277328" w:rsidTr="008E2EDE">
        <w:tc>
          <w:tcPr>
            <w:cnfStyle w:val="001000000000"/>
            <w:tcW w:w="1477" w:type="pct"/>
          </w:tcPr>
          <w:p w:rsidR="000476F6" w:rsidRPr="00277328" w:rsidRDefault="000476F6" w:rsidP="00A10138">
            <w:pPr>
              <w:rPr>
                <w:i/>
                <w:color w:val="auto"/>
                <w:lang w:val="en-GB"/>
              </w:rPr>
            </w:pPr>
            <w:r w:rsidRPr="00277328">
              <w:rPr>
                <w:i/>
                <w:color w:val="auto"/>
                <w:lang w:val="en-GB"/>
              </w:rPr>
              <w:t>Larynx</w:t>
            </w:r>
          </w:p>
        </w:tc>
        <w:tc>
          <w:tcPr>
            <w:tcW w:w="801"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15,9</w:t>
            </w:r>
          </w:p>
        </w:tc>
        <w:tc>
          <w:tcPr>
            <w:tcW w:w="353"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0,3</w:t>
            </w:r>
          </w:p>
        </w:tc>
        <w:tc>
          <w:tcPr>
            <w:tcW w:w="799"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14,7</w:t>
            </w:r>
          </w:p>
        </w:tc>
        <w:tc>
          <w:tcPr>
            <w:tcW w:w="353"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0,7</w:t>
            </w:r>
          </w:p>
        </w:tc>
        <w:tc>
          <w:tcPr>
            <w:tcW w:w="812"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2,1</w:t>
            </w:r>
          </w:p>
        </w:tc>
        <w:tc>
          <w:tcPr>
            <w:tcW w:w="406"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0,6</w:t>
            </w:r>
          </w:p>
        </w:tc>
      </w:tr>
      <w:tr w:rsidR="000476F6" w:rsidRPr="00277328" w:rsidTr="008E2EDE">
        <w:trPr>
          <w:cnfStyle w:val="000000100000"/>
        </w:trPr>
        <w:tc>
          <w:tcPr>
            <w:cnfStyle w:val="001000000000"/>
            <w:tcW w:w="1477" w:type="pct"/>
            <w:tcBorders>
              <w:left w:val="none" w:sz="0" w:space="0" w:color="auto"/>
              <w:right w:val="none" w:sz="0" w:space="0" w:color="auto"/>
            </w:tcBorders>
          </w:tcPr>
          <w:p w:rsidR="000476F6" w:rsidRPr="00277328" w:rsidRDefault="000476F6" w:rsidP="00D47C7C">
            <w:pPr>
              <w:rPr>
                <w:i/>
                <w:color w:val="auto"/>
                <w:lang w:val="en-GB"/>
              </w:rPr>
            </w:pPr>
            <w:r w:rsidRPr="00277328">
              <w:rPr>
                <w:i/>
                <w:color w:val="auto"/>
                <w:lang w:val="en-GB"/>
              </w:rPr>
              <w:t>Melanoma</w:t>
            </w:r>
          </w:p>
          <w:p w:rsidR="000476F6" w:rsidRPr="00277328" w:rsidRDefault="000476F6" w:rsidP="00A10138">
            <w:pPr>
              <w:rPr>
                <w:i/>
                <w:color w:val="auto"/>
                <w:lang w:val="en-GB"/>
              </w:rPr>
            </w:pPr>
          </w:p>
        </w:tc>
        <w:tc>
          <w:tcPr>
            <w:tcW w:w="801"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14,6</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0,3</w:t>
            </w:r>
          </w:p>
        </w:tc>
        <w:tc>
          <w:tcPr>
            <w:tcW w:w="799"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13,7</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0,6</w:t>
            </w:r>
          </w:p>
        </w:tc>
        <w:tc>
          <w:tcPr>
            <w:tcW w:w="812"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1,7</w:t>
            </w:r>
          </w:p>
        </w:tc>
        <w:tc>
          <w:tcPr>
            <w:tcW w:w="406"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0,4</w:t>
            </w:r>
          </w:p>
        </w:tc>
      </w:tr>
      <w:tr w:rsidR="000476F6" w:rsidRPr="00277328" w:rsidTr="008E2EDE">
        <w:tc>
          <w:tcPr>
            <w:cnfStyle w:val="001000000000"/>
            <w:tcW w:w="1477" w:type="pct"/>
          </w:tcPr>
          <w:p w:rsidR="000476F6" w:rsidRPr="00277328" w:rsidRDefault="000476F6" w:rsidP="00D47C7C">
            <w:pPr>
              <w:rPr>
                <w:i/>
                <w:color w:val="auto"/>
                <w:lang w:val="en-GB"/>
              </w:rPr>
            </w:pPr>
            <w:r w:rsidRPr="00277328">
              <w:rPr>
                <w:i/>
                <w:color w:val="auto"/>
                <w:lang w:val="en-GB"/>
              </w:rPr>
              <w:t>Cervix</w:t>
            </w:r>
          </w:p>
          <w:p w:rsidR="000476F6" w:rsidRPr="00277328" w:rsidRDefault="000476F6" w:rsidP="00A10138">
            <w:pPr>
              <w:rPr>
                <w:i/>
                <w:color w:val="auto"/>
                <w:lang w:val="en-GB"/>
              </w:rPr>
            </w:pPr>
          </w:p>
        </w:tc>
        <w:tc>
          <w:tcPr>
            <w:tcW w:w="801"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11,9</w:t>
            </w:r>
          </w:p>
        </w:tc>
        <w:tc>
          <w:tcPr>
            <w:tcW w:w="353"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0,2</w:t>
            </w:r>
          </w:p>
        </w:tc>
        <w:tc>
          <w:tcPr>
            <w:tcW w:w="799"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11</w:t>
            </w:r>
          </w:p>
        </w:tc>
        <w:tc>
          <w:tcPr>
            <w:tcW w:w="353"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0,5</w:t>
            </w:r>
          </w:p>
        </w:tc>
        <w:tc>
          <w:tcPr>
            <w:tcW w:w="812"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1,4</w:t>
            </w:r>
          </w:p>
        </w:tc>
        <w:tc>
          <w:tcPr>
            <w:tcW w:w="406"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0,4</w:t>
            </w:r>
          </w:p>
        </w:tc>
      </w:tr>
      <w:tr w:rsidR="000476F6" w:rsidRPr="00277328" w:rsidTr="008E2EDE">
        <w:trPr>
          <w:cnfStyle w:val="000000100000"/>
        </w:trPr>
        <w:tc>
          <w:tcPr>
            <w:cnfStyle w:val="001000000000"/>
            <w:tcW w:w="1477" w:type="pct"/>
            <w:tcBorders>
              <w:left w:val="none" w:sz="0" w:space="0" w:color="auto"/>
              <w:right w:val="none" w:sz="0" w:space="0" w:color="auto"/>
            </w:tcBorders>
          </w:tcPr>
          <w:p w:rsidR="000476F6" w:rsidRPr="00277328" w:rsidRDefault="000476F6" w:rsidP="00A10138">
            <w:pPr>
              <w:rPr>
                <w:i/>
                <w:color w:val="auto"/>
                <w:lang w:val="en-GB"/>
              </w:rPr>
            </w:pPr>
            <w:r w:rsidRPr="00277328">
              <w:rPr>
                <w:i/>
                <w:color w:val="auto"/>
                <w:lang w:val="en-GB"/>
              </w:rPr>
              <w:t>Bone and cartilage</w:t>
            </w:r>
          </w:p>
        </w:tc>
        <w:tc>
          <w:tcPr>
            <w:tcW w:w="801"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9,5</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0,2</w:t>
            </w:r>
          </w:p>
        </w:tc>
        <w:tc>
          <w:tcPr>
            <w:tcW w:w="799"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7,7</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0,4</w:t>
            </w:r>
          </w:p>
        </w:tc>
        <w:tc>
          <w:tcPr>
            <w:tcW w:w="812"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0,7</w:t>
            </w:r>
          </w:p>
        </w:tc>
        <w:tc>
          <w:tcPr>
            <w:tcW w:w="406"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0,2</w:t>
            </w:r>
          </w:p>
        </w:tc>
      </w:tr>
      <w:tr w:rsidR="000476F6" w:rsidRPr="00277328" w:rsidTr="008E2EDE">
        <w:tc>
          <w:tcPr>
            <w:cnfStyle w:val="001000000000"/>
            <w:tcW w:w="1477" w:type="pct"/>
          </w:tcPr>
          <w:p w:rsidR="000476F6" w:rsidRPr="00277328" w:rsidRDefault="000476F6" w:rsidP="00A10138">
            <w:pPr>
              <w:rPr>
                <w:i/>
                <w:color w:val="auto"/>
                <w:lang w:val="en-GB"/>
              </w:rPr>
            </w:pPr>
            <w:r w:rsidRPr="00277328">
              <w:rPr>
                <w:i/>
                <w:color w:val="auto"/>
                <w:lang w:val="en-GB"/>
              </w:rPr>
              <w:t>Thyroid</w:t>
            </w:r>
          </w:p>
        </w:tc>
        <w:tc>
          <w:tcPr>
            <w:tcW w:w="801"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5,8</w:t>
            </w:r>
          </w:p>
        </w:tc>
        <w:tc>
          <w:tcPr>
            <w:tcW w:w="353"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0,1</w:t>
            </w:r>
          </w:p>
        </w:tc>
        <w:tc>
          <w:tcPr>
            <w:tcW w:w="799"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5,5</w:t>
            </w:r>
          </w:p>
        </w:tc>
        <w:tc>
          <w:tcPr>
            <w:tcW w:w="353"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0,3</w:t>
            </w:r>
          </w:p>
        </w:tc>
        <w:tc>
          <w:tcPr>
            <w:tcW w:w="812"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0,3</w:t>
            </w:r>
          </w:p>
        </w:tc>
        <w:tc>
          <w:tcPr>
            <w:tcW w:w="406"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0,1</w:t>
            </w:r>
          </w:p>
        </w:tc>
      </w:tr>
      <w:tr w:rsidR="000476F6" w:rsidRPr="00277328" w:rsidTr="008E2EDE">
        <w:trPr>
          <w:cnfStyle w:val="000000100000"/>
        </w:trPr>
        <w:tc>
          <w:tcPr>
            <w:cnfStyle w:val="001000000000"/>
            <w:tcW w:w="1477" w:type="pct"/>
            <w:tcBorders>
              <w:left w:val="none" w:sz="0" w:space="0" w:color="auto"/>
              <w:right w:val="none" w:sz="0" w:space="0" w:color="auto"/>
            </w:tcBorders>
          </w:tcPr>
          <w:p w:rsidR="000476F6" w:rsidRPr="00277328" w:rsidRDefault="000476F6" w:rsidP="00A10138">
            <w:pPr>
              <w:rPr>
                <w:b w:val="0"/>
                <w:color w:val="auto"/>
                <w:lang w:val="en-GB"/>
              </w:rPr>
            </w:pPr>
            <w:r w:rsidRPr="00277328">
              <w:rPr>
                <w:b w:val="0"/>
                <w:color w:val="auto"/>
                <w:lang w:val="en-GB"/>
              </w:rPr>
              <w:t xml:space="preserve">Other </w:t>
            </w:r>
            <w:r w:rsidR="00433AE6">
              <w:rPr>
                <w:b w:val="0"/>
                <w:color w:val="auto"/>
                <w:lang w:val="en-GB"/>
              </w:rPr>
              <w:t>tumo</w:t>
            </w:r>
            <w:r w:rsidR="006A5A0D">
              <w:rPr>
                <w:b w:val="0"/>
                <w:color w:val="auto"/>
                <w:lang w:val="en-GB"/>
              </w:rPr>
              <w:t>u</w:t>
            </w:r>
            <w:r w:rsidR="00433AE6">
              <w:rPr>
                <w:b w:val="0"/>
                <w:color w:val="auto"/>
                <w:lang w:val="en-GB"/>
              </w:rPr>
              <w:t>rs</w:t>
            </w:r>
          </w:p>
        </w:tc>
        <w:tc>
          <w:tcPr>
            <w:tcW w:w="801"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2</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0</w:t>
            </w:r>
          </w:p>
        </w:tc>
        <w:tc>
          <w:tcPr>
            <w:tcW w:w="799"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1,8</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0,1</w:t>
            </w:r>
          </w:p>
        </w:tc>
        <w:tc>
          <w:tcPr>
            <w:tcW w:w="812"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0,3</w:t>
            </w:r>
          </w:p>
        </w:tc>
        <w:tc>
          <w:tcPr>
            <w:tcW w:w="406"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0,1</w:t>
            </w:r>
          </w:p>
        </w:tc>
      </w:tr>
      <w:tr w:rsidR="000476F6" w:rsidRPr="00277328" w:rsidTr="008E2EDE">
        <w:tc>
          <w:tcPr>
            <w:cnfStyle w:val="001000000000"/>
            <w:tcW w:w="1477" w:type="pct"/>
          </w:tcPr>
          <w:p w:rsidR="000476F6" w:rsidRPr="00277328" w:rsidRDefault="000476F6" w:rsidP="00A10138">
            <w:pPr>
              <w:rPr>
                <w:b w:val="0"/>
                <w:color w:val="auto"/>
                <w:lang w:val="en-GB"/>
              </w:rPr>
            </w:pPr>
            <w:r w:rsidRPr="00277328">
              <w:rPr>
                <w:b w:val="0"/>
                <w:color w:val="auto"/>
                <w:lang w:val="en-GB"/>
              </w:rPr>
              <w:t>Diabetes mellitus</w:t>
            </w:r>
          </w:p>
        </w:tc>
        <w:tc>
          <w:tcPr>
            <w:tcW w:w="801" w:type="pct"/>
          </w:tcPr>
          <w:p w:rsidR="000476F6" w:rsidRPr="00277328" w:rsidRDefault="000476F6" w:rsidP="000476F6">
            <w:pPr>
              <w:jc w:val="center"/>
              <w:cnfStyle w:val="000000000000"/>
              <w:rPr>
                <w:rFonts w:cstheme="minorHAnsi"/>
                <w:color w:val="auto"/>
                <w:lang w:val="en-GB" w:eastAsia="es-ES_tradnl"/>
              </w:rPr>
            </w:pPr>
            <w:r w:rsidRPr="00277328">
              <w:rPr>
                <w:rFonts w:cstheme="minorHAnsi"/>
                <w:color w:val="auto"/>
                <w:lang w:val="en-GB" w:eastAsia="es-ES_tradnl"/>
              </w:rPr>
              <w:t>21,4</w:t>
            </w:r>
          </w:p>
        </w:tc>
        <w:tc>
          <w:tcPr>
            <w:tcW w:w="353" w:type="pct"/>
          </w:tcPr>
          <w:p w:rsidR="000476F6" w:rsidRPr="00277328" w:rsidRDefault="000476F6" w:rsidP="000476F6">
            <w:pPr>
              <w:jc w:val="center"/>
              <w:cnfStyle w:val="000000000000"/>
              <w:rPr>
                <w:rFonts w:cstheme="minorHAnsi"/>
                <w:color w:val="auto"/>
                <w:lang w:val="en-GB" w:eastAsia="es-ES_tradnl"/>
              </w:rPr>
            </w:pPr>
            <w:r w:rsidRPr="00277328">
              <w:rPr>
                <w:rFonts w:cstheme="minorHAnsi"/>
                <w:color w:val="auto"/>
                <w:lang w:val="en-GB" w:eastAsia="es-ES_tradnl"/>
              </w:rPr>
              <w:t>0,4</w:t>
            </w:r>
          </w:p>
        </w:tc>
        <w:tc>
          <w:tcPr>
            <w:tcW w:w="799" w:type="pct"/>
          </w:tcPr>
          <w:p w:rsidR="000476F6" w:rsidRPr="00277328" w:rsidRDefault="000476F6" w:rsidP="000476F6">
            <w:pPr>
              <w:jc w:val="center"/>
              <w:cnfStyle w:val="000000000000"/>
              <w:rPr>
                <w:rFonts w:cstheme="minorHAnsi"/>
                <w:color w:val="auto"/>
                <w:lang w:val="en-GB" w:eastAsia="es-ES_tradnl"/>
              </w:rPr>
            </w:pPr>
            <w:r w:rsidRPr="00277328">
              <w:rPr>
                <w:rFonts w:cstheme="minorHAnsi"/>
                <w:color w:val="auto"/>
                <w:lang w:val="en-GB" w:eastAsia="es-ES_tradnl"/>
              </w:rPr>
              <w:t>21,4</w:t>
            </w:r>
          </w:p>
        </w:tc>
        <w:tc>
          <w:tcPr>
            <w:tcW w:w="353" w:type="pct"/>
          </w:tcPr>
          <w:p w:rsidR="000476F6" w:rsidRPr="00277328" w:rsidRDefault="000476F6" w:rsidP="000476F6">
            <w:pPr>
              <w:jc w:val="center"/>
              <w:cnfStyle w:val="000000000000"/>
              <w:rPr>
                <w:rFonts w:cstheme="minorHAnsi"/>
                <w:color w:val="auto"/>
                <w:lang w:val="en-GB" w:eastAsia="es-ES_tradnl"/>
              </w:rPr>
            </w:pPr>
            <w:r w:rsidRPr="00277328">
              <w:rPr>
                <w:rFonts w:cstheme="minorHAnsi"/>
                <w:color w:val="auto"/>
                <w:lang w:val="en-GB" w:eastAsia="es-ES_tradnl"/>
              </w:rPr>
              <w:t>1</w:t>
            </w:r>
          </w:p>
        </w:tc>
        <w:tc>
          <w:tcPr>
            <w:tcW w:w="812" w:type="pct"/>
          </w:tcPr>
          <w:p w:rsidR="000476F6" w:rsidRPr="00277328" w:rsidRDefault="000476F6" w:rsidP="000476F6">
            <w:pPr>
              <w:jc w:val="center"/>
              <w:cnfStyle w:val="000000000000"/>
              <w:rPr>
                <w:rFonts w:cstheme="minorHAnsi"/>
                <w:color w:val="auto"/>
                <w:lang w:val="en-GB" w:eastAsia="es-ES_tradnl"/>
              </w:rPr>
            </w:pPr>
            <w:r w:rsidRPr="00277328">
              <w:rPr>
                <w:rFonts w:cstheme="minorHAnsi"/>
                <w:color w:val="auto"/>
                <w:lang w:val="en-GB" w:eastAsia="es-ES_tradnl"/>
              </w:rPr>
              <w:t>3,5</w:t>
            </w:r>
          </w:p>
        </w:tc>
        <w:tc>
          <w:tcPr>
            <w:tcW w:w="406" w:type="pct"/>
          </w:tcPr>
          <w:p w:rsidR="000476F6" w:rsidRPr="00277328" w:rsidRDefault="000476F6" w:rsidP="000476F6">
            <w:pPr>
              <w:jc w:val="center"/>
              <w:cnfStyle w:val="000000000000"/>
              <w:rPr>
                <w:rFonts w:cstheme="minorHAnsi"/>
                <w:color w:val="auto"/>
                <w:lang w:val="en-GB" w:eastAsia="es-ES_tradnl"/>
              </w:rPr>
            </w:pPr>
            <w:r w:rsidRPr="00277328">
              <w:rPr>
                <w:rFonts w:cstheme="minorHAnsi"/>
                <w:color w:val="auto"/>
                <w:lang w:val="en-GB" w:eastAsia="es-ES_tradnl"/>
              </w:rPr>
              <w:t>0,9</w:t>
            </w:r>
          </w:p>
        </w:tc>
      </w:tr>
      <w:tr w:rsidR="000476F6" w:rsidRPr="00277328" w:rsidTr="008E2EDE">
        <w:trPr>
          <w:cnfStyle w:val="000000100000"/>
        </w:trPr>
        <w:tc>
          <w:tcPr>
            <w:cnfStyle w:val="001000000000"/>
            <w:tcW w:w="1477" w:type="pct"/>
            <w:tcBorders>
              <w:left w:val="none" w:sz="0" w:space="0" w:color="auto"/>
              <w:right w:val="none" w:sz="0" w:space="0" w:color="auto"/>
            </w:tcBorders>
          </w:tcPr>
          <w:p w:rsidR="000476F6" w:rsidRPr="00277328" w:rsidRDefault="000476F6" w:rsidP="00A10138">
            <w:pPr>
              <w:rPr>
                <w:b w:val="0"/>
                <w:color w:val="auto"/>
                <w:lang w:val="en-GB"/>
              </w:rPr>
            </w:pPr>
            <w:r w:rsidRPr="00277328">
              <w:rPr>
                <w:b w:val="0"/>
                <w:color w:val="auto"/>
                <w:lang w:val="en-GB"/>
              </w:rPr>
              <w:t>Endocrine and blood</w:t>
            </w:r>
          </w:p>
        </w:tc>
        <w:tc>
          <w:tcPr>
            <w:tcW w:w="801"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84,4</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1,7</w:t>
            </w:r>
          </w:p>
        </w:tc>
        <w:tc>
          <w:tcPr>
            <w:tcW w:w="799"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39,3</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1,8</w:t>
            </w:r>
          </w:p>
        </w:tc>
        <w:tc>
          <w:tcPr>
            <w:tcW w:w="812"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10</w:t>
            </w:r>
          </w:p>
        </w:tc>
        <w:tc>
          <w:tcPr>
            <w:tcW w:w="406"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2,7</w:t>
            </w:r>
          </w:p>
        </w:tc>
      </w:tr>
      <w:tr w:rsidR="000476F6" w:rsidRPr="00277328" w:rsidTr="008E2EDE">
        <w:tc>
          <w:tcPr>
            <w:cnfStyle w:val="001000000000"/>
            <w:tcW w:w="1477" w:type="pct"/>
          </w:tcPr>
          <w:p w:rsidR="000476F6" w:rsidRPr="00277328" w:rsidRDefault="000476F6" w:rsidP="00A10138">
            <w:pPr>
              <w:rPr>
                <w:b w:val="0"/>
                <w:color w:val="auto"/>
                <w:sz w:val="24"/>
                <w:szCs w:val="24"/>
                <w:lang w:val="en-GB"/>
              </w:rPr>
            </w:pPr>
            <w:r w:rsidRPr="00277328">
              <w:rPr>
                <w:b w:val="0"/>
                <w:color w:val="auto"/>
                <w:sz w:val="24"/>
                <w:szCs w:val="24"/>
                <w:lang w:val="en-GB"/>
              </w:rPr>
              <w:t>Neuropsyciatric disorders</w:t>
            </w:r>
          </w:p>
        </w:tc>
        <w:tc>
          <w:tcPr>
            <w:tcW w:w="801" w:type="pct"/>
          </w:tcPr>
          <w:p w:rsidR="000476F6" w:rsidRPr="00277328" w:rsidRDefault="000476F6" w:rsidP="000476F6">
            <w:pPr>
              <w:jc w:val="center"/>
              <w:cnfStyle w:val="000000000000"/>
              <w:rPr>
                <w:rFonts w:cstheme="minorHAnsi"/>
                <w:color w:val="auto"/>
                <w:lang w:val="en-GB" w:eastAsia="es-ES_tradnl"/>
              </w:rPr>
            </w:pPr>
            <w:r w:rsidRPr="00277328">
              <w:rPr>
                <w:rFonts w:cstheme="minorHAnsi"/>
                <w:color w:val="auto"/>
                <w:lang w:val="en-GB" w:eastAsia="es-ES_tradnl"/>
              </w:rPr>
              <w:t>59,5</w:t>
            </w:r>
          </w:p>
        </w:tc>
        <w:tc>
          <w:tcPr>
            <w:tcW w:w="353" w:type="pct"/>
          </w:tcPr>
          <w:p w:rsidR="000476F6" w:rsidRPr="00277328" w:rsidRDefault="000476F6" w:rsidP="000476F6">
            <w:pPr>
              <w:jc w:val="center"/>
              <w:cnfStyle w:val="000000000000"/>
              <w:rPr>
                <w:rFonts w:cstheme="minorHAnsi"/>
                <w:color w:val="auto"/>
                <w:lang w:val="en-GB" w:eastAsia="es-ES_tradnl"/>
              </w:rPr>
            </w:pPr>
            <w:r w:rsidRPr="00277328">
              <w:rPr>
                <w:rFonts w:cstheme="minorHAnsi"/>
                <w:color w:val="auto"/>
                <w:lang w:val="en-GB" w:eastAsia="es-ES_tradnl"/>
              </w:rPr>
              <w:t>1,2</w:t>
            </w:r>
          </w:p>
        </w:tc>
        <w:tc>
          <w:tcPr>
            <w:tcW w:w="799" w:type="pct"/>
          </w:tcPr>
          <w:p w:rsidR="000476F6" w:rsidRPr="00277328" w:rsidRDefault="000476F6" w:rsidP="000476F6">
            <w:pPr>
              <w:jc w:val="center"/>
              <w:cnfStyle w:val="000000000000"/>
              <w:rPr>
                <w:rFonts w:cstheme="minorHAnsi"/>
                <w:color w:val="auto"/>
                <w:lang w:val="en-GB" w:eastAsia="es-ES_tradnl"/>
              </w:rPr>
            </w:pPr>
            <w:r w:rsidRPr="00277328">
              <w:rPr>
                <w:rFonts w:cstheme="minorHAnsi"/>
                <w:color w:val="auto"/>
                <w:lang w:val="en-GB" w:eastAsia="es-ES_tradnl"/>
              </w:rPr>
              <w:t>19,4</w:t>
            </w:r>
          </w:p>
        </w:tc>
        <w:tc>
          <w:tcPr>
            <w:tcW w:w="353" w:type="pct"/>
          </w:tcPr>
          <w:p w:rsidR="000476F6" w:rsidRPr="00277328" w:rsidRDefault="000476F6" w:rsidP="000476F6">
            <w:pPr>
              <w:jc w:val="center"/>
              <w:cnfStyle w:val="000000000000"/>
              <w:rPr>
                <w:rFonts w:cstheme="minorHAnsi"/>
                <w:color w:val="auto"/>
                <w:lang w:val="en-GB" w:eastAsia="es-ES_tradnl"/>
              </w:rPr>
            </w:pPr>
            <w:r w:rsidRPr="00277328">
              <w:rPr>
                <w:rFonts w:cstheme="minorHAnsi"/>
                <w:color w:val="auto"/>
                <w:lang w:val="en-GB" w:eastAsia="es-ES_tradnl"/>
              </w:rPr>
              <w:t>0,9</w:t>
            </w:r>
          </w:p>
        </w:tc>
        <w:tc>
          <w:tcPr>
            <w:tcW w:w="812" w:type="pct"/>
          </w:tcPr>
          <w:p w:rsidR="000476F6" w:rsidRPr="00277328" w:rsidRDefault="000476F6" w:rsidP="000476F6">
            <w:pPr>
              <w:jc w:val="center"/>
              <w:cnfStyle w:val="000000000000"/>
              <w:rPr>
                <w:rFonts w:cstheme="minorHAnsi"/>
                <w:color w:val="auto"/>
                <w:lang w:val="en-GB" w:eastAsia="es-ES_tradnl"/>
              </w:rPr>
            </w:pPr>
            <w:r w:rsidRPr="00277328">
              <w:rPr>
                <w:rFonts w:cstheme="minorHAnsi"/>
                <w:color w:val="auto"/>
                <w:lang w:val="en-GB" w:eastAsia="es-ES_tradnl"/>
              </w:rPr>
              <w:t>2,8</w:t>
            </w:r>
          </w:p>
        </w:tc>
        <w:tc>
          <w:tcPr>
            <w:tcW w:w="406" w:type="pct"/>
          </w:tcPr>
          <w:p w:rsidR="000476F6" w:rsidRPr="00277328" w:rsidRDefault="000476F6" w:rsidP="000476F6">
            <w:pPr>
              <w:jc w:val="center"/>
              <w:cnfStyle w:val="000000000000"/>
              <w:rPr>
                <w:rFonts w:cstheme="minorHAnsi"/>
                <w:color w:val="auto"/>
                <w:lang w:val="en-GB" w:eastAsia="es-ES_tradnl"/>
              </w:rPr>
            </w:pPr>
            <w:r w:rsidRPr="00277328">
              <w:rPr>
                <w:rFonts w:cstheme="minorHAnsi"/>
                <w:color w:val="auto"/>
                <w:lang w:val="en-GB" w:eastAsia="es-ES_tradnl"/>
              </w:rPr>
              <w:t>0,8</w:t>
            </w:r>
          </w:p>
        </w:tc>
      </w:tr>
      <w:tr w:rsidR="000476F6" w:rsidRPr="00277328" w:rsidTr="008E2EDE">
        <w:trPr>
          <w:cnfStyle w:val="000000100000"/>
          <w:trHeight w:val="451"/>
        </w:trPr>
        <w:tc>
          <w:tcPr>
            <w:cnfStyle w:val="001000000000"/>
            <w:tcW w:w="1477" w:type="pct"/>
            <w:tcBorders>
              <w:left w:val="none" w:sz="0" w:space="0" w:color="auto"/>
              <w:right w:val="none" w:sz="0" w:space="0" w:color="auto"/>
            </w:tcBorders>
          </w:tcPr>
          <w:p w:rsidR="000476F6" w:rsidRPr="00277328" w:rsidRDefault="000476F6" w:rsidP="00703164">
            <w:pPr>
              <w:rPr>
                <w:i/>
                <w:color w:val="auto"/>
                <w:lang w:val="en-GB"/>
              </w:rPr>
            </w:pPr>
            <w:r w:rsidRPr="00277328">
              <w:rPr>
                <w:i/>
                <w:color w:val="auto"/>
                <w:lang w:val="en-GB"/>
              </w:rPr>
              <w:t>Unipolar depression</w:t>
            </w:r>
          </w:p>
        </w:tc>
        <w:tc>
          <w:tcPr>
            <w:tcW w:w="801" w:type="pct"/>
            <w:tcBorders>
              <w:left w:val="none" w:sz="0" w:space="0" w:color="auto"/>
              <w:right w:val="none" w:sz="0" w:space="0" w:color="auto"/>
            </w:tcBorders>
          </w:tcPr>
          <w:p w:rsidR="000476F6" w:rsidRPr="00600D28" w:rsidRDefault="000476F6" w:rsidP="000476F6">
            <w:pPr>
              <w:jc w:val="center"/>
              <w:cnfStyle w:val="000000100000"/>
              <w:rPr>
                <w:rFonts w:cstheme="minorHAnsi"/>
                <w:b/>
                <w:color w:val="auto"/>
                <w:lang w:val="en-GB" w:eastAsia="es-ES_tradnl"/>
              </w:rPr>
            </w:pPr>
            <w:r w:rsidRPr="00600D28">
              <w:rPr>
                <w:rFonts w:cstheme="minorHAnsi"/>
                <w:b/>
                <w:color w:val="auto"/>
                <w:lang w:val="en-GB" w:eastAsia="es-ES_tradnl"/>
              </w:rPr>
              <w:t>1.599,50</w:t>
            </w:r>
          </w:p>
        </w:tc>
        <w:tc>
          <w:tcPr>
            <w:tcW w:w="353" w:type="pct"/>
            <w:tcBorders>
              <w:left w:val="none" w:sz="0" w:space="0" w:color="auto"/>
              <w:right w:val="none" w:sz="0" w:space="0" w:color="auto"/>
            </w:tcBorders>
          </w:tcPr>
          <w:p w:rsidR="000476F6" w:rsidRPr="00600D28" w:rsidRDefault="000476F6" w:rsidP="000476F6">
            <w:pPr>
              <w:jc w:val="center"/>
              <w:cnfStyle w:val="000000100000"/>
              <w:rPr>
                <w:rFonts w:cstheme="minorHAnsi"/>
                <w:b/>
                <w:color w:val="auto"/>
                <w:lang w:val="en-GB" w:eastAsia="es-ES_tradnl"/>
              </w:rPr>
            </w:pPr>
            <w:r w:rsidRPr="00600D28">
              <w:rPr>
                <w:rFonts w:cstheme="minorHAnsi"/>
                <w:b/>
                <w:color w:val="auto"/>
                <w:lang w:val="en-GB" w:eastAsia="es-ES_tradnl"/>
              </w:rPr>
              <w:t>31,8</w:t>
            </w:r>
          </w:p>
        </w:tc>
        <w:tc>
          <w:tcPr>
            <w:tcW w:w="799" w:type="pct"/>
            <w:tcBorders>
              <w:left w:val="none" w:sz="0" w:space="0" w:color="auto"/>
              <w:right w:val="none" w:sz="0" w:space="0" w:color="auto"/>
            </w:tcBorders>
          </w:tcPr>
          <w:p w:rsidR="000476F6" w:rsidRPr="00600D28" w:rsidRDefault="000476F6" w:rsidP="000476F6">
            <w:pPr>
              <w:jc w:val="center"/>
              <w:cnfStyle w:val="000000100000"/>
              <w:rPr>
                <w:rFonts w:cstheme="minorHAnsi"/>
                <w:b/>
                <w:color w:val="auto"/>
                <w:lang w:val="en-GB" w:eastAsia="es-ES_tradnl"/>
              </w:rPr>
            </w:pPr>
            <w:r w:rsidRPr="00600D28">
              <w:rPr>
                <w:rFonts w:cstheme="minorHAnsi"/>
                <w:b/>
                <w:color w:val="auto"/>
                <w:lang w:val="en-GB" w:eastAsia="es-ES_tradnl"/>
              </w:rPr>
              <w:t>110,9</w:t>
            </w:r>
          </w:p>
        </w:tc>
        <w:tc>
          <w:tcPr>
            <w:tcW w:w="353" w:type="pct"/>
            <w:tcBorders>
              <w:left w:val="none" w:sz="0" w:space="0" w:color="auto"/>
              <w:right w:val="none" w:sz="0" w:space="0" w:color="auto"/>
            </w:tcBorders>
          </w:tcPr>
          <w:p w:rsidR="000476F6" w:rsidRPr="00600D28" w:rsidRDefault="000476F6" w:rsidP="000476F6">
            <w:pPr>
              <w:jc w:val="center"/>
              <w:cnfStyle w:val="000000100000"/>
              <w:rPr>
                <w:rFonts w:cstheme="minorHAnsi"/>
                <w:b/>
                <w:color w:val="auto"/>
                <w:lang w:val="en-GB" w:eastAsia="es-ES_tradnl"/>
              </w:rPr>
            </w:pPr>
            <w:r w:rsidRPr="00600D28">
              <w:rPr>
                <w:rFonts w:cstheme="minorHAnsi"/>
                <w:b/>
                <w:color w:val="auto"/>
                <w:lang w:val="en-GB" w:eastAsia="es-ES_tradnl"/>
              </w:rPr>
              <w:t>5,2</w:t>
            </w:r>
          </w:p>
        </w:tc>
        <w:tc>
          <w:tcPr>
            <w:tcW w:w="812" w:type="pct"/>
            <w:tcBorders>
              <w:left w:val="none" w:sz="0" w:space="0" w:color="auto"/>
              <w:right w:val="none" w:sz="0" w:space="0" w:color="auto"/>
            </w:tcBorders>
          </w:tcPr>
          <w:p w:rsidR="000476F6" w:rsidRPr="00600D28" w:rsidRDefault="000476F6" w:rsidP="000476F6">
            <w:pPr>
              <w:jc w:val="center"/>
              <w:cnfStyle w:val="000000100000"/>
              <w:rPr>
                <w:rFonts w:cstheme="minorHAnsi"/>
                <w:b/>
                <w:color w:val="auto"/>
                <w:lang w:val="en-GB" w:eastAsia="es-ES_tradnl"/>
              </w:rPr>
            </w:pPr>
            <w:r w:rsidRPr="00600D28">
              <w:rPr>
                <w:rFonts w:cstheme="minorHAnsi"/>
                <w:b/>
                <w:color w:val="auto"/>
                <w:lang w:val="en-GB" w:eastAsia="es-ES_tradnl"/>
              </w:rPr>
              <w:t>28,7</w:t>
            </w:r>
          </w:p>
        </w:tc>
        <w:tc>
          <w:tcPr>
            <w:tcW w:w="406" w:type="pct"/>
            <w:tcBorders>
              <w:left w:val="none" w:sz="0" w:space="0" w:color="auto"/>
              <w:right w:val="none" w:sz="0" w:space="0" w:color="auto"/>
            </w:tcBorders>
          </w:tcPr>
          <w:p w:rsidR="000476F6" w:rsidRPr="00600D28" w:rsidRDefault="000476F6" w:rsidP="000476F6">
            <w:pPr>
              <w:jc w:val="center"/>
              <w:cnfStyle w:val="000000100000"/>
              <w:rPr>
                <w:rFonts w:cstheme="minorHAnsi"/>
                <w:b/>
                <w:color w:val="auto"/>
                <w:lang w:val="en-GB" w:eastAsia="es-ES_tradnl"/>
              </w:rPr>
            </w:pPr>
            <w:r w:rsidRPr="00600D28">
              <w:rPr>
                <w:rFonts w:cstheme="minorHAnsi"/>
                <w:b/>
                <w:color w:val="auto"/>
                <w:lang w:val="en-GB" w:eastAsia="es-ES_tradnl"/>
              </w:rPr>
              <w:t>7,7</w:t>
            </w:r>
          </w:p>
        </w:tc>
      </w:tr>
      <w:tr w:rsidR="000476F6" w:rsidRPr="00277328" w:rsidTr="008E2EDE">
        <w:tc>
          <w:tcPr>
            <w:cnfStyle w:val="001000000000"/>
            <w:tcW w:w="1477" w:type="pct"/>
          </w:tcPr>
          <w:p w:rsidR="000476F6" w:rsidRPr="00277328" w:rsidRDefault="000476F6" w:rsidP="00A10138">
            <w:pPr>
              <w:rPr>
                <w:i/>
                <w:color w:val="auto"/>
                <w:lang w:val="en-GB"/>
              </w:rPr>
            </w:pPr>
            <w:r w:rsidRPr="00277328">
              <w:rPr>
                <w:i/>
                <w:color w:val="auto"/>
                <w:lang w:val="en-GB"/>
              </w:rPr>
              <w:t>Dementia</w:t>
            </w:r>
          </w:p>
        </w:tc>
        <w:tc>
          <w:tcPr>
            <w:tcW w:w="801"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444,7</w:t>
            </w:r>
          </w:p>
        </w:tc>
        <w:tc>
          <w:tcPr>
            <w:tcW w:w="353"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8,8</w:t>
            </w:r>
          </w:p>
        </w:tc>
        <w:tc>
          <w:tcPr>
            <w:tcW w:w="799"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0,2</w:t>
            </w:r>
          </w:p>
        </w:tc>
        <w:tc>
          <w:tcPr>
            <w:tcW w:w="353"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w:t>
            </w:r>
          </w:p>
        </w:tc>
        <w:tc>
          <w:tcPr>
            <w:tcW w:w="812"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0,1</w:t>
            </w:r>
          </w:p>
        </w:tc>
        <w:tc>
          <w:tcPr>
            <w:tcW w:w="406"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w:t>
            </w:r>
          </w:p>
        </w:tc>
      </w:tr>
      <w:tr w:rsidR="000476F6" w:rsidRPr="00277328" w:rsidTr="008E2EDE">
        <w:trPr>
          <w:cnfStyle w:val="000000100000"/>
        </w:trPr>
        <w:tc>
          <w:tcPr>
            <w:cnfStyle w:val="001000000000"/>
            <w:tcW w:w="1477" w:type="pct"/>
            <w:tcBorders>
              <w:left w:val="none" w:sz="0" w:space="0" w:color="auto"/>
              <w:right w:val="none" w:sz="0" w:space="0" w:color="auto"/>
            </w:tcBorders>
          </w:tcPr>
          <w:p w:rsidR="000476F6" w:rsidRPr="00277328" w:rsidRDefault="000476F6" w:rsidP="00A10138">
            <w:pPr>
              <w:rPr>
                <w:i/>
                <w:color w:val="auto"/>
                <w:lang w:val="en-GB"/>
              </w:rPr>
            </w:pPr>
            <w:r w:rsidRPr="00277328">
              <w:rPr>
                <w:i/>
                <w:color w:val="auto"/>
                <w:lang w:val="en-GB"/>
              </w:rPr>
              <w:t>Alcohol abuse</w:t>
            </w:r>
          </w:p>
        </w:tc>
        <w:tc>
          <w:tcPr>
            <w:tcW w:w="801"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381,3</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7,6</w:t>
            </w:r>
          </w:p>
        </w:tc>
        <w:tc>
          <w:tcPr>
            <w:tcW w:w="799"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56</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2,6</w:t>
            </w:r>
          </w:p>
        </w:tc>
        <w:tc>
          <w:tcPr>
            <w:tcW w:w="812"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21,9</w:t>
            </w:r>
          </w:p>
        </w:tc>
        <w:tc>
          <w:tcPr>
            <w:tcW w:w="406"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5,9</w:t>
            </w:r>
          </w:p>
        </w:tc>
      </w:tr>
      <w:tr w:rsidR="000476F6" w:rsidRPr="00277328" w:rsidTr="008E2EDE">
        <w:tc>
          <w:tcPr>
            <w:cnfStyle w:val="001000000000"/>
            <w:tcW w:w="1477" w:type="pct"/>
          </w:tcPr>
          <w:p w:rsidR="000476F6" w:rsidRPr="00277328" w:rsidRDefault="000476F6" w:rsidP="00A10138">
            <w:pPr>
              <w:rPr>
                <w:i/>
                <w:color w:val="auto"/>
                <w:lang w:val="en-GB"/>
              </w:rPr>
            </w:pPr>
            <w:r w:rsidRPr="00277328">
              <w:rPr>
                <w:i/>
                <w:color w:val="auto"/>
                <w:lang w:val="en-GB"/>
              </w:rPr>
              <w:t>Migraine</w:t>
            </w:r>
          </w:p>
        </w:tc>
        <w:tc>
          <w:tcPr>
            <w:tcW w:w="801"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208,4</w:t>
            </w:r>
          </w:p>
        </w:tc>
        <w:tc>
          <w:tcPr>
            <w:tcW w:w="353"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4,1</w:t>
            </w:r>
          </w:p>
        </w:tc>
        <w:tc>
          <w:tcPr>
            <w:tcW w:w="799"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3,6</w:t>
            </w:r>
          </w:p>
        </w:tc>
        <w:tc>
          <w:tcPr>
            <w:tcW w:w="353"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0,2</w:t>
            </w:r>
          </w:p>
        </w:tc>
        <w:tc>
          <w:tcPr>
            <w:tcW w:w="812"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0,3</w:t>
            </w:r>
          </w:p>
        </w:tc>
        <w:tc>
          <w:tcPr>
            <w:tcW w:w="406"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0,1</w:t>
            </w:r>
          </w:p>
        </w:tc>
      </w:tr>
      <w:tr w:rsidR="000476F6" w:rsidRPr="00277328" w:rsidTr="008E2EDE">
        <w:trPr>
          <w:cnfStyle w:val="000000100000"/>
        </w:trPr>
        <w:tc>
          <w:tcPr>
            <w:cnfStyle w:val="001000000000"/>
            <w:tcW w:w="1477" w:type="pct"/>
            <w:tcBorders>
              <w:left w:val="none" w:sz="0" w:space="0" w:color="auto"/>
              <w:right w:val="none" w:sz="0" w:space="0" w:color="auto"/>
            </w:tcBorders>
          </w:tcPr>
          <w:p w:rsidR="000476F6" w:rsidRPr="00277328" w:rsidRDefault="000476F6" w:rsidP="00A10138">
            <w:pPr>
              <w:rPr>
                <w:i/>
                <w:color w:val="auto"/>
                <w:lang w:val="en-GB"/>
              </w:rPr>
            </w:pPr>
            <w:r w:rsidRPr="00277328">
              <w:rPr>
                <w:i/>
                <w:color w:val="auto"/>
                <w:lang w:val="en-GB"/>
              </w:rPr>
              <w:t>Addiction to drugs</w:t>
            </w:r>
          </w:p>
        </w:tc>
        <w:tc>
          <w:tcPr>
            <w:tcW w:w="801"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79,6</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1,6</w:t>
            </w:r>
          </w:p>
        </w:tc>
        <w:tc>
          <w:tcPr>
            <w:tcW w:w="799"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0</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0</w:t>
            </w:r>
          </w:p>
        </w:tc>
        <w:tc>
          <w:tcPr>
            <w:tcW w:w="812"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0</w:t>
            </w:r>
          </w:p>
        </w:tc>
        <w:tc>
          <w:tcPr>
            <w:tcW w:w="406"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0</w:t>
            </w:r>
          </w:p>
        </w:tc>
      </w:tr>
      <w:tr w:rsidR="000476F6" w:rsidRPr="00277328" w:rsidTr="008E2EDE">
        <w:tc>
          <w:tcPr>
            <w:cnfStyle w:val="001000000000"/>
            <w:tcW w:w="1477" w:type="pct"/>
          </w:tcPr>
          <w:p w:rsidR="000476F6" w:rsidRPr="00277328" w:rsidRDefault="000476F6" w:rsidP="00A10138">
            <w:pPr>
              <w:rPr>
                <w:i/>
                <w:color w:val="auto"/>
                <w:lang w:val="en-GB"/>
              </w:rPr>
            </w:pPr>
            <w:r w:rsidRPr="00277328">
              <w:rPr>
                <w:i/>
                <w:color w:val="auto"/>
                <w:lang w:val="en-GB"/>
              </w:rPr>
              <w:t>Bipolar disorders</w:t>
            </w:r>
          </w:p>
        </w:tc>
        <w:tc>
          <w:tcPr>
            <w:tcW w:w="801"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70</w:t>
            </w:r>
          </w:p>
        </w:tc>
        <w:tc>
          <w:tcPr>
            <w:tcW w:w="353"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1,4</w:t>
            </w:r>
          </w:p>
        </w:tc>
        <w:tc>
          <w:tcPr>
            <w:tcW w:w="799"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2,3</w:t>
            </w:r>
          </w:p>
        </w:tc>
        <w:tc>
          <w:tcPr>
            <w:tcW w:w="353"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0,1</w:t>
            </w:r>
          </w:p>
        </w:tc>
        <w:tc>
          <w:tcPr>
            <w:tcW w:w="812"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0,1</w:t>
            </w:r>
          </w:p>
        </w:tc>
        <w:tc>
          <w:tcPr>
            <w:tcW w:w="406"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w:t>
            </w:r>
          </w:p>
        </w:tc>
      </w:tr>
      <w:tr w:rsidR="000476F6" w:rsidRPr="00277328" w:rsidTr="008E2EDE">
        <w:trPr>
          <w:cnfStyle w:val="000000100000"/>
        </w:trPr>
        <w:tc>
          <w:tcPr>
            <w:cnfStyle w:val="001000000000"/>
            <w:tcW w:w="1477" w:type="pct"/>
            <w:tcBorders>
              <w:left w:val="none" w:sz="0" w:space="0" w:color="auto"/>
              <w:right w:val="none" w:sz="0" w:space="0" w:color="auto"/>
            </w:tcBorders>
          </w:tcPr>
          <w:p w:rsidR="000476F6" w:rsidRPr="00277328" w:rsidRDefault="000476F6" w:rsidP="00A10138">
            <w:pPr>
              <w:rPr>
                <w:i/>
                <w:color w:val="auto"/>
                <w:lang w:val="en-GB"/>
              </w:rPr>
            </w:pPr>
            <w:r w:rsidRPr="00277328">
              <w:rPr>
                <w:i/>
                <w:color w:val="auto"/>
                <w:lang w:val="en-GB"/>
              </w:rPr>
              <w:t>Schizophrenia</w:t>
            </w:r>
          </w:p>
        </w:tc>
        <w:tc>
          <w:tcPr>
            <w:tcW w:w="801"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68,3</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1,4</w:t>
            </w:r>
          </w:p>
        </w:tc>
        <w:tc>
          <w:tcPr>
            <w:tcW w:w="799"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0,1</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0</w:t>
            </w:r>
          </w:p>
        </w:tc>
        <w:tc>
          <w:tcPr>
            <w:tcW w:w="812"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0</w:t>
            </w:r>
          </w:p>
        </w:tc>
        <w:tc>
          <w:tcPr>
            <w:tcW w:w="406"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0</w:t>
            </w:r>
          </w:p>
        </w:tc>
      </w:tr>
      <w:tr w:rsidR="000476F6" w:rsidRPr="00277328" w:rsidTr="008E2EDE">
        <w:tc>
          <w:tcPr>
            <w:cnfStyle w:val="001000000000"/>
            <w:tcW w:w="1477" w:type="pct"/>
          </w:tcPr>
          <w:p w:rsidR="000476F6" w:rsidRPr="00277328" w:rsidRDefault="000476F6" w:rsidP="00A10138">
            <w:pPr>
              <w:rPr>
                <w:i/>
                <w:color w:val="auto"/>
                <w:lang w:val="en-GB"/>
              </w:rPr>
            </w:pPr>
            <w:r w:rsidRPr="00277328">
              <w:rPr>
                <w:i/>
                <w:color w:val="auto"/>
                <w:lang w:val="en-GB"/>
              </w:rPr>
              <w:t>Parkinson's disease</w:t>
            </w:r>
          </w:p>
        </w:tc>
        <w:tc>
          <w:tcPr>
            <w:tcW w:w="801"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64,1</w:t>
            </w:r>
          </w:p>
        </w:tc>
        <w:tc>
          <w:tcPr>
            <w:tcW w:w="353"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1,3</w:t>
            </w:r>
          </w:p>
        </w:tc>
        <w:tc>
          <w:tcPr>
            <w:tcW w:w="799"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1</w:t>
            </w:r>
          </w:p>
        </w:tc>
        <w:tc>
          <w:tcPr>
            <w:tcW w:w="353"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w:t>
            </w:r>
          </w:p>
        </w:tc>
        <w:tc>
          <w:tcPr>
            <w:tcW w:w="812"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0,1</w:t>
            </w:r>
          </w:p>
        </w:tc>
        <w:tc>
          <w:tcPr>
            <w:tcW w:w="406"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w:t>
            </w:r>
          </w:p>
        </w:tc>
      </w:tr>
      <w:tr w:rsidR="000476F6" w:rsidRPr="00277328" w:rsidTr="008E2EDE">
        <w:trPr>
          <w:cnfStyle w:val="000000100000"/>
        </w:trPr>
        <w:tc>
          <w:tcPr>
            <w:cnfStyle w:val="001000000000"/>
            <w:tcW w:w="1477" w:type="pct"/>
            <w:tcBorders>
              <w:left w:val="none" w:sz="0" w:space="0" w:color="auto"/>
              <w:right w:val="none" w:sz="0" w:space="0" w:color="auto"/>
            </w:tcBorders>
          </w:tcPr>
          <w:p w:rsidR="000476F6" w:rsidRPr="00277328" w:rsidRDefault="000476F6" w:rsidP="00A10138">
            <w:pPr>
              <w:rPr>
                <w:i/>
                <w:color w:val="auto"/>
                <w:lang w:val="en-GB"/>
              </w:rPr>
            </w:pPr>
            <w:r w:rsidRPr="00277328">
              <w:rPr>
                <w:i/>
                <w:color w:val="auto"/>
                <w:lang w:val="en-GB"/>
              </w:rPr>
              <w:t>Obsessive-Compulsive Disorder</w:t>
            </w:r>
          </w:p>
        </w:tc>
        <w:tc>
          <w:tcPr>
            <w:tcW w:w="801"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30,2</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0,6</w:t>
            </w:r>
          </w:p>
        </w:tc>
        <w:tc>
          <w:tcPr>
            <w:tcW w:w="799"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8,5</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0,4</w:t>
            </w:r>
          </w:p>
        </w:tc>
        <w:tc>
          <w:tcPr>
            <w:tcW w:w="812"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2,6</w:t>
            </w:r>
          </w:p>
        </w:tc>
        <w:tc>
          <w:tcPr>
            <w:tcW w:w="406"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0,7</w:t>
            </w:r>
          </w:p>
        </w:tc>
      </w:tr>
      <w:tr w:rsidR="000476F6" w:rsidRPr="00277328" w:rsidTr="008E2EDE">
        <w:tc>
          <w:tcPr>
            <w:cnfStyle w:val="001000000000"/>
            <w:tcW w:w="1477" w:type="pct"/>
          </w:tcPr>
          <w:p w:rsidR="000476F6" w:rsidRPr="00277328" w:rsidRDefault="000476F6" w:rsidP="00703164">
            <w:pPr>
              <w:rPr>
                <w:i/>
                <w:color w:val="auto"/>
                <w:lang w:val="en-GB"/>
              </w:rPr>
            </w:pPr>
            <w:r w:rsidRPr="00277328">
              <w:rPr>
                <w:i/>
                <w:color w:val="auto"/>
                <w:lang w:val="en-GB"/>
              </w:rPr>
              <w:t>Epilepsy</w:t>
            </w:r>
          </w:p>
          <w:p w:rsidR="000476F6" w:rsidRPr="00277328" w:rsidRDefault="000476F6" w:rsidP="00A10138">
            <w:pPr>
              <w:rPr>
                <w:i/>
                <w:color w:val="auto"/>
                <w:lang w:val="en-GB"/>
              </w:rPr>
            </w:pPr>
          </w:p>
        </w:tc>
        <w:tc>
          <w:tcPr>
            <w:tcW w:w="801"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28,7</w:t>
            </w:r>
          </w:p>
        </w:tc>
        <w:tc>
          <w:tcPr>
            <w:tcW w:w="353"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0,6</w:t>
            </w:r>
          </w:p>
        </w:tc>
        <w:tc>
          <w:tcPr>
            <w:tcW w:w="799"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w:t>
            </w:r>
          </w:p>
        </w:tc>
        <w:tc>
          <w:tcPr>
            <w:tcW w:w="353"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w:t>
            </w:r>
          </w:p>
        </w:tc>
        <w:tc>
          <w:tcPr>
            <w:tcW w:w="812"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w:t>
            </w:r>
          </w:p>
        </w:tc>
        <w:tc>
          <w:tcPr>
            <w:tcW w:w="406"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w:t>
            </w:r>
          </w:p>
        </w:tc>
      </w:tr>
      <w:tr w:rsidR="000476F6" w:rsidRPr="00277328" w:rsidTr="008E2EDE">
        <w:trPr>
          <w:cnfStyle w:val="000000100000"/>
        </w:trPr>
        <w:tc>
          <w:tcPr>
            <w:cnfStyle w:val="001000000000"/>
            <w:tcW w:w="1477" w:type="pct"/>
            <w:tcBorders>
              <w:left w:val="none" w:sz="0" w:space="0" w:color="auto"/>
              <w:right w:val="none" w:sz="0" w:space="0" w:color="auto"/>
            </w:tcBorders>
          </w:tcPr>
          <w:p w:rsidR="000476F6" w:rsidRPr="00277328" w:rsidRDefault="000476F6" w:rsidP="00A10138">
            <w:pPr>
              <w:rPr>
                <w:i/>
                <w:color w:val="auto"/>
                <w:lang w:val="en-GB"/>
              </w:rPr>
            </w:pPr>
            <w:r w:rsidRPr="00277328">
              <w:rPr>
                <w:i/>
                <w:color w:val="auto"/>
                <w:lang w:val="en-GB"/>
              </w:rPr>
              <w:t>Multiple Sclerosis</w:t>
            </w:r>
          </w:p>
        </w:tc>
        <w:tc>
          <w:tcPr>
            <w:tcW w:w="801"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13,9</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0,3</w:t>
            </w:r>
          </w:p>
        </w:tc>
        <w:tc>
          <w:tcPr>
            <w:tcW w:w="799"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4,8</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0,2</w:t>
            </w:r>
          </w:p>
        </w:tc>
        <w:tc>
          <w:tcPr>
            <w:tcW w:w="812"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0,4</w:t>
            </w:r>
          </w:p>
        </w:tc>
        <w:tc>
          <w:tcPr>
            <w:tcW w:w="406"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0,1</w:t>
            </w:r>
          </w:p>
        </w:tc>
      </w:tr>
      <w:tr w:rsidR="000476F6" w:rsidRPr="00277328" w:rsidTr="008E2EDE">
        <w:trPr>
          <w:trHeight w:val="469"/>
        </w:trPr>
        <w:tc>
          <w:tcPr>
            <w:cnfStyle w:val="001000000000"/>
            <w:tcW w:w="1477" w:type="pct"/>
          </w:tcPr>
          <w:p w:rsidR="000476F6" w:rsidRPr="00277328" w:rsidRDefault="000476F6" w:rsidP="00703164">
            <w:pPr>
              <w:rPr>
                <w:b w:val="0"/>
                <w:color w:val="auto"/>
                <w:lang w:val="en-GB"/>
              </w:rPr>
            </w:pPr>
            <w:r w:rsidRPr="00277328">
              <w:rPr>
                <w:b w:val="0"/>
                <w:color w:val="auto"/>
                <w:lang w:val="en-GB"/>
              </w:rPr>
              <w:t>Sense organs</w:t>
            </w:r>
          </w:p>
        </w:tc>
        <w:tc>
          <w:tcPr>
            <w:tcW w:w="801"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10,1</w:t>
            </w:r>
          </w:p>
        </w:tc>
        <w:tc>
          <w:tcPr>
            <w:tcW w:w="353"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0,2</w:t>
            </w:r>
          </w:p>
        </w:tc>
        <w:tc>
          <w:tcPr>
            <w:tcW w:w="799"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2,3</w:t>
            </w:r>
          </w:p>
        </w:tc>
        <w:tc>
          <w:tcPr>
            <w:tcW w:w="353"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0,1</w:t>
            </w:r>
          </w:p>
        </w:tc>
        <w:tc>
          <w:tcPr>
            <w:tcW w:w="812"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0,2</w:t>
            </w:r>
          </w:p>
        </w:tc>
        <w:tc>
          <w:tcPr>
            <w:tcW w:w="406"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w:t>
            </w:r>
          </w:p>
        </w:tc>
      </w:tr>
      <w:tr w:rsidR="000476F6" w:rsidRPr="00277328" w:rsidTr="008E2EDE">
        <w:trPr>
          <w:cnfStyle w:val="000000100000"/>
        </w:trPr>
        <w:tc>
          <w:tcPr>
            <w:cnfStyle w:val="001000000000"/>
            <w:tcW w:w="1477" w:type="pct"/>
            <w:tcBorders>
              <w:left w:val="none" w:sz="0" w:space="0" w:color="auto"/>
              <w:right w:val="none" w:sz="0" w:space="0" w:color="auto"/>
            </w:tcBorders>
          </w:tcPr>
          <w:p w:rsidR="000476F6" w:rsidRPr="00277328" w:rsidRDefault="000476F6" w:rsidP="00A10138">
            <w:pPr>
              <w:rPr>
                <w:i/>
                <w:color w:val="auto"/>
                <w:lang w:val="en-GB"/>
              </w:rPr>
            </w:pPr>
            <w:r w:rsidRPr="00277328">
              <w:rPr>
                <w:i/>
                <w:color w:val="auto"/>
                <w:lang w:val="en-GB"/>
              </w:rPr>
              <w:t>Glaucoma</w:t>
            </w:r>
          </w:p>
        </w:tc>
        <w:tc>
          <w:tcPr>
            <w:tcW w:w="801"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260</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5,2</w:t>
            </w:r>
          </w:p>
        </w:tc>
        <w:tc>
          <w:tcPr>
            <w:tcW w:w="799"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0</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0</w:t>
            </w:r>
          </w:p>
        </w:tc>
        <w:tc>
          <w:tcPr>
            <w:tcW w:w="812"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0</w:t>
            </w:r>
          </w:p>
        </w:tc>
        <w:tc>
          <w:tcPr>
            <w:tcW w:w="406"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0</w:t>
            </w:r>
          </w:p>
        </w:tc>
      </w:tr>
      <w:tr w:rsidR="000476F6" w:rsidRPr="00277328" w:rsidTr="008E2EDE">
        <w:tc>
          <w:tcPr>
            <w:cnfStyle w:val="001000000000"/>
            <w:tcW w:w="1477" w:type="pct"/>
          </w:tcPr>
          <w:p w:rsidR="000476F6" w:rsidRPr="00277328" w:rsidRDefault="000476F6" w:rsidP="00A10138">
            <w:pPr>
              <w:rPr>
                <w:b w:val="0"/>
                <w:color w:val="auto"/>
                <w:lang w:val="en-GB"/>
              </w:rPr>
            </w:pPr>
            <w:r w:rsidRPr="00277328">
              <w:rPr>
                <w:b w:val="0"/>
                <w:color w:val="auto"/>
                <w:lang w:val="en-GB"/>
              </w:rPr>
              <w:t>Cardiovascular Diseases</w:t>
            </w:r>
          </w:p>
        </w:tc>
        <w:tc>
          <w:tcPr>
            <w:tcW w:w="801"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11,1</w:t>
            </w:r>
          </w:p>
        </w:tc>
        <w:tc>
          <w:tcPr>
            <w:tcW w:w="353"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0,2</w:t>
            </w:r>
          </w:p>
        </w:tc>
        <w:tc>
          <w:tcPr>
            <w:tcW w:w="799"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w:t>
            </w:r>
          </w:p>
        </w:tc>
        <w:tc>
          <w:tcPr>
            <w:tcW w:w="353"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w:t>
            </w:r>
          </w:p>
        </w:tc>
        <w:tc>
          <w:tcPr>
            <w:tcW w:w="812"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w:t>
            </w:r>
          </w:p>
        </w:tc>
        <w:tc>
          <w:tcPr>
            <w:tcW w:w="406"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w:t>
            </w:r>
          </w:p>
        </w:tc>
      </w:tr>
      <w:tr w:rsidR="000476F6" w:rsidRPr="00277328" w:rsidTr="008E2EDE">
        <w:trPr>
          <w:cnfStyle w:val="000000100000"/>
        </w:trPr>
        <w:tc>
          <w:tcPr>
            <w:cnfStyle w:val="001000000000"/>
            <w:tcW w:w="1477" w:type="pct"/>
            <w:tcBorders>
              <w:left w:val="none" w:sz="0" w:space="0" w:color="auto"/>
              <w:right w:val="none" w:sz="0" w:space="0" w:color="auto"/>
            </w:tcBorders>
          </w:tcPr>
          <w:p w:rsidR="000476F6" w:rsidRPr="00277328" w:rsidRDefault="000476F6" w:rsidP="00A10138">
            <w:pPr>
              <w:rPr>
                <w:i/>
                <w:color w:val="auto"/>
                <w:lang w:val="en-GB"/>
              </w:rPr>
            </w:pPr>
            <w:r w:rsidRPr="00277328">
              <w:rPr>
                <w:i/>
                <w:color w:val="auto"/>
                <w:lang w:val="en-GB"/>
              </w:rPr>
              <w:t>Ischemic heart disease</w:t>
            </w:r>
          </w:p>
        </w:tc>
        <w:tc>
          <w:tcPr>
            <w:tcW w:w="801"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618,2</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12,3</w:t>
            </w:r>
          </w:p>
        </w:tc>
        <w:tc>
          <w:tcPr>
            <w:tcW w:w="799"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517,9</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24,4</w:t>
            </w:r>
          </w:p>
        </w:tc>
        <w:tc>
          <w:tcPr>
            <w:tcW w:w="812"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124,8</w:t>
            </w:r>
          </w:p>
        </w:tc>
        <w:tc>
          <w:tcPr>
            <w:tcW w:w="406"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33,6</w:t>
            </w:r>
          </w:p>
        </w:tc>
      </w:tr>
      <w:tr w:rsidR="000476F6" w:rsidRPr="00277328" w:rsidTr="008E2EDE">
        <w:tc>
          <w:tcPr>
            <w:cnfStyle w:val="001000000000"/>
            <w:tcW w:w="1477" w:type="pct"/>
          </w:tcPr>
          <w:p w:rsidR="000476F6" w:rsidRPr="00277328" w:rsidRDefault="000476F6" w:rsidP="00703164">
            <w:pPr>
              <w:rPr>
                <w:i/>
                <w:color w:val="auto"/>
                <w:lang w:val="en-GB"/>
              </w:rPr>
            </w:pPr>
            <w:r w:rsidRPr="00277328">
              <w:rPr>
                <w:i/>
                <w:color w:val="auto"/>
                <w:lang w:val="en-GB"/>
              </w:rPr>
              <w:t>Cerebrovascular</w:t>
            </w:r>
          </w:p>
          <w:p w:rsidR="000476F6" w:rsidRPr="00277328" w:rsidRDefault="000476F6" w:rsidP="00A10138">
            <w:pPr>
              <w:rPr>
                <w:i/>
                <w:color w:val="auto"/>
                <w:lang w:val="en-GB"/>
              </w:rPr>
            </w:pPr>
            <w:r w:rsidRPr="00277328">
              <w:rPr>
                <w:i/>
                <w:color w:val="auto"/>
                <w:lang w:val="en-GB"/>
              </w:rPr>
              <w:t>Disease (stroke)</w:t>
            </w:r>
          </w:p>
        </w:tc>
        <w:tc>
          <w:tcPr>
            <w:tcW w:w="801"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227</w:t>
            </w:r>
          </w:p>
        </w:tc>
        <w:tc>
          <w:tcPr>
            <w:tcW w:w="353"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4,5</w:t>
            </w:r>
          </w:p>
        </w:tc>
        <w:tc>
          <w:tcPr>
            <w:tcW w:w="799"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194,5</w:t>
            </w:r>
          </w:p>
        </w:tc>
        <w:tc>
          <w:tcPr>
            <w:tcW w:w="353"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9,2</w:t>
            </w:r>
          </w:p>
        </w:tc>
        <w:tc>
          <w:tcPr>
            <w:tcW w:w="812"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38,5</w:t>
            </w:r>
          </w:p>
        </w:tc>
        <w:tc>
          <w:tcPr>
            <w:tcW w:w="406"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10,4</w:t>
            </w:r>
          </w:p>
        </w:tc>
      </w:tr>
      <w:tr w:rsidR="000476F6" w:rsidRPr="00277328" w:rsidTr="008E2EDE">
        <w:trPr>
          <w:cnfStyle w:val="000000100000"/>
        </w:trPr>
        <w:tc>
          <w:tcPr>
            <w:cnfStyle w:val="001000000000"/>
            <w:tcW w:w="1477" w:type="pct"/>
            <w:tcBorders>
              <w:left w:val="none" w:sz="0" w:space="0" w:color="auto"/>
              <w:right w:val="none" w:sz="0" w:space="0" w:color="auto"/>
            </w:tcBorders>
          </w:tcPr>
          <w:p w:rsidR="000476F6" w:rsidRPr="00277328" w:rsidRDefault="000476F6" w:rsidP="00A10138">
            <w:pPr>
              <w:rPr>
                <w:i/>
                <w:color w:val="auto"/>
                <w:lang w:val="en-GB"/>
              </w:rPr>
            </w:pPr>
            <w:r w:rsidRPr="00277328">
              <w:rPr>
                <w:i/>
                <w:color w:val="auto"/>
                <w:lang w:val="en-GB"/>
              </w:rPr>
              <w:t>Inflammatory heart</w:t>
            </w:r>
          </w:p>
        </w:tc>
        <w:tc>
          <w:tcPr>
            <w:tcW w:w="801"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145,1</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2,9</w:t>
            </w:r>
          </w:p>
        </w:tc>
        <w:tc>
          <w:tcPr>
            <w:tcW w:w="799"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130,3</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6,1</w:t>
            </w:r>
          </w:p>
        </w:tc>
        <w:tc>
          <w:tcPr>
            <w:tcW w:w="812"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34</w:t>
            </w:r>
          </w:p>
        </w:tc>
        <w:tc>
          <w:tcPr>
            <w:tcW w:w="406"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9,2</w:t>
            </w:r>
          </w:p>
        </w:tc>
      </w:tr>
      <w:tr w:rsidR="000476F6" w:rsidRPr="00277328" w:rsidTr="008E2EDE">
        <w:tc>
          <w:tcPr>
            <w:cnfStyle w:val="001000000000"/>
            <w:tcW w:w="1477" w:type="pct"/>
          </w:tcPr>
          <w:p w:rsidR="000476F6" w:rsidRPr="00277328" w:rsidRDefault="000476F6" w:rsidP="00A10138">
            <w:pPr>
              <w:rPr>
                <w:i/>
                <w:color w:val="auto"/>
                <w:lang w:val="en-GB"/>
              </w:rPr>
            </w:pPr>
            <w:r w:rsidRPr="00277328">
              <w:rPr>
                <w:i/>
                <w:color w:val="auto"/>
                <w:lang w:val="en-GB"/>
              </w:rPr>
              <w:t>Hypertension</w:t>
            </w:r>
          </w:p>
        </w:tc>
        <w:tc>
          <w:tcPr>
            <w:tcW w:w="801"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50,2</w:t>
            </w:r>
          </w:p>
        </w:tc>
        <w:tc>
          <w:tcPr>
            <w:tcW w:w="353"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1</w:t>
            </w:r>
          </w:p>
        </w:tc>
        <w:tc>
          <w:tcPr>
            <w:tcW w:w="799"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30,4</w:t>
            </w:r>
          </w:p>
        </w:tc>
        <w:tc>
          <w:tcPr>
            <w:tcW w:w="353"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1,4</w:t>
            </w:r>
          </w:p>
        </w:tc>
        <w:tc>
          <w:tcPr>
            <w:tcW w:w="812"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6,3</w:t>
            </w:r>
          </w:p>
        </w:tc>
        <w:tc>
          <w:tcPr>
            <w:tcW w:w="406"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1,7</w:t>
            </w:r>
          </w:p>
        </w:tc>
      </w:tr>
      <w:tr w:rsidR="000476F6" w:rsidRPr="00277328" w:rsidTr="008E2EDE">
        <w:trPr>
          <w:cnfStyle w:val="000000100000"/>
        </w:trPr>
        <w:tc>
          <w:tcPr>
            <w:cnfStyle w:val="001000000000"/>
            <w:tcW w:w="1477" w:type="pct"/>
            <w:tcBorders>
              <w:left w:val="none" w:sz="0" w:space="0" w:color="auto"/>
              <w:right w:val="none" w:sz="0" w:space="0" w:color="auto"/>
            </w:tcBorders>
          </w:tcPr>
          <w:p w:rsidR="000476F6" w:rsidRPr="00277328" w:rsidRDefault="000476F6" w:rsidP="00A10138">
            <w:pPr>
              <w:rPr>
                <w:b w:val="0"/>
                <w:color w:val="auto"/>
                <w:lang w:val="en-GB"/>
              </w:rPr>
            </w:pPr>
            <w:r w:rsidRPr="00277328">
              <w:rPr>
                <w:b w:val="0"/>
                <w:color w:val="auto"/>
                <w:lang w:val="en-GB"/>
              </w:rPr>
              <w:t>Respiratory disorders</w:t>
            </w:r>
          </w:p>
        </w:tc>
        <w:tc>
          <w:tcPr>
            <w:tcW w:w="801"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26,1</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0,5</w:t>
            </w:r>
          </w:p>
        </w:tc>
        <w:tc>
          <w:tcPr>
            <w:tcW w:w="799"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21,2</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1</w:t>
            </w:r>
          </w:p>
        </w:tc>
        <w:tc>
          <w:tcPr>
            <w:tcW w:w="812"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6,9</w:t>
            </w:r>
          </w:p>
        </w:tc>
        <w:tc>
          <w:tcPr>
            <w:tcW w:w="406"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1,9</w:t>
            </w:r>
          </w:p>
        </w:tc>
      </w:tr>
      <w:tr w:rsidR="000476F6" w:rsidRPr="00277328" w:rsidTr="008E2EDE">
        <w:tc>
          <w:tcPr>
            <w:cnfStyle w:val="001000000000"/>
            <w:tcW w:w="1477" w:type="pct"/>
          </w:tcPr>
          <w:p w:rsidR="000476F6" w:rsidRPr="00277328" w:rsidRDefault="000476F6" w:rsidP="00A10138">
            <w:pPr>
              <w:rPr>
                <w:i/>
                <w:color w:val="auto"/>
                <w:lang w:val="en-GB"/>
              </w:rPr>
            </w:pPr>
            <w:r w:rsidRPr="00277328">
              <w:rPr>
                <w:i/>
                <w:color w:val="auto"/>
                <w:lang w:val="en-GB"/>
              </w:rPr>
              <w:t>COPD</w:t>
            </w:r>
          </w:p>
        </w:tc>
        <w:tc>
          <w:tcPr>
            <w:tcW w:w="801" w:type="pct"/>
          </w:tcPr>
          <w:p w:rsidR="000476F6" w:rsidRPr="00277328" w:rsidRDefault="000476F6" w:rsidP="000476F6">
            <w:pPr>
              <w:jc w:val="center"/>
              <w:cnfStyle w:val="000000000000"/>
              <w:rPr>
                <w:rFonts w:cstheme="minorHAnsi"/>
                <w:color w:val="auto"/>
                <w:lang w:val="en-GB" w:eastAsia="es-ES_tradnl"/>
              </w:rPr>
            </w:pPr>
            <w:r w:rsidRPr="00277328">
              <w:rPr>
                <w:rFonts w:cstheme="minorHAnsi"/>
                <w:color w:val="auto"/>
                <w:lang w:val="en-GB" w:eastAsia="es-ES_tradnl"/>
              </w:rPr>
              <w:t>377,4</w:t>
            </w:r>
          </w:p>
        </w:tc>
        <w:tc>
          <w:tcPr>
            <w:tcW w:w="353" w:type="pct"/>
          </w:tcPr>
          <w:p w:rsidR="000476F6" w:rsidRPr="00277328" w:rsidRDefault="000476F6" w:rsidP="000476F6">
            <w:pPr>
              <w:jc w:val="center"/>
              <w:cnfStyle w:val="000000000000"/>
              <w:rPr>
                <w:rFonts w:cstheme="minorHAnsi"/>
                <w:color w:val="auto"/>
                <w:lang w:val="en-GB" w:eastAsia="es-ES_tradnl"/>
              </w:rPr>
            </w:pPr>
            <w:r w:rsidRPr="00277328">
              <w:rPr>
                <w:rFonts w:cstheme="minorHAnsi"/>
                <w:color w:val="auto"/>
                <w:lang w:val="en-GB" w:eastAsia="es-ES_tradnl"/>
              </w:rPr>
              <w:t>7,5</w:t>
            </w:r>
          </w:p>
        </w:tc>
        <w:tc>
          <w:tcPr>
            <w:tcW w:w="799" w:type="pct"/>
          </w:tcPr>
          <w:p w:rsidR="000476F6" w:rsidRPr="00277328" w:rsidRDefault="000476F6" w:rsidP="000476F6">
            <w:pPr>
              <w:jc w:val="center"/>
              <w:cnfStyle w:val="000000000000"/>
              <w:rPr>
                <w:rFonts w:cstheme="minorHAnsi"/>
                <w:color w:val="auto"/>
                <w:lang w:val="en-GB" w:eastAsia="es-ES_tradnl"/>
              </w:rPr>
            </w:pPr>
            <w:r w:rsidRPr="00277328">
              <w:rPr>
                <w:rFonts w:cstheme="minorHAnsi"/>
                <w:color w:val="auto"/>
                <w:lang w:val="en-GB" w:eastAsia="es-ES_tradnl"/>
              </w:rPr>
              <w:t>123,7</w:t>
            </w:r>
          </w:p>
        </w:tc>
        <w:tc>
          <w:tcPr>
            <w:tcW w:w="353" w:type="pct"/>
          </w:tcPr>
          <w:p w:rsidR="000476F6" w:rsidRPr="00277328" w:rsidRDefault="000476F6" w:rsidP="000476F6">
            <w:pPr>
              <w:jc w:val="center"/>
              <w:cnfStyle w:val="000000000000"/>
              <w:rPr>
                <w:rFonts w:cstheme="minorHAnsi"/>
                <w:color w:val="auto"/>
                <w:lang w:val="en-GB" w:eastAsia="es-ES_tradnl"/>
              </w:rPr>
            </w:pPr>
            <w:r w:rsidRPr="00277328">
              <w:rPr>
                <w:rFonts w:cstheme="minorHAnsi"/>
                <w:color w:val="auto"/>
                <w:lang w:val="en-GB" w:eastAsia="es-ES_tradnl"/>
              </w:rPr>
              <w:t>5,8</w:t>
            </w:r>
          </w:p>
        </w:tc>
        <w:tc>
          <w:tcPr>
            <w:tcW w:w="812" w:type="pct"/>
          </w:tcPr>
          <w:p w:rsidR="000476F6" w:rsidRPr="00277328" w:rsidRDefault="000476F6" w:rsidP="000476F6">
            <w:pPr>
              <w:jc w:val="center"/>
              <w:cnfStyle w:val="000000000000"/>
              <w:rPr>
                <w:rFonts w:cstheme="minorHAnsi"/>
                <w:color w:val="auto"/>
                <w:lang w:val="en-GB" w:eastAsia="es-ES_tradnl"/>
              </w:rPr>
            </w:pPr>
            <w:r w:rsidRPr="00277328">
              <w:rPr>
                <w:rFonts w:cstheme="minorHAnsi"/>
                <w:color w:val="auto"/>
                <w:lang w:val="en-GB" w:eastAsia="es-ES_tradnl"/>
              </w:rPr>
              <w:t>31,7</w:t>
            </w:r>
          </w:p>
        </w:tc>
        <w:tc>
          <w:tcPr>
            <w:tcW w:w="406" w:type="pct"/>
          </w:tcPr>
          <w:p w:rsidR="000476F6" w:rsidRPr="00277328" w:rsidRDefault="000476F6" w:rsidP="000476F6">
            <w:pPr>
              <w:jc w:val="center"/>
              <w:cnfStyle w:val="000000000000"/>
              <w:rPr>
                <w:rFonts w:cstheme="minorHAnsi"/>
                <w:color w:val="auto"/>
                <w:lang w:val="en-GB" w:eastAsia="es-ES_tradnl"/>
              </w:rPr>
            </w:pPr>
            <w:r w:rsidRPr="00277328">
              <w:rPr>
                <w:rFonts w:cstheme="minorHAnsi"/>
                <w:color w:val="auto"/>
                <w:lang w:val="en-GB" w:eastAsia="es-ES_tradnl"/>
              </w:rPr>
              <w:t>8,5</w:t>
            </w:r>
          </w:p>
        </w:tc>
      </w:tr>
      <w:tr w:rsidR="000476F6" w:rsidRPr="00277328" w:rsidTr="008E2EDE">
        <w:trPr>
          <w:cnfStyle w:val="000000100000"/>
        </w:trPr>
        <w:tc>
          <w:tcPr>
            <w:cnfStyle w:val="001000000000"/>
            <w:tcW w:w="1477" w:type="pct"/>
            <w:tcBorders>
              <w:left w:val="none" w:sz="0" w:space="0" w:color="auto"/>
              <w:right w:val="none" w:sz="0" w:space="0" w:color="auto"/>
            </w:tcBorders>
          </w:tcPr>
          <w:p w:rsidR="000476F6" w:rsidRPr="00277328" w:rsidRDefault="000476F6" w:rsidP="00A10138">
            <w:pPr>
              <w:rPr>
                <w:i/>
                <w:color w:val="auto"/>
                <w:lang w:val="en-GB"/>
              </w:rPr>
            </w:pPr>
            <w:r w:rsidRPr="00277328">
              <w:rPr>
                <w:i/>
                <w:color w:val="auto"/>
                <w:lang w:val="en-GB"/>
              </w:rPr>
              <w:t>Asthma</w:t>
            </w:r>
          </w:p>
        </w:tc>
        <w:tc>
          <w:tcPr>
            <w:tcW w:w="801"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114,4</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2,3</w:t>
            </w:r>
          </w:p>
        </w:tc>
        <w:tc>
          <w:tcPr>
            <w:tcW w:w="799"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56,8</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2,7</w:t>
            </w:r>
          </w:p>
        </w:tc>
        <w:tc>
          <w:tcPr>
            <w:tcW w:w="812"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16,6</w:t>
            </w:r>
          </w:p>
        </w:tc>
        <w:tc>
          <w:tcPr>
            <w:tcW w:w="406"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4,5</w:t>
            </w:r>
          </w:p>
        </w:tc>
      </w:tr>
      <w:tr w:rsidR="000476F6" w:rsidRPr="00277328" w:rsidTr="008E2EDE">
        <w:tc>
          <w:tcPr>
            <w:cnfStyle w:val="001000000000"/>
            <w:tcW w:w="1477" w:type="pct"/>
          </w:tcPr>
          <w:p w:rsidR="000476F6" w:rsidRPr="00277328" w:rsidRDefault="000476F6" w:rsidP="002E6B70">
            <w:pPr>
              <w:rPr>
                <w:b w:val="0"/>
                <w:color w:val="auto"/>
                <w:lang w:val="en-GB"/>
              </w:rPr>
            </w:pPr>
            <w:r w:rsidRPr="00277328">
              <w:rPr>
                <w:b w:val="0"/>
                <w:color w:val="auto"/>
                <w:lang w:val="en-GB"/>
              </w:rPr>
              <w:t>Gastrointenstinal diseases</w:t>
            </w:r>
          </w:p>
        </w:tc>
        <w:tc>
          <w:tcPr>
            <w:tcW w:w="801"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67,4</w:t>
            </w:r>
          </w:p>
        </w:tc>
        <w:tc>
          <w:tcPr>
            <w:tcW w:w="353"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1,3</w:t>
            </w:r>
          </w:p>
        </w:tc>
        <w:tc>
          <w:tcPr>
            <w:tcW w:w="799"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4</w:t>
            </w:r>
          </w:p>
        </w:tc>
        <w:tc>
          <w:tcPr>
            <w:tcW w:w="353"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0,2</w:t>
            </w:r>
          </w:p>
        </w:tc>
        <w:tc>
          <w:tcPr>
            <w:tcW w:w="812"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0,8</w:t>
            </w:r>
          </w:p>
        </w:tc>
        <w:tc>
          <w:tcPr>
            <w:tcW w:w="406"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0,2</w:t>
            </w:r>
          </w:p>
        </w:tc>
      </w:tr>
      <w:tr w:rsidR="000476F6" w:rsidRPr="00277328" w:rsidTr="008E2EDE">
        <w:trPr>
          <w:cnfStyle w:val="000000100000"/>
        </w:trPr>
        <w:tc>
          <w:tcPr>
            <w:cnfStyle w:val="001000000000"/>
            <w:tcW w:w="1477" w:type="pct"/>
            <w:tcBorders>
              <w:left w:val="none" w:sz="0" w:space="0" w:color="auto"/>
              <w:right w:val="none" w:sz="0" w:space="0" w:color="auto"/>
            </w:tcBorders>
          </w:tcPr>
          <w:p w:rsidR="000476F6" w:rsidRPr="00277328" w:rsidRDefault="000476F6" w:rsidP="00A10138">
            <w:pPr>
              <w:rPr>
                <w:i/>
                <w:color w:val="auto"/>
                <w:lang w:val="en-GB"/>
              </w:rPr>
            </w:pPr>
            <w:r w:rsidRPr="00277328">
              <w:rPr>
                <w:i/>
                <w:color w:val="auto"/>
                <w:lang w:val="en-GB"/>
              </w:rPr>
              <w:t>Cirrhosis</w:t>
            </w:r>
          </w:p>
        </w:tc>
        <w:tc>
          <w:tcPr>
            <w:tcW w:w="801"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225,9</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4,5</w:t>
            </w:r>
          </w:p>
        </w:tc>
        <w:tc>
          <w:tcPr>
            <w:tcW w:w="799"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120,8</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5,7</w:t>
            </w:r>
          </w:p>
        </w:tc>
        <w:tc>
          <w:tcPr>
            <w:tcW w:w="812"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20</w:t>
            </w:r>
          </w:p>
        </w:tc>
        <w:tc>
          <w:tcPr>
            <w:tcW w:w="406"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5,4</w:t>
            </w:r>
          </w:p>
        </w:tc>
      </w:tr>
      <w:tr w:rsidR="000476F6" w:rsidRPr="00277328" w:rsidTr="008E2EDE">
        <w:tc>
          <w:tcPr>
            <w:cnfStyle w:val="001000000000"/>
            <w:tcW w:w="1477" w:type="pct"/>
          </w:tcPr>
          <w:p w:rsidR="000476F6" w:rsidRPr="00277328" w:rsidRDefault="000476F6" w:rsidP="00A10138">
            <w:pPr>
              <w:rPr>
                <w:b w:val="0"/>
                <w:color w:val="auto"/>
                <w:lang w:val="en-GB"/>
              </w:rPr>
            </w:pPr>
            <w:r w:rsidRPr="00277328">
              <w:rPr>
                <w:b w:val="0"/>
                <w:color w:val="auto"/>
                <w:lang w:val="en-GB"/>
              </w:rPr>
              <w:t>Genital-urinary disorders</w:t>
            </w:r>
          </w:p>
        </w:tc>
        <w:tc>
          <w:tcPr>
            <w:tcW w:w="801"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61,4</w:t>
            </w:r>
          </w:p>
        </w:tc>
        <w:tc>
          <w:tcPr>
            <w:tcW w:w="353"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1,2</w:t>
            </w:r>
          </w:p>
        </w:tc>
        <w:tc>
          <w:tcPr>
            <w:tcW w:w="799"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49,6</w:t>
            </w:r>
          </w:p>
        </w:tc>
        <w:tc>
          <w:tcPr>
            <w:tcW w:w="353"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2,3</w:t>
            </w:r>
          </w:p>
        </w:tc>
        <w:tc>
          <w:tcPr>
            <w:tcW w:w="812"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4,9</w:t>
            </w:r>
          </w:p>
        </w:tc>
        <w:tc>
          <w:tcPr>
            <w:tcW w:w="406"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1,3</w:t>
            </w:r>
          </w:p>
        </w:tc>
      </w:tr>
      <w:tr w:rsidR="000476F6" w:rsidRPr="00277328" w:rsidTr="008E2EDE">
        <w:trPr>
          <w:cnfStyle w:val="000000100000"/>
        </w:trPr>
        <w:tc>
          <w:tcPr>
            <w:cnfStyle w:val="001000000000"/>
            <w:tcW w:w="1477" w:type="pct"/>
            <w:tcBorders>
              <w:left w:val="none" w:sz="0" w:space="0" w:color="auto"/>
              <w:right w:val="none" w:sz="0" w:space="0" w:color="auto"/>
            </w:tcBorders>
          </w:tcPr>
          <w:p w:rsidR="000476F6" w:rsidRPr="00277328" w:rsidRDefault="000476F6" w:rsidP="00A10138">
            <w:pPr>
              <w:rPr>
                <w:i/>
                <w:color w:val="auto"/>
                <w:lang w:val="en-GB"/>
              </w:rPr>
            </w:pPr>
            <w:r w:rsidRPr="00277328">
              <w:rPr>
                <w:i/>
                <w:color w:val="auto"/>
                <w:lang w:val="en-GB"/>
              </w:rPr>
              <w:t>Nephritis, nephrosis</w:t>
            </w:r>
          </w:p>
        </w:tc>
        <w:tc>
          <w:tcPr>
            <w:tcW w:w="801"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63,8</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1,3</w:t>
            </w:r>
          </w:p>
        </w:tc>
        <w:tc>
          <w:tcPr>
            <w:tcW w:w="799"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33</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1,6</w:t>
            </w:r>
          </w:p>
        </w:tc>
        <w:tc>
          <w:tcPr>
            <w:tcW w:w="812"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9,7</w:t>
            </w:r>
          </w:p>
        </w:tc>
        <w:tc>
          <w:tcPr>
            <w:tcW w:w="406"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2,6</w:t>
            </w:r>
          </w:p>
        </w:tc>
      </w:tr>
      <w:tr w:rsidR="000476F6" w:rsidRPr="00277328" w:rsidTr="008E2EDE">
        <w:tc>
          <w:tcPr>
            <w:cnfStyle w:val="001000000000"/>
            <w:tcW w:w="1477" w:type="pct"/>
          </w:tcPr>
          <w:p w:rsidR="000476F6" w:rsidRPr="00277328" w:rsidRDefault="000476F6" w:rsidP="002E6B70">
            <w:pPr>
              <w:rPr>
                <w:b w:val="0"/>
                <w:color w:val="auto"/>
                <w:lang w:val="en-GB"/>
              </w:rPr>
            </w:pPr>
            <w:r w:rsidRPr="00277328">
              <w:rPr>
                <w:b w:val="0"/>
                <w:color w:val="auto"/>
                <w:lang w:val="en-GB"/>
              </w:rPr>
              <w:t>Skin disorders</w:t>
            </w:r>
          </w:p>
        </w:tc>
        <w:tc>
          <w:tcPr>
            <w:tcW w:w="801"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24,3</w:t>
            </w:r>
          </w:p>
        </w:tc>
        <w:tc>
          <w:tcPr>
            <w:tcW w:w="353"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0,5</w:t>
            </w:r>
          </w:p>
        </w:tc>
        <w:tc>
          <w:tcPr>
            <w:tcW w:w="799"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23,1</w:t>
            </w:r>
          </w:p>
        </w:tc>
        <w:tc>
          <w:tcPr>
            <w:tcW w:w="353"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1,1</w:t>
            </w:r>
          </w:p>
        </w:tc>
        <w:tc>
          <w:tcPr>
            <w:tcW w:w="812"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6,6</w:t>
            </w:r>
          </w:p>
        </w:tc>
        <w:tc>
          <w:tcPr>
            <w:tcW w:w="406"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1,8</w:t>
            </w:r>
          </w:p>
        </w:tc>
      </w:tr>
      <w:tr w:rsidR="000476F6" w:rsidRPr="00277328" w:rsidTr="008E2EDE">
        <w:trPr>
          <w:cnfStyle w:val="000000100000"/>
        </w:trPr>
        <w:tc>
          <w:tcPr>
            <w:cnfStyle w:val="001000000000"/>
            <w:tcW w:w="1477" w:type="pct"/>
            <w:tcBorders>
              <w:left w:val="none" w:sz="0" w:space="0" w:color="auto"/>
              <w:right w:val="none" w:sz="0" w:space="0" w:color="auto"/>
            </w:tcBorders>
          </w:tcPr>
          <w:p w:rsidR="000476F6" w:rsidRPr="00277328" w:rsidRDefault="000476F6" w:rsidP="00A10138">
            <w:pPr>
              <w:rPr>
                <w:b w:val="0"/>
                <w:color w:val="auto"/>
                <w:lang w:val="en-GB"/>
              </w:rPr>
            </w:pPr>
            <w:r w:rsidRPr="00277328">
              <w:rPr>
                <w:b w:val="0"/>
                <w:color w:val="auto"/>
                <w:lang w:val="en-GB"/>
              </w:rPr>
              <w:t xml:space="preserve">Musculoskeletal and </w:t>
            </w:r>
            <w:r w:rsidRPr="00277328">
              <w:rPr>
                <w:b w:val="0"/>
                <w:color w:val="auto"/>
                <w:lang w:val="en-GB"/>
              </w:rPr>
              <w:lastRenderedPageBreak/>
              <w:t>connective tissue disorders</w:t>
            </w:r>
          </w:p>
        </w:tc>
        <w:tc>
          <w:tcPr>
            <w:tcW w:w="801"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lastRenderedPageBreak/>
              <w:t>10,4</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0,2</w:t>
            </w:r>
          </w:p>
        </w:tc>
        <w:tc>
          <w:tcPr>
            <w:tcW w:w="799"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3,4</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0,2</w:t>
            </w:r>
          </w:p>
        </w:tc>
        <w:tc>
          <w:tcPr>
            <w:tcW w:w="812"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1,1</w:t>
            </w:r>
          </w:p>
        </w:tc>
        <w:tc>
          <w:tcPr>
            <w:tcW w:w="406"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0,3</w:t>
            </w:r>
          </w:p>
        </w:tc>
      </w:tr>
      <w:tr w:rsidR="000476F6" w:rsidRPr="00277328" w:rsidTr="008E2EDE">
        <w:tc>
          <w:tcPr>
            <w:cnfStyle w:val="001000000000"/>
            <w:tcW w:w="1477" w:type="pct"/>
          </w:tcPr>
          <w:p w:rsidR="000476F6" w:rsidRPr="00277328" w:rsidRDefault="000476F6" w:rsidP="00A10138">
            <w:pPr>
              <w:rPr>
                <w:i/>
                <w:color w:val="auto"/>
                <w:lang w:val="en-GB"/>
              </w:rPr>
            </w:pPr>
            <w:r w:rsidRPr="00277328">
              <w:rPr>
                <w:i/>
                <w:color w:val="auto"/>
                <w:lang w:val="en-GB"/>
              </w:rPr>
              <w:lastRenderedPageBreak/>
              <w:t>Osteoarthritis</w:t>
            </w:r>
          </w:p>
        </w:tc>
        <w:tc>
          <w:tcPr>
            <w:tcW w:w="801" w:type="pct"/>
          </w:tcPr>
          <w:p w:rsidR="000476F6" w:rsidRPr="00277328" w:rsidRDefault="000476F6" w:rsidP="000476F6">
            <w:pPr>
              <w:jc w:val="center"/>
              <w:cnfStyle w:val="000000000000"/>
              <w:rPr>
                <w:rFonts w:cstheme="minorHAnsi"/>
                <w:color w:val="auto"/>
                <w:lang w:val="en-GB" w:eastAsia="es-ES_tradnl"/>
              </w:rPr>
            </w:pPr>
            <w:r w:rsidRPr="00277328">
              <w:rPr>
                <w:rFonts w:cstheme="minorHAnsi"/>
                <w:color w:val="auto"/>
                <w:lang w:val="en-GB" w:eastAsia="es-ES_tradnl"/>
              </w:rPr>
              <w:t>234,8</w:t>
            </w:r>
          </w:p>
        </w:tc>
        <w:tc>
          <w:tcPr>
            <w:tcW w:w="353" w:type="pct"/>
          </w:tcPr>
          <w:p w:rsidR="000476F6" w:rsidRPr="00277328" w:rsidRDefault="000476F6" w:rsidP="000476F6">
            <w:pPr>
              <w:jc w:val="center"/>
              <w:cnfStyle w:val="000000000000"/>
              <w:rPr>
                <w:rFonts w:cstheme="minorHAnsi"/>
                <w:color w:val="auto"/>
                <w:lang w:val="en-GB" w:eastAsia="es-ES_tradnl"/>
              </w:rPr>
            </w:pPr>
            <w:r w:rsidRPr="00277328">
              <w:rPr>
                <w:rFonts w:cstheme="minorHAnsi"/>
                <w:color w:val="auto"/>
                <w:lang w:val="en-GB" w:eastAsia="es-ES_tradnl"/>
              </w:rPr>
              <w:t>4,7</w:t>
            </w:r>
          </w:p>
        </w:tc>
        <w:tc>
          <w:tcPr>
            <w:tcW w:w="799" w:type="pct"/>
          </w:tcPr>
          <w:p w:rsidR="000476F6" w:rsidRPr="00277328" w:rsidRDefault="000476F6" w:rsidP="000476F6">
            <w:pPr>
              <w:jc w:val="center"/>
              <w:cnfStyle w:val="000000000000"/>
              <w:rPr>
                <w:rFonts w:cstheme="minorHAnsi"/>
                <w:color w:val="auto"/>
                <w:lang w:val="en-GB" w:eastAsia="es-ES_tradnl"/>
              </w:rPr>
            </w:pPr>
            <w:r w:rsidRPr="00277328">
              <w:rPr>
                <w:rFonts w:cstheme="minorHAnsi"/>
                <w:color w:val="auto"/>
                <w:lang w:val="en-GB" w:eastAsia="es-ES_tradnl"/>
              </w:rPr>
              <w:t>11,4</w:t>
            </w:r>
          </w:p>
        </w:tc>
        <w:tc>
          <w:tcPr>
            <w:tcW w:w="353" w:type="pct"/>
          </w:tcPr>
          <w:p w:rsidR="000476F6" w:rsidRPr="00277328" w:rsidRDefault="000476F6" w:rsidP="000476F6">
            <w:pPr>
              <w:jc w:val="center"/>
              <w:cnfStyle w:val="000000000000"/>
              <w:rPr>
                <w:rFonts w:cstheme="minorHAnsi"/>
                <w:color w:val="auto"/>
                <w:lang w:val="en-GB" w:eastAsia="es-ES_tradnl"/>
              </w:rPr>
            </w:pPr>
            <w:r w:rsidRPr="00277328">
              <w:rPr>
                <w:rFonts w:cstheme="minorHAnsi"/>
                <w:color w:val="auto"/>
                <w:lang w:val="en-GB" w:eastAsia="es-ES_tradnl"/>
              </w:rPr>
              <w:t>0,5</w:t>
            </w:r>
          </w:p>
        </w:tc>
        <w:tc>
          <w:tcPr>
            <w:tcW w:w="812" w:type="pct"/>
          </w:tcPr>
          <w:p w:rsidR="000476F6" w:rsidRPr="00277328" w:rsidRDefault="000476F6" w:rsidP="000476F6">
            <w:pPr>
              <w:jc w:val="center"/>
              <w:cnfStyle w:val="000000000000"/>
              <w:rPr>
                <w:rFonts w:cstheme="minorHAnsi"/>
                <w:color w:val="auto"/>
                <w:lang w:val="en-GB" w:eastAsia="es-ES_tradnl"/>
              </w:rPr>
            </w:pPr>
            <w:r w:rsidRPr="00277328">
              <w:rPr>
                <w:rFonts w:cstheme="minorHAnsi"/>
                <w:color w:val="auto"/>
                <w:lang w:val="en-GB" w:eastAsia="es-ES_tradnl"/>
              </w:rPr>
              <w:t>3,5</w:t>
            </w:r>
          </w:p>
        </w:tc>
        <w:tc>
          <w:tcPr>
            <w:tcW w:w="406" w:type="pct"/>
          </w:tcPr>
          <w:p w:rsidR="000476F6" w:rsidRPr="00277328" w:rsidRDefault="000476F6" w:rsidP="000476F6">
            <w:pPr>
              <w:jc w:val="center"/>
              <w:cnfStyle w:val="000000000000"/>
              <w:rPr>
                <w:rFonts w:cstheme="minorHAnsi"/>
                <w:color w:val="auto"/>
                <w:lang w:val="en-GB" w:eastAsia="es-ES_tradnl"/>
              </w:rPr>
            </w:pPr>
            <w:r w:rsidRPr="00277328">
              <w:rPr>
                <w:rFonts w:cstheme="minorHAnsi"/>
                <w:color w:val="auto"/>
                <w:lang w:val="en-GB" w:eastAsia="es-ES_tradnl"/>
              </w:rPr>
              <w:t>0,9</w:t>
            </w:r>
          </w:p>
        </w:tc>
      </w:tr>
      <w:tr w:rsidR="000476F6" w:rsidRPr="00277328" w:rsidTr="008E2EDE">
        <w:trPr>
          <w:cnfStyle w:val="000000100000"/>
        </w:trPr>
        <w:tc>
          <w:tcPr>
            <w:cnfStyle w:val="001000000000"/>
            <w:tcW w:w="1477" w:type="pct"/>
            <w:tcBorders>
              <w:left w:val="none" w:sz="0" w:space="0" w:color="auto"/>
              <w:right w:val="none" w:sz="0" w:space="0" w:color="auto"/>
            </w:tcBorders>
          </w:tcPr>
          <w:p w:rsidR="000476F6" w:rsidRPr="00277328" w:rsidRDefault="000476F6" w:rsidP="00A10138">
            <w:pPr>
              <w:rPr>
                <w:i/>
                <w:color w:val="auto"/>
                <w:lang w:val="en-GB"/>
              </w:rPr>
            </w:pPr>
            <w:r w:rsidRPr="00277328">
              <w:rPr>
                <w:i/>
                <w:color w:val="auto"/>
                <w:lang w:val="en-GB"/>
              </w:rPr>
              <w:t>Rheumatoid arthritis</w:t>
            </w:r>
          </w:p>
        </w:tc>
        <w:tc>
          <w:tcPr>
            <w:tcW w:w="801"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124</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2,5</w:t>
            </w:r>
          </w:p>
        </w:tc>
        <w:tc>
          <w:tcPr>
            <w:tcW w:w="799"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0,2</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0</w:t>
            </w:r>
          </w:p>
        </w:tc>
        <w:tc>
          <w:tcPr>
            <w:tcW w:w="812"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0,1</w:t>
            </w:r>
          </w:p>
        </w:tc>
        <w:tc>
          <w:tcPr>
            <w:tcW w:w="406" w:type="pct"/>
            <w:tcBorders>
              <w:left w:val="none" w:sz="0" w:space="0" w:color="auto"/>
              <w:right w:val="none" w:sz="0" w:space="0" w:color="auto"/>
            </w:tcBorders>
          </w:tcPr>
          <w:p w:rsidR="000476F6" w:rsidRPr="00277328" w:rsidRDefault="000476F6" w:rsidP="000476F6">
            <w:pPr>
              <w:jc w:val="center"/>
              <w:cnfStyle w:val="000000100000"/>
              <w:rPr>
                <w:rFonts w:cstheme="minorHAnsi"/>
                <w:i/>
                <w:iCs/>
                <w:color w:val="auto"/>
                <w:lang w:val="en-GB" w:eastAsia="es-ES_tradnl"/>
              </w:rPr>
            </w:pPr>
            <w:r w:rsidRPr="00277328">
              <w:rPr>
                <w:rFonts w:cstheme="minorHAnsi"/>
                <w:i/>
                <w:iCs/>
                <w:color w:val="auto"/>
                <w:lang w:val="en-GB" w:eastAsia="es-ES_tradnl"/>
              </w:rPr>
              <w:t>0</w:t>
            </w:r>
          </w:p>
        </w:tc>
      </w:tr>
      <w:tr w:rsidR="000476F6" w:rsidRPr="00277328" w:rsidTr="008E2EDE">
        <w:tc>
          <w:tcPr>
            <w:cnfStyle w:val="001000000000"/>
            <w:tcW w:w="1477" w:type="pct"/>
          </w:tcPr>
          <w:p w:rsidR="000476F6" w:rsidRPr="00277328" w:rsidRDefault="000476F6" w:rsidP="00A10138">
            <w:pPr>
              <w:rPr>
                <w:i/>
                <w:color w:val="auto"/>
                <w:lang w:val="en-GB"/>
              </w:rPr>
            </w:pPr>
            <w:r w:rsidRPr="00277328">
              <w:rPr>
                <w:i/>
                <w:color w:val="auto"/>
                <w:lang w:val="en-GB"/>
              </w:rPr>
              <w:t>Congenital abnormalities</w:t>
            </w:r>
          </w:p>
        </w:tc>
        <w:tc>
          <w:tcPr>
            <w:tcW w:w="801"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41,5</w:t>
            </w:r>
          </w:p>
        </w:tc>
        <w:tc>
          <w:tcPr>
            <w:tcW w:w="353"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0,8</w:t>
            </w:r>
          </w:p>
        </w:tc>
        <w:tc>
          <w:tcPr>
            <w:tcW w:w="799"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1,2</w:t>
            </w:r>
          </w:p>
        </w:tc>
        <w:tc>
          <w:tcPr>
            <w:tcW w:w="353"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0,1</w:t>
            </w:r>
          </w:p>
        </w:tc>
        <w:tc>
          <w:tcPr>
            <w:tcW w:w="812"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0,2</w:t>
            </w:r>
          </w:p>
        </w:tc>
        <w:tc>
          <w:tcPr>
            <w:tcW w:w="406" w:type="pct"/>
          </w:tcPr>
          <w:p w:rsidR="000476F6" w:rsidRPr="00277328" w:rsidRDefault="000476F6" w:rsidP="000476F6">
            <w:pPr>
              <w:jc w:val="center"/>
              <w:cnfStyle w:val="000000000000"/>
              <w:rPr>
                <w:rFonts w:cstheme="minorHAnsi"/>
                <w:i/>
                <w:iCs/>
                <w:color w:val="auto"/>
                <w:lang w:val="en-GB" w:eastAsia="es-ES_tradnl"/>
              </w:rPr>
            </w:pPr>
            <w:r w:rsidRPr="00277328">
              <w:rPr>
                <w:rFonts w:cstheme="minorHAnsi"/>
                <w:i/>
                <w:iCs/>
                <w:color w:val="auto"/>
                <w:lang w:val="en-GB" w:eastAsia="es-ES_tradnl"/>
              </w:rPr>
              <w:t>0,1</w:t>
            </w:r>
          </w:p>
        </w:tc>
      </w:tr>
      <w:tr w:rsidR="000476F6" w:rsidRPr="00277328" w:rsidTr="008E2EDE">
        <w:trPr>
          <w:cnfStyle w:val="000000100000"/>
        </w:trPr>
        <w:tc>
          <w:tcPr>
            <w:cnfStyle w:val="001000000000"/>
            <w:tcW w:w="1477" w:type="pct"/>
            <w:tcBorders>
              <w:left w:val="none" w:sz="0" w:space="0" w:color="auto"/>
              <w:right w:val="none" w:sz="0" w:space="0" w:color="auto"/>
            </w:tcBorders>
          </w:tcPr>
          <w:p w:rsidR="000476F6" w:rsidRPr="00277328" w:rsidRDefault="000476F6" w:rsidP="00A10138">
            <w:pPr>
              <w:rPr>
                <w:i/>
                <w:color w:val="auto"/>
                <w:lang w:val="en-GB"/>
              </w:rPr>
            </w:pPr>
            <w:r w:rsidRPr="00277328">
              <w:rPr>
                <w:i/>
                <w:color w:val="auto"/>
                <w:lang w:val="en-GB"/>
              </w:rPr>
              <w:t>Oral conditions</w:t>
            </w:r>
          </w:p>
        </w:tc>
        <w:tc>
          <w:tcPr>
            <w:tcW w:w="801"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49,3</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1</w:t>
            </w:r>
          </w:p>
        </w:tc>
        <w:tc>
          <w:tcPr>
            <w:tcW w:w="799"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27,2</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1,3</w:t>
            </w:r>
          </w:p>
        </w:tc>
        <w:tc>
          <w:tcPr>
            <w:tcW w:w="812"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1</w:t>
            </w:r>
          </w:p>
        </w:tc>
        <w:tc>
          <w:tcPr>
            <w:tcW w:w="406"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0,3</w:t>
            </w:r>
          </w:p>
        </w:tc>
      </w:tr>
      <w:tr w:rsidR="000476F6" w:rsidRPr="00277328" w:rsidTr="008E2EDE">
        <w:tc>
          <w:tcPr>
            <w:cnfStyle w:val="001000000000"/>
            <w:tcW w:w="1477" w:type="pct"/>
          </w:tcPr>
          <w:p w:rsidR="000476F6" w:rsidRPr="00277328" w:rsidRDefault="000476F6" w:rsidP="002E6B70">
            <w:pPr>
              <w:rPr>
                <w:b w:val="0"/>
                <w:color w:val="auto"/>
                <w:sz w:val="24"/>
                <w:szCs w:val="24"/>
                <w:lang w:val="en-GB"/>
              </w:rPr>
            </w:pPr>
            <w:r w:rsidRPr="00277328">
              <w:rPr>
                <w:b w:val="0"/>
                <w:color w:val="auto"/>
                <w:sz w:val="24"/>
                <w:szCs w:val="24"/>
                <w:lang w:val="en-GB"/>
              </w:rPr>
              <w:t>Accidents and injuries</w:t>
            </w:r>
          </w:p>
        </w:tc>
        <w:tc>
          <w:tcPr>
            <w:tcW w:w="801" w:type="pct"/>
          </w:tcPr>
          <w:p w:rsidR="000476F6" w:rsidRPr="00277328" w:rsidRDefault="000476F6" w:rsidP="000476F6">
            <w:pPr>
              <w:jc w:val="center"/>
              <w:cnfStyle w:val="000000000000"/>
              <w:rPr>
                <w:rFonts w:cstheme="minorHAnsi"/>
                <w:color w:val="auto"/>
                <w:lang w:val="en-GB" w:eastAsia="es-ES_tradnl"/>
              </w:rPr>
            </w:pPr>
            <w:r w:rsidRPr="00277328">
              <w:rPr>
                <w:rFonts w:cstheme="minorHAnsi"/>
                <w:color w:val="auto"/>
                <w:lang w:val="en-GB" w:eastAsia="es-ES_tradnl"/>
              </w:rPr>
              <w:t>38,8</w:t>
            </w:r>
          </w:p>
        </w:tc>
        <w:tc>
          <w:tcPr>
            <w:tcW w:w="353" w:type="pct"/>
          </w:tcPr>
          <w:p w:rsidR="000476F6" w:rsidRPr="00277328" w:rsidRDefault="000476F6" w:rsidP="000476F6">
            <w:pPr>
              <w:jc w:val="center"/>
              <w:cnfStyle w:val="000000000000"/>
              <w:rPr>
                <w:rFonts w:cstheme="minorHAnsi"/>
                <w:color w:val="auto"/>
                <w:lang w:val="en-GB" w:eastAsia="es-ES_tradnl"/>
              </w:rPr>
            </w:pPr>
            <w:r w:rsidRPr="00277328">
              <w:rPr>
                <w:rFonts w:cstheme="minorHAnsi"/>
                <w:color w:val="auto"/>
                <w:lang w:val="en-GB" w:eastAsia="es-ES_tradnl"/>
              </w:rPr>
              <w:t>0,8</w:t>
            </w:r>
          </w:p>
        </w:tc>
        <w:tc>
          <w:tcPr>
            <w:tcW w:w="799" w:type="pct"/>
          </w:tcPr>
          <w:p w:rsidR="000476F6" w:rsidRPr="00277328" w:rsidRDefault="000476F6" w:rsidP="000476F6">
            <w:pPr>
              <w:jc w:val="center"/>
              <w:cnfStyle w:val="000000000000"/>
              <w:rPr>
                <w:rFonts w:cstheme="minorHAnsi"/>
                <w:color w:val="auto"/>
                <w:lang w:val="en-GB" w:eastAsia="es-ES_tradnl"/>
              </w:rPr>
            </w:pPr>
            <w:r w:rsidRPr="00277328">
              <w:rPr>
                <w:rFonts w:cstheme="minorHAnsi"/>
                <w:color w:val="auto"/>
                <w:lang w:val="en-GB" w:eastAsia="es-ES_tradnl"/>
              </w:rPr>
              <w:t>0,1</w:t>
            </w:r>
          </w:p>
        </w:tc>
        <w:tc>
          <w:tcPr>
            <w:tcW w:w="353" w:type="pct"/>
          </w:tcPr>
          <w:p w:rsidR="000476F6" w:rsidRPr="00277328" w:rsidRDefault="000476F6" w:rsidP="000476F6">
            <w:pPr>
              <w:jc w:val="center"/>
              <w:cnfStyle w:val="000000000000"/>
              <w:rPr>
                <w:rFonts w:cstheme="minorHAnsi"/>
                <w:color w:val="auto"/>
                <w:lang w:val="en-GB" w:eastAsia="es-ES_tradnl"/>
              </w:rPr>
            </w:pPr>
            <w:r w:rsidRPr="00277328">
              <w:rPr>
                <w:rFonts w:cstheme="minorHAnsi"/>
                <w:color w:val="auto"/>
                <w:lang w:val="en-GB" w:eastAsia="es-ES_tradnl"/>
              </w:rPr>
              <w:t>0</w:t>
            </w:r>
          </w:p>
        </w:tc>
        <w:tc>
          <w:tcPr>
            <w:tcW w:w="812" w:type="pct"/>
          </w:tcPr>
          <w:p w:rsidR="000476F6" w:rsidRPr="00277328" w:rsidRDefault="000476F6" w:rsidP="000476F6">
            <w:pPr>
              <w:jc w:val="center"/>
              <w:cnfStyle w:val="000000000000"/>
              <w:rPr>
                <w:rFonts w:cstheme="minorHAnsi"/>
                <w:color w:val="auto"/>
                <w:lang w:val="en-GB" w:eastAsia="es-ES_tradnl"/>
              </w:rPr>
            </w:pPr>
            <w:r w:rsidRPr="00277328">
              <w:rPr>
                <w:rFonts w:cstheme="minorHAnsi"/>
                <w:color w:val="auto"/>
                <w:lang w:val="en-GB" w:eastAsia="es-ES_tradnl"/>
              </w:rPr>
              <w:t>0</w:t>
            </w:r>
          </w:p>
        </w:tc>
        <w:tc>
          <w:tcPr>
            <w:tcW w:w="406" w:type="pct"/>
          </w:tcPr>
          <w:p w:rsidR="000476F6" w:rsidRPr="00277328" w:rsidRDefault="000476F6" w:rsidP="000476F6">
            <w:pPr>
              <w:jc w:val="center"/>
              <w:cnfStyle w:val="000000000000"/>
              <w:rPr>
                <w:rFonts w:cstheme="minorHAnsi"/>
                <w:color w:val="auto"/>
                <w:lang w:val="en-GB" w:eastAsia="es-ES_tradnl"/>
              </w:rPr>
            </w:pPr>
            <w:r w:rsidRPr="00277328">
              <w:rPr>
                <w:rFonts w:cstheme="minorHAnsi"/>
                <w:color w:val="auto"/>
                <w:lang w:val="en-GB" w:eastAsia="es-ES_tradnl"/>
              </w:rPr>
              <w:t>0</w:t>
            </w:r>
          </w:p>
        </w:tc>
      </w:tr>
      <w:tr w:rsidR="000476F6" w:rsidRPr="00277328" w:rsidTr="008E2EDE">
        <w:trPr>
          <w:cnfStyle w:val="000000100000"/>
        </w:trPr>
        <w:tc>
          <w:tcPr>
            <w:cnfStyle w:val="001000000000"/>
            <w:tcW w:w="1477" w:type="pct"/>
            <w:tcBorders>
              <w:left w:val="none" w:sz="0" w:space="0" w:color="auto"/>
              <w:right w:val="none" w:sz="0" w:space="0" w:color="auto"/>
            </w:tcBorders>
          </w:tcPr>
          <w:p w:rsidR="000476F6" w:rsidRPr="00277328" w:rsidRDefault="000476F6" w:rsidP="00A10138">
            <w:pPr>
              <w:rPr>
                <w:i/>
                <w:color w:val="auto"/>
                <w:lang w:val="en-GB"/>
              </w:rPr>
            </w:pPr>
            <w:r w:rsidRPr="00277328">
              <w:rPr>
                <w:i/>
                <w:color w:val="auto"/>
                <w:lang w:val="en-GB"/>
              </w:rPr>
              <w:t>Unintentional</w:t>
            </w:r>
          </w:p>
        </w:tc>
        <w:tc>
          <w:tcPr>
            <w:tcW w:w="801" w:type="pct"/>
            <w:tcBorders>
              <w:left w:val="none" w:sz="0" w:space="0" w:color="auto"/>
              <w:right w:val="none" w:sz="0" w:space="0" w:color="auto"/>
            </w:tcBorders>
          </w:tcPr>
          <w:p w:rsidR="000476F6" w:rsidRPr="00277328" w:rsidRDefault="000476F6" w:rsidP="000476F6">
            <w:pPr>
              <w:jc w:val="center"/>
              <w:cnfStyle w:val="000000100000"/>
              <w:rPr>
                <w:rFonts w:cstheme="minorHAnsi"/>
                <w:b/>
                <w:bCs/>
                <w:color w:val="auto"/>
                <w:lang w:val="en-GB" w:eastAsia="es-ES_tradnl"/>
              </w:rPr>
            </w:pPr>
            <w:r w:rsidRPr="00277328">
              <w:rPr>
                <w:rFonts w:cstheme="minorHAnsi"/>
                <w:b/>
                <w:bCs/>
                <w:color w:val="auto"/>
                <w:lang w:val="en-GB" w:eastAsia="es-ES_tradnl"/>
              </w:rPr>
              <w:t>336,8</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b/>
                <w:bCs/>
                <w:color w:val="auto"/>
                <w:lang w:val="en-GB" w:eastAsia="es-ES_tradnl"/>
              </w:rPr>
            </w:pPr>
            <w:r w:rsidRPr="00277328">
              <w:rPr>
                <w:rFonts w:cstheme="minorHAnsi"/>
                <w:b/>
                <w:bCs/>
                <w:color w:val="auto"/>
                <w:lang w:val="en-GB" w:eastAsia="es-ES_tradnl"/>
              </w:rPr>
              <w:t>6,7</w:t>
            </w:r>
          </w:p>
        </w:tc>
        <w:tc>
          <w:tcPr>
            <w:tcW w:w="799" w:type="pct"/>
            <w:tcBorders>
              <w:left w:val="none" w:sz="0" w:space="0" w:color="auto"/>
              <w:right w:val="none" w:sz="0" w:space="0" w:color="auto"/>
            </w:tcBorders>
          </w:tcPr>
          <w:p w:rsidR="000476F6" w:rsidRPr="00277328" w:rsidRDefault="000476F6" w:rsidP="000476F6">
            <w:pPr>
              <w:jc w:val="center"/>
              <w:cnfStyle w:val="000000100000"/>
              <w:rPr>
                <w:rFonts w:cstheme="minorHAnsi"/>
                <w:b/>
                <w:bCs/>
                <w:color w:val="auto"/>
                <w:lang w:val="en-GB" w:eastAsia="es-ES_tradnl"/>
              </w:rPr>
            </w:pPr>
            <w:r w:rsidRPr="00277328">
              <w:rPr>
                <w:rFonts w:cstheme="minorHAnsi"/>
                <w:b/>
                <w:bCs/>
                <w:color w:val="auto"/>
                <w:lang w:val="en-GB" w:eastAsia="es-ES_tradnl"/>
              </w:rPr>
              <w:t>241,6</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b/>
                <w:bCs/>
                <w:color w:val="auto"/>
                <w:lang w:val="en-GB" w:eastAsia="es-ES_tradnl"/>
              </w:rPr>
            </w:pPr>
            <w:r w:rsidRPr="00277328">
              <w:rPr>
                <w:rFonts w:cstheme="minorHAnsi"/>
                <w:b/>
                <w:bCs/>
                <w:color w:val="auto"/>
                <w:lang w:val="en-GB" w:eastAsia="es-ES_tradnl"/>
              </w:rPr>
              <w:t>11,4</w:t>
            </w:r>
          </w:p>
        </w:tc>
        <w:tc>
          <w:tcPr>
            <w:tcW w:w="812" w:type="pct"/>
            <w:tcBorders>
              <w:left w:val="none" w:sz="0" w:space="0" w:color="auto"/>
              <w:right w:val="none" w:sz="0" w:space="0" w:color="auto"/>
            </w:tcBorders>
          </w:tcPr>
          <w:p w:rsidR="000476F6" w:rsidRPr="00277328" w:rsidRDefault="000476F6" w:rsidP="000476F6">
            <w:pPr>
              <w:jc w:val="center"/>
              <w:cnfStyle w:val="000000100000"/>
              <w:rPr>
                <w:rFonts w:cstheme="minorHAnsi"/>
                <w:b/>
                <w:bCs/>
                <w:color w:val="auto"/>
                <w:lang w:val="en-GB" w:eastAsia="es-ES_tradnl"/>
              </w:rPr>
            </w:pPr>
            <w:r w:rsidRPr="00277328">
              <w:rPr>
                <w:rFonts w:cstheme="minorHAnsi"/>
                <w:b/>
                <w:bCs/>
                <w:color w:val="auto"/>
                <w:lang w:val="en-GB" w:eastAsia="es-ES_tradnl"/>
              </w:rPr>
              <w:t>16,1</w:t>
            </w:r>
          </w:p>
        </w:tc>
        <w:tc>
          <w:tcPr>
            <w:tcW w:w="406" w:type="pct"/>
            <w:tcBorders>
              <w:left w:val="none" w:sz="0" w:space="0" w:color="auto"/>
              <w:right w:val="none" w:sz="0" w:space="0" w:color="auto"/>
            </w:tcBorders>
          </w:tcPr>
          <w:p w:rsidR="000476F6" w:rsidRPr="00277328" w:rsidRDefault="000476F6" w:rsidP="000476F6">
            <w:pPr>
              <w:jc w:val="center"/>
              <w:cnfStyle w:val="000000100000"/>
              <w:rPr>
                <w:rFonts w:cstheme="minorHAnsi"/>
                <w:b/>
                <w:bCs/>
                <w:color w:val="auto"/>
                <w:lang w:val="en-GB" w:eastAsia="es-ES_tradnl"/>
              </w:rPr>
            </w:pPr>
            <w:r w:rsidRPr="00277328">
              <w:rPr>
                <w:rFonts w:cstheme="minorHAnsi"/>
                <w:b/>
                <w:bCs/>
                <w:color w:val="auto"/>
                <w:lang w:val="en-GB" w:eastAsia="es-ES_tradnl"/>
              </w:rPr>
              <w:t>4,3</w:t>
            </w:r>
          </w:p>
        </w:tc>
      </w:tr>
      <w:tr w:rsidR="000476F6" w:rsidRPr="00277328" w:rsidTr="008E2EDE">
        <w:tc>
          <w:tcPr>
            <w:cnfStyle w:val="001000000000"/>
            <w:tcW w:w="1477" w:type="pct"/>
          </w:tcPr>
          <w:p w:rsidR="000476F6" w:rsidRPr="00277328" w:rsidRDefault="000476F6" w:rsidP="002E6B70">
            <w:pPr>
              <w:rPr>
                <w:i/>
                <w:color w:val="auto"/>
                <w:lang w:val="en-GB"/>
              </w:rPr>
            </w:pPr>
            <w:r w:rsidRPr="00277328">
              <w:rPr>
                <w:i/>
                <w:color w:val="auto"/>
                <w:lang w:val="en-GB"/>
              </w:rPr>
              <w:t>Intentional</w:t>
            </w:r>
          </w:p>
          <w:p w:rsidR="000476F6" w:rsidRPr="00277328" w:rsidRDefault="000476F6" w:rsidP="00A10138">
            <w:pPr>
              <w:rPr>
                <w:i/>
                <w:color w:val="auto"/>
                <w:lang w:val="en-GB"/>
              </w:rPr>
            </w:pPr>
          </w:p>
        </w:tc>
        <w:tc>
          <w:tcPr>
            <w:tcW w:w="801" w:type="pct"/>
          </w:tcPr>
          <w:p w:rsidR="000476F6" w:rsidRPr="00277328" w:rsidRDefault="000476F6" w:rsidP="000476F6">
            <w:pPr>
              <w:jc w:val="center"/>
              <w:cnfStyle w:val="000000000000"/>
              <w:rPr>
                <w:rFonts w:cstheme="minorHAnsi"/>
                <w:color w:val="auto"/>
                <w:lang w:val="en-GB" w:eastAsia="es-ES_tradnl"/>
              </w:rPr>
            </w:pPr>
            <w:r w:rsidRPr="00277328">
              <w:rPr>
                <w:rFonts w:cstheme="minorHAnsi"/>
                <w:color w:val="auto"/>
                <w:lang w:val="en-GB" w:eastAsia="es-ES_tradnl"/>
              </w:rPr>
              <w:t>268,9</w:t>
            </w:r>
          </w:p>
        </w:tc>
        <w:tc>
          <w:tcPr>
            <w:tcW w:w="353" w:type="pct"/>
          </w:tcPr>
          <w:p w:rsidR="000476F6" w:rsidRPr="00277328" w:rsidRDefault="000476F6" w:rsidP="000476F6">
            <w:pPr>
              <w:jc w:val="center"/>
              <w:cnfStyle w:val="000000000000"/>
              <w:rPr>
                <w:rFonts w:cstheme="minorHAnsi"/>
                <w:color w:val="auto"/>
                <w:lang w:val="en-GB" w:eastAsia="es-ES_tradnl"/>
              </w:rPr>
            </w:pPr>
            <w:r w:rsidRPr="00277328">
              <w:rPr>
                <w:rFonts w:cstheme="minorHAnsi"/>
                <w:color w:val="auto"/>
                <w:lang w:val="en-GB" w:eastAsia="es-ES_tradnl"/>
              </w:rPr>
              <w:t>5,4</w:t>
            </w:r>
          </w:p>
        </w:tc>
        <w:tc>
          <w:tcPr>
            <w:tcW w:w="799" w:type="pct"/>
          </w:tcPr>
          <w:p w:rsidR="000476F6" w:rsidRPr="00277328" w:rsidRDefault="000476F6" w:rsidP="000476F6">
            <w:pPr>
              <w:jc w:val="center"/>
              <w:cnfStyle w:val="000000000000"/>
              <w:rPr>
                <w:rFonts w:cstheme="minorHAnsi"/>
                <w:color w:val="auto"/>
                <w:lang w:val="en-GB" w:eastAsia="es-ES_tradnl"/>
              </w:rPr>
            </w:pPr>
            <w:r w:rsidRPr="00277328">
              <w:rPr>
                <w:rFonts w:cstheme="minorHAnsi"/>
                <w:color w:val="auto"/>
                <w:lang w:val="en-GB" w:eastAsia="es-ES_tradnl"/>
              </w:rPr>
              <w:t>180,7</w:t>
            </w:r>
          </w:p>
        </w:tc>
        <w:tc>
          <w:tcPr>
            <w:tcW w:w="353" w:type="pct"/>
          </w:tcPr>
          <w:p w:rsidR="000476F6" w:rsidRPr="00277328" w:rsidRDefault="000476F6" w:rsidP="000476F6">
            <w:pPr>
              <w:jc w:val="center"/>
              <w:cnfStyle w:val="000000000000"/>
              <w:rPr>
                <w:rFonts w:cstheme="minorHAnsi"/>
                <w:color w:val="auto"/>
                <w:lang w:val="en-GB" w:eastAsia="es-ES_tradnl"/>
              </w:rPr>
            </w:pPr>
            <w:r w:rsidRPr="00277328">
              <w:rPr>
                <w:rFonts w:cstheme="minorHAnsi"/>
                <w:color w:val="auto"/>
                <w:lang w:val="en-GB" w:eastAsia="es-ES_tradnl"/>
              </w:rPr>
              <w:t>8,5</w:t>
            </w:r>
          </w:p>
        </w:tc>
        <w:tc>
          <w:tcPr>
            <w:tcW w:w="812" w:type="pct"/>
          </w:tcPr>
          <w:p w:rsidR="000476F6" w:rsidRPr="00277328" w:rsidRDefault="000476F6" w:rsidP="000476F6">
            <w:pPr>
              <w:jc w:val="center"/>
              <w:cnfStyle w:val="000000000000"/>
              <w:rPr>
                <w:rFonts w:cstheme="minorHAnsi"/>
                <w:color w:val="auto"/>
                <w:lang w:val="en-GB" w:eastAsia="es-ES_tradnl"/>
              </w:rPr>
            </w:pPr>
            <w:r w:rsidRPr="00277328">
              <w:rPr>
                <w:rFonts w:cstheme="minorHAnsi"/>
                <w:color w:val="auto"/>
                <w:lang w:val="en-GB" w:eastAsia="es-ES_tradnl"/>
              </w:rPr>
              <w:t>12,5</w:t>
            </w:r>
          </w:p>
        </w:tc>
        <w:tc>
          <w:tcPr>
            <w:tcW w:w="406" w:type="pct"/>
          </w:tcPr>
          <w:p w:rsidR="000476F6" w:rsidRPr="00277328" w:rsidRDefault="000476F6" w:rsidP="000476F6">
            <w:pPr>
              <w:jc w:val="center"/>
              <w:cnfStyle w:val="000000000000"/>
              <w:rPr>
                <w:rFonts w:cstheme="minorHAnsi"/>
                <w:color w:val="auto"/>
                <w:lang w:val="en-GB" w:eastAsia="es-ES_tradnl"/>
              </w:rPr>
            </w:pPr>
            <w:r w:rsidRPr="00277328">
              <w:rPr>
                <w:rFonts w:cstheme="minorHAnsi"/>
                <w:color w:val="auto"/>
                <w:lang w:val="en-GB" w:eastAsia="es-ES_tradnl"/>
              </w:rPr>
              <w:t>3,4</w:t>
            </w:r>
          </w:p>
        </w:tc>
      </w:tr>
      <w:tr w:rsidR="000476F6" w:rsidRPr="00277328" w:rsidTr="008E2EDE">
        <w:trPr>
          <w:cnfStyle w:val="000000100000"/>
        </w:trPr>
        <w:tc>
          <w:tcPr>
            <w:cnfStyle w:val="001000000000"/>
            <w:tcW w:w="1477" w:type="pct"/>
            <w:tcBorders>
              <w:left w:val="none" w:sz="0" w:space="0" w:color="auto"/>
              <w:right w:val="none" w:sz="0" w:space="0" w:color="auto"/>
            </w:tcBorders>
          </w:tcPr>
          <w:p w:rsidR="000476F6" w:rsidRPr="00277328" w:rsidRDefault="000476F6" w:rsidP="00A10138">
            <w:pPr>
              <w:rPr>
                <w:b w:val="0"/>
                <w:color w:val="auto"/>
                <w:sz w:val="24"/>
                <w:szCs w:val="24"/>
                <w:lang w:val="en-GB"/>
              </w:rPr>
            </w:pPr>
            <w:r w:rsidRPr="00277328">
              <w:rPr>
                <w:b w:val="0"/>
                <w:color w:val="auto"/>
                <w:sz w:val="24"/>
                <w:szCs w:val="24"/>
                <w:lang w:val="en-GB"/>
              </w:rPr>
              <w:t>TOTALS</w:t>
            </w:r>
          </w:p>
        </w:tc>
        <w:tc>
          <w:tcPr>
            <w:tcW w:w="801"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67,8</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1,3</w:t>
            </w:r>
          </w:p>
        </w:tc>
        <w:tc>
          <w:tcPr>
            <w:tcW w:w="799"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60,9</w:t>
            </w:r>
          </w:p>
        </w:tc>
        <w:tc>
          <w:tcPr>
            <w:tcW w:w="353"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2,9</w:t>
            </w:r>
          </w:p>
        </w:tc>
        <w:tc>
          <w:tcPr>
            <w:tcW w:w="812"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3,6</w:t>
            </w:r>
          </w:p>
        </w:tc>
        <w:tc>
          <w:tcPr>
            <w:tcW w:w="406" w:type="pct"/>
            <w:tcBorders>
              <w:left w:val="none" w:sz="0" w:space="0" w:color="auto"/>
              <w:right w:val="none" w:sz="0" w:space="0" w:color="auto"/>
            </w:tcBorders>
          </w:tcPr>
          <w:p w:rsidR="000476F6" w:rsidRPr="00277328" w:rsidRDefault="000476F6" w:rsidP="000476F6">
            <w:pPr>
              <w:jc w:val="center"/>
              <w:cnfStyle w:val="000000100000"/>
              <w:rPr>
                <w:rFonts w:cstheme="minorHAnsi"/>
                <w:color w:val="auto"/>
                <w:lang w:val="en-GB" w:eastAsia="es-ES_tradnl"/>
              </w:rPr>
            </w:pPr>
            <w:r w:rsidRPr="00277328">
              <w:rPr>
                <w:rFonts w:cstheme="minorHAnsi"/>
                <w:color w:val="auto"/>
                <w:lang w:val="en-GB" w:eastAsia="es-ES_tradnl"/>
              </w:rPr>
              <w:t>1</w:t>
            </w:r>
          </w:p>
        </w:tc>
      </w:tr>
      <w:tr w:rsidR="000476F6" w:rsidRPr="00277328" w:rsidTr="008E2EDE">
        <w:tc>
          <w:tcPr>
            <w:cnfStyle w:val="001000000000"/>
            <w:tcW w:w="1477" w:type="pct"/>
          </w:tcPr>
          <w:p w:rsidR="000476F6" w:rsidRPr="00277328" w:rsidRDefault="000476F6" w:rsidP="00A10138">
            <w:pPr>
              <w:rPr>
                <w:b w:val="0"/>
                <w:color w:val="auto"/>
                <w:sz w:val="24"/>
                <w:szCs w:val="24"/>
                <w:lang w:val="en-GB"/>
              </w:rPr>
            </w:pPr>
          </w:p>
        </w:tc>
        <w:tc>
          <w:tcPr>
            <w:tcW w:w="801" w:type="pct"/>
          </w:tcPr>
          <w:p w:rsidR="000476F6" w:rsidRPr="00277328" w:rsidRDefault="000476F6" w:rsidP="000476F6">
            <w:pPr>
              <w:jc w:val="center"/>
              <w:cnfStyle w:val="000000000000"/>
              <w:rPr>
                <w:rFonts w:cstheme="minorHAnsi"/>
                <w:b/>
                <w:bCs/>
                <w:color w:val="auto"/>
                <w:lang w:val="en-GB" w:eastAsia="es-ES_tradnl"/>
              </w:rPr>
            </w:pPr>
            <w:r w:rsidRPr="00277328">
              <w:rPr>
                <w:rFonts w:cstheme="minorHAnsi"/>
                <w:b/>
                <w:bCs/>
                <w:color w:val="auto"/>
                <w:lang w:val="en-GB" w:eastAsia="es-ES_tradnl"/>
              </w:rPr>
              <w:t>5.025,50</w:t>
            </w:r>
          </w:p>
        </w:tc>
        <w:tc>
          <w:tcPr>
            <w:tcW w:w="353" w:type="pct"/>
          </w:tcPr>
          <w:p w:rsidR="000476F6" w:rsidRPr="00277328" w:rsidRDefault="000476F6" w:rsidP="000476F6">
            <w:pPr>
              <w:jc w:val="center"/>
              <w:cnfStyle w:val="000000000000"/>
              <w:rPr>
                <w:rFonts w:cstheme="minorHAnsi"/>
                <w:b/>
                <w:bCs/>
                <w:color w:val="auto"/>
                <w:lang w:val="en-GB" w:eastAsia="es-ES_tradnl"/>
              </w:rPr>
            </w:pPr>
            <w:r w:rsidRPr="00277328">
              <w:rPr>
                <w:rFonts w:cstheme="minorHAnsi"/>
                <w:b/>
                <w:bCs/>
                <w:color w:val="auto"/>
                <w:lang w:val="en-GB" w:eastAsia="es-ES_tradnl"/>
              </w:rPr>
              <w:t>100</w:t>
            </w:r>
          </w:p>
        </w:tc>
        <w:tc>
          <w:tcPr>
            <w:tcW w:w="799" w:type="pct"/>
          </w:tcPr>
          <w:p w:rsidR="000476F6" w:rsidRPr="00277328" w:rsidRDefault="000476F6" w:rsidP="000476F6">
            <w:pPr>
              <w:jc w:val="center"/>
              <w:cnfStyle w:val="000000000000"/>
              <w:rPr>
                <w:rFonts w:cstheme="minorHAnsi"/>
                <w:b/>
                <w:bCs/>
                <w:color w:val="auto"/>
                <w:lang w:val="en-GB" w:eastAsia="es-ES_tradnl"/>
              </w:rPr>
            </w:pPr>
            <w:r w:rsidRPr="00277328">
              <w:rPr>
                <w:rFonts w:cstheme="minorHAnsi"/>
                <w:b/>
                <w:bCs/>
                <w:color w:val="auto"/>
                <w:lang w:val="en-GB" w:eastAsia="es-ES_tradnl"/>
              </w:rPr>
              <w:t>2.123,60</w:t>
            </w:r>
          </w:p>
        </w:tc>
        <w:tc>
          <w:tcPr>
            <w:tcW w:w="353" w:type="pct"/>
          </w:tcPr>
          <w:p w:rsidR="000476F6" w:rsidRPr="00277328" w:rsidRDefault="000476F6" w:rsidP="000476F6">
            <w:pPr>
              <w:jc w:val="center"/>
              <w:cnfStyle w:val="000000000000"/>
              <w:rPr>
                <w:rFonts w:cstheme="minorHAnsi"/>
                <w:b/>
                <w:bCs/>
                <w:color w:val="auto"/>
                <w:lang w:val="en-GB" w:eastAsia="es-ES_tradnl"/>
              </w:rPr>
            </w:pPr>
            <w:r w:rsidRPr="00277328">
              <w:rPr>
                <w:rFonts w:cstheme="minorHAnsi"/>
                <w:b/>
                <w:bCs/>
                <w:color w:val="auto"/>
                <w:lang w:val="en-GB" w:eastAsia="es-ES_tradnl"/>
              </w:rPr>
              <w:t>100</w:t>
            </w:r>
          </w:p>
        </w:tc>
        <w:tc>
          <w:tcPr>
            <w:tcW w:w="812" w:type="pct"/>
          </w:tcPr>
          <w:p w:rsidR="000476F6" w:rsidRPr="00277328" w:rsidRDefault="000476F6" w:rsidP="000476F6">
            <w:pPr>
              <w:jc w:val="center"/>
              <w:cnfStyle w:val="000000000000"/>
              <w:rPr>
                <w:rFonts w:cstheme="minorHAnsi"/>
                <w:b/>
                <w:bCs/>
                <w:color w:val="auto"/>
                <w:lang w:val="en-GB" w:eastAsia="es-ES_tradnl"/>
              </w:rPr>
            </w:pPr>
            <w:r w:rsidRPr="00277328">
              <w:rPr>
                <w:rFonts w:cstheme="minorHAnsi"/>
                <w:b/>
                <w:bCs/>
                <w:color w:val="auto"/>
                <w:lang w:val="en-GB" w:eastAsia="es-ES_tradnl"/>
              </w:rPr>
              <w:t>371,5</w:t>
            </w:r>
          </w:p>
        </w:tc>
        <w:tc>
          <w:tcPr>
            <w:tcW w:w="406" w:type="pct"/>
          </w:tcPr>
          <w:p w:rsidR="000476F6" w:rsidRPr="00277328" w:rsidRDefault="000476F6" w:rsidP="000476F6">
            <w:pPr>
              <w:jc w:val="center"/>
              <w:cnfStyle w:val="000000000000"/>
              <w:rPr>
                <w:rFonts w:cstheme="minorHAnsi"/>
                <w:b/>
                <w:bCs/>
                <w:color w:val="auto"/>
                <w:lang w:val="en-GB" w:eastAsia="es-ES_tradnl"/>
              </w:rPr>
            </w:pPr>
            <w:r w:rsidRPr="00277328">
              <w:rPr>
                <w:rFonts w:cstheme="minorHAnsi"/>
                <w:b/>
                <w:bCs/>
                <w:color w:val="auto"/>
                <w:lang w:val="en-GB" w:eastAsia="es-ES_tradnl"/>
              </w:rPr>
              <w:t>100</w:t>
            </w:r>
          </w:p>
        </w:tc>
      </w:tr>
    </w:tbl>
    <w:p w:rsidR="005B5C82" w:rsidRPr="006A5A0D" w:rsidRDefault="002E6B70" w:rsidP="005B5C82">
      <w:pPr>
        <w:rPr>
          <w:rFonts w:cstheme="minorHAnsi"/>
          <w:lang w:val="en-GB"/>
        </w:rPr>
      </w:pPr>
      <w:r w:rsidRPr="006A5A0D">
        <w:rPr>
          <w:rFonts w:cstheme="minorHAnsi"/>
          <w:lang w:val="en-GB"/>
        </w:rPr>
        <w:t xml:space="preserve">Source: </w:t>
      </w:r>
      <w:r w:rsidRPr="006A5A0D">
        <w:rPr>
          <w:rFonts w:cstheme="minorHAnsi"/>
          <w:color w:val="141413"/>
          <w:lang w:val="en-GB"/>
        </w:rPr>
        <w:t>Catalá López et al. (2009)</w:t>
      </w:r>
      <w:r w:rsidR="005B5C82" w:rsidRPr="006A5A0D">
        <w:rPr>
          <w:rFonts w:cstheme="minorHAnsi"/>
          <w:color w:val="141413"/>
          <w:lang w:val="en-GB"/>
        </w:rPr>
        <w:br/>
      </w:r>
    </w:p>
    <w:p w:rsidR="00A42699" w:rsidRPr="00277328" w:rsidRDefault="00A42699" w:rsidP="003414E6">
      <w:pPr>
        <w:pStyle w:val="Heading3"/>
        <w:rPr>
          <w:lang w:val="en-GB"/>
        </w:rPr>
      </w:pPr>
      <w:bookmarkStart w:id="13" w:name="_Toc367791005"/>
      <w:r w:rsidRPr="00277328">
        <w:rPr>
          <w:lang w:val="en-GB"/>
        </w:rPr>
        <w:t>The burden of mental disorders in Spain</w:t>
      </w:r>
      <w:bookmarkEnd w:id="13"/>
    </w:p>
    <w:p w:rsidR="00A42699" w:rsidRPr="00277328" w:rsidRDefault="00A42699" w:rsidP="00A42699">
      <w:pPr>
        <w:rPr>
          <w:lang w:val="en-GB"/>
        </w:rPr>
      </w:pPr>
      <w:r w:rsidRPr="00277328">
        <w:rPr>
          <w:lang w:val="en-GB"/>
        </w:rPr>
        <w:t>The regional devolution of health care responsibilities in Spain resulted in different mental health strategies for each autonomous community, based on specific regional priorities. The mental care benefits package, as defined in 2006 (Royal Decree 1030/2006), aimed at integrating mental health services within the general health system through the coord</w:t>
      </w:r>
      <w:r w:rsidR="00F16517">
        <w:rPr>
          <w:lang w:val="en-GB"/>
        </w:rPr>
        <w:t>ination of primary and specialis</w:t>
      </w:r>
      <w:r w:rsidRPr="00277328">
        <w:rPr>
          <w:lang w:val="en-GB"/>
        </w:rPr>
        <w:t>ed as well as health and social mental care. Empirical evidence shows that the devolution process played a catalytic role in the development of efficient mental health police</w:t>
      </w:r>
      <w:r w:rsidR="002449C7" w:rsidRPr="00277328">
        <w:rPr>
          <w:lang w:val="en-GB"/>
        </w:rPr>
        <w:t xml:space="preserve">s within the country </w:t>
      </w:r>
      <w:sdt>
        <w:sdtPr>
          <w:rPr>
            <w:lang w:val="en-GB"/>
          </w:rPr>
          <w:id w:val="40654968"/>
          <w:citation/>
        </w:sdtPr>
        <w:sdtContent>
          <w:r w:rsidR="00E93150" w:rsidRPr="00277328">
            <w:rPr>
              <w:lang w:val="en-GB"/>
            </w:rPr>
            <w:fldChar w:fldCharType="begin"/>
          </w:r>
          <w:r w:rsidR="00FB0F77" w:rsidRPr="00277328">
            <w:rPr>
              <w:lang w:val="en-GB"/>
            </w:rPr>
            <w:instrText xml:space="preserve"> CITATION Cos11 \l 1033 </w:instrText>
          </w:r>
          <w:r w:rsidR="00E93150" w:rsidRPr="00277328">
            <w:rPr>
              <w:lang w:val="en-GB"/>
            </w:rPr>
            <w:fldChar w:fldCharType="separate"/>
          </w:r>
          <w:r w:rsidR="008930F2" w:rsidRPr="00277328">
            <w:rPr>
              <w:lang w:val="en-GB"/>
            </w:rPr>
            <w:t>(Costa-Font, et al. 2011)</w:t>
          </w:r>
          <w:r w:rsidR="00E93150" w:rsidRPr="00277328">
            <w:rPr>
              <w:lang w:val="en-GB"/>
            </w:rPr>
            <w:fldChar w:fldCharType="end"/>
          </w:r>
        </w:sdtContent>
      </w:sdt>
      <w:r w:rsidRPr="00277328">
        <w:rPr>
          <w:lang w:val="en-GB"/>
        </w:rPr>
        <w:t xml:space="preserve">. Furthermore, there is evidence that due to these reforms the utilization of pharmaceutical products targeting mental health has been significantly increased. However, inequalities among the regions concerning mental health care access and expenditure are still being observed, based on various socio-demographic factors. The universal coverage scheme with free access to publicly funded health care resulted in overuse of primary care services. Therefore, the integration of mental health services at the primary care level is becoming more and more challenging. </w:t>
      </w:r>
    </w:p>
    <w:p w:rsidR="00A42699" w:rsidRPr="00277328" w:rsidRDefault="00A42699" w:rsidP="00A42699">
      <w:pPr>
        <w:rPr>
          <w:lang w:val="en-GB"/>
        </w:rPr>
      </w:pPr>
      <w:r w:rsidRPr="00277328">
        <w:rPr>
          <w:lang w:val="en-GB"/>
        </w:rPr>
        <w:t>Evidence suggests that once mental heal</w:t>
      </w:r>
      <w:r w:rsidR="00F16517">
        <w:rPr>
          <w:lang w:val="en-GB"/>
        </w:rPr>
        <w:t>th policy in Spain was reorganis</w:t>
      </w:r>
      <w:r w:rsidRPr="00277328">
        <w:rPr>
          <w:lang w:val="en-GB"/>
        </w:rPr>
        <w:t>ed, the use of formal mental health services has been increased in the total population compared to EU. However, the importance of mental health problems within primary care is still underestimated</w:t>
      </w:r>
      <w:r w:rsidR="002449C7" w:rsidRPr="00277328">
        <w:rPr>
          <w:lang w:val="en-GB"/>
        </w:rPr>
        <w:t xml:space="preserve"> </w:t>
      </w:r>
      <w:sdt>
        <w:sdtPr>
          <w:rPr>
            <w:lang w:val="en-GB"/>
          </w:rPr>
          <w:id w:val="40654969"/>
          <w:citation/>
        </w:sdtPr>
        <w:sdtContent>
          <w:r w:rsidR="00E93150" w:rsidRPr="00277328">
            <w:rPr>
              <w:lang w:val="en-GB"/>
            </w:rPr>
            <w:fldChar w:fldCharType="begin"/>
          </w:r>
          <w:r w:rsidR="00FB0F77" w:rsidRPr="00277328">
            <w:rPr>
              <w:lang w:val="en-GB"/>
            </w:rPr>
            <w:instrText xml:space="preserve"> CITATION Gra11 \l 1033 </w:instrText>
          </w:r>
          <w:r w:rsidR="00E93150" w:rsidRPr="00277328">
            <w:rPr>
              <w:lang w:val="en-GB"/>
            </w:rPr>
            <w:fldChar w:fldCharType="separate"/>
          </w:r>
          <w:r w:rsidR="008930F2" w:rsidRPr="00277328">
            <w:rPr>
              <w:lang w:val="en-GB"/>
            </w:rPr>
            <w:t>(Grandes, et al. 2011)</w:t>
          </w:r>
          <w:r w:rsidR="00E93150" w:rsidRPr="00277328">
            <w:rPr>
              <w:lang w:val="en-GB"/>
            </w:rPr>
            <w:fldChar w:fldCharType="end"/>
          </w:r>
        </w:sdtContent>
      </w:sdt>
      <w:r w:rsidRPr="00277328">
        <w:rPr>
          <w:lang w:val="en-GB"/>
        </w:rPr>
        <w:t>. Due to the structure of the health system, most individuals suffering from mental disorders will first visit their general practitioner. Therefore, the prevalence of mental illness within the primary care sector indicates the need for mental health prevention and promoti</w:t>
      </w:r>
      <w:r w:rsidR="00C17777" w:rsidRPr="00277328">
        <w:rPr>
          <w:lang w:val="en-GB"/>
        </w:rPr>
        <w:t>on. M</w:t>
      </w:r>
      <w:r w:rsidRPr="00277328">
        <w:rPr>
          <w:lang w:val="en-GB"/>
        </w:rPr>
        <w:t xml:space="preserve">ood and anxiety disorders are the most common within the country, exhibiting 10% and 9% one-year prevalence, respectively. Major depression alone accounts for an 8.4% 12-month prevalence, while it is estimated that about 5% to 10% of the total population faces one major depressive episode in a lifetime </w:t>
      </w:r>
      <w:sdt>
        <w:sdtPr>
          <w:rPr>
            <w:lang w:val="en-GB"/>
          </w:rPr>
          <w:id w:val="40654970"/>
          <w:citation/>
        </w:sdtPr>
        <w:sdtContent>
          <w:r w:rsidR="00E93150" w:rsidRPr="00277328">
            <w:rPr>
              <w:lang w:val="en-GB"/>
            </w:rPr>
            <w:fldChar w:fldCharType="begin"/>
          </w:r>
          <w:r w:rsidR="00FB0F77" w:rsidRPr="00277328">
            <w:rPr>
              <w:lang w:val="en-GB"/>
            </w:rPr>
            <w:instrText xml:space="preserve"> CITATION Ayu08 \l 1033 </w:instrText>
          </w:r>
          <w:r w:rsidR="00E93150" w:rsidRPr="00277328">
            <w:rPr>
              <w:lang w:val="en-GB"/>
            </w:rPr>
            <w:fldChar w:fldCharType="separate"/>
          </w:r>
          <w:r w:rsidR="008930F2" w:rsidRPr="00277328">
            <w:rPr>
              <w:lang w:val="en-GB"/>
            </w:rPr>
            <w:t>(Ayuso-Mateos, et al. 2008)</w:t>
          </w:r>
          <w:r w:rsidR="00E93150" w:rsidRPr="00277328">
            <w:rPr>
              <w:lang w:val="en-GB"/>
            </w:rPr>
            <w:fldChar w:fldCharType="end"/>
          </w:r>
        </w:sdtContent>
      </w:sdt>
      <w:r w:rsidR="00C17777" w:rsidRPr="00277328">
        <w:rPr>
          <w:lang w:val="en-GB"/>
        </w:rPr>
        <w:t>.</w:t>
      </w:r>
    </w:p>
    <w:p w:rsidR="00A42699" w:rsidRPr="00277328" w:rsidRDefault="00A42699" w:rsidP="008B1868">
      <w:pPr>
        <w:ind w:right="-58"/>
        <w:rPr>
          <w:lang w:val="en-GB"/>
        </w:rPr>
      </w:pPr>
      <w:r w:rsidRPr="00277328">
        <w:rPr>
          <w:lang w:val="en-GB"/>
        </w:rPr>
        <w:t>Depressive disorders are the most prevalent mental disease in Spain, bearing high societal costs due to the chronic functional dis</w:t>
      </w:r>
      <w:r w:rsidR="00395B76" w:rsidRPr="00277328">
        <w:rPr>
          <w:lang w:val="en-GB"/>
        </w:rPr>
        <w:t>abilities they produce</w:t>
      </w:r>
      <w:r w:rsidR="00C25609" w:rsidRPr="00277328">
        <w:rPr>
          <w:lang w:val="en-GB"/>
        </w:rPr>
        <w:t xml:space="preserve">. </w:t>
      </w:r>
      <w:r w:rsidRPr="00277328">
        <w:rPr>
          <w:lang w:val="en-GB"/>
        </w:rPr>
        <w:t xml:space="preserve">In Catalonia (7 million </w:t>
      </w:r>
      <w:r w:rsidRPr="00277328">
        <w:rPr>
          <w:lang w:val="en-GB"/>
        </w:rPr>
        <w:lastRenderedPageBreak/>
        <w:t>inhabitants), the annual prevalence of depression in 2006 was estimated at 6.85%, accounting for 736 million total depression costs</w:t>
      </w:r>
      <w:r w:rsidR="00C17777" w:rsidRPr="00277328">
        <w:rPr>
          <w:lang w:val="en-GB"/>
        </w:rPr>
        <w:t xml:space="preserve"> </w:t>
      </w:r>
      <w:sdt>
        <w:sdtPr>
          <w:rPr>
            <w:lang w:val="en-GB"/>
          </w:rPr>
          <w:id w:val="40654971"/>
          <w:citation/>
        </w:sdtPr>
        <w:sdtContent>
          <w:r w:rsidR="00E93150" w:rsidRPr="00277328">
            <w:rPr>
              <w:lang w:val="en-GB"/>
            </w:rPr>
            <w:fldChar w:fldCharType="begin"/>
          </w:r>
          <w:r w:rsidR="00FB0F77" w:rsidRPr="00277328">
            <w:rPr>
              <w:lang w:val="en-GB"/>
            </w:rPr>
            <w:instrText xml:space="preserve"> CITATION Sal11 \l 1033 </w:instrText>
          </w:r>
          <w:r w:rsidR="00E93150" w:rsidRPr="00277328">
            <w:rPr>
              <w:lang w:val="en-GB"/>
            </w:rPr>
            <w:fldChar w:fldCharType="separate"/>
          </w:r>
          <w:r w:rsidR="008930F2" w:rsidRPr="00277328">
            <w:rPr>
              <w:lang w:val="en-GB"/>
            </w:rPr>
            <w:t>(Salvador-Carulla, et al. 2011)</w:t>
          </w:r>
          <w:r w:rsidR="00E93150" w:rsidRPr="00277328">
            <w:rPr>
              <w:lang w:val="en-GB"/>
            </w:rPr>
            <w:fldChar w:fldCharType="end"/>
          </w:r>
        </w:sdtContent>
      </w:sdt>
      <w:r w:rsidRPr="00277328">
        <w:rPr>
          <w:lang w:val="en-GB"/>
        </w:rPr>
        <w:t>. Although depressive episodes do not exhibit high mortality rates, they are a major background factor in 30%-45% of successful suicide</w:t>
      </w:r>
      <w:r w:rsidR="00E165DE" w:rsidRPr="00277328">
        <w:rPr>
          <w:lang w:val="en-GB"/>
        </w:rPr>
        <w:t xml:space="preserve">s in Spain </w:t>
      </w:r>
      <w:sdt>
        <w:sdtPr>
          <w:rPr>
            <w:lang w:val="en-GB"/>
          </w:rPr>
          <w:id w:val="40654972"/>
          <w:citation/>
        </w:sdtPr>
        <w:sdtContent>
          <w:r w:rsidR="00E93150" w:rsidRPr="00277328">
            <w:rPr>
              <w:lang w:val="en-GB"/>
            </w:rPr>
            <w:fldChar w:fldCharType="begin"/>
          </w:r>
          <w:r w:rsidR="00FB0F77" w:rsidRPr="00277328">
            <w:rPr>
              <w:lang w:val="en-GB"/>
            </w:rPr>
            <w:instrText xml:space="preserve"> CITATION Ayu08 \l 1033 </w:instrText>
          </w:r>
          <w:r w:rsidR="00E93150" w:rsidRPr="00277328">
            <w:rPr>
              <w:lang w:val="en-GB"/>
            </w:rPr>
            <w:fldChar w:fldCharType="separate"/>
          </w:r>
          <w:r w:rsidR="008930F2" w:rsidRPr="00277328">
            <w:rPr>
              <w:lang w:val="en-GB"/>
            </w:rPr>
            <w:t>(Ayuso-Mateos, et al. 2008)</w:t>
          </w:r>
          <w:r w:rsidR="00E93150" w:rsidRPr="00277328">
            <w:rPr>
              <w:lang w:val="en-GB"/>
            </w:rPr>
            <w:fldChar w:fldCharType="end"/>
          </w:r>
        </w:sdtContent>
      </w:sdt>
      <w:r w:rsidR="00E165DE" w:rsidRPr="00277328">
        <w:rPr>
          <w:lang w:val="en-GB"/>
        </w:rPr>
        <w:t>. In Europe</w:t>
      </w:r>
      <w:r w:rsidRPr="00277328">
        <w:rPr>
          <w:lang w:val="en-GB"/>
        </w:rPr>
        <w:t xml:space="preserve"> depression is considered to be the major risk factor of suicide attempts (28% risk rate), while suicides</w:t>
      </w:r>
      <w:r w:rsidR="00E165DE" w:rsidRPr="00277328">
        <w:rPr>
          <w:lang w:val="en-GB"/>
        </w:rPr>
        <w:t xml:space="preserve"> account for 1.3% of all DALYs </w:t>
      </w:r>
      <w:sdt>
        <w:sdtPr>
          <w:rPr>
            <w:lang w:val="en-GB"/>
          </w:rPr>
          <w:id w:val="40654973"/>
          <w:citation/>
        </w:sdtPr>
        <w:sdtContent>
          <w:r w:rsidR="00E93150" w:rsidRPr="00277328">
            <w:rPr>
              <w:lang w:val="en-GB"/>
            </w:rPr>
            <w:fldChar w:fldCharType="begin"/>
          </w:r>
          <w:r w:rsidR="00FB0F77" w:rsidRPr="00277328">
            <w:rPr>
              <w:lang w:val="en-GB"/>
            </w:rPr>
            <w:instrText xml:space="preserve"> CITATION Mir13 \l 1033 </w:instrText>
          </w:r>
          <w:r w:rsidR="00E93150" w:rsidRPr="00277328">
            <w:rPr>
              <w:lang w:val="en-GB"/>
            </w:rPr>
            <w:fldChar w:fldCharType="separate"/>
          </w:r>
          <w:r w:rsidR="008930F2" w:rsidRPr="00277328">
            <w:rPr>
              <w:lang w:val="en-GB"/>
            </w:rPr>
            <w:t>(Miret, et al. 2013)</w:t>
          </w:r>
          <w:r w:rsidR="00E93150" w:rsidRPr="00277328">
            <w:rPr>
              <w:lang w:val="en-GB"/>
            </w:rPr>
            <w:fldChar w:fldCharType="end"/>
          </w:r>
        </w:sdtContent>
      </w:sdt>
      <w:r w:rsidRPr="00277328">
        <w:rPr>
          <w:lang w:val="en-GB"/>
        </w:rPr>
        <w:t>. Therefore, successful prevention or treat</w:t>
      </w:r>
      <w:r w:rsidR="00C25609" w:rsidRPr="00277328">
        <w:rPr>
          <w:lang w:val="en-GB"/>
        </w:rPr>
        <w:t>ment of depression in Spain would</w:t>
      </w:r>
      <w:r w:rsidRPr="00277328">
        <w:rPr>
          <w:lang w:val="en-GB"/>
        </w:rPr>
        <w:t xml:space="preserve"> lead to a significant reduction in the total burden of disease. </w:t>
      </w:r>
    </w:p>
    <w:p w:rsidR="00A42699" w:rsidRPr="00277328" w:rsidRDefault="00A42699" w:rsidP="00A42699">
      <w:pPr>
        <w:rPr>
          <w:lang w:val="en-GB"/>
        </w:rPr>
      </w:pPr>
      <w:r w:rsidRPr="00277328">
        <w:rPr>
          <w:lang w:val="en-GB"/>
        </w:rPr>
        <w:t>Apart from depressive disorders, oth</w:t>
      </w:r>
      <w:r w:rsidR="00C25609" w:rsidRPr="00277328">
        <w:rPr>
          <w:lang w:val="en-GB"/>
        </w:rPr>
        <w:t>er studies</w:t>
      </w:r>
      <w:r w:rsidRPr="00277328">
        <w:rPr>
          <w:lang w:val="en-GB"/>
        </w:rPr>
        <w:t xml:space="preserve"> suggest a strong association between poor mental health a</w:t>
      </w:r>
      <w:r w:rsidR="00C25609" w:rsidRPr="00277328">
        <w:rPr>
          <w:lang w:val="en-GB"/>
        </w:rPr>
        <w:t>nd income reductions. T</w:t>
      </w:r>
      <w:r w:rsidRPr="00277328">
        <w:rPr>
          <w:lang w:val="en-GB"/>
        </w:rPr>
        <w:t>he most severe mental disorders in Spain are related to great losses of economic productivity due to premature dea</w:t>
      </w:r>
      <w:r w:rsidR="00E165DE" w:rsidRPr="00277328">
        <w:rPr>
          <w:lang w:val="en-GB"/>
        </w:rPr>
        <w:t xml:space="preserve">th and functional disabilities </w:t>
      </w:r>
      <w:sdt>
        <w:sdtPr>
          <w:rPr>
            <w:lang w:val="en-GB"/>
          </w:rPr>
          <w:id w:val="40654974"/>
          <w:citation/>
        </w:sdtPr>
        <w:sdtContent>
          <w:r w:rsidR="00E93150" w:rsidRPr="00277328">
            <w:rPr>
              <w:lang w:val="en-GB"/>
            </w:rPr>
            <w:fldChar w:fldCharType="begin"/>
          </w:r>
          <w:r w:rsidR="00FB0F77" w:rsidRPr="00277328">
            <w:rPr>
              <w:lang w:val="en-GB"/>
            </w:rPr>
            <w:instrText xml:space="preserve"> CITATION Bar12 \l 1033 </w:instrText>
          </w:r>
          <w:r w:rsidR="00E93150" w:rsidRPr="00277328">
            <w:rPr>
              <w:lang w:val="en-GB"/>
            </w:rPr>
            <w:fldChar w:fldCharType="separate"/>
          </w:r>
          <w:r w:rsidR="008930F2" w:rsidRPr="00277328">
            <w:rPr>
              <w:lang w:val="en-GB"/>
            </w:rPr>
            <w:t>(Barbaglia, et al. 2012)</w:t>
          </w:r>
          <w:r w:rsidR="00E93150" w:rsidRPr="00277328">
            <w:rPr>
              <w:lang w:val="en-GB"/>
            </w:rPr>
            <w:fldChar w:fldCharType="end"/>
          </w:r>
        </w:sdtContent>
      </w:sdt>
      <w:r w:rsidR="0078597D" w:rsidRPr="00277328">
        <w:rPr>
          <w:lang w:val="en-GB"/>
        </w:rPr>
        <w:t xml:space="preserve">. </w:t>
      </w:r>
      <w:r w:rsidRPr="00277328">
        <w:rPr>
          <w:lang w:val="en-GB"/>
        </w:rPr>
        <w:t xml:space="preserve">In particular, indirect costs of lost productivity associated to mental disorders account for 2.9 billion euros in Spain, resulting in significant earning gaps between healthy and mentally ill individuals. Relevant to these findings is the proven association between mental illness and precarious employment. Evidence from Spain shows that employment precariousness is highly related </w:t>
      </w:r>
      <w:r w:rsidR="0078597D" w:rsidRPr="00277328">
        <w:rPr>
          <w:lang w:val="en-GB"/>
        </w:rPr>
        <w:t xml:space="preserve">to poor mental health outcomes </w:t>
      </w:r>
      <w:sdt>
        <w:sdtPr>
          <w:rPr>
            <w:lang w:val="en-GB"/>
          </w:rPr>
          <w:id w:val="40654975"/>
          <w:citation/>
        </w:sdtPr>
        <w:sdtContent>
          <w:r w:rsidR="00E93150" w:rsidRPr="00277328">
            <w:rPr>
              <w:lang w:val="en-GB"/>
            </w:rPr>
            <w:fldChar w:fldCharType="begin"/>
          </w:r>
          <w:r w:rsidR="00FB0F77" w:rsidRPr="00277328">
            <w:rPr>
              <w:lang w:val="en-GB"/>
            </w:rPr>
            <w:instrText xml:space="preserve"> CITATION Viv13 \l 1033 </w:instrText>
          </w:r>
          <w:r w:rsidR="00E93150" w:rsidRPr="00277328">
            <w:rPr>
              <w:lang w:val="en-GB"/>
            </w:rPr>
            <w:fldChar w:fldCharType="separate"/>
          </w:r>
          <w:r w:rsidR="008930F2" w:rsidRPr="00277328">
            <w:rPr>
              <w:lang w:val="en-GB"/>
            </w:rPr>
            <w:t>(Vives, et al. 2013)</w:t>
          </w:r>
          <w:r w:rsidR="00E93150" w:rsidRPr="00277328">
            <w:rPr>
              <w:lang w:val="en-GB"/>
            </w:rPr>
            <w:fldChar w:fldCharType="end"/>
          </w:r>
        </w:sdtContent>
      </w:sdt>
      <w:r w:rsidR="0078597D" w:rsidRPr="00277328">
        <w:rPr>
          <w:lang w:val="en-GB"/>
        </w:rPr>
        <w:t xml:space="preserve">. </w:t>
      </w:r>
      <w:r w:rsidRPr="00277328">
        <w:rPr>
          <w:lang w:val="en-GB"/>
        </w:rPr>
        <w:t xml:space="preserve">The social and emotional deprivation imposed by job instability leads to mentally ill workers and thus to higher indirect costs. </w:t>
      </w:r>
    </w:p>
    <w:p w:rsidR="00A42699" w:rsidRPr="00277328" w:rsidRDefault="00A42699" w:rsidP="00A42699">
      <w:pPr>
        <w:rPr>
          <w:lang w:val="en-GB"/>
        </w:rPr>
      </w:pPr>
      <w:r w:rsidRPr="00277328">
        <w:rPr>
          <w:lang w:val="en-GB"/>
        </w:rPr>
        <w:t>This phenomenon is exacerbated due to the financial situation in Spain. The economic recession of the last years had profound consequences on unemployment rates and earnings reductions. The collapse of the housing market in 2007 led to significant income losses, difficulties in loan payments and great government dept</w:t>
      </w:r>
      <w:r w:rsidR="003A67A1" w:rsidRPr="00277328">
        <w:rPr>
          <w:lang w:val="en-GB"/>
        </w:rPr>
        <w:t xml:space="preserve"> </w:t>
      </w:r>
      <w:sdt>
        <w:sdtPr>
          <w:rPr>
            <w:lang w:val="en-GB"/>
          </w:rPr>
          <w:id w:val="40654976"/>
          <w:citation/>
        </w:sdtPr>
        <w:sdtContent>
          <w:r w:rsidR="00E93150" w:rsidRPr="00277328">
            <w:rPr>
              <w:lang w:val="en-GB"/>
            </w:rPr>
            <w:fldChar w:fldCharType="begin"/>
          </w:r>
          <w:r w:rsidR="00FB0F77" w:rsidRPr="00277328">
            <w:rPr>
              <w:lang w:val="en-GB"/>
            </w:rPr>
            <w:instrText xml:space="preserve"> CITATION Gil12 \l 1033 </w:instrText>
          </w:r>
          <w:r w:rsidR="00E93150" w:rsidRPr="00277328">
            <w:rPr>
              <w:lang w:val="en-GB"/>
            </w:rPr>
            <w:fldChar w:fldCharType="separate"/>
          </w:r>
          <w:r w:rsidR="008930F2" w:rsidRPr="00277328">
            <w:rPr>
              <w:lang w:val="en-GB"/>
            </w:rPr>
            <w:t>(Gili, et al. 2012)</w:t>
          </w:r>
          <w:r w:rsidR="00E93150" w:rsidRPr="00277328">
            <w:rPr>
              <w:lang w:val="en-GB"/>
            </w:rPr>
            <w:fldChar w:fldCharType="end"/>
          </w:r>
        </w:sdtContent>
      </w:sdt>
      <w:r w:rsidRPr="00277328">
        <w:rPr>
          <w:lang w:val="en-GB"/>
        </w:rPr>
        <w:t>. The economic impact of the crisis on individuals’ life</w:t>
      </w:r>
      <w:r w:rsidR="00C25609" w:rsidRPr="00277328">
        <w:rPr>
          <w:lang w:val="en-GB"/>
        </w:rPr>
        <w:t xml:space="preserve"> had several health effects</w:t>
      </w:r>
      <w:r w:rsidRPr="00277328">
        <w:rPr>
          <w:lang w:val="en-GB"/>
        </w:rPr>
        <w:t xml:space="preserve">. It has been estimated that the increase of unemployment is highly associated with an increase of mental disorders in Spain. In particular, job losses (or instability) are associated with 3.1% risk of suffering from a major depressive episode. This is relevant not only for patients but also for their relatives and the society. Even more, suicide rates for individuals under 65 years have risen in Spain due to the recession. Overall, the economic crisis is responsible for a significant increase of mental disorders prevalence within the Spanish population between 2006 and 2010. </w:t>
      </w:r>
    </w:p>
    <w:p w:rsidR="00A42699" w:rsidRPr="00277328" w:rsidRDefault="00A42699" w:rsidP="00A42699">
      <w:pPr>
        <w:rPr>
          <w:lang w:val="en-GB"/>
        </w:rPr>
      </w:pPr>
      <w:r w:rsidRPr="00277328">
        <w:rPr>
          <w:lang w:val="en-GB"/>
        </w:rPr>
        <w:t>It becomes apparent that mental disorders in Spain have notable economic and health consequences. Although several regions have taken initiatives to develop evidence-based mental health polices, research and investment in mental health are still underfunded. Estimations on the true burden of affective disorders are still a</w:t>
      </w:r>
      <w:r w:rsidR="009C7662">
        <w:rPr>
          <w:lang w:val="en-GB"/>
        </w:rPr>
        <w:t>bsent, which makes the prioritis</w:t>
      </w:r>
      <w:r w:rsidRPr="00277328">
        <w:rPr>
          <w:lang w:val="en-GB"/>
        </w:rPr>
        <w:t>ation of m</w:t>
      </w:r>
      <w:r w:rsidR="00C25609" w:rsidRPr="00277328">
        <w:rPr>
          <w:lang w:val="en-GB"/>
        </w:rPr>
        <w:t>ental health even more challenging</w:t>
      </w:r>
      <w:r w:rsidRPr="00277328">
        <w:rPr>
          <w:lang w:val="en-GB"/>
        </w:rPr>
        <w:t>. Therefore, the need for rational priority setting within the Spanish health system becomes essential.</w:t>
      </w:r>
      <w:r w:rsidR="00C25609" w:rsidRPr="00277328">
        <w:rPr>
          <w:lang w:val="en-GB"/>
        </w:rPr>
        <w:t xml:space="preserve"> The DCE conducted in this thesis</w:t>
      </w:r>
      <w:r w:rsidRPr="00277328">
        <w:rPr>
          <w:lang w:val="en-GB"/>
        </w:rPr>
        <w:t xml:space="preserve"> highlights the challenges of such decision processes in a context of constrained health care resources and economic </w:t>
      </w:r>
      <w:r w:rsidR="00EF3C04" w:rsidRPr="00277328">
        <w:rPr>
          <w:lang w:val="en-GB"/>
        </w:rPr>
        <w:t>recession.</w:t>
      </w:r>
    </w:p>
    <w:p w:rsidR="00A42699" w:rsidRPr="00277328" w:rsidRDefault="00A42699" w:rsidP="003414E6">
      <w:pPr>
        <w:pStyle w:val="Heading1"/>
        <w:rPr>
          <w:lang w:val="en-GB"/>
        </w:rPr>
      </w:pPr>
      <w:bookmarkStart w:id="14" w:name="_Toc367791006"/>
      <w:r w:rsidRPr="00277328">
        <w:rPr>
          <w:lang w:val="en-GB"/>
        </w:rPr>
        <w:lastRenderedPageBreak/>
        <w:t>REVIEW OF THE LITERATURE</w:t>
      </w:r>
      <w:bookmarkEnd w:id="14"/>
    </w:p>
    <w:p w:rsidR="00A42699" w:rsidRPr="00277328" w:rsidRDefault="00A42699" w:rsidP="006555F2">
      <w:pPr>
        <w:pStyle w:val="Heading2"/>
        <w:numPr>
          <w:ilvl w:val="0"/>
          <w:numId w:val="0"/>
        </w:numPr>
        <w:ind w:left="576" w:hanging="576"/>
        <w:rPr>
          <w:lang w:val="en-GB"/>
        </w:rPr>
      </w:pPr>
    </w:p>
    <w:p w:rsidR="00A42699" w:rsidRPr="00277328" w:rsidRDefault="00A42699" w:rsidP="003414E6">
      <w:pPr>
        <w:pStyle w:val="Heading2"/>
        <w:rPr>
          <w:sz w:val="24"/>
          <w:szCs w:val="24"/>
          <w:lang w:val="en-GB"/>
        </w:rPr>
      </w:pPr>
      <w:bookmarkStart w:id="15" w:name="_Toc367791007"/>
      <w:r w:rsidRPr="00277328">
        <w:rPr>
          <w:sz w:val="24"/>
          <w:szCs w:val="24"/>
          <w:lang w:val="en-GB"/>
        </w:rPr>
        <w:t>Moving towards MCDA</w:t>
      </w:r>
      <w:bookmarkEnd w:id="15"/>
    </w:p>
    <w:p w:rsidR="00A42699" w:rsidRPr="00277328" w:rsidRDefault="00A42699" w:rsidP="00A42699">
      <w:pPr>
        <w:rPr>
          <w:lang w:val="en-GB"/>
        </w:rPr>
      </w:pPr>
      <w:r w:rsidRPr="00277328">
        <w:rPr>
          <w:lang w:val="en-GB"/>
        </w:rPr>
        <w:t>As discussed earlier, multi-criteria decision analysis (MCDA) draws upon the principle that health policy decisions can be complex and affected by several factors. Therefore, the process of priority setting is often ad-hoc or based on past exper</w:t>
      </w:r>
      <w:r w:rsidR="00C25609" w:rsidRPr="00277328">
        <w:rPr>
          <w:lang w:val="en-GB"/>
        </w:rPr>
        <w:t xml:space="preserve">iences, leading to implicit </w:t>
      </w:r>
      <w:r w:rsidRPr="00277328">
        <w:rPr>
          <w:lang w:val="en-GB"/>
        </w:rPr>
        <w:t>choices. The concept of priority setting covers a wide range of policy questions concerning different aspects of each health system. A recent review on MCDA literature identifies two major grou</w:t>
      </w:r>
      <w:r w:rsidR="004249B3" w:rsidRPr="00277328">
        <w:rPr>
          <w:lang w:val="en-GB"/>
        </w:rPr>
        <w:t xml:space="preserve">ps of priority setting studies </w:t>
      </w:r>
      <w:sdt>
        <w:sdtPr>
          <w:rPr>
            <w:lang w:val="en-GB"/>
          </w:rPr>
          <w:id w:val="40654977"/>
          <w:citation/>
        </w:sdtPr>
        <w:sdtContent>
          <w:r w:rsidR="00E93150" w:rsidRPr="00277328">
            <w:rPr>
              <w:lang w:val="en-GB"/>
            </w:rPr>
            <w:fldChar w:fldCharType="begin"/>
          </w:r>
          <w:r w:rsidR="00FB0F77" w:rsidRPr="00277328">
            <w:rPr>
              <w:lang w:val="en-GB"/>
            </w:rPr>
            <w:instrText xml:space="preserve"> CITATION Bal10 \l 1033  </w:instrText>
          </w:r>
          <w:r w:rsidR="00E93150" w:rsidRPr="00277328">
            <w:rPr>
              <w:lang w:val="en-GB"/>
            </w:rPr>
            <w:fldChar w:fldCharType="separate"/>
          </w:r>
          <w:r w:rsidR="008930F2" w:rsidRPr="00277328">
            <w:rPr>
              <w:lang w:val="en-GB"/>
            </w:rPr>
            <w:t>(Baltussen, Youngkong, et al. 2010)</w:t>
          </w:r>
          <w:r w:rsidR="00E93150" w:rsidRPr="00277328">
            <w:rPr>
              <w:lang w:val="en-GB"/>
            </w:rPr>
            <w:fldChar w:fldCharType="end"/>
          </w:r>
        </w:sdtContent>
      </w:sdt>
      <w:r w:rsidR="004249B3" w:rsidRPr="00277328">
        <w:rPr>
          <w:lang w:val="en-GB"/>
        </w:rPr>
        <w:t xml:space="preserve">. </w:t>
      </w:r>
      <w:r w:rsidRPr="00277328">
        <w:rPr>
          <w:lang w:val="en-GB"/>
        </w:rPr>
        <w:t>First, priority setting processes could be implemented within a specific context, such as reimbursement of a particular intervention. Such decisions are made given the available human and budget resources. Second, priority setting ca</w:t>
      </w:r>
      <w:r w:rsidR="00F16517">
        <w:rPr>
          <w:lang w:val="en-GB"/>
        </w:rPr>
        <w:t>n be applied in a more generalis</w:t>
      </w:r>
      <w:r w:rsidRPr="00277328">
        <w:rPr>
          <w:lang w:val="en-GB"/>
        </w:rPr>
        <w:t xml:space="preserve">ed framework, providing guidance on the relative importance of various health interventions. In both cases, MCDA play a catalytic role in resource allocation decisions, by making the priority setting process more transparent and consistent with all the relevant information. </w:t>
      </w:r>
    </w:p>
    <w:p w:rsidR="00A42699" w:rsidRPr="00277328" w:rsidRDefault="004249B3" w:rsidP="00A42699">
      <w:pPr>
        <w:rPr>
          <w:lang w:val="en-GB"/>
        </w:rPr>
      </w:pPr>
      <w:r w:rsidRPr="00277328">
        <w:rPr>
          <w:lang w:val="en-GB"/>
        </w:rPr>
        <w:t>As Jehu-Appiah</w:t>
      </w:r>
      <w:r w:rsidR="00A42699" w:rsidRPr="00277328">
        <w:rPr>
          <w:lang w:val="en-GB"/>
        </w:rPr>
        <w:t xml:space="preserve"> et al. (2008) claim, “MCDA is a conceptual framework that aids people in making complex decisions and has evolved as a response to the observed inability of people to effectively </w:t>
      </w:r>
      <w:r w:rsidR="00173A00" w:rsidRPr="00277328">
        <w:rPr>
          <w:lang w:val="en-GB"/>
        </w:rPr>
        <w:t>analyse</w:t>
      </w:r>
      <w:r w:rsidR="00A42699" w:rsidRPr="00277328">
        <w:rPr>
          <w:lang w:val="en-GB"/>
        </w:rPr>
        <w:t xml:space="preserve"> multiple stre</w:t>
      </w:r>
      <w:r w:rsidRPr="00277328">
        <w:rPr>
          <w:lang w:val="en-GB"/>
        </w:rPr>
        <w:t xml:space="preserve">ams of dissimilar information” </w:t>
      </w:r>
      <w:sdt>
        <w:sdtPr>
          <w:rPr>
            <w:lang w:val="en-GB"/>
          </w:rPr>
          <w:id w:val="40654978"/>
          <w:citation/>
        </w:sdtPr>
        <w:sdtContent>
          <w:r w:rsidR="00E93150" w:rsidRPr="00277328">
            <w:rPr>
              <w:lang w:val="en-GB"/>
            </w:rPr>
            <w:fldChar w:fldCharType="begin"/>
          </w:r>
          <w:r w:rsidR="00FB0F77" w:rsidRPr="00277328">
            <w:rPr>
              <w:lang w:val="en-GB"/>
            </w:rPr>
            <w:instrText xml:space="preserve"> CITATION Jeh08 \l 1033 </w:instrText>
          </w:r>
          <w:r w:rsidR="00E93150" w:rsidRPr="00277328">
            <w:rPr>
              <w:lang w:val="en-GB"/>
            </w:rPr>
            <w:fldChar w:fldCharType="separate"/>
          </w:r>
          <w:r w:rsidR="008930F2" w:rsidRPr="00277328">
            <w:rPr>
              <w:lang w:val="en-GB"/>
            </w:rPr>
            <w:t>(Jehu-Appiah, et al. 2008)</w:t>
          </w:r>
          <w:r w:rsidR="00E93150" w:rsidRPr="00277328">
            <w:rPr>
              <w:lang w:val="en-GB"/>
            </w:rPr>
            <w:fldChar w:fldCharType="end"/>
          </w:r>
        </w:sdtContent>
      </w:sdt>
      <w:r w:rsidR="00C25609" w:rsidRPr="00277328">
        <w:rPr>
          <w:lang w:val="en-GB"/>
        </w:rPr>
        <w:t xml:space="preserve">. </w:t>
      </w:r>
      <w:r w:rsidR="00A42699" w:rsidRPr="00277328">
        <w:rPr>
          <w:lang w:val="en-GB"/>
        </w:rPr>
        <w:t>Until recently priority setting of health interventions has been heavily relied on other methods, such as burden of disease and cost-effectiveness analyses</w:t>
      </w:r>
      <w:r w:rsidR="00B87B1C" w:rsidRPr="00277328">
        <w:rPr>
          <w:lang w:val="en-GB"/>
        </w:rPr>
        <w:t xml:space="preserve"> (Baltussen and Niessen, 2006)</w:t>
      </w:r>
      <w:r w:rsidR="00A42699" w:rsidRPr="00277328">
        <w:rPr>
          <w:lang w:val="en-GB"/>
        </w:rPr>
        <w:t>. However, these approaches give limited guidance to policy makers since they neither take into account all the relevant criteria nor allow for trade-offs between these criteria. As mentioned earlier, cost-effectiveness analysis focuses on the economic criterion of efficiency, which aims at maximizing population’s health, given a budget constraint. On the other hand, equity principles focus on minimizing health differences between population grou</w:t>
      </w:r>
      <w:r w:rsidR="00B87B1C" w:rsidRPr="00277328">
        <w:rPr>
          <w:lang w:val="en-GB"/>
        </w:rPr>
        <w:t xml:space="preserve">ps </w:t>
      </w:r>
      <w:sdt>
        <w:sdtPr>
          <w:rPr>
            <w:lang w:val="en-GB"/>
          </w:rPr>
          <w:id w:val="40654980"/>
          <w:citation/>
        </w:sdtPr>
        <w:sdtContent>
          <w:r w:rsidR="00E93150" w:rsidRPr="00277328">
            <w:rPr>
              <w:lang w:val="en-GB"/>
            </w:rPr>
            <w:fldChar w:fldCharType="begin"/>
          </w:r>
          <w:r w:rsidR="00FB0F77" w:rsidRPr="00277328">
            <w:rPr>
              <w:lang w:val="en-GB"/>
            </w:rPr>
            <w:instrText xml:space="preserve"> CITATION Jeh08 \l 1033 </w:instrText>
          </w:r>
          <w:r w:rsidR="00E93150" w:rsidRPr="00277328">
            <w:rPr>
              <w:lang w:val="en-GB"/>
            </w:rPr>
            <w:fldChar w:fldCharType="separate"/>
          </w:r>
          <w:r w:rsidR="008930F2" w:rsidRPr="00277328">
            <w:rPr>
              <w:lang w:val="en-GB"/>
            </w:rPr>
            <w:t>(Jehu-Appiah, et al. 2008)</w:t>
          </w:r>
          <w:r w:rsidR="00E93150" w:rsidRPr="00277328">
            <w:rPr>
              <w:lang w:val="en-GB"/>
            </w:rPr>
            <w:fldChar w:fldCharType="end"/>
          </w:r>
        </w:sdtContent>
      </w:sdt>
      <w:r w:rsidR="00A42699" w:rsidRPr="00277328">
        <w:rPr>
          <w:lang w:val="en-GB"/>
        </w:rPr>
        <w:t xml:space="preserve">. </w:t>
      </w:r>
    </w:p>
    <w:p w:rsidR="00A42699" w:rsidRPr="00277328" w:rsidRDefault="00A42699" w:rsidP="00A42699">
      <w:pPr>
        <w:rPr>
          <w:lang w:val="en-GB"/>
        </w:rPr>
      </w:pPr>
      <w:r w:rsidRPr="00277328">
        <w:rPr>
          <w:lang w:val="en-GB"/>
        </w:rPr>
        <w:t>Therefore, the trade-offs between equity and efficiency objectives that decision-makers make could have a significant impact on the choice of health interventions. That is, based on these trade-offs they would adopt more treatment-oriented (equity) or more prevention-oriented (efficiency) strategies. This indicates the need for MCDA, in order to account for other objectives in priority setting beyond cost-</w:t>
      </w:r>
      <w:r w:rsidR="00B87B1C" w:rsidRPr="00277328">
        <w:rPr>
          <w:lang w:val="en-GB"/>
        </w:rPr>
        <w:t xml:space="preserve">effectiveness </w:t>
      </w:r>
      <w:sdt>
        <w:sdtPr>
          <w:rPr>
            <w:lang w:val="en-GB"/>
          </w:rPr>
          <w:id w:val="40654981"/>
          <w:citation/>
        </w:sdtPr>
        <w:sdtContent>
          <w:r w:rsidR="00E93150" w:rsidRPr="00277328">
            <w:rPr>
              <w:lang w:val="en-GB"/>
            </w:rPr>
            <w:fldChar w:fldCharType="begin"/>
          </w:r>
          <w:r w:rsidR="00FB0F77" w:rsidRPr="00277328">
            <w:rPr>
              <w:lang w:val="en-GB"/>
            </w:rPr>
            <w:instrText xml:space="preserve"> CITATION You12 \l 1033 </w:instrText>
          </w:r>
          <w:r w:rsidR="00E93150" w:rsidRPr="00277328">
            <w:rPr>
              <w:lang w:val="en-GB"/>
            </w:rPr>
            <w:fldChar w:fldCharType="separate"/>
          </w:r>
          <w:r w:rsidR="008930F2" w:rsidRPr="00277328">
            <w:rPr>
              <w:lang w:val="en-GB"/>
            </w:rPr>
            <w:t>(Youngkong, Teerawattananon, et al. 2012)</w:t>
          </w:r>
          <w:r w:rsidR="00E93150" w:rsidRPr="00277328">
            <w:rPr>
              <w:lang w:val="en-GB"/>
            </w:rPr>
            <w:fldChar w:fldCharType="end"/>
          </w:r>
        </w:sdtContent>
      </w:sdt>
      <w:r w:rsidRPr="00277328">
        <w:rPr>
          <w:lang w:val="en-GB"/>
        </w:rPr>
        <w:t>. In fact, there is an ongoing debate concerning the use of economic evaluation as a guidance tool for national health p</w:t>
      </w:r>
      <w:r w:rsidR="006206D9" w:rsidRPr="00277328">
        <w:rPr>
          <w:lang w:val="en-GB"/>
        </w:rPr>
        <w:t xml:space="preserve">riority decisions (Baltussen and Niessen, 2006; </w:t>
      </w:r>
      <w:r w:rsidR="00905F88" w:rsidRPr="00277328">
        <w:rPr>
          <w:lang w:val="en-GB"/>
        </w:rPr>
        <w:t>Baltussen, Stolk, et al. 2006; Robinson 1999)</w:t>
      </w:r>
      <w:r w:rsidRPr="00277328">
        <w:rPr>
          <w:lang w:val="en-GB"/>
        </w:rPr>
        <w:t>. Within the literature, there is a growing consensus that MCDA is becoming one of the most important issues in health economics research. It has been argued that explicit priority setting exercises give the opportunity to combine societal concerns on health needs with evidence-based strategies for the efficient allocation of scarce resour</w:t>
      </w:r>
      <w:r w:rsidR="00905F88" w:rsidRPr="00277328">
        <w:rPr>
          <w:lang w:val="en-GB"/>
        </w:rPr>
        <w:t xml:space="preserve">ces </w:t>
      </w:r>
      <w:sdt>
        <w:sdtPr>
          <w:rPr>
            <w:lang w:val="en-GB"/>
          </w:rPr>
          <w:id w:val="40654985"/>
          <w:citation/>
        </w:sdtPr>
        <w:sdtContent>
          <w:r w:rsidR="00E93150" w:rsidRPr="00277328">
            <w:rPr>
              <w:lang w:val="en-GB"/>
            </w:rPr>
            <w:fldChar w:fldCharType="begin"/>
          </w:r>
          <w:r w:rsidR="00FB0F77" w:rsidRPr="00277328">
            <w:rPr>
              <w:lang w:val="en-GB"/>
            </w:rPr>
            <w:instrText xml:space="preserve"> CITATION Gon06 \l 1033 </w:instrText>
          </w:r>
          <w:r w:rsidR="00E93150" w:rsidRPr="00277328">
            <w:rPr>
              <w:lang w:val="en-GB"/>
            </w:rPr>
            <w:fldChar w:fldCharType="separate"/>
          </w:r>
          <w:r w:rsidR="008930F2" w:rsidRPr="00277328">
            <w:rPr>
              <w:lang w:val="en-GB"/>
            </w:rPr>
            <w:t>(González-Pier, et al. 2006)</w:t>
          </w:r>
          <w:r w:rsidR="00E93150" w:rsidRPr="00277328">
            <w:rPr>
              <w:lang w:val="en-GB"/>
            </w:rPr>
            <w:fldChar w:fldCharType="end"/>
          </w:r>
        </w:sdtContent>
      </w:sdt>
      <w:r w:rsidRPr="00277328">
        <w:rPr>
          <w:lang w:val="en-GB"/>
        </w:rPr>
        <w:t xml:space="preserve">. </w:t>
      </w:r>
    </w:p>
    <w:p w:rsidR="00A42699" w:rsidRPr="00277328" w:rsidRDefault="00A42699" w:rsidP="00A42699">
      <w:pPr>
        <w:rPr>
          <w:lang w:val="en-GB"/>
        </w:rPr>
      </w:pPr>
      <w:r w:rsidRPr="00277328">
        <w:rPr>
          <w:lang w:val="en-GB"/>
        </w:rPr>
        <w:t>Peacock et.al in a recent paper established the contribution of interdisciplinary methods in developing more rational, fair and</w:t>
      </w:r>
      <w:r w:rsidR="00905F88" w:rsidRPr="00277328">
        <w:rPr>
          <w:lang w:val="en-GB"/>
        </w:rPr>
        <w:t xml:space="preserve"> legitimate priority</w:t>
      </w:r>
      <w:r w:rsidR="00C25609" w:rsidRPr="00277328">
        <w:rPr>
          <w:lang w:val="en-GB"/>
        </w:rPr>
        <w:t xml:space="preserve"> setting approaches</w:t>
      </w:r>
      <w:sdt>
        <w:sdtPr>
          <w:rPr>
            <w:lang w:val="en-GB"/>
          </w:rPr>
          <w:id w:val="40654986"/>
          <w:citation/>
        </w:sdtPr>
        <w:sdtContent>
          <w:r w:rsidR="00E93150" w:rsidRPr="00277328">
            <w:rPr>
              <w:lang w:val="en-GB"/>
            </w:rPr>
            <w:fldChar w:fldCharType="begin"/>
          </w:r>
          <w:r w:rsidR="00FB0F77" w:rsidRPr="00277328">
            <w:rPr>
              <w:lang w:val="en-GB"/>
            </w:rPr>
            <w:instrText xml:space="preserve"> CITATION Pea09 \l 1033 </w:instrText>
          </w:r>
          <w:r w:rsidR="00E93150" w:rsidRPr="00277328">
            <w:rPr>
              <w:lang w:val="en-GB"/>
            </w:rPr>
            <w:fldChar w:fldCharType="separate"/>
          </w:r>
          <w:r w:rsidR="008930F2" w:rsidRPr="00277328">
            <w:rPr>
              <w:lang w:val="en-GB"/>
            </w:rPr>
            <w:t xml:space="preserve"> (Peacock, et al. 2009)</w:t>
          </w:r>
          <w:r w:rsidR="00E93150" w:rsidRPr="00277328">
            <w:rPr>
              <w:lang w:val="en-GB"/>
            </w:rPr>
            <w:fldChar w:fldCharType="end"/>
          </w:r>
        </w:sdtContent>
      </w:sdt>
      <w:r w:rsidRPr="00277328">
        <w:rPr>
          <w:lang w:val="en-GB"/>
        </w:rPr>
        <w:t xml:space="preserve">. For instance, they focused on the effective implementation of program budgeting and </w:t>
      </w:r>
      <w:r w:rsidRPr="00277328">
        <w:rPr>
          <w:lang w:val="en-GB"/>
        </w:rPr>
        <w:lastRenderedPageBreak/>
        <w:t>marginal analysis (PBMA) in the realm of context-specific priority setting. Thereby, they highlighted the potential of MCDA to overcome barriers that appear during the process of local priority setting. Such barriers could refer to a failure to sufficiently capture decision-makers’ preferences while decisions are formulated. Thus, MCDA could improve the credibility and consistency of priority setting processes by allowing policy makers to learn more about their preferences on a large amount of relevant information. Moreover, Baltussen et.al emph</w:t>
      </w:r>
      <w:r w:rsidR="00F16517">
        <w:rPr>
          <w:lang w:val="en-GB"/>
        </w:rPr>
        <w:t>asis</w:t>
      </w:r>
      <w:r w:rsidRPr="00277328">
        <w:rPr>
          <w:lang w:val="en-GB"/>
        </w:rPr>
        <w:t xml:space="preserve">ed the important role of </w:t>
      </w:r>
      <w:r w:rsidR="00F16517">
        <w:rPr>
          <w:lang w:val="en-GB"/>
        </w:rPr>
        <w:t>MCDA in the context of generalis</w:t>
      </w:r>
      <w:r w:rsidRPr="00277328">
        <w:rPr>
          <w:lang w:val="en-GB"/>
        </w:rPr>
        <w:t>ed priorit</w:t>
      </w:r>
      <w:r w:rsidR="00905F88" w:rsidRPr="00277328">
        <w:rPr>
          <w:lang w:val="en-GB"/>
        </w:rPr>
        <w:t>y setting</w:t>
      </w:r>
      <w:sdt>
        <w:sdtPr>
          <w:rPr>
            <w:lang w:val="en-GB"/>
          </w:rPr>
          <w:id w:val="40654987"/>
          <w:citation/>
        </w:sdtPr>
        <w:sdtContent>
          <w:r w:rsidR="00E93150" w:rsidRPr="00277328">
            <w:rPr>
              <w:lang w:val="en-GB"/>
            </w:rPr>
            <w:fldChar w:fldCharType="begin"/>
          </w:r>
          <w:r w:rsidR="00FB0F77" w:rsidRPr="00277328">
            <w:rPr>
              <w:lang w:val="en-GB"/>
            </w:rPr>
            <w:instrText xml:space="preserve"> CITATION Bal10 \l 1033 </w:instrText>
          </w:r>
          <w:r w:rsidR="00E93150" w:rsidRPr="00277328">
            <w:rPr>
              <w:lang w:val="en-GB"/>
            </w:rPr>
            <w:fldChar w:fldCharType="separate"/>
          </w:r>
          <w:r w:rsidR="008930F2" w:rsidRPr="00277328">
            <w:rPr>
              <w:lang w:val="en-GB"/>
            </w:rPr>
            <w:t xml:space="preserve"> (Baltussen, Youngkong, et al. 2010)</w:t>
          </w:r>
          <w:r w:rsidR="00E93150" w:rsidRPr="00277328">
            <w:rPr>
              <w:lang w:val="en-GB"/>
            </w:rPr>
            <w:fldChar w:fldCharType="end"/>
          </w:r>
        </w:sdtContent>
      </w:sdt>
      <w:r w:rsidRPr="00277328">
        <w:rPr>
          <w:lang w:val="en-GB"/>
        </w:rPr>
        <w:t xml:space="preserve">. A first review of case-studies indicates that MCDA is eligible to define general, national-level criteria for priority setting and provide information on the relative ranking of interventions priorities. Thereby, it adds to the overall accountability and transparency of the process. </w:t>
      </w:r>
    </w:p>
    <w:p w:rsidR="00A42699" w:rsidRPr="00277328" w:rsidRDefault="00A42699" w:rsidP="00A42699">
      <w:pPr>
        <w:rPr>
          <w:lang w:val="en-GB"/>
        </w:rPr>
      </w:pPr>
      <w:r w:rsidRPr="00277328">
        <w:rPr>
          <w:lang w:val="en-GB"/>
        </w:rPr>
        <w:t>An example of such explicit processes is observed in the Netherlands, where the Dunning committee identified a set of criteria that interventions should satisfy in order to be included in the national insur</w:t>
      </w:r>
      <w:r w:rsidR="002F4C47" w:rsidRPr="00277328">
        <w:rPr>
          <w:lang w:val="en-GB"/>
        </w:rPr>
        <w:t>ance package</w:t>
      </w:r>
      <w:r w:rsidRPr="00277328">
        <w:rPr>
          <w:lang w:val="en-GB"/>
        </w:rPr>
        <w:t>. Another example is the case of policy makers in Ghana, who applied MCDA in order to define the criteria that set intervention priorities in their Health</w:t>
      </w:r>
      <w:r w:rsidR="002F4C47" w:rsidRPr="00277328">
        <w:rPr>
          <w:lang w:val="en-GB"/>
        </w:rPr>
        <w:t xml:space="preserve"> Sector Plan of Work 2007-2012 </w:t>
      </w:r>
      <w:sdt>
        <w:sdtPr>
          <w:rPr>
            <w:lang w:val="en-GB"/>
          </w:rPr>
          <w:id w:val="40654988"/>
          <w:citation/>
        </w:sdtPr>
        <w:sdtContent>
          <w:r w:rsidR="00E93150" w:rsidRPr="00277328">
            <w:rPr>
              <w:lang w:val="en-GB"/>
            </w:rPr>
            <w:fldChar w:fldCharType="begin"/>
          </w:r>
          <w:r w:rsidR="00FB0F77" w:rsidRPr="00277328">
            <w:rPr>
              <w:lang w:val="en-GB"/>
            </w:rPr>
            <w:instrText xml:space="preserve"> CITATION Jeh08 \l 1033 </w:instrText>
          </w:r>
          <w:r w:rsidR="00E93150" w:rsidRPr="00277328">
            <w:rPr>
              <w:lang w:val="en-GB"/>
            </w:rPr>
            <w:fldChar w:fldCharType="separate"/>
          </w:r>
          <w:r w:rsidR="008930F2" w:rsidRPr="00277328">
            <w:rPr>
              <w:lang w:val="en-GB"/>
            </w:rPr>
            <w:t>(Jehu-Appiah, et al. 2008)</w:t>
          </w:r>
          <w:r w:rsidR="00E93150" w:rsidRPr="00277328">
            <w:rPr>
              <w:lang w:val="en-GB"/>
            </w:rPr>
            <w:fldChar w:fldCharType="end"/>
          </w:r>
        </w:sdtContent>
      </w:sdt>
      <w:r w:rsidRPr="00277328">
        <w:rPr>
          <w:lang w:val="en-GB"/>
        </w:rPr>
        <w:t>. Furthermore, MCDA has been used within the literature in order to identify the relative importance of interventions targeting specific disease areas. First cases are being observed in low and middle-income countries, such as Nepal which applied MCDA to guide decisions on the implementa</w:t>
      </w:r>
      <w:r w:rsidR="002F4C47" w:rsidRPr="00277328">
        <w:rPr>
          <w:lang w:val="en-GB"/>
        </w:rPr>
        <w:t>tion of a lung health programme</w:t>
      </w:r>
      <w:sdt>
        <w:sdtPr>
          <w:rPr>
            <w:lang w:val="en-GB"/>
          </w:rPr>
          <w:id w:val="40654989"/>
          <w:citation/>
        </w:sdtPr>
        <w:sdtContent>
          <w:r w:rsidR="00E93150" w:rsidRPr="00277328">
            <w:rPr>
              <w:lang w:val="en-GB"/>
            </w:rPr>
            <w:fldChar w:fldCharType="begin"/>
          </w:r>
          <w:r w:rsidR="00FB0F77" w:rsidRPr="00277328">
            <w:rPr>
              <w:lang w:val="en-GB"/>
            </w:rPr>
            <w:instrText xml:space="preserve"> CITATION Bal07 \l 1033 </w:instrText>
          </w:r>
          <w:r w:rsidR="00E93150" w:rsidRPr="00277328">
            <w:rPr>
              <w:lang w:val="en-GB"/>
            </w:rPr>
            <w:fldChar w:fldCharType="separate"/>
          </w:r>
          <w:r w:rsidR="008930F2" w:rsidRPr="00277328">
            <w:rPr>
              <w:lang w:val="en-GB"/>
            </w:rPr>
            <w:t xml:space="preserve"> (Baltussen, et al. 2007)</w:t>
          </w:r>
          <w:r w:rsidR="00E93150" w:rsidRPr="00277328">
            <w:rPr>
              <w:lang w:val="en-GB"/>
            </w:rPr>
            <w:fldChar w:fldCharType="end"/>
          </w:r>
        </w:sdtContent>
      </w:sdt>
      <w:r w:rsidRPr="00277328">
        <w:rPr>
          <w:lang w:val="en-GB"/>
        </w:rPr>
        <w:t>. Other applications include priority setting in HIV/AIDS</w:t>
      </w:r>
      <w:r w:rsidR="002F4C47" w:rsidRPr="00277328">
        <w:rPr>
          <w:lang w:val="en-GB"/>
        </w:rPr>
        <w:t xml:space="preserve"> control in Thailand </w:t>
      </w:r>
      <w:sdt>
        <w:sdtPr>
          <w:rPr>
            <w:lang w:val="en-GB"/>
          </w:rPr>
          <w:id w:val="40654990"/>
          <w:citation/>
        </w:sdtPr>
        <w:sdtContent>
          <w:r w:rsidR="00E93150" w:rsidRPr="00277328">
            <w:rPr>
              <w:lang w:val="en-GB"/>
            </w:rPr>
            <w:fldChar w:fldCharType="begin"/>
          </w:r>
          <w:r w:rsidR="00FB0F77" w:rsidRPr="00277328">
            <w:rPr>
              <w:lang w:val="en-GB"/>
            </w:rPr>
            <w:instrText xml:space="preserve"> CITATION You10 \l 1033 </w:instrText>
          </w:r>
          <w:r w:rsidR="00E93150" w:rsidRPr="00277328">
            <w:rPr>
              <w:lang w:val="en-GB"/>
            </w:rPr>
            <w:fldChar w:fldCharType="separate"/>
          </w:r>
          <w:r w:rsidR="008930F2" w:rsidRPr="00277328">
            <w:rPr>
              <w:lang w:val="en-GB"/>
            </w:rPr>
            <w:t>(Youngkong, Baltussen, et al. 2010)</w:t>
          </w:r>
          <w:r w:rsidR="00E93150" w:rsidRPr="00277328">
            <w:rPr>
              <w:lang w:val="en-GB"/>
            </w:rPr>
            <w:fldChar w:fldCharType="end"/>
          </w:r>
        </w:sdtContent>
      </w:sdt>
      <w:r w:rsidRPr="00277328">
        <w:rPr>
          <w:lang w:val="en-GB"/>
        </w:rPr>
        <w:t xml:space="preserve">; and priority setting across a wide range of interventions to guide national policy makers in countries like Brazil, Cuba, Ghana and China </w:t>
      </w:r>
      <w:r w:rsidR="00502A8C" w:rsidRPr="00277328">
        <w:rPr>
          <w:lang w:val="en-GB"/>
        </w:rPr>
        <w:t>(Baltussen, Stolk, et al. 2006; Shi, Paolucci and Yu 2009; Soares, et al. 2009; Niessen and Paolucci 2009).</w:t>
      </w:r>
    </w:p>
    <w:p w:rsidR="00A42699" w:rsidRPr="00277328" w:rsidRDefault="00A42699" w:rsidP="00A42699">
      <w:pPr>
        <w:rPr>
          <w:lang w:val="en-GB"/>
        </w:rPr>
      </w:pPr>
      <w:r w:rsidRPr="00277328">
        <w:rPr>
          <w:lang w:val="en-GB"/>
        </w:rPr>
        <w:t>Within this literature, several methodological issues of MCDA are being identified. For instance, there is a growing debate concerning who should be involved in decision-making processes. Indeed, the participation of various stakeholders in decisions concerning interventions priorities is considered to improve the accountability and credibility of the results</w:t>
      </w:r>
      <w:r w:rsidR="00502A8C" w:rsidRPr="00277328">
        <w:rPr>
          <w:lang w:val="en-GB"/>
        </w:rPr>
        <w:t xml:space="preserve"> (Ma</w:t>
      </w:r>
      <w:r w:rsidR="006A1071" w:rsidRPr="00277328">
        <w:rPr>
          <w:lang w:val="en-GB"/>
        </w:rPr>
        <w:t>rtin, Giacomini and Singer 2002; McKie, et al. 2008).</w:t>
      </w:r>
      <w:r w:rsidRPr="00277328">
        <w:rPr>
          <w:lang w:val="en-GB"/>
        </w:rPr>
        <w:t xml:space="preserve"> The MCDA application in Thailand indicated that preferences on HIV/AIDS interventions differ between policy makers, patients and the public. Still, the involvement of different stakeholders improves the transparency and credibility of the prior</w:t>
      </w:r>
      <w:r w:rsidR="00F16517">
        <w:rPr>
          <w:lang w:val="en-GB"/>
        </w:rPr>
        <w:t>ity setting process, as recognis</w:t>
      </w:r>
      <w:r w:rsidRPr="00277328">
        <w:rPr>
          <w:lang w:val="en-GB"/>
        </w:rPr>
        <w:t xml:space="preserve">ed by the Accountability for Reasonableness framework. The importance of the inclusion of patients and community members in the decision process has already been </w:t>
      </w:r>
      <w:r w:rsidR="00173A00" w:rsidRPr="00277328">
        <w:rPr>
          <w:lang w:val="en-GB"/>
        </w:rPr>
        <w:t>analysed</w:t>
      </w:r>
      <w:r w:rsidRPr="00277328">
        <w:rPr>
          <w:lang w:val="en-GB"/>
        </w:rPr>
        <w:t xml:space="preserve"> in other studies </w:t>
      </w:r>
      <w:r w:rsidR="006A1071" w:rsidRPr="00277328">
        <w:rPr>
          <w:lang w:val="en-GB"/>
        </w:rPr>
        <w:t>(Youngkong, Kapiriri and Baltussen, 2009). However</w:t>
      </w:r>
      <w:r w:rsidRPr="00277328">
        <w:rPr>
          <w:lang w:val="en-GB"/>
        </w:rPr>
        <w:t>, the Thailand case doubts the usefulness of MCDA approaches, given the risk of dominance of certain stakeholders over others. That is, the preferences of well-educated stakeholders, such as policy makers, could potentially override those of less-educated peo</w:t>
      </w:r>
      <w:r w:rsidR="006A1071" w:rsidRPr="00277328">
        <w:rPr>
          <w:lang w:val="en-GB"/>
        </w:rPr>
        <w:t xml:space="preserve">ple, such as community members </w:t>
      </w:r>
      <w:sdt>
        <w:sdtPr>
          <w:rPr>
            <w:lang w:val="en-GB"/>
          </w:rPr>
          <w:id w:val="40654998"/>
          <w:citation/>
        </w:sdtPr>
        <w:sdtContent>
          <w:r w:rsidR="00E93150" w:rsidRPr="00277328">
            <w:rPr>
              <w:lang w:val="en-GB"/>
            </w:rPr>
            <w:fldChar w:fldCharType="begin"/>
          </w:r>
          <w:r w:rsidR="00FB0F77" w:rsidRPr="00277328">
            <w:rPr>
              <w:lang w:val="en-GB"/>
            </w:rPr>
            <w:instrText xml:space="preserve"> CITATION You12 \l 1033 </w:instrText>
          </w:r>
          <w:r w:rsidR="00E93150" w:rsidRPr="00277328">
            <w:rPr>
              <w:lang w:val="en-GB"/>
            </w:rPr>
            <w:fldChar w:fldCharType="separate"/>
          </w:r>
          <w:r w:rsidR="008930F2" w:rsidRPr="00277328">
            <w:rPr>
              <w:lang w:val="en-GB"/>
            </w:rPr>
            <w:t>(Youngkong, Teerawattananon, et al. 2012)</w:t>
          </w:r>
          <w:r w:rsidR="00E93150" w:rsidRPr="00277328">
            <w:rPr>
              <w:lang w:val="en-GB"/>
            </w:rPr>
            <w:fldChar w:fldCharType="end"/>
          </w:r>
        </w:sdtContent>
      </w:sdt>
      <w:r w:rsidRPr="00277328">
        <w:rPr>
          <w:lang w:val="en-GB"/>
        </w:rPr>
        <w:t>. Although the focus of the study was not on reaching a general consensus, these issues indicate potential shortcomings of the MCDA approach.</w:t>
      </w:r>
    </w:p>
    <w:p w:rsidR="00A42699" w:rsidRPr="00277328" w:rsidRDefault="00A42699" w:rsidP="00A42699">
      <w:pPr>
        <w:rPr>
          <w:lang w:val="en-GB"/>
        </w:rPr>
      </w:pPr>
      <w:r w:rsidRPr="00277328">
        <w:rPr>
          <w:lang w:val="en-GB"/>
        </w:rPr>
        <w:t xml:space="preserve">Moreover, these studies used different methods in order to identify the criteria that are relevant to priority setting. Countries such as Nepal, Ghana, Uganda and Thailand based their choices on focus group discussions among different stakeholders. Other studies, such </w:t>
      </w:r>
      <w:r w:rsidRPr="00277328">
        <w:rPr>
          <w:lang w:val="en-GB"/>
        </w:rPr>
        <w:lastRenderedPageBreak/>
        <w:t xml:space="preserve">as those in China and Brazil, identified the relevant criteria through a review of the literature and related theories. Therefore, differences in the criteria could reflect not only differences in the countries’ preferences but also different methodological approaches </w:t>
      </w:r>
      <w:sdt>
        <w:sdtPr>
          <w:rPr>
            <w:lang w:val="en-GB"/>
          </w:rPr>
          <w:id w:val="40654999"/>
          <w:citation/>
        </w:sdtPr>
        <w:sdtContent>
          <w:r w:rsidR="00E93150" w:rsidRPr="00277328">
            <w:rPr>
              <w:lang w:val="en-GB"/>
            </w:rPr>
            <w:fldChar w:fldCharType="begin"/>
          </w:r>
          <w:r w:rsidR="00FB0F77" w:rsidRPr="00277328">
            <w:rPr>
              <w:lang w:val="en-GB"/>
            </w:rPr>
            <w:instrText xml:space="preserve"> CITATION Bal10 \l 1033 </w:instrText>
          </w:r>
          <w:r w:rsidR="00E93150" w:rsidRPr="00277328">
            <w:rPr>
              <w:lang w:val="en-GB"/>
            </w:rPr>
            <w:fldChar w:fldCharType="separate"/>
          </w:r>
          <w:r w:rsidR="008930F2" w:rsidRPr="00277328">
            <w:rPr>
              <w:lang w:val="en-GB"/>
            </w:rPr>
            <w:t>(Baltussen, Youngkong, et al. 2010)</w:t>
          </w:r>
          <w:r w:rsidR="00E93150" w:rsidRPr="00277328">
            <w:rPr>
              <w:lang w:val="en-GB"/>
            </w:rPr>
            <w:fldChar w:fldCharType="end"/>
          </w:r>
        </w:sdtContent>
      </w:sdt>
      <w:r w:rsidR="006A1071" w:rsidRPr="00277328">
        <w:rPr>
          <w:lang w:val="en-GB"/>
        </w:rPr>
        <w:t xml:space="preserve">. </w:t>
      </w:r>
      <w:r w:rsidRPr="00277328">
        <w:rPr>
          <w:lang w:val="en-GB"/>
        </w:rPr>
        <w:t>In any case, these methods could lead to the exclusion of potentially important factors in priority setting and to processes that are not consistent with the social and political context of each country. One way to overcome these issues, as proposed by Baltussen et.al would be to define a comprehensive list of criteria based on past experiences, which would be further elaborated through country-specific group discussions. The HIV/AIDS study in Thailand was the first to implement such procedures.</w:t>
      </w:r>
    </w:p>
    <w:p w:rsidR="00A42699" w:rsidRPr="00277328" w:rsidRDefault="00A42699" w:rsidP="00A42699">
      <w:pPr>
        <w:rPr>
          <w:lang w:val="en-GB"/>
        </w:rPr>
      </w:pPr>
      <w:r w:rsidRPr="00277328">
        <w:rPr>
          <w:lang w:val="en-GB"/>
        </w:rPr>
        <w:t>More recently, MCDA has been applied to developed countries, reflecting the fact that scarcity of resources is present in both low and high income settings. An application to Norway indicated that indeed, explicit approaches to priority setting can be a valuable tool even in countries which exhibit high leve</w:t>
      </w:r>
      <w:r w:rsidR="006A1071" w:rsidRPr="00277328">
        <w:rPr>
          <w:lang w:val="en-GB"/>
        </w:rPr>
        <w:t xml:space="preserve">ls of population health </w:t>
      </w:r>
      <w:sdt>
        <w:sdtPr>
          <w:rPr>
            <w:lang w:val="en-GB"/>
          </w:rPr>
          <w:id w:val="40655000"/>
          <w:citation/>
        </w:sdtPr>
        <w:sdtContent>
          <w:r w:rsidR="00E93150" w:rsidRPr="00277328">
            <w:rPr>
              <w:lang w:val="en-GB"/>
            </w:rPr>
            <w:fldChar w:fldCharType="begin"/>
          </w:r>
          <w:r w:rsidR="00FB0F77" w:rsidRPr="00277328">
            <w:rPr>
              <w:lang w:val="en-GB"/>
            </w:rPr>
            <w:instrText xml:space="preserve"> CITATION Def12 \l 1033 </w:instrText>
          </w:r>
          <w:r w:rsidR="00E93150" w:rsidRPr="00277328">
            <w:rPr>
              <w:lang w:val="en-GB"/>
            </w:rPr>
            <w:fldChar w:fldCharType="separate"/>
          </w:r>
          <w:r w:rsidR="008930F2" w:rsidRPr="00277328">
            <w:rPr>
              <w:lang w:val="en-GB"/>
            </w:rPr>
            <w:t>(Defechereux, et al. 2012)</w:t>
          </w:r>
          <w:r w:rsidR="00E93150" w:rsidRPr="00277328">
            <w:rPr>
              <w:lang w:val="en-GB"/>
            </w:rPr>
            <w:fldChar w:fldCharType="end"/>
          </w:r>
        </w:sdtContent>
      </w:sdt>
      <w:r w:rsidRPr="00277328">
        <w:rPr>
          <w:lang w:val="en-GB"/>
        </w:rPr>
        <w:t>. In the Netherlands, MCDA was applied in order to identify which criteria, as defined within the HTA literature, are important for decision-makers in health prio</w:t>
      </w:r>
      <w:r w:rsidR="007F33F2" w:rsidRPr="00277328">
        <w:rPr>
          <w:lang w:val="en-GB"/>
        </w:rPr>
        <w:t xml:space="preserve">rity setting </w:t>
      </w:r>
      <w:sdt>
        <w:sdtPr>
          <w:rPr>
            <w:lang w:val="en-GB"/>
          </w:rPr>
          <w:id w:val="40655001"/>
          <w:citation/>
        </w:sdtPr>
        <w:sdtContent>
          <w:r w:rsidR="00E93150" w:rsidRPr="00277328">
            <w:rPr>
              <w:lang w:val="en-GB"/>
            </w:rPr>
            <w:fldChar w:fldCharType="begin"/>
          </w:r>
          <w:r w:rsidR="00FB0F77" w:rsidRPr="00277328">
            <w:rPr>
              <w:lang w:val="en-GB"/>
            </w:rPr>
            <w:instrText xml:space="preserve"> CITATION Koo10 \l 1033 </w:instrText>
          </w:r>
          <w:r w:rsidR="00E93150" w:rsidRPr="00277328">
            <w:rPr>
              <w:lang w:val="en-GB"/>
            </w:rPr>
            <w:fldChar w:fldCharType="separate"/>
          </w:r>
          <w:r w:rsidR="008930F2" w:rsidRPr="00277328">
            <w:rPr>
              <w:lang w:val="en-GB"/>
            </w:rPr>
            <w:t>(Koopmanschap and Stolk 2010)</w:t>
          </w:r>
          <w:r w:rsidR="00E93150" w:rsidRPr="00277328">
            <w:rPr>
              <w:lang w:val="en-GB"/>
            </w:rPr>
            <w:fldChar w:fldCharType="end"/>
          </w:r>
        </w:sdtContent>
      </w:sdt>
      <w:r w:rsidRPr="00277328">
        <w:rPr>
          <w:lang w:val="en-GB"/>
        </w:rPr>
        <w:t>. Finally, MCDA was recently applied in Austria in order to inform stakeholders on priority setting, with a focus on the ar</w:t>
      </w:r>
      <w:r w:rsidR="007F33F2" w:rsidRPr="00277328">
        <w:rPr>
          <w:lang w:val="en-GB"/>
        </w:rPr>
        <w:t xml:space="preserve">ea of mental disorders </w:t>
      </w:r>
      <w:sdt>
        <w:sdtPr>
          <w:rPr>
            <w:lang w:val="en-GB"/>
          </w:rPr>
          <w:id w:val="40655002"/>
          <w:citation/>
        </w:sdtPr>
        <w:sdtContent>
          <w:r w:rsidR="00E93150" w:rsidRPr="00277328">
            <w:rPr>
              <w:lang w:val="en-GB"/>
            </w:rPr>
            <w:fldChar w:fldCharType="begin"/>
          </w:r>
          <w:r w:rsidR="00FB0F77" w:rsidRPr="00277328">
            <w:rPr>
              <w:lang w:val="en-GB"/>
            </w:rPr>
            <w:instrText xml:space="preserve"> CITATION Men123 \l 1033  </w:instrText>
          </w:r>
          <w:r w:rsidR="00E93150" w:rsidRPr="00277328">
            <w:rPr>
              <w:lang w:val="en-GB"/>
            </w:rPr>
            <w:fldChar w:fldCharType="separate"/>
          </w:r>
          <w:r w:rsidR="008930F2" w:rsidRPr="00277328">
            <w:rPr>
              <w:lang w:val="en-GB"/>
            </w:rPr>
            <w:t>(Mentzakis, Paolucci and Rubicko 2012)</w:t>
          </w:r>
          <w:r w:rsidR="00E93150" w:rsidRPr="00277328">
            <w:rPr>
              <w:lang w:val="en-GB"/>
            </w:rPr>
            <w:fldChar w:fldCharType="end"/>
          </w:r>
        </w:sdtContent>
      </w:sdt>
      <w:r w:rsidRPr="00277328">
        <w:rPr>
          <w:lang w:val="en-GB"/>
        </w:rPr>
        <w:t xml:space="preserve">. Although the results of these studies were found to be consistent with current health strategies, they indicated that interventions ranking methods have a great potential to improve the policy process. </w:t>
      </w:r>
    </w:p>
    <w:p w:rsidR="00A42699" w:rsidRPr="00277328" w:rsidRDefault="00A42699" w:rsidP="00A42699">
      <w:pPr>
        <w:rPr>
          <w:sz w:val="24"/>
          <w:szCs w:val="24"/>
          <w:lang w:val="en-GB"/>
        </w:rPr>
      </w:pPr>
    </w:p>
    <w:p w:rsidR="00A42699" w:rsidRPr="00277328" w:rsidRDefault="00A42699" w:rsidP="003414E6">
      <w:pPr>
        <w:pStyle w:val="Heading2"/>
        <w:rPr>
          <w:lang w:val="en-GB"/>
        </w:rPr>
      </w:pPr>
      <w:bookmarkStart w:id="16" w:name="_Toc367791008"/>
      <w:r w:rsidRPr="00277328">
        <w:rPr>
          <w:lang w:val="en-GB"/>
        </w:rPr>
        <w:t>Discrete choice experiments in health economics</w:t>
      </w:r>
      <w:bookmarkEnd w:id="16"/>
    </w:p>
    <w:p w:rsidR="00A42699" w:rsidRPr="00277328" w:rsidRDefault="00A42699" w:rsidP="00A42699">
      <w:pPr>
        <w:rPr>
          <w:lang w:val="en-GB"/>
        </w:rPr>
      </w:pPr>
      <w:r w:rsidRPr="00277328">
        <w:rPr>
          <w:lang w:val="en-GB"/>
        </w:rPr>
        <w:t>All the aforementioned studies employed discrete-choice experiments (DCEs) within the context of MCDA, in order to elicit stakeholders’ preferences. Although other methods exist, discrete choice questionnaires are the most commonly used technique to measure the performance of different alternatives bas</w:t>
      </w:r>
      <w:r w:rsidR="007F33F2" w:rsidRPr="00277328">
        <w:rPr>
          <w:lang w:val="en-GB"/>
        </w:rPr>
        <w:t xml:space="preserve">ed on relevant criteria </w:t>
      </w:r>
      <w:sdt>
        <w:sdtPr>
          <w:rPr>
            <w:lang w:val="en-GB"/>
          </w:rPr>
          <w:id w:val="40655027"/>
          <w:citation/>
        </w:sdtPr>
        <w:sdtContent>
          <w:r w:rsidR="00E93150" w:rsidRPr="00277328">
            <w:rPr>
              <w:lang w:val="en-GB"/>
            </w:rPr>
            <w:fldChar w:fldCharType="begin"/>
          </w:r>
          <w:r w:rsidR="00FB0F77" w:rsidRPr="00277328">
            <w:rPr>
              <w:lang w:val="en-GB"/>
            </w:rPr>
            <w:instrText xml:space="preserve"> CITATION Def12 \l 1033 </w:instrText>
          </w:r>
          <w:r w:rsidR="00E93150" w:rsidRPr="00277328">
            <w:rPr>
              <w:lang w:val="en-GB"/>
            </w:rPr>
            <w:fldChar w:fldCharType="separate"/>
          </w:r>
          <w:r w:rsidR="008930F2" w:rsidRPr="00277328">
            <w:rPr>
              <w:lang w:val="en-GB"/>
            </w:rPr>
            <w:t>(Defechereux, et al. 2012)</w:t>
          </w:r>
          <w:r w:rsidR="00E93150" w:rsidRPr="00277328">
            <w:rPr>
              <w:lang w:val="en-GB"/>
            </w:rPr>
            <w:fldChar w:fldCharType="end"/>
          </w:r>
        </w:sdtContent>
      </w:sdt>
      <w:r w:rsidRPr="00277328">
        <w:rPr>
          <w:lang w:val="en-GB"/>
        </w:rPr>
        <w:t>. DCEs were introduced in health economics in the early 1990s as a tool for health benefits valuation. Since then, they have become a widely used instrument, addressing several policy ques</w:t>
      </w:r>
      <w:r w:rsidR="007F33F2" w:rsidRPr="00277328">
        <w:rPr>
          <w:lang w:val="en-GB"/>
        </w:rPr>
        <w:t xml:space="preserve">tions </w:t>
      </w:r>
      <w:sdt>
        <w:sdtPr>
          <w:rPr>
            <w:lang w:val="en-GB"/>
          </w:rPr>
          <w:id w:val="40655028"/>
          <w:citation/>
        </w:sdtPr>
        <w:sdtContent>
          <w:r w:rsidR="00E93150" w:rsidRPr="00277328">
            <w:rPr>
              <w:lang w:val="en-GB"/>
            </w:rPr>
            <w:fldChar w:fldCharType="begin"/>
          </w:r>
          <w:r w:rsidR="00FB0F77" w:rsidRPr="00277328">
            <w:rPr>
              <w:lang w:val="en-GB"/>
            </w:rPr>
            <w:instrText xml:space="preserve"> CITATION DeB12 \l 1033 </w:instrText>
          </w:r>
          <w:r w:rsidR="00E93150" w:rsidRPr="00277328">
            <w:rPr>
              <w:lang w:val="en-GB"/>
            </w:rPr>
            <w:fldChar w:fldCharType="separate"/>
          </w:r>
          <w:r w:rsidR="008930F2" w:rsidRPr="00277328">
            <w:rPr>
              <w:lang w:val="en-GB"/>
            </w:rPr>
            <w:t>(De Bekker-Grob, Ryan and Gerard 2012)</w:t>
          </w:r>
          <w:r w:rsidR="00E93150" w:rsidRPr="00277328">
            <w:rPr>
              <w:lang w:val="en-GB"/>
            </w:rPr>
            <w:fldChar w:fldCharType="end"/>
          </w:r>
        </w:sdtContent>
      </w:sdt>
      <w:r w:rsidRPr="00277328">
        <w:rPr>
          <w:lang w:val="en-GB"/>
        </w:rPr>
        <w:t>. DCEs are an attribute-based method for measuring benefits, drawing upon the assumption that individuals’ preferences depend on the levels of these attributes. Ryan et al. have systematically reviewed the application of DCEs in health economics</w:t>
      </w:r>
      <w:r w:rsidR="00023F8E" w:rsidRPr="00277328">
        <w:rPr>
          <w:lang w:val="en-GB"/>
        </w:rPr>
        <w:t xml:space="preserve"> </w:t>
      </w:r>
      <w:sdt>
        <w:sdtPr>
          <w:rPr>
            <w:lang w:val="en-GB"/>
          </w:rPr>
          <w:id w:val="40655029"/>
          <w:citation/>
        </w:sdtPr>
        <w:sdtContent>
          <w:r w:rsidR="00E93150" w:rsidRPr="00277328">
            <w:rPr>
              <w:lang w:val="en-GB"/>
            </w:rPr>
            <w:fldChar w:fldCharType="begin"/>
          </w:r>
          <w:r w:rsidR="00FB0F77" w:rsidRPr="00277328">
            <w:rPr>
              <w:lang w:val="en-GB"/>
            </w:rPr>
            <w:instrText xml:space="preserve"> CITATION Rya01 \l 1033 </w:instrText>
          </w:r>
          <w:r w:rsidR="00E93150" w:rsidRPr="00277328">
            <w:rPr>
              <w:lang w:val="en-GB"/>
            </w:rPr>
            <w:fldChar w:fldCharType="separate"/>
          </w:r>
          <w:r w:rsidR="008930F2" w:rsidRPr="00277328">
            <w:rPr>
              <w:lang w:val="en-GB"/>
            </w:rPr>
            <w:t>(Ryan, et al. 2001)</w:t>
          </w:r>
          <w:r w:rsidR="00E93150" w:rsidRPr="00277328">
            <w:rPr>
              <w:lang w:val="en-GB"/>
            </w:rPr>
            <w:fldChar w:fldCharType="end"/>
          </w:r>
        </w:sdtContent>
      </w:sdt>
      <w:r w:rsidR="00023F8E" w:rsidRPr="00277328">
        <w:rPr>
          <w:lang w:val="en-GB"/>
        </w:rPr>
        <w:t xml:space="preserve"> </w:t>
      </w:r>
      <w:sdt>
        <w:sdtPr>
          <w:rPr>
            <w:lang w:val="en-GB"/>
          </w:rPr>
          <w:id w:val="40655030"/>
          <w:citation/>
        </w:sdtPr>
        <w:sdtContent>
          <w:r w:rsidR="00E93150" w:rsidRPr="00277328">
            <w:rPr>
              <w:lang w:val="en-GB"/>
            </w:rPr>
            <w:fldChar w:fldCharType="begin"/>
          </w:r>
          <w:r w:rsidR="00FB0F77" w:rsidRPr="00277328">
            <w:rPr>
              <w:lang w:val="en-GB"/>
            </w:rPr>
            <w:instrText xml:space="preserve"> CITATION Rya03 \l 1033 </w:instrText>
          </w:r>
          <w:r w:rsidR="00E93150" w:rsidRPr="00277328">
            <w:rPr>
              <w:lang w:val="en-GB"/>
            </w:rPr>
            <w:fldChar w:fldCharType="separate"/>
          </w:r>
          <w:r w:rsidR="008930F2" w:rsidRPr="00277328">
            <w:rPr>
              <w:lang w:val="en-GB"/>
            </w:rPr>
            <w:t>(Ryan and Gerard, Using discrete choice experiments to value health care programmes: current practise and future research reflections 2003)</w:t>
          </w:r>
          <w:r w:rsidR="00E93150" w:rsidRPr="00277328">
            <w:rPr>
              <w:lang w:val="en-GB"/>
            </w:rPr>
            <w:fldChar w:fldCharType="end"/>
          </w:r>
        </w:sdtContent>
      </w:sdt>
      <w:r w:rsidR="00023F8E" w:rsidRPr="00277328">
        <w:rPr>
          <w:lang w:val="en-GB"/>
        </w:rPr>
        <w:t>.</w:t>
      </w:r>
      <w:r w:rsidRPr="00277328">
        <w:rPr>
          <w:lang w:val="en-GB"/>
        </w:rPr>
        <w:t xml:space="preserve"> According to these reviews, DCEs were initially used for the valuation of patients’ experiences within an economic evaluation framework. Other related studies indicate the use of DCEs in evaluating health outcomes or assessing potential trade-offs between patients’ experiences and health outcomes. These applications indicated an effort to go beyond clinical outcomes and there is still a great focus on this area. </w:t>
      </w:r>
    </w:p>
    <w:p w:rsidR="00A42699" w:rsidRPr="00277328" w:rsidRDefault="00A42699" w:rsidP="00A42699">
      <w:pPr>
        <w:rPr>
          <w:lang w:val="en-GB"/>
        </w:rPr>
      </w:pPr>
      <w:r w:rsidRPr="00277328">
        <w:rPr>
          <w:lang w:val="en-GB"/>
        </w:rPr>
        <w:t xml:space="preserve">To this end, DCEs have been used to address several issues including non-health outcomes. More recent areas of application include the evaluation of health professionals’ preferences and the estimation of utility weights with health technology assessments. Finally, DCEs have gained acceptance in other policy areas, such as in the formulation of priority setting </w:t>
      </w:r>
      <w:r w:rsidRPr="00277328">
        <w:rPr>
          <w:lang w:val="en-GB"/>
        </w:rPr>
        <w:lastRenderedPageBreak/>
        <w:t>frameworks. The key findings of these applications were initially oriented to utility scores, but an increased use of odds ratios and probability scores has been observed during the last years. A comparison of DCE studies between 1990-2000 and 2001-2008 indicates that United Kingdom is still the most common user of this technique, while United States, Canada and Australia are identified as major contributors. Moreover, multiple methodological developments are being noticed throughout the years. For instance, changes are observed in the design of the experiments’ questionnaires (i.e. experimental design), reflecting concerns about the task complexi</w:t>
      </w:r>
      <w:r w:rsidR="00ED6621" w:rsidRPr="00277328">
        <w:rPr>
          <w:lang w:val="en-GB"/>
        </w:rPr>
        <w:t xml:space="preserve">ty and efficiency </w:t>
      </w:r>
      <w:sdt>
        <w:sdtPr>
          <w:rPr>
            <w:lang w:val="en-GB"/>
          </w:rPr>
          <w:id w:val="40655031"/>
          <w:citation/>
        </w:sdtPr>
        <w:sdtContent>
          <w:r w:rsidR="00E93150" w:rsidRPr="00277328">
            <w:rPr>
              <w:lang w:val="en-GB"/>
            </w:rPr>
            <w:fldChar w:fldCharType="begin"/>
          </w:r>
          <w:r w:rsidR="00FB0F77" w:rsidRPr="00277328">
            <w:rPr>
              <w:lang w:val="en-GB"/>
            </w:rPr>
            <w:instrText xml:space="preserve"> CITATION DeB12 \l 1033 </w:instrText>
          </w:r>
          <w:r w:rsidR="00E93150" w:rsidRPr="00277328">
            <w:rPr>
              <w:lang w:val="en-GB"/>
            </w:rPr>
            <w:fldChar w:fldCharType="separate"/>
          </w:r>
          <w:r w:rsidR="008930F2" w:rsidRPr="00277328">
            <w:rPr>
              <w:lang w:val="en-GB"/>
            </w:rPr>
            <w:t>(De Bekker-Grob, Ryan and Gerard 2012)</w:t>
          </w:r>
          <w:r w:rsidR="00E93150" w:rsidRPr="00277328">
            <w:rPr>
              <w:lang w:val="en-GB"/>
            </w:rPr>
            <w:fldChar w:fldCharType="end"/>
          </w:r>
        </w:sdtContent>
      </w:sdt>
      <w:r w:rsidR="00ED6621" w:rsidRPr="00277328">
        <w:rPr>
          <w:lang w:val="en-GB"/>
        </w:rPr>
        <w:t xml:space="preserve">. </w:t>
      </w:r>
      <w:r w:rsidRPr="00277328">
        <w:rPr>
          <w:lang w:val="en-GB"/>
        </w:rPr>
        <w:t xml:space="preserve">Even more, there has been a move towards more advanced but also more flexible econometric models, in order to better capture real choice </w:t>
      </w:r>
      <w:r w:rsidR="00173A00" w:rsidRPr="00277328">
        <w:rPr>
          <w:lang w:val="en-GB"/>
        </w:rPr>
        <w:t>behaviour</w:t>
      </w:r>
      <w:r w:rsidRPr="00277328">
        <w:rPr>
          <w:lang w:val="en-GB"/>
        </w:rPr>
        <w:t>.</w:t>
      </w:r>
    </w:p>
    <w:p w:rsidR="00A42699" w:rsidRPr="00277328" w:rsidRDefault="00A42699" w:rsidP="00A42699">
      <w:pPr>
        <w:rPr>
          <w:lang w:val="en-GB"/>
        </w:rPr>
      </w:pPr>
      <w:r w:rsidRPr="00277328">
        <w:rPr>
          <w:lang w:val="en-GB"/>
        </w:rPr>
        <w:t xml:space="preserve"> These changes reflect concerns about the successful application of DCEs in more complex health care topic areas, such as decision making. The results from recent DCEs applications highlight the importance of these methodological changes, as well as the contribution of the technique in the general context of MCDA. In fact, most applications reported draw upon the principles of efficient experi</w:t>
      </w:r>
      <w:r w:rsidR="00ED6621" w:rsidRPr="00277328">
        <w:rPr>
          <w:lang w:val="en-GB"/>
        </w:rPr>
        <w:t>mental designs</w:t>
      </w:r>
      <w:r w:rsidRPr="00277328">
        <w:rPr>
          <w:lang w:val="en-GB"/>
        </w:rPr>
        <w:t>. Even more, recent studies indicate the effectiveness of more advanced statistical models in explaining preference heterogenei</w:t>
      </w:r>
      <w:r w:rsidR="00ED6621" w:rsidRPr="00277328">
        <w:rPr>
          <w:lang w:val="en-GB"/>
        </w:rPr>
        <w:t xml:space="preserve">ty among different individuals </w:t>
      </w:r>
      <w:sdt>
        <w:sdtPr>
          <w:rPr>
            <w:lang w:val="en-GB"/>
          </w:rPr>
          <w:id w:val="40655034"/>
          <w:citation/>
        </w:sdtPr>
        <w:sdtContent>
          <w:r w:rsidR="00E93150" w:rsidRPr="00277328">
            <w:rPr>
              <w:lang w:val="en-GB"/>
            </w:rPr>
            <w:fldChar w:fldCharType="begin"/>
          </w:r>
          <w:r w:rsidR="00FB0F77" w:rsidRPr="00277328">
            <w:rPr>
              <w:lang w:val="en-GB"/>
            </w:rPr>
            <w:instrText xml:space="preserve"> CITATION Mir12 \l 1033 </w:instrText>
          </w:r>
          <w:r w:rsidR="00E93150" w:rsidRPr="00277328">
            <w:rPr>
              <w:lang w:val="en-GB"/>
            </w:rPr>
            <w:fldChar w:fldCharType="separate"/>
          </w:r>
          <w:r w:rsidR="008930F2" w:rsidRPr="00277328">
            <w:rPr>
              <w:lang w:val="en-GB"/>
            </w:rPr>
            <w:t>(Mirelman, et al. 2012)</w:t>
          </w:r>
          <w:r w:rsidR="00E93150" w:rsidRPr="00277328">
            <w:rPr>
              <w:lang w:val="en-GB"/>
            </w:rPr>
            <w:fldChar w:fldCharType="end"/>
          </w:r>
        </w:sdtContent>
      </w:sdt>
      <w:r w:rsidRPr="00277328">
        <w:rPr>
          <w:lang w:val="en-GB"/>
        </w:rPr>
        <w:t xml:space="preserve">. These methodological aspects are extensively </w:t>
      </w:r>
      <w:r w:rsidR="00173A00" w:rsidRPr="00277328">
        <w:rPr>
          <w:lang w:val="en-GB"/>
        </w:rPr>
        <w:t>analysed</w:t>
      </w:r>
      <w:r w:rsidRPr="00277328">
        <w:rPr>
          <w:lang w:val="en-GB"/>
        </w:rPr>
        <w:t xml:space="preserve"> in Chapter 4. Throughout the literature, DCEs show promising results as a method to model preferences and provide further insights to interventions priority setting processes. Applications of DCEs highlighted the feasibility of such approaches to explore the relative impact of different criteria on prioriti</w:t>
      </w:r>
      <w:r w:rsidR="009C7662">
        <w:rPr>
          <w:lang w:val="en-GB"/>
        </w:rPr>
        <w:t>s</w:t>
      </w:r>
      <w:r w:rsidRPr="00277328">
        <w:rPr>
          <w:lang w:val="en-GB"/>
        </w:rPr>
        <w:t xml:space="preserve">ation decisions. </w:t>
      </w:r>
    </w:p>
    <w:p w:rsidR="00A42699" w:rsidRPr="00277328" w:rsidRDefault="00A42699" w:rsidP="00A42699">
      <w:pPr>
        <w:rPr>
          <w:lang w:val="en-GB"/>
        </w:rPr>
      </w:pPr>
      <w:r w:rsidRPr="00277328">
        <w:rPr>
          <w:lang w:val="en-GB"/>
        </w:rPr>
        <w:t xml:space="preserve">This is extremely relevant in low and middle-income settings, given the extraordinary scarcity of resources and the low level of general population health due to the epidemiological transition of specific diseases </w:t>
      </w:r>
      <w:r w:rsidR="00ED6621" w:rsidRPr="00277328">
        <w:rPr>
          <w:lang w:val="en-GB"/>
        </w:rPr>
        <w:t>(Baltussen, Stolk, et al. 2006; Baltussen et al. 2007; (Youngkong, Kapiriri and Baltussen 2009; González-Pier et al. 2006)</w:t>
      </w:r>
      <w:r w:rsidRPr="00277328">
        <w:rPr>
          <w:lang w:val="en-GB"/>
        </w:rPr>
        <w:t xml:space="preserve">. However, more recent studies indicate that DCEs can be a valuable tool also for decision-makers in high income countries. Although these countries exhibit efficient health systems and high levels of population health, the findings of DCEs implemented suggest a re-evaluation of their current priority policies </w:t>
      </w:r>
      <w:r w:rsidR="00ED6621" w:rsidRPr="00277328">
        <w:rPr>
          <w:lang w:val="en-GB"/>
        </w:rPr>
        <w:t>(Defechereux, et al. 2012; Mentzakis, Paolucci and Rubicko 2012; Koopmanschap and Stolk 2010).</w:t>
      </w:r>
      <w:r w:rsidRPr="00277328">
        <w:rPr>
          <w:lang w:val="en-GB"/>
        </w:rPr>
        <w:t xml:space="preserve">The choice of criteria included varies within these studies according to the policy question and the country where research is implemented. In most cases however, this choice is based on equity, efficiency and societal concerns, which, as mentioned earlier, are the major groups of criteria affecting priority setting. </w:t>
      </w:r>
    </w:p>
    <w:p w:rsidR="00A42699" w:rsidRPr="00277328" w:rsidRDefault="00A42699" w:rsidP="00A42699">
      <w:pPr>
        <w:rPr>
          <w:lang w:val="en-GB"/>
        </w:rPr>
      </w:pPr>
      <w:r w:rsidRPr="00277328">
        <w:rPr>
          <w:lang w:val="en-GB"/>
        </w:rPr>
        <w:t>As mentioned earlier, the list of criteria included in MCDA is an issue of utmost importance. Due to their quantitative nature, DCEs can weigh the relative impact only of quantifiable criteria and therefore interventions’ rankings will be based only on those factors. However, not all relevant criteria are amenable to quantification, such as ethical judgments and interventi</w:t>
      </w:r>
      <w:r w:rsidR="00ED6621" w:rsidRPr="00277328">
        <w:rPr>
          <w:lang w:val="en-GB"/>
        </w:rPr>
        <w:t xml:space="preserve">ons’ complexity issues </w:t>
      </w:r>
      <w:sdt>
        <w:sdtPr>
          <w:rPr>
            <w:lang w:val="en-GB"/>
          </w:rPr>
          <w:id w:val="40656694"/>
          <w:citation/>
        </w:sdtPr>
        <w:sdtContent>
          <w:r w:rsidR="00E93150" w:rsidRPr="00277328">
            <w:rPr>
              <w:lang w:val="en-GB"/>
            </w:rPr>
            <w:fldChar w:fldCharType="begin"/>
          </w:r>
          <w:r w:rsidR="00FB0F77" w:rsidRPr="00277328">
            <w:rPr>
              <w:lang w:val="en-GB"/>
            </w:rPr>
            <w:instrText xml:space="preserve"> CITATION Jeh08 \l 1033 </w:instrText>
          </w:r>
          <w:r w:rsidR="00E93150" w:rsidRPr="00277328">
            <w:rPr>
              <w:lang w:val="en-GB"/>
            </w:rPr>
            <w:fldChar w:fldCharType="separate"/>
          </w:r>
          <w:r w:rsidR="008930F2" w:rsidRPr="00277328">
            <w:rPr>
              <w:lang w:val="en-GB"/>
            </w:rPr>
            <w:t>(Jehu-Appiah, et al. 2008)</w:t>
          </w:r>
          <w:r w:rsidR="00E93150" w:rsidRPr="00277328">
            <w:rPr>
              <w:lang w:val="en-GB"/>
            </w:rPr>
            <w:fldChar w:fldCharType="end"/>
          </w:r>
        </w:sdtContent>
      </w:sdt>
      <w:r w:rsidRPr="00277328">
        <w:rPr>
          <w:lang w:val="en-GB"/>
        </w:rPr>
        <w:t xml:space="preserve">. Therefore, the guidance that DCEs offer to policy makers can be misleading in that important factors are excluded from the process of decision making. Within the literature, it has been proposed that a deliberative process is necessary in order to create efficient priority setting structures. That is, the DCE approach should be accompanied by an assessment of the non-quantifiable criteria through advisory panels and focus groups. In other words, the rankings of </w:t>
      </w:r>
      <w:r w:rsidRPr="00277328">
        <w:rPr>
          <w:lang w:val="en-GB"/>
        </w:rPr>
        <w:lastRenderedPageBreak/>
        <w:t>interventions as proposed by the experiment should be reconsidered by the different stakeholders befo</w:t>
      </w:r>
      <w:r w:rsidR="00ED6621" w:rsidRPr="00277328">
        <w:rPr>
          <w:lang w:val="en-GB"/>
        </w:rPr>
        <w:t xml:space="preserve">re reaching a final approval </w:t>
      </w:r>
      <w:sdt>
        <w:sdtPr>
          <w:rPr>
            <w:lang w:val="en-GB"/>
          </w:rPr>
          <w:id w:val="40656695"/>
          <w:citation/>
        </w:sdtPr>
        <w:sdtContent>
          <w:r w:rsidR="00E93150" w:rsidRPr="00277328">
            <w:rPr>
              <w:lang w:val="en-GB"/>
            </w:rPr>
            <w:fldChar w:fldCharType="begin"/>
          </w:r>
          <w:r w:rsidR="00FB0F77" w:rsidRPr="00277328">
            <w:rPr>
              <w:lang w:val="en-GB"/>
            </w:rPr>
            <w:instrText xml:space="preserve"> CITATION Pea09 \l 1033 </w:instrText>
          </w:r>
          <w:r w:rsidR="00E93150" w:rsidRPr="00277328">
            <w:rPr>
              <w:lang w:val="en-GB"/>
            </w:rPr>
            <w:fldChar w:fldCharType="separate"/>
          </w:r>
          <w:r w:rsidR="008930F2" w:rsidRPr="00277328">
            <w:rPr>
              <w:lang w:val="en-GB"/>
            </w:rPr>
            <w:t>(Peacock, et al. 2009)</w:t>
          </w:r>
          <w:r w:rsidR="00E93150" w:rsidRPr="00277328">
            <w:rPr>
              <w:lang w:val="en-GB"/>
            </w:rPr>
            <w:fldChar w:fldCharType="end"/>
          </w:r>
        </w:sdtContent>
      </w:sdt>
      <w:r w:rsidRPr="00277328">
        <w:rPr>
          <w:lang w:val="en-GB"/>
        </w:rPr>
        <w:t>. This way, further ethical and societal concerns are taken into account, leading to more comprehensive prioritization decisions. The recent DCE study on HIV/AIDS interventions was the first to include a deliberative process and highlighted the importance of such approaches in ratio</w:t>
      </w:r>
      <w:r w:rsidR="00ED6621" w:rsidRPr="00277328">
        <w:rPr>
          <w:lang w:val="en-GB"/>
        </w:rPr>
        <w:t xml:space="preserve">nal priority setting processes </w:t>
      </w:r>
      <w:sdt>
        <w:sdtPr>
          <w:rPr>
            <w:lang w:val="en-GB"/>
          </w:rPr>
          <w:id w:val="40656696"/>
          <w:citation/>
        </w:sdtPr>
        <w:sdtContent>
          <w:r w:rsidR="00E93150" w:rsidRPr="00277328">
            <w:rPr>
              <w:lang w:val="en-GB"/>
            </w:rPr>
            <w:fldChar w:fldCharType="begin"/>
          </w:r>
          <w:r w:rsidR="00FB0F77" w:rsidRPr="00277328">
            <w:rPr>
              <w:lang w:val="en-GB"/>
            </w:rPr>
            <w:instrText xml:space="preserve"> CITATION You12 \l 1033 </w:instrText>
          </w:r>
          <w:r w:rsidR="00E93150" w:rsidRPr="00277328">
            <w:rPr>
              <w:lang w:val="en-GB"/>
            </w:rPr>
            <w:fldChar w:fldCharType="separate"/>
          </w:r>
          <w:r w:rsidR="008930F2" w:rsidRPr="00277328">
            <w:rPr>
              <w:lang w:val="en-GB"/>
            </w:rPr>
            <w:t>(Youngkong, Teerawattananon, et al. 2012)</w:t>
          </w:r>
          <w:r w:rsidR="00E93150" w:rsidRPr="00277328">
            <w:rPr>
              <w:lang w:val="en-GB"/>
            </w:rPr>
            <w:fldChar w:fldCharType="end"/>
          </w:r>
        </w:sdtContent>
      </w:sdt>
      <w:r w:rsidRPr="00277328">
        <w:rPr>
          <w:lang w:val="en-GB"/>
        </w:rPr>
        <w:t xml:space="preserve">.  </w:t>
      </w:r>
    </w:p>
    <w:p w:rsidR="00A42699" w:rsidRPr="00277328" w:rsidRDefault="00A42699" w:rsidP="00A42699">
      <w:pPr>
        <w:rPr>
          <w:lang w:val="en-GB"/>
        </w:rPr>
      </w:pPr>
      <w:r w:rsidRPr="00277328">
        <w:rPr>
          <w:lang w:val="en-GB"/>
        </w:rPr>
        <w:t>Overall, the feasibility and acceptability of the DCE approach in health economics has increased rapidly during the last decades. Despite their potential disadvantages, DCEs are proved to be a very suppor</w:t>
      </w:r>
      <w:r w:rsidR="009C7662">
        <w:rPr>
          <w:lang w:val="en-GB"/>
        </w:rPr>
        <w:t>tive tool for explicit prioritis</w:t>
      </w:r>
      <w:r w:rsidRPr="00277328">
        <w:rPr>
          <w:lang w:val="en-GB"/>
        </w:rPr>
        <w:t xml:space="preserve">ation processes. This thesis focuses on priority setting in the Spanish health care system based on the DCE results. Subsequently, health interventions targeting mental health are being discussed. This study draws upon the lines of previous research on priority setting procedures. However, it is the first DCE study that aims at eliciting policy makers and other stakeholders’ preferences in Spain. Given the specific characteristics of the Spanish NHS as well as the austerity in public policies of the last years, Spain is an excellent choice in evaluating the allocation of health resources. </w:t>
      </w:r>
    </w:p>
    <w:p w:rsidR="00A42699" w:rsidRPr="00277328" w:rsidRDefault="00A42699" w:rsidP="00A42699">
      <w:pPr>
        <w:rPr>
          <w:sz w:val="24"/>
          <w:szCs w:val="24"/>
          <w:lang w:val="en-GB"/>
        </w:rPr>
      </w:pPr>
    </w:p>
    <w:p w:rsidR="00A42699" w:rsidRPr="00277328" w:rsidRDefault="00A42699" w:rsidP="00A42699">
      <w:pPr>
        <w:rPr>
          <w:sz w:val="24"/>
          <w:szCs w:val="24"/>
          <w:lang w:val="en-GB"/>
        </w:rPr>
      </w:pPr>
    </w:p>
    <w:p w:rsidR="00A42699" w:rsidRPr="00277328" w:rsidRDefault="00A42699" w:rsidP="00A42699">
      <w:pPr>
        <w:rPr>
          <w:sz w:val="24"/>
          <w:szCs w:val="24"/>
          <w:lang w:val="en-GB"/>
        </w:rPr>
      </w:pPr>
    </w:p>
    <w:p w:rsidR="00A42699" w:rsidRPr="00277328" w:rsidRDefault="00A42699" w:rsidP="00A42699">
      <w:pPr>
        <w:rPr>
          <w:sz w:val="24"/>
          <w:szCs w:val="24"/>
          <w:lang w:val="en-GB"/>
        </w:rPr>
      </w:pPr>
    </w:p>
    <w:p w:rsidR="00A42699" w:rsidRPr="00277328" w:rsidRDefault="00A42699" w:rsidP="00A42699">
      <w:pPr>
        <w:rPr>
          <w:sz w:val="24"/>
          <w:szCs w:val="24"/>
          <w:lang w:val="en-GB"/>
        </w:rPr>
      </w:pPr>
    </w:p>
    <w:p w:rsidR="00A42699" w:rsidRPr="00277328" w:rsidRDefault="00A42699" w:rsidP="00A42699">
      <w:pPr>
        <w:rPr>
          <w:sz w:val="24"/>
          <w:szCs w:val="24"/>
          <w:lang w:val="en-GB"/>
        </w:rPr>
      </w:pPr>
    </w:p>
    <w:p w:rsidR="00A42699" w:rsidRPr="00277328" w:rsidRDefault="00A42699" w:rsidP="00A42699">
      <w:pPr>
        <w:rPr>
          <w:sz w:val="24"/>
          <w:szCs w:val="24"/>
          <w:lang w:val="en-GB"/>
        </w:rPr>
      </w:pPr>
    </w:p>
    <w:p w:rsidR="00A42699" w:rsidRPr="00277328" w:rsidRDefault="00A42699" w:rsidP="00A42699">
      <w:pPr>
        <w:rPr>
          <w:sz w:val="24"/>
          <w:szCs w:val="24"/>
          <w:lang w:val="en-GB"/>
        </w:rPr>
      </w:pPr>
    </w:p>
    <w:p w:rsidR="00A42699" w:rsidRPr="00277328" w:rsidRDefault="00A42699" w:rsidP="00A42699">
      <w:pPr>
        <w:rPr>
          <w:sz w:val="24"/>
          <w:szCs w:val="24"/>
          <w:lang w:val="en-GB"/>
        </w:rPr>
      </w:pPr>
    </w:p>
    <w:p w:rsidR="00A42699" w:rsidRPr="00277328" w:rsidRDefault="00A42699" w:rsidP="00A42699">
      <w:pPr>
        <w:rPr>
          <w:sz w:val="24"/>
          <w:szCs w:val="24"/>
          <w:lang w:val="en-GB"/>
        </w:rPr>
      </w:pPr>
    </w:p>
    <w:p w:rsidR="00A42699" w:rsidRPr="00277328" w:rsidRDefault="00A42699" w:rsidP="00DF210F">
      <w:pPr>
        <w:ind w:right="-1759"/>
        <w:rPr>
          <w:sz w:val="24"/>
          <w:szCs w:val="24"/>
          <w:lang w:val="en-GB"/>
        </w:rPr>
      </w:pPr>
    </w:p>
    <w:p w:rsidR="003414E6" w:rsidRPr="00277328" w:rsidRDefault="003414E6">
      <w:pPr>
        <w:rPr>
          <w:b/>
          <w:sz w:val="28"/>
          <w:szCs w:val="28"/>
          <w:lang w:val="en-GB"/>
        </w:rPr>
      </w:pPr>
      <w:r w:rsidRPr="00277328">
        <w:rPr>
          <w:b/>
          <w:sz w:val="28"/>
          <w:szCs w:val="28"/>
          <w:lang w:val="en-GB"/>
        </w:rPr>
        <w:br w:type="page"/>
      </w:r>
    </w:p>
    <w:p w:rsidR="00A42699" w:rsidRPr="00277328" w:rsidRDefault="00A42699" w:rsidP="003414E6">
      <w:pPr>
        <w:pStyle w:val="Heading1"/>
        <w:rPr>
          <w:lang w:val="en-GB"/>
        </w:rPr>
      </w:pPr>
      <w:bookmarkStart w:id="17" w:name="_Toc367791009"/>
      <w:r w:rsidRPr="00277328">
        <w:rPr>
          <w:lang w:val="en-GB"/>
        </w:rPr>
        <w:lastRenderedPageBreak/>
        <w:t>METHODS</w:t>
      </w:r>
      <w:bookmarkEnd w:id="17"/>
    </w:p>
    <w:p w:rsidR="00A42699" w:rsidRPr="00277328" w:rsidRDefault="00A42699" w:rsidP="003414E6">
      <w:pPr>
        <w:pStyle w:val="Heading2"/>
        <w:rPr>
          <w:lang w:val="en-GB"/>
        </w:rPr>
      </w:pPr>
      <w:bookmarkStart w:id="18" w:name="_Toc367791010"/>
      <w:r w:rsidRPr="00277328">
        <w:rPr>
          <w:lang w:val="en-GB"/>
        </w:rPr>
        <w:t>Theoretical background</w:t>
      </w:r>
      <w:bookmarkEnd w:id="18"/>
    </w:p>
    <w:p w:rsidR="00A42699" w:rsidRPr="00277328" w:rsidRDefault="00A42699" w:rsidP="00A42699">
      <w:pPr>
        <w:rPr>
          <w:lang w:val="en-GB"/>
        </w:rPr>
      </w:pPr>
      <w:r w:rsidRPr="00277328">
        <w:rPr>
          <w:lang w:val="en-GB"/>
        </w:rPr>
        <w:t xml:space="preserve">Discrete choice experiments (DCEs) are a survey method for eliciting preferences and measuring benefits of policy changes and health interventions. It is a stated preference (SP) valuation approach in which individuals face multiple hypothetical scenarios (choice sets) with two or more alternatives. Each scenario comprises a bundle of attributes and different levels of these attributes. The respondents are asked to value and choose their preferred alternative according to its characteristics and the level of utility (benefit) derived. </w:t>
      </w:r>
      <w:r w:rsidR="008418C4">
        <w:rPr>
          <w:lang w:val="en-GB"/>
        </w:rPr>
        <w:t xml:space="preserve">Since DCEs belong to SP methods, </w:t>
      </w:r>
      <w:r w:rsidRPr="00277328">
        <w:rPr>
          <w:lang w:val="en-GB"/>
        </w:rPr>
        <w:t xml:space="preserve">only hypothetical individual </w:t>
      </w:r>
      <w:r w:rsidR="00173A00" w:rsidRPr="00277328">
        <w:rPr>
          <w:lang w:val="en-GB"/>
        </w:rPr>
        <w:t>behaviour</w:t>
      </w:r>
      <w:r w:rsidRPr="00277328">
        <w:rPr>
          <w:lang w:val="en-GB"/>
        </w:rPr>
        <w:t xml:space="preserve"> is being observed. Thus, their actions in real market terms cannot be </w:t>
      </w:r>
      <w:r w:rsidR="00173A00" w:rsidRPr="00277328">
        <w:rPr>
          <w:lang w:val="en-GB"/>
        </w:rPr>
        <w:t>analysed</w:t>
      </w:r>
      <w:r w:rsidRPr="00277328">
        <w:rPr>
          <w:lang w:val="en-GB"/>
        </w:rPr>
        <w:t>. The sample of choice sets is created according to experimental design principles, which are discussed later</w:t>
      </w:r>
      <w:r w:rsidR="00ED6621" w:rsidRPr="00277328">
        <w:rPr>
          <w:lang w:val="en-GB"/>
        </w:rPr>
        <w:t xml:space="preserve"> </w:t>
      </w:r>
      <w:r w:rsidR="004D060C" w:rsidRPr="00277328">
        <w:rPr>
          <w:lang w:val="en-GB"/>
        </w:rPr>
        <w:t>(Ryan, Gerard and Amaya-Amaya 2008).</w:t>
      </w:r>
    </w:p>
    <w:p w:rsidR="00A42699" w:rsidRPr="00277328" w:rsidRDefault="00A42699" w:rsidP="00A42699">
      <w:pPr>
        <w:rPr>
          <w:lang w:val="en-GB"/>
        </w:rPr>
      </w:pPr>
      <w:r w:rsidRPr="00277328">
        <w:rPr>
          <w:lang w:val="en-GB"/>
        </w:rPr>
        <w:t xml:space="preserve">The theoretical framework of DCEs contains elements of various economic theories. Drawing upon the principles of classic consumer theory, discrete choice analysis assumes that respondents are rational decision makers </w:t>
      </w:r>
      <w:r w:rsidR="00F16517">
        <w:rPr>
          <w:lang w:val="en-GB"/>
        </w:rPr>
        <w:t>who seek to maximis</w:t>
      </w:r>
      <w:r w:rsidRPr="00277328">
        <w:rPr>
          <w:lang w:val="en-GB"/>
        </w:rPr>
        <w:t>e their self-interest. That is, out of the number of goods (scenarios) they are presented with, they cho</w:t>
      </w:r>
      <w:r w:rsidR="00F16517">
        <w:rPr>
          <w:lang w:val="en-GB"/>
        </w:rPr>
        <w:t>ose the alternative that maximis</w:t>
      </w:r>
      <w:r w:rsidRPr="00277328">
        <w:rPr>
          <w:lang w:val="en-GB"/>
        </w:rPr>
        <w:t>es their preferences (utility), subject to budget constraints</w:t>
      </w:r>
      <w:r w:rsidR="004D060C" w:rsidRPr="00277328">
        <w:rPr>
          <w:lang w:val="en-GB"/>
        </w:rPr>
        <w:t xml:space="preserve"> </w:t>
      </w:r>
      <w:sdt>
        <w:sdtPr>
          <w:rPr>
            <w:lang w:val="en-GB"/>
          </w:rPr>
          <w:id w:val="40656698"/>
          <w:citation/>
        </w:sdtPr>
        <w:sdtContent>
          <w:r w:rsidR="00E93150" w:rsidRPr="00277328">
            <w:rPr>
              <w:lang w:val="en-GB"/>
            </w:rPr>
            <w:fldChar w:fldCharType="begin"/>
          </w:r>
          <w:r w:rsidR="00FB0F77" w:rsidRPr="00277328">
            <w:rPr>
              <w:lang w:val="en-GB"/>
            </w:rPr>
            <w:instrText xml:space="preserve"> CITATION Kja05 \l 1033 </w:instrText>
          </w:r>
          <w:r w:rsidR="00E93150" w:rsidRPr="00277328">
            <w:rPr>
              <w:lang w:val="en-GB"/>
            </w:rPr>
            <w:fldChar w:fldCharType="separate"/>
          </w:r>
          <w:r w:rsidR="008930F2" w:rsidRPr="00277328">
            <w:rPr>
              <w:lang w:val="en-GB"/>
            </w:rPr>
            <w:t>(Kjaer 2005)</w:t>
          </w:r>
          <w:r w:rsidR="00E93150" w:rsidRPr="00277328">
            <w:rPr>
              <w:lang w:val="en-GB"/>
            </w:rPr>
            <w:fldChar w:fldCharType="end"/>
          </w:r>
        </w:sdtContent>
      </w:sdt>
      <w:r w:rsidRPr="00277328">
        <w:rPr>
          <w:lang w:val="en-GB"/>
        </w:rPr>
        <w:t xml:space="preserve">. Consistent with neoclassical economics, discrete choice behaviour assumes that these utility levels are defined taking into account any preferences individuals have; that is, it comprises all the components that provide individuals with utility, including also non-health outcomes, process utility and psychological factors </w:t>
      </w:r>
      <w:sdt>
        <w:sdtPr>
          <w:rPr>
            <w:lang w:val="en-GB"/>
          </w:rPr>
          <w:id w:val="40656700"/>
          <w:citation/>
        </w:sdtPr>
        <w:sdtContent>
          <w:r w:rsidR="00E93150" w:rsidRPr="00277328">
            <w:rPr>
              <w:lang w:val="en-GB"/>
            </w:rPr>
            <w:fldChar w:fldCharType="begin"/>
          </w:r>
          <w:r w:rsidR="00FB0F77" w:rsidRPr="00277328">
            <w:rPr>
              <w:lang w:val="en-GB"/>
            </w:rPr>
            <w:instrText xml:space="preserve"> CITATION Dru97 \l 1033 </w:instrText>
          </w:r>
          <w:r w:rsidR="00E93150" w:rsidRPr="00277328">
            <w:rPr>
              <w:lang w:val="en-GB"/>
            </w:rPr>
            <w:fldChar w:fldCharType="separate"/>
          </w:r>
          <w:r w:rsidR="008930F2" w:rsidRPr="00277328">
            <w:rPr>
              <w:lang w:val="en-GB"/>
            </w:rPr>
            <w:t>(Drummond, et al. 1997)</w:t>
          </w:r>
          <w:r w:rsidR="00E93150" w:rsidRPr="00277328">
            <w:rPr>
              <w:lang w:val="en-GB"/>
            </w:rPr>
            <w:fldChar w:fldCharType="end"/>
          </w:r>
        </w:sdtContent>
      </w:sdt>
      <w:r w:rsidR="004D060C" w:rsidRPr="00277328">
        <w:rPr>
          <w:lang w:val="en-GB"/>
        </w:rPr>
        <w:t>.</w:t>
      </w:r>
    </w:p>
    <w:p w:rsidR="00A42699" w:rsidRPr="00277328" w:rsidRDefault="00A42699" w:rsidP="00A42699">
      <w:pPr>
        <w:rPr>
          <w:lang w:val="en-GB"/>
        </w:rPr>
      </w:pPr>
      <w:r w:rsidRPr="00277328">
        <w:rPr>
          <w:lang w:val="en-GB"/>
        </w:rPr>
        <w:t>However, discrete choice behaviour differs from classic consumer theory at three key points. First, DCE builds on Lancaster’s economic t</w:t>
      </w:r>
      <w:r w:rsidR="000C259F" w:rsidRPr="00277328">
        <w:rPr>
          <w:lang w:val="en-GB"/>
        </w:rPr>
        <w:t xml:space="preserve">heory of value </w:t>
      </w:r>
      <w:sdt>
        <w:sdtPr>
          <w:rPr>
            <w:lang w:val="en-GB"/>
          </w:rPr>
          <w:id w:val="40656701"/>
          <w:citation/>
        </w:sdtPr>
        <w:sdtContent>
          <w:r w:rsidR="00E93150" w:rsidRPr="00277328">
            <w:rPr>
              <w:lang w:val="en-GB"/>
            </w:rPr>
            <w:fldChar w:fldCharType="begin"/>
          </w:r>
          <w:r w:rsidR="00FB0F77" w:rsidRPr="00277328">
            <w:rPr>
              <w:lang w:val="en-GB"/>
            </w:rPr>
            <w:instrText xml:space="preserve"> CITATION Lan66 \l 1033 </w:instrText>
          </w:r>
          <w:r w:rsidR="00E93150" w:rsidRPr="00277328">
            <w:rPr>
              <w:lang w:val="en-GB"/>
            </w:rPr>
            <w:fldChar w:fldCharType="separate"/>
          </w:r>
          <w:r w:rsidR="008930F2" w:rsidRPr="00277328">
            <w:rPr>
              <w:lang w:val="en-GB"/>
            </w:rPr>
            <w:t>(Lancaster 1966)</w:t>
          </w:r>
          <w:r w:rsidR="00E93150" w:rsidRPr="00277328">
            <w:rPr>
              <w:lang w:val="en-GB"/>
            </w:rPr>
            <w:fldChar w:fldCharType="end"/>
          </w:r>
        </w:sdtContent>
      </w:sdt>
      <w:r w:rsidRPr="00277328">
        <w:rPr>
          <w:lang w:val="en-GB"/>
        </w:rPr>
        <w:t xml:space="preserve"> assuming that it is the characteristics of the goods that provide utility to the individuals, rather than the good or service per se. Hence, the</w:t>
      </w:r>
      <w:r w:rsidR="000C259F" w:rsidRPr="00277328">
        <w:rPr>
          <w:lang w:val="en-GB"/>
        </w:rPr>
        <w:t xml:space="preserve"> values </w:t>
      </w:r>
      <w:r w:rsidRPr="00277328">
        <w:rPr>
          <w:lang w:val="en-GB"/>
        </w:rPr>
        <w:t xml:space="preserve">respondents assign to the alternatives depends on the nature and the levels of </w:t>
      </w:r>
      <w:r w:rsidR="000C259F" w:rsidRPr="00277328">
        <w:rPr>
          <w:lang w:val="en-GB"/>
        </w:rPr>
        <w:t xml:space="preserve">their attributes </w:t>
      </w:r>
      <w:sdt>
        <w:sdtPr>
          <w:rPr>
            <w:lang w:val="en-GB"/>
          </w:rPr>
          <w:id w:val="40656702"/>
          <w:citation/>
        </w:sdtPr>
        <w:sdtContent>
          <w:r w:rsidR="00E93150" w:rsidRPr="00277328">
            <w:rPr>
              <w:lang w:val="en-GB"/>
            </w:rPr>
            <w:fldChar w:fldCharType="begin"/>
          </w:r>
          <w:r w:rsidR="00FB0F77" w:rsidRPr="00277328">
            <w:rPr>
              <w:lang w:val="en-GB"/>
            </w:rPr>
            <w:instrText xml:space="preserve"> CITATION Rya01 \l 1033 </w:instrText>
          </w:r>
          <w:r w:rsidR="00E93150" w:rsidRPr="00277328">
            <w:rPr>
              <w:lang w:val="en-GB"/>
            </w:rPr>
            <w:fldChar w:fldCharType="separate"/>
          </w:r>
          <w:r w:rsidR="008930F2" w:rsidRPr="00277328">
            <w:rPr>
              <w:lang w:val="en-GB"/>
            </w:rPr>
            <w:t>(Ryan, et al. 2001)</w:t>
          </w:r>
          <w:r w:rsidR="00E93150" w:rsidRPr="00277328">
            <w:rPr>
              <w:lang w:val="en-GB"/>
            </w:rPr>
            <w:fldChar w:fldCharType="end"/>
          </w:r>
        </w:sdtContent>
      </w:sdt>
      <w:r w:rsidRPr="00277328">
        <w:rPr>
          <w:lang w:val="en-GB"/>
        </w:rPr>
        <w:t>. According to the design principles of DC</w:t>
      </w:r>
      <w:r w:rsidR="002E3450">
        <w:rPr>
          <w:lang w:val="en-GB"/>
        </w:rPr>
        <w:t>Es, the attributes levels</w:t>
      </w:r>
      <w:r w:rsidRPr="00277328">
        <w:rPr>
          <w:lang w:val="en-GB"/>
        </w:rPr>
        <w:t xml:space="preserve"> vary across alternatives. Secondly, while standard consumer theory assumes an infinitive spectrum of goods, respondents of DCEs have to choose among a set of finite and mutually exclusive alternatives </w:t>
      </w:r>
      <w:r w:rsidR="000C259F" w:rsidRPr="00277328">
        <w:rPr>
          <w:lang w:val="en-GB"/>
        </w:rPr>
        <w:t>(Ryan, Gerard and Amaya-Amaya 2008)</w:t>
      </w:r>
      <w:r w:rsidRPr="00277328">
        <w:rPr>
          <w:lang w:val="en-GB"/>
        </w:rPr>
        <w:t xml:space="preserve">. Finally, DCEs draw upon the idea that individual choice </w:t>
      </w:r>
      <w:r w:rsidR="00173A00" w:rsidRPr="00277328">
        <w:rPr>
          <w:lang w:val="en-GB"/>
        </w:rPr>
        <w:t>behaviour</w:t>
      </w:r>
      <w:r w:rsidRPr="00277328">
        <w:rPr>
          <w:lang w:val="en-GB"/>
        </w:rPr>
        <w:t xml:space="preserve"> contains random elements and hence it can be described as probabilistic rather than deterministic. </w:t>
      </w:r>
    </w:p>
    <w:p w:rsidR="00A42699" w:rsidRPr="00277328" w:rsidRDefault="00A42699" w:rsidP="00A42699">
      <w:pPr>
        <w:rPr>
          <w:lang w:val="en-GB"/>
        </w:rPr>
      </w:pPr>
      <w:r w:rsidRPr="00277328">
        <w:rPr>
          <w:lang w:val="en-GB"/>
        </w:rPr>
        <w:t xml:space="preserve">The theoretical implications of these random elements led to the use of probabilistic choice theory as the basis for discrete choice </w:t>
      </w:r>
      <w:r w:rsidR="00173A00" w:rsidRPr="00277328">
        <w:rPr>
          <w:lang w:val="en-GB"/>
        </w:rPr>
        <w:t>modelling</w:t>
      </w:r>
      <w:r w:rsidRPr="00277328">
        <w:rPr>
          <w:lang w:val="en-GB"/>
        </w:rPr>
        <w:t xml:space="preserve">. In particular, DCEs are based on a subgroup of probabilistic choice models, named Random Utility Models (RUM). The concept of random utility has first been developed in psychology by Thurstone (1927) who attempted to </w:t>
      </w:r>
      <w:r w:rsidR="00173A00" w:rsidRPr="00277328">
        <w:rPr>
          <w:lang w:val="en-GB"/>
        </w:rPr>
        <w:t>analyse</w:t>
      </w:r>
      <w:r w:rsidRPr="00277328">
        <w:rPr>
          <w:lang w:val="en-GB"/>
        </w:rPr>
        <w:t xml:space="preserve"> uncertainty in individual choice behaviour. It has then been introduced into economics by Marschak (1960), who examined the effect of random utility on utility maximization behaviour</w:t>
      </w:r>
      <w:r w:rsidR="00806537" w:rsidRPr="00277328">
        <w:rPr>
          <w:lang w:val="en-GB"/>
        </w:rPr>
        <w:t xml:space="preserve"> </w:t>
      </w:r>
      <w:sdt>
        <w:sdtPr>
          <w:rPr>
            <w:lang w:val="en-GB"/>
          </w:rPr>
          <w:id w:val="40656704"/>
          <w:citation/>
        </w:sdtPr>
        <w:sdtContent>
          <w:r w:rsidR="00E93150" w:rsidRPr="00277328">
            <w:rPr>
              <w:lang w:val="en-GB"/>
            </w:rPr>
            <w:fldChar w:fldCharType="begin"/>
          </w:r>
          <w:r w:rsidR="00FB0F77" w:rsidRPr="00277328">
            <w:rPr>
              <w:lang w:val="en-GB"/>
            </w:rPr>
            <w:instrText xml:space="preserve"> CITATION McF01 \l 1033 </w:instrText>
          </w:r>
          <w:r w:rsidR="00E93150" w:rsidRPr="00277328">
            <w:rPr>
              <w:lang w:val="en-GB"/>
            </w:rPr>
            <w:fldChar w:fldCharType="separate"/>
          </w:r>
          <w:r w:rsidR="008930F2" w:rsidRPr="00277328">
            <w:rPr>
              <w:lang w:val="en-GB"/>
            </w:rPr>
            <w:t>(D. McFadden, Economic Choices 2001)</w:t>
          </w:r>
          <w:r w:rsidR="00E93150" w:rsidRPr="00277328">
            <w:rPr>
              <w:lang w:val="en-GB"/>
            </w:rPr>
            <w:fldChar w:fldCharType="end"/>
          </w:r>
        </w:sdtContent>
      </w:sdt>
      <w:r w:rsidR="00642C66" w:rsidRPr="00277328">
        <w:rPr>
          <w:lang w:val="en-GB"/>
        </w:rPr>
        <w:t>. Among others, Mc Fadden (McFadden 1974)</w:t>
      </w:r>
      <w:r w:rsidRPr="00277328">
        <w:rPr>
          <w:lang w:val="en-GB"/>
        </w:rPr>
        <w:t xml:space="preserve"> and Manski (</w:t>
      </w:r>
      <w:sdt>
        <w:sdtPr>
          <w:rPr>
            <w:lang w:val="en-GB"/>
          </w:rPr>
          <w:id w:val="40656706"/>
          <w:citation/>
        </w:sdtPr>
        <w:sdtContent>
          <w:r w:rsidR="00E93150" w:rsidRPr="00277328">
            <w:rPr>
              <w:lang w:val="en-GB"/>
            </w:rPr>
            <w:fldChar w:fldCharType="begin"/>
          </w:r>
          <w:r w:rsidR="00FB0F77" w:rsidRPr="00277328">
            <w:rPr>
              <w:lang w:val="en-GB"/>
            </w:rPr>
            <w:instrText xml:space="preserve"> CITATION Man77 \l 1033 </w:instrText>
          </w:r>
          <w:r w:rsidR="00E93150" w:rsidRPr="00277328">
            <w:rPr>
              <w:lang w:val="en-GB"/>
            </w:rPr>
            <w:fldChar w:fldCharType="separate"/>
          </w:r>
          <w:r w:rsidR="008930F2" w:rsidRPr="00277328">
            <w:rPr>
              <w:lang w:val="en-GB"/>
            </w:rPr>
            <w:t xml:space="preserve"> (Manski 1977)</w:t>
          </w:r>
          <w:r w:rsidR="00E93150" w:rsidRPr="00277328">
            <w:rPr>
              <w:lang w:val="en-GB"/>
            </w:rPr>
            <w:fldChar w:fldCharType="end"/>
          </w:r>
        </w:sdtContent>
      </w:sdt>
      <w:r w:rsidRPr="00277328">
        <w:rPr>
          <w:lang w:val="en-GB"/>
        </w:rPr>
        <w:t xml:space="preserve"> further developed random utility theory (RUT) as an econometric illustration of qualitative choice behaviour. In this setting, each alternative in a DCE is assigned with a probability of being chosen.</w:t>
      </w:r>
    </w:p>
    <w:p w:rsidR="00A42699" w:rsidRPr="00277328" w:rsidRDefault="00A42699" w:rsidP="00A42699">
      <w:pPr>
        <w:rPr>
          <w:lang w:val="en-GB"/>
        </w:rPr>
      </w:pPr>
      <w:r w:rsidRPr="00277328">
        <w:rPr>
          <w:lang w:val="en-GB"/>
        </w:rPr>
        <w:lastRenderedPageBreak/>
        <w:t>The utilities derived from each alternative in a DCE are considered as random variables, since individual choice cannot be perfectly predicted. The uncertainty encompassing utility does not imply that decision makers are not rational or do not have perfect discriminatory power among alternatives. It rather reflects a lack of adequate information on the part of the researcher regarding the attributes of the alternatives and the determinants that affect respondents’ choices</w:t>
      </w:r>
      <w:r w:rsidR="00642C66" w:rsidRPr="00277328">
        <w:rPr>
          <w:lang w:val="en-GB"/>
        </w:rPr>
        <w:t xml:space="preserve">. </w:t>
      </w:r>
      <w:r w:rsidRPr="00277328">
        <w:rPr>
          <w:lang w:val="en-GB"/>
        </w:rPr>
        <w:t>This implies that the utility function is deterministic from the respondents’ perspective and thus consistent with neoclassical economics. On the other hand, the researcher can observe only the part of utility that is explainable by the characteri</w:t>
      </w:r>
      <w:r w:rsidR="006719A6" w:rsidRPr="00277328">
        <w:rPr>
          <w:lang w:val="en-GB"/>
        </w:rPr>
        <w:t>stics of the alternatives (Ryan, Gerard and Amaya-Amaya 2008)</w:t>
      </w:r>
      <w:r w:rsidRPr="00277328">
        <w:rPr>
          <w:lang w:val="en-GB"/>
        </w:rPr>
        <w:t xml:space="preserve">. The composition of this indirect utility function will be further </w:t>
      </w:r>
      <w:r w:rsidR="00173A00" w:rsidRPr="00277328">
        <w:rPr>
          <w:lang w:val="en-GB"/>
        </w:rPr>
        <w:t>analysed</w:t>
      </w:r>
      <w:r w:rsidRPr="00277328">
        <w:rPr>
          <w:lang w:val="en-GB"/>
        </w:rPr>
        <w:t xml:space="preserve"> in the following sections.</w:t>
      </w:r>
    </w:p>
    <w:p w:rsidR="00A42699" w:rsidRPr="00277328" w:rsidRDefault="00A42699" w:rsidP="00A42699">
      <w:pPr>
        <w:rPr>
          <w:lang w:val="en-GB"/>
        </w:rPr>
      </w:pPr>
      <w:r w:rsidRPr="00277328">
        <w:rPr>
          <w:lang w:val="en-GB"/>
        </w:rPr>
        <w:t>Based on these theoretical foundations, a detailed descriptio</w:t>
      </w:r>
      <w:r w:rsidR="002E3450">
        <w:rPr>
          <w:lang w:val="en-GB"/>
        </w:rPr>
        <w:t xml:space="preserve">n of the key DCE stages </w:t>
      </w:r>
      <w:r w:rsidRPr="00277328">
        <w:rPr>
          <w:lang w:val="en-GB"/>
        </w:rPr>
        <w:t>is following. Section 2.2 provides information on the choice of attribu</w:t>
      </w:r>
      <w:r w:rsidR="002E3450">
        <w:rPr>
          <w:lang w:val="en-GB"/>
        </w:rPr>
        <w:t>tes and context of the experiment</w:t>
      </w:r>
      <w:r w:rsidRPr="00277328">
        <w:rPr>
          <w:lang w:val="en-GB"/>
        </w:rPr>
        <w:t xml:space="preserve">, while section 2.3 </w:t>
      </w:r>
      <w:r w:rsidR="00173A00" w:rsidRPr="00277328">
        <w:rPr>
          <w:lang w:val="en-GB"/>
        </w:rPr>
        <w:t>analyses</w:t>
      </w:r>
      <w:r w:rsidRPr="00277328">
        <w:rPr>
          <w:lang w:val="en-GB"/>
        </w:rPr>
        <w:t xml:space="preserve"> the experimental design principles used as the basis for this survey. Section 2.4 focuses on the techniques of data collection used in this experiment. Finally, section 2.5 describes the statistical process and </w:t>
      </w:r>
      <w:r w:rsidR="00173A00" w:rsidRPr="00277328">
        <w:rPr>
          <w:lang w:val="en-GB"/>
        </w:rPr>
        <w:t>modelling</w:t>
      </w:r>
      <w:r w:rsidR="002E3450">
        <w:rPr>
          <w:lang w:val="en-GB"/>
        </w:rPr>
        <w:t xml:space="preserve"> used for the empirical </w:t>
      </w:r>
      <w:r w:rsidRPr="00277328">
        <w:rPr>
          <w:lang w:val="en-GB"/>
        </w:rPr>
        <w:t xml:space="preserve">analysis. </w:t>
      </w:r>
    </w:p>
    <w:p w:rsidR="00A42699" w:rsidRPr="00277328" w:rsidRDefault="00A42699" w:rsidP="00A42699">
      <w:pPr>
        <w:tabs>
          <w:tab w:val="left" w:pos="2895"/>
        </w:tabs>
        <w:rPr>
          <w:sz w:val="24"/>
          <w:szCs w:val="24"/>
          <w:lang w:val="en-GB"/>
        </w:rPr>
      </w:pPr>
      <w:r w:rsidRPr="00277328">
        <w:rPr>
          <w:sz w:val="24"/>
          <w:szCs w:val="24"/>
          <w:lang w:val="en-GB"/>
        </w:rPr>
        <w:tab/>
      </w:r>
    </w:p>
    <w:p w:rsidR="00A42699" w:rsidRPr="00277328" w:rsidRDefault="00A42699" w:rsidP="003414E6">
      <w:pPr>
        <w:pStyle w:val="Heading2"/>
        <w:rPr>
          <w:lang w:val="en-GB"/>
        </w:rPr>
      </w:pPr>
      <w:r w:rsidRPr="00277328">
        <w:rPr>
          <w:sz w:val="28"/>
          <w:szCs w:val="28"/>
          <w:lang w:val="en-GB"/>
        </w:rPr>
        <w:t xml:space="preserve"> </w:t>
      </w:r>
      <w:bookmarkStart w:id="19" w:name="_Toc367791011"/>
      <w:r w:rsidRPr="00277328">
        <w:rPr>
          <w:lang w:val="en-GB"/>
        </w:rPr>
        <w:t>Criteria and experimental context</w:t>
      </w:r>
      <w:bookmarkEnd w:id="19"/>
    </w:p>
    <w:p w:rsidR="00A42699" w:rsidRPr="00277328" w:rsidRDefault="00A42699" w:rsidP="00A42699">
      <w:pPr>
        <w:rPr>
          <w:lang w:val="en-GB"/>
        </w:rPr>
      </w:pPr>
      <w:r w:rsidRPr="00277328">
        <w:rPr>
          <w:lang w:val="en-GB"/>
        </w:rPr>
        <w:t>During the last years, priority setting in health care has become an issue of great importance. The underlying problem is that health care needs are growing disproportionately with health resources. Therefore, decision makers have to choose among health interventions based on m</w:t>
      </w:r>
      <w:r w:rsidR="006719A6" w:rsidRPr="00277328">
        <w:rPr>
          <w:lang w:val="en-GB"/>
        </w:rPr>
        <w:t>ultiple and complex criteria (Baltussen and Niessen 2006)</w:t>
      </w:r>
      <w:r w:rsidRPr="00277328">
        <w:rPr>
          <w:lang w:val="en-GB"/>
        </w:rPr>
        <w:t>. There has been a great debate on which criteria should be taken into consideration when decisions on resource allocation are made. Several approaches to priority setting have been proposed in the literature. The definition and selection of these criteria should enhance the accountability, acceptability and credibility by society. In this context, multi-criteria decision analysis (MCDA) can help in defining more general, national or individual level criteria, as well as their relative importance.  This procedure makes the decision process more explicit, thus more accou</w:t>
      </w:r>
      <w:r w:rsidR="006719A6" w:rsidRPr="00277328">
        <w:rPr>
          <w:lang w:val="en-GB"/>
        </w:rPr>
        <w:t xml:space="preserve">ntable for the society </w:t>
      </w:r>
      <w:sdt>
        <w:sdtPr>
          <w:rPr>
            <w:lang w:val="en-GB"/>
          </w:rPr>
          <w:id w:val="40658306"/>
          <w:citation/>
        </w:sdtPr>
        <w:sdtContent>
          <w:r w:rsidR="00E93150" w:rsidRPr="00277328">
            <w:rPr>
              <w:lang w:val="en-GB"/>
            </w:rPr>
            <w:fldChar w:fldCharType="begin"/>
          </w:r>
          <w:r w:rsidR="00FB0F77" w:rsidRPr="00277328">
            <w:rPr>
              <w:lang w:val="en-GB"/>
            </w:rPr>
            <w:instrText xml:space="preserve"> CITATION Bal10 \l 1033 </w:instrText>
          </w:r>
          <w:r w:rsidR="00E93150" w:rsidRPr="00277328">
            <w:rPr>
              <w:lang w:val="en-GB"/>
            </w:rPr>
            <w:fldChar w:fldCharType="separate"/>
          </w:r>
          <w:r w:rsidR="008930F2" w:rsidRPr="00277328">
            <w:rPr>
              <w:lang w:val="en-GB"/>
            </w:rPr>
            <w:t>(Baltussen, Youngkong, et al. 2010)</w:t>
          </w:r>
          <w:r w:rsidR="00E93150" w:rsidRPr="00277328">
            <w:rPr>
              <w:lang w:val="en-GB"/>
            </w:rPr>
            <w:fldChar w:fldCharType="end"/>
          </w:r>
        </w:sdtContent>
      </w:sdt>
      <w:r w:rsidRPr="00277328">
        <w:rPr>
          <w:lang w:val="en-GB"/>
        </w:rPr>
        <w:t xml:space="preserve">. </w:t>
      </w:r>
    </w:p>
    <w:p w:rsidR="00A42699" w:rsidRPr="00277328" w:rsidRDefault="00A42699" w:rsidP="00A42699">
      <w:pPr>
        <w:rPr>
          <w:lang w:val="en-GB"/>
        </w:rPr>
      </w:pPr>
      <w:r w:rsidRPr="00277328">
        <w:rPr>
          <w:lang w:val="en-GB"/>
        </w:rPr>
        <w:t xml:space="preserve">Moreover, it has been argued that priority setting of health interventions should be based on a fair and rational process. This is consistent with the framework of accountability for reasonableness developed by Daniels and Sabin </w:t>
      </w:r>
      <w:r w:rsidR="006719A6" w:rsidRPr="00277328">
        <w:rPr>
          <w:lang w:val="en-GB"/>
        </w:rPr>
        <w:t>(Daniels and Sabin 1997; Daniels and Sabin 1998)</w:t>
      </w:r>
      <w:r w:rsidRPr="00277328">
        <w:rPr>
          <w:lang w:val="en-GB"/>
        </w:rPr>
        <w:t>. According to this framework, priority setting should contain general and specific elements of fairness. Among others, these elements include transparency of the process; multiple perspectives taken into account; and the aim of reaching a consensus of most participants in decision making</w:t>
      </w:r>
      <w:r w:rsidR="00E65B91" w:rsidRPr="00277328">
        <w:rPr>
          <w:lang w:val="en-GB"/>
        </w:rPr>
        <w:t xml:space="preserve"> </w:t>
      </w:r>
      <w:sdt>
        <w:sdtPr>
          <w:rPr>
            <w:lang w:val="en-GB"/>
          </w:rPr>
          <w:id w:val="40658309"/>
          <w:citation/>
        </w:sdtPr>
        <w:sdtContent>
          <w:r w:rsidR="00E93150" w:rsidRPr="00277328">
            <w:rPr>
              <w:lang w:val="en-GB"/>
            </w:rPr>
            <w:fldChar w:fldCharType="begin"/>
          </w:r>
          <w:r w:rsidR="00FB0F77" w:rsidRPr="00277328">
            <w:rPr>
              <w:lang w:val="en-GB"/>
            </w:rPr>
            <w:instrText xml:space="preserve"> CITATION Mar02 \l 1033 </w:instrText>
          </w:r>
          <w:r w:rsidR="00E93150" w:rsidRPr="00277328">
            <w:rPr>
              <w:lang w:val="en-GB"/>
            </w:rPr>
            <w:fldChar w:fldCharType="separate"/>
          </w:r>
          <w:r w:rsidR="008930F2" w:rsidRPr="00277328">
            <w:rPr>
              <w:lang w:val="en-GB"/>
            </w:rPr>
            <w:t>(Martin, Giacomini and Singer 2002)</w:t>
          </w:r>
          <w:r w:rsidR="00E93150" w:rsidRPr="00277328">
            <w:rPr>
              <w:lang w:val="en-GB"/>
            </w:rPr>
            <w:fldChar w:fldCharType="end"/>
          </w:r>
        </w:sdtContent>
      </w:sdt>
      <w:r w:rsidR="00E65B91" w:rsidRPr="00277328">
        <w:rPr>
          <w:lang w:val="en-GB"/>
        </w:rPr>
        <w:t xml:space="preserve">. </w:t>
      </w:r>
      <w:r w:rsidR="002E3450">
        <w:rPr>
          <w:lang w:val="en-GB"/>
        </w:rPr>
        <w:t xml:space="preserve">These goals become more relevant when </w:t>
      </w:r>
      <w:r w:rsidRPr="00277328">
        <w:rPr>
          <w:lang w:val="en-GB"/>
        </w:rPr>
        <w:t>developing (vers</w:t>
      </w:r>
      <w:r w:rsidR="002E3450">
        <w:rPr>
          <w:lang w:val="en-GB"/>
        </w:rPr>
        <w:t xml:space="preserve">us developed) countries and </w:t>
      </w:r>
      <w:r w:rsidRPr="00277328">
        <w:rPr>
          <w:lang w:val="en-GB"/>
        </w:rPr>
        <w:t xml:space="preserve">publicly </w:t>
      </w:r>
      <w:r w:rsidR="00E65B91" w:rsidRPr="00277328">
        <w:rPr>
          <w:lang w:val="en-GB"/>
        </w:rPr>
        <w:t xml:space="preserve">funded health systems </w:t>
      </w:r>
      <w:r w:rsidR="002E3450">
        <w:rPr>
          <w:lang w:val="en-GB"/>
        </w:rPr>
        <w:t xml:space="preserve">are concerned </w:t>
      </w:r>
      <w:sdt>
        <w:sdtPr>
          <w:rPr>
            <w:lang w:val="en-GB"/>
          </w:rPr>
          <w:id w:val="40658310"/>
          <w:citation/>
        </w:sdtPr>
        <w:sdtContent>
          <w:r w:rsidR="00E93150" w:rsidRPr="00277328">
            <w:rPr>
              <w:lang w:val="en-GB"/>
            </w:rPr>
            <w:fldChar w:fldCharType="begin"/>
          </w:r>
          <w:r w:rsidR="00FB0F77" w:rsidRPr="00277328">
            <w:rPr>
              <w:lang w:val="en-GB"/>
            </w:rPr>
            <w:instrText xml:space="preserve"> CITATION Kap04 \l 1033 </w:instrText>
          </w:r>
          <w:r w:rsidR="00E93150" w:rsidRPr="00277328">
            <w:rPr>
              <w:lang w:val="en-GB"/>
            </w:rPr>
            <w:fldChar w:fldCharType="separate"/>
          </w:r>
          <w:r w:rsidR="008930F2" w:rsidRPr="00277328">
            <w:rPr>
              <w:lang w:val="en-GB"/>
            </w:rPr>
            <w:t>(Kapiriri and Norheim 2004)</w:t>
          </w:r>
          <w:r w:rsidR="00E93150" w:rsidRPr="00277328">
            <w:rPr>
              <w:lang w:val="en-GB"/>
            </w:rPr>
            <w:fldChar w:fldCharType="end"/>
          </w:r>
        </w:sdtContent>
      </w:sdt>
      <w:r w:rsidRPr="00277328">
        <w:rPr>
          <w:lang w:val="en-GB"/>
        </w:rPr>
        <w:t xml:space="preserve">. Finally, it has been suggested that political criteria play an important role in the decision process. Thus not only the ethical judgments of policy makers should be taken into account, but also the public participation in priority </w:t>
      </w:r>
      <w:r w:rsidR="00E65B91" w:rsidRPr="00277328">
        <w:rPr>
          <w:lang w:val="en-GB"/>
        </w:rPr>
        <w:t xml:space="preserve">setting </w:t>
      </w:r>
      <w:sdt>
        <w:sdtPr>
          <w:rPr>
            <w:lang w:val="en-GB"/>
          </w:rPr>
          <w:id w:val="40658311"/>
          <w:citation/>
        </w:sdtPr>
        <w:sdtContent>
          <w:r w:rsidR="00E93150" w:rsidRPr="00277328">
            <w:rPr>
              <w:lang w:val="en-GB"/>
            </w:rPr>
            <w:fldChar w:fldCharType="begin"/>
          </w:r>
          <w:r w:rsidR="00FB0F77" w:rsidRPr="00277328">
            <w:rPr>
              <w:lang w:val="en-GB"/>
            </w:rPr>
            <w:instrText xml:space="preserve"> CITATION McK08 \l 1033 </w:instrText>
          </w:r>
          <w:r w:rsidR="00E93150" w:rsidRPr="00277328">
            <w:rPr>
              <w:lang w:val="en-GB"/>
            </w:rPr>
            <w:fldChar w:fldCharType="separate"/>
          </w:r>
          <w:r w:rsidR="008930F2" w:rsidRPr="00277328">
            <w:rPr>
              <w:lang w:val="en-GB"/>
            </w:rPr>
            <w:t>(McKie, et al. 2008)</w:t>
          </w:r>
          <w:r w:rsidR="00E93150" w:rsidRPr="00277328">
            <w:rPr>
              <w:lang w:val="en-GB"/>
            </w:rPr>
            <w:fldChar w:fldCharType="end"/>
          </w:r>
        </w:sdtContent>
      </w:sdt>
      <w:r w:rsidRPr="00277328">
        <w:rPr>
          <w:lang w:val="en-GB"/>
        </w:rPr>
        <w:t xml:space="preserve">. </w:t>
      </w:r>
    </w:p>
    <w:p w:rsidR="00A42699" w:rsidRPr="00277328" w:rsidRDefault="00A42699" w:rsidP="00A42699">
      <w:pPr>
        <w:rPr>
          <w:lang w:val="en-GB"/>
        </w:rPr>
      </w:pPr>
      <w:r w:rsidRPr="00277328">
        <w:rPr>
          <w:lang w:val="en-GB"/>
        </w:rPr>
        <w:lastRenderedPageBreak/>
        <w:t>Based on th</w:t>
      </w:r>
      <w:r w:rsidR="000476F6" w:rsidRPr="00277328">
        <w:rPr>
          <w:lang w:val="en-GB"/>
        </w:rPr>
        <w:t>is framework, respondents in this</w:t>
      </w:r>
      <w:r w:rsidRPr="00277328">
        <w:rPr>
          <w:lang w:val="en-GB"/>
        </w:rPr>
        <w:t xml:space="preserve"> experiment were asked to choose between pairs of health care interventions, each defined in terms of equity and efficiency </w:t>
      </w:r>
      <w:r w:rsidR="001B3988" w:rsidRPr="00277328">
        <w:rPr>
          <w:lang w:val="en-GB"/>
        </w:rPr>
        <w:t>criteria</w:t>
      </w:r>
      <w:r w:rsidRPr="00277328">
        <w:rPr>
          <w:lang w:val="en-GB"/>
        </w:rPr>
        <w:t xml:space="preserve">. The DCE design pattern and the selection of the specific criteria included are based on past studies. As mentioned before, DCEs fall into a more general framework of evidence-based priority setting, named multi-criteria decision analysis (MCDA). It has been argued that MCDA offers better guidance to policy makers on priority setting since it allows for an explicit and simultaneous assessment of multiple and comprehensive </w:t>
      </w:r>
      <w:r w:rsidR="001B3988" w:rsidRPr="00277328">
        <w:rPr>
          <w:lang w:val="en-GB"/>
        </w:rPr>
        <w:t>sets of criteria (Baltussen and Niessen 2006)</w:t>
      </w:r>
      <w:r w:rsidRPr="00277328">
        <w:rPr>
          <w:lang w:val="en-GB"/>
        </w:rPr>
        <w:t xml:space="preserve">. Therefore, trade-offs between different characteristics of the interventions can be calculated and the relative importance of these criteria is established. Thus, a rank ordering of the interventions is mapped. In that way, the process of decision making becomes more transparent and effective. </w:t>
      </w:r>
    </w:p>
    <w:p w:rsidR="00A42699" w:rsidRPr="00277328" w:rsidRDefault="00A42699" w:rsidP="00A42699">
      <w:pPr>
        <w:rPr>
          <w:lang w:val="en-GB"/>
        </w:rPr>
      </w:pPr>
      <w:r w:rsidRPr="00277328">
        <w:rPr>
          <w:lang w:val="en-GB"/>
        </w:rPr>
        <w:t>Furthermo</w:t>
      </w:r>
      <w:r w:rsidR="002E3450">
        <w:rPr>
          <w:lang w:val="en-GB"/>
        </w:rPr>
        <w:t xml:space="preserve">re, </w:t>
      </w:r>
      <w:r w:rsidRPr="00277328">
        <w:rPr>
          <w:lang w:val="en-GB"/>
        </w:rPr>
        <w:t xml:space="preserve">more aspects of the various health care systems have to be taken into account in the process of priority setting. These aspects include equity considerations; medical criteria such as the severity of disease; and non-medical criteria, such as the average age of the targeted population </w:t>
      </w:r>
      <w:sdt>
        <w:sdtPr>
          <w:rPr>
            <w:lang w:val="en-GB"/>
          </w:rPr>
          <w:id w:val="40658313"/>
          <w:citation/>
        </w:sdtPr>
        <w:sdtContent>
          <w:r w:rsidR="00E93150" w:rsidRPr="00277328">
            <w:rPr>
              <w:lang w:val="en-GB"/>
            </w:rPr>
            <w:fldChar w:fldCharType="begin"/>
          </w:r>
          <w:r w:rsidR="00FB0F77" w:rsidRPr="00277328">
            <w:rPr>
              <w:lang w:val="en-GB"/>
            </w:rPr>
            <w:instrText xml:space="preserve"> CITATION Bae10 \l 1033 </w:instrText>
          </w:r>
          <w:r w:rsidR="00E93150" w:rsidRPr="00277328">
            <w:rPr>
              <w:lang w:val="en-GB"/>
            </w:rPr>
            <w:fldChar w:fldCharType="separate"/>
          </w:r>
          <w:r w:rsidR="008930F2" w:rsidRPr="00277328">
            <w:rPr>
              <w:lang w:val="en-GB"/>
            </w:rPr>
            <w:t>(Baeten, et al. 2010)</w:t>
          </w:r>
          <w:r w:rsidR="00E93150" w:rsidRPr="00277328">
            <w:rPr>
              <w:lang w:val="en-GB"/>
            </w:rPr>
            <w:fldChar w:fldCharType="end"/>
          </w:r>
        </w:sdtContent>
      </w:sdt>
      <w:r w:rsidRPr="00277328">
        <w:rPr>
          <w:lang w:val="en-GB"/>
        </w:rPr>
        <w:t xml:space="preserve">. Even more, the identification of the criteria included should be relevant to the stated polices of each country, as well as their societal values and objectives </w:t>
      </w:r>
      <w:sdt>
        <w:sdtPr>
          <w:rPr>
            <w:lang w:val="en-GB"/>
          </w:rPr>
          <w:id w:val="40658314"/>
          <w:citation/>
        </w:sdtPr>
        <w:sdtContent>
          <w:r w:rsidR="00E93150" w:rsidRPr="00277328">
            <w:rPr>
              <w:lang w:val="en-GB"/>
            </w:rPr>
            <w:fldChar w:fldCharType="begin"/>
          </w:r>
          <w:r w:rsidR="00FB0F77" w:rsidRPr="00277328">
            <w:rPr>
              <w:lang w:val="en-GB"/>
            </w:rPr>
            <w:instrText xml:space="preserve"> CITATION Noo07 \l 1033 </w:instrText>
          </w:r>
          <w:r w:rsidR="00E93150" w:rsidRPr="00277328">
            <w:rPr>
              <w:lang w:val="en-GB"/>
            </w:rPr>
            <w:fldChar w:fldCharType="separate"/>
          </w:r>
          <w:r w:rsidR="008930F2" w:rsidRPr="00277328">
            <w:rPr>
              <w:lang w:val="en-GB"/>
            </w:rPr>
            <w:t>(Noordani, et al. 2007)</w:t>
          </w:r>
          <w:r w:rsidR="00E93150" w:rsidRPr="00277328">
            <w:rPr>
              <w:lang w:val="en-GB"/>
            </w:rPr>
            <w:fldChar w:fldCharType="end"/>
          </w:r>
        </w:sdtContent>
      </w:sdt>
      <w:r w:rsidR="00E850E8" w:rsidRPr="00277328">
        <w:rPr>
          <w:lang w:val="en-GB"/>
        </w:rPr>
        <w:t xml:space="preserve">. </w:t>
      </w:r>
      <w:r w:rsidRPr="00277328">
        <w:rPr>
          <w:lang w:val="en-GB"/>
        </w:rPr>
        <w:t xml:space="preserve">Compared to other priority setting approaches, MCDA enables the definition and integration of a wider range of </w:t>
      </w:r>
      <w:r w:rsidR="009C7662">
        <w:rPr>
          <w:lang w:val="en-GB"/>
        </w:rPr>
        <w:t>criteria to inform the prioritis</w:t>
      </w:r>
      <w:r w:rsidRPr="00277328">
        <w:rPr>
          <w:lang w:val="en-GB"/>
        </w:rPr>
        <w:t xml:space="preserve">ation process. </w:t>
      </w:r>
    </w:p>
    <w:p w:rsidR="00A42699" w:rsidRPr="00277328" w:rsidRDefault="00A42699" w:rsidP="00A42699">
      <w:pPr>
        <w:rPr>
          <w:lang w:val="en-GB"/>
        </w:rPr>
      </w:pPr>
      <w:r w:rsidRPr="00277328">
        <w:rPr>
          <w:lang w:val="en-GB"/>
        </w:rPr>
        <w:t>In these terms, the criteria chosen for this experiment offer the most relevant information and can be grouped under two major categories, those of equity and efficiency. The set of criteria is originally chosen based on existing literature</w:t>
      </w:r>
      <w:r w:rsidR="00E850E8" w:rsidRPr="00277328">
        <w:rPr>
          <w:lang w:val="en-GB"/>
        </w:rPr>
        <w:t xml:space="preserve"> </w:t>
      </w:r>
      <w:sdt>
        <w:sdtPr>
          <w:rPr>
            <w:lang w:val="en-GB"/>
          </w:rPr>
          <w:id w:val="40658315"/>
          <w:citation/>
        </w:sdtPr>
        <w:sdtContent>
          <w:r w:rsidR="00E93150" w:rsidRPr="00277328">
            <w:rPr>
              <w:lang w:val="en-GB"/>
            </w:rPr>
            <w:fldChar w:fldCharType="begin"/>
          </w:r>
          <w:r w:rsidR="00FB0F77" w:rsidRPr="00277328">
            <w:rPr>
              <w:lang w:val="en-GB"/>
            </w:rPr>
            <w:instrText xml:space="preserve"> CITATION Def12 \l 1033 </w:instrText>
          </w:r>
          <w:r w:rsidR="00E93150" w:rsidRPr="00277328">
            <w:rPr>
              <w:lang w:val="en-GB"/>
            </w:rPr>
            <w:fldChar w:fldCharType="separate"/>
          </w:r>
          <w:r w:rsidR="008930F2" w:rsidRPr="00277328">
            <w:rPr>
              <w:lang w:val="en-GB"/>
            </w:rPr>
            <w:t>(Defechereux, et al. 2012)</w:t>
          </w:r>
          <w:r w:rsidR="00E93150" w:rsidRPr="00277328">
            <w:rPr>
              <w:lang w:val="en-GB"/>
            </w:rPr>
            <w:fldChar w:fldCharType="end"/>
          </w:r>
        </w:sdtContent>
      </w:sdt>
      <w:sdt>
        <w:sdtPr>
          <w:rPr>
            <w:lang w:val="en-GB"/>
          </w:rPr>
          <w:id w:val="40658316"/>
          <w:citation/>
        </w:sdtPr>
        <w:sdtContent>
          <w:r w:rsidR="00E93150" w:rsidRPr="00277328">
            <w:rPr>
              <w:lang w:val="en-GB"/>
            </w:rPr>
            <w:fldChar w:fldCharType="begin"/>
          </w:r>
          <w:r w:rsidR="00FB0F77" w:rsidRPr="00277328">
            <w:rPr>
              <w:lang w:val="en-GB"/>
            </w:rPr>
            <w:instrText xml:space="preserve"> CITATION Bal07 \l 1033 </w:instrText>
          </w:r>
          <w:r w:rsidR="00E93150" w:rsidRPr="00277328">
            <w:rPr>
              <w:lang w:val="en-GB"/>
            </w:rPr>
            <w:fldChar w:fldCharType="separate"/>
          </w:r>
          <w:r w:rsidR="008930F2" w:rsidRPr="00277328">
            <w:rPr>
              <w:lang w:val="en-GB"/>
            </w:rPr>
            <w:t xml:space="preserve"> (Baltussen, et al. 2007)</w:t>
          </w:r>
          <w:r w:rsidR="00E93150" w:rsidRPr="00277328">
            <w:rPr>
              <w:lang w:val="en-GB"/>
            </w:rPr>
            <w:fldChar w:fldCharType="end"/>
          </w:r>
        </w:sdtContent>
      </w:sdt>
      <w:sdt>
        <w:sdtPr>
          <w:rPr>
            <w:lang w:val="en-GB"/>
          </w:rPr>
          <w:id w:val="40658317"/>
          <w:citation/>
        </w:sdtPr>
        <w:sdtContent>
          <w:r w:rsidR="00E93150" w:rsidRPr="00277328">
            <w:rPr>
              <w:lang w:val="en-GB"/>
            </w:rPr>
            <w:fldChar w:fldCharType="begin"/>
          </w:r>
          <w:r w:rsidR="00FB0F77" w:rsidRPr="00277328">
            <w:rPr>
              <w:lang w:val="en-GB"/>
            </w:rPr>
            <w:instrText xml:space="preserve"> CITATION Bae10 \l 1033 </w:instrText>
          </w:r>
          <w:r w:rsidR="00E93150" w:rsidRPr="00277328">
            <w:rPr>
              <w:lang w:val="en-GB"/>
            </w:rPr>
            <w:fldChar w:fldCharType="separate"/>
          </w:r>
          <w:r w:rsidR="008930F2" w:rsidRPr="00277328">
            <w:rPr>
              <w:lang w:val="en-GB"/>
            </w:rPr>
            <w:t xml:space="preserve"> (Baeten, et al. 2010)</w:t>
          </w:r>
          <w:r w:rsidR="00E93150" w:rsidRPr="00277328">
            <w:rPr>
              <w:lang w:val="en-GB"/>
            </w:rPr>
            <w:fldChar w:fldCharType="end"/>
          </w:r>
        </w:sdtContent>
      </w:sdt>
      <w:r w:rsidR="00E850E8" w:rsidRPr="00277328">
        <w:rPr>
          <w:lang w:val="en-GB"/>
        </w:rPr>
        <w:t xml:space="preserve"> </w:t>
      </w:r>
      <w:sdt>
        <w:sdtPr>
          <w:rPr>
            <w:lang w:val="en-GB"/>
          </w:rPr>
          <w:id w:val="40658318"/>
          <w:citation/>
        </w:sdtPr>
        <w:sdtContent>
          <w:r w:rsidR="00E93150" w:rsidRPr="00277328">
            <w:rPr>
              <w:lang w:val="en-GB"/>
            </w:rPr>
            <w:fldChar w:fldCharType="begin"/>
          </w:r>
          <w:r w:rsidR="00FB0F77" w:rsidRPr="00277328">
            <w:rPr>
              <w:lang w:val="en-GB"/>
            </w:rPr>
            <w:instrText xml:space="preserve"> CITATION Mir12 \l 1033 </w:instrText>
          </w:r>
          <w:r w:rsidR="00E93150" w:rsidRPr="00277328">
            <w:rPr>
              <w:lang w:val="en-GB"/>
            </w:rPr>
            <w:fldChar w:fldCharType="separate"/>
          </w:r>
          <w:r w:rsidR="008930F2" w:rsidRPr="00277328">
            <w:rPr>
              <w:lang w:val="en-GB"/>
            </w:rPr>
            <w:t>(Mirelman, et al. 2012)</w:t>
          </w:r>
          <w:r w:rsidR="00E93150" w:rsidRPr="00277328">
            <w:rPr>
              <w:lang w:val="en-GB"/>
            </w:rPr>
            <w:fldChar w:fldCharType="end"/>
          </w:r>
        </w:sdtContent>
      </w:sdt>
      <w:r w:rsidRPr="00277328">
        <w:rPr>
          <w:lang w:val="en-GB"/>
        </w:rPr>
        <w:t>. These criteria are identified as context-relevant and consistent with the properties of completeness, feasibility and mutual independence required fo</w:t>
      </w:r>
      <w:r w:rsidR="00E850E8" w:rsidRPr="00277328">
        <w:rPr>
          <w:lang w:val="en-GB"/>
        </w:rPr>
        <w:t>r the experimental design</w:t>
      </w:r>
      <w:r w:rsidRPr="00277328">
        <w:rPr>
          <w:lang w:val="en-GB"/>
        </w:rPr>
        <w:t>. In addition, further adaptation has been implemented using the suggestions of focus groups in which health care policy makers and health professional</w:t>
      </w:r>
      <w:r w:rsidR="00F16517">
        <w:rPr>
          <w:lang w:val="en-GB"/>
        </w:rPr>
        <w:t>s participated. Table 4 summaris</w:t>
      </w:r>
      <w:r w:rsidRPr="00277328">
        <w:rPr>
          <w:lang w:val="en-GB"/>
        </w:rPr>
        <w:t>es the criteria definitions and their levels, while a more detailed description is given in the following parts.</w:t>
      </w:r>
    </w:p>
    <w:p w:rsidR="006A5A0D" w:rsidRDefault="006A5A0D" w:rsidP="00A42699">
      <w:pPr>
        <w:rPr>
          <w:b/>
          <w:u w:val="single"/>
          <w:lang w:val="en-GB"/>
        </w:rPr>
      </w:pPr>
    </w:p>
    <w:p w:rsidR="00A42699" w:rsidRPr="00277328" w:rsidRDefault="000476F6" w:rsidP="00A42699">
      <w:pPr>
        <w:rPr>
          <w:b/>
          <w:u w:val="single"/>
          <w:lang w:val="en-GB"/>
        </w:rPr>
      </w:pPr>
      <w:r w:rsidRPr="00277328">
        <w:rPr>
          <w:b/>
          <w:u w:val="single"/>
          <w:lang w:val="en-GB"/>
        </w:rPr>
        <w:t>Table 4: Definition of criteria and levels</w:t>
      </w:r>
    </w:p>
    <w:tbl>
      <w:tblPr>
        <w:tblStyle w:val="LightShading-Accent2"/>
        <w:tblW w:w="5000" w:type="pct"/>
        <w:tblBorders>
          <w:left w:val="single" w:sz="8" w:space="0" w:color="C0504D" w:themeColor="accent2"/>
          <w:right w:val="single" w:sz="8" w:space="0" w:color="C0504D" w:themeColor="accent2"/>
          <w:insideH w:val="single" w:sz="8" w:space="0" w:color="C0504D" w:themeColor="accent2"/>
          <w:insideV w:val="single" w:sz="8" w:space="0" w:color="C0504D" w:themeColor="accent2"/>
        </w:tblBorders>
        <w:tblLook w:val="04A0"/>
      </w:tblPr>
      <w:tblGrid>
        <w:gridCol w:w="2840"/>
        <w:gridCol w:w="2841"/>
        <w:gridCol w:w="2841"/>
      </w:tblGrid>
      <w:tr w:rsidR="000476F6" w:rsidRPr="00277328" w:rsidTr="008E2EDE">
        <w:trPr>
          <w:cnfStyle w:val="100000000000"/>
        </w:trPr>
        <w:tc>
          <w:tcPr>
            <w:cnfStyle w:val="001000000000"/>
            <w:tcW w:w="1666" w:type="pct"/>
            <w:tcBorders>
              <w:top w:val="none" w:sz="0" w:space="0" w:color="auto"/>
              <w:left w:val="none" w:sz="0" w:space="0" w:color="auto"/>
              <w:bottom w:val="none" w:sz="0" w:space="0" w:color="auto"/>
              <w:right w:val="none" w:sz="0" w:space="0" w:color="auto"/>
            </w:tcBorders>
          </w:tcPr>
          <w:p w:rsidR="000476F6" w:rsidRPr="00277328" w:rsidRDefault="00DC0664" w:rsidP="00A42699">
            <w:pPr>
              <w:rPr>
                <w:b w:val="0"/>
                <w:color w:val="auto"/>
                <w:lang w:val="en-GB"/>
              </w:rPr>
            </w:pPr>
            <w:r w:rsidRPr="00277328">
              <w:rPr>
                <w:b w:val="0"/>
                <w:color w:val="auto"/>
                <w:lang w:val="en-GB"/>
              </w:rPr>
              <w:t>Attribute</w:t>
            </w:r>
          </w:p>
        </w:tc>
        <w:tc>
          <w:tcPr>
            <w:tcW w:w="1667" w:type="pct"/>
            <w:tcBorders>
              <w:top w:val="none" w:sz="0" w:space="0" w:color="auto"/>
              <w:left w:val="none" w:sz="0" w:space="0" w:color="auto"/>
              <w:bottom w:val="none" w:sz="0" w:space="0" w:color="auto"/>
              <w:right w:val="none" w:sz="0" w:space="0" w:color="auto"/>
            </w:tcBorders>
          </w:tcPr>
          <w:p w:rsidR="000476F6" w:rsidRPr="00277328" w:rsidRDefault="00DC0664" w:rsidP="00A42699">
            <w:pPr>
              <w:cnfStyle w:val="100000000000"/>
              <w:rPr>
                <w:b w:val="0"/>
                <w:color w:val="auto"/>
                <w:lang w:val="en-GB"/>
              </w:rPr>
            </w:pPr>
            <w:r w:rsidRPr="00277328">
              <w:rPr>
                <w:b w:val="0"/>
                <w:color w:val="auto"/>
                <w:lang w:val="en-GB"/>
              </w:rPr>
              <w:t>Level (regression variables)</w:t>
            </w:r>
          </w:p>
        </w:tc>
        <w:tc>
          <w:tcPr>
            <w:tcW w:w="1667" w:type="pct"/>
            <w:tcBorders>
              <w:top w:val="none" w:sz="0" w:space="0" w:color="auto"/>
              <w:left w:val="none" w:sz="0" w:space="0" w:color="auto"/>
              <w:bottom w:val="none" w:sz="0" w:space="0" w:color="auto"/>
              <w:right w:val="none" w:sz="0" w:space="0" w:color="auto"/>
            </w:tcBorders>
          </w:tcPr>
          <w:p w:rsidR="000476F6" w:rsidRPr="00277328" w:rsidRDefault="00DC0664" w:rsidP="00A42699">
            <w:pPr>
              <w:cnfStyle w:val="100000000000"/>
              <w:rPr>
                <w:b w:val="0"/>
                <w:color w:val="auto"/>
                <w:lang w:val="en-GB"/>
              </w:rPr>
            </w:pPr>
            <w:r w:rsidRPr="00277328">
              <w:rPr>
                <w:b w:val="0"/>
                <w:color w:val="auto"/>
                <w:lang w:val="en-GB"/>
              </w:rPr>
              <w:t>Definition</w:t>
            </w:r>
          </w:p>
        </w:tc>
      </w:tr>
      <w:tr w:rsidR="00973154" w:rsidRPr="00277328" w:rsidTr="008E2EDE">
        <w:trPr>
          <w:cnfStyle w:val="000000100000"/>
          <w:trHeight w:val="150"/>
        </w:trPr>
        <w:tc>
          <w:tcPr>
            <w:cnfStyle w:val="001000000000"/>
            <w:tcW w:w="1666" w:type="pct"/>
            <w:tcBorders>
              <w:left w:val="none" w:sz="0" w:space="0" w:color="auto"/>
              <w:right w:val="none" w:sz="0" w:space="0" w:color="auto"/>
            </w:tcBorders>
          </w:tcPr>
          <w:p w:rsidR="00973154" w:rsidRPr="00277328" w:rsidRDefault="00973154" w:rsidP="00A42699">
            <w:pPr>
              <w:rPr>
                <w:rFonts w:cstheme="minorHAnsi"/>
                <w:b w:val="0"/>
                <w:color w:val="auto"/>
                <w:lang w:val="en-GB"/>
              </w:rPr>
            </w:pPr>
            <w:r w:rsidRPr="00277328">
              <w:rPr>
                <w:rFonts w:cstheme="minorHAnsi"/>
                <w:b w:val="0"/>
                <w:color w:val="auto"/>
                <w:lang w:val="en-GB"/>
              </w:rPr>
              <w:t>EQUITY CRITERIA</w:t>
            </w:r>
          </w:p>
        </w:tc>
        <w:tc>
          <w:tcPr>
            <w:tcW w:w="1667" w:type="pct"/>
            <w:tcBorders>
              <w:left w:val="none" w:sz="0" w:space="0" w:color="auto"/>
              <w:right w:val="none" w:sz="0" w:space="0" w:color="auto"/>
            </w:tcBorders>
          </w:tcPr>
          <w:p w:rsidR="00973154" w:rsidRPr="00277328" w:rsidRDefault="00973154" w:rsidP="00A42699">
            <w:pPr>
              <w:cnfStyle w:val="000000100000"/>
              <w:rPr>
                <w:rFonts w:cstheme="minorHAnsi"/>
                <w:color w:val="auto"/>
                <w:lang w:val="en-GB"/>
              </w:rPr>
            </w:pPr>
          </w:p>
        </w:tc>
        <w:tc>
          <w:tcPr>
            <w:tcW w:w="1667" w:type="pct"/>
            <w:tcBorders>
              <w:left w:val="none" w:sz="0" w:space="0" w:color="auto"/>
              <w:right w:val="none" w:sz="0" w:space="0" w:color="auto"/>
            </w:tcBorders>
          </w:tcPr>
          <w:p w:rsidR="00973154" w:rsidRPr="00277328" w:rsidRDefault="00973154" w:rsidP="00A42699">
            <w:pPr>
              <w:cnfStyle w:val="000000100000"/>
              <w:rPr>
                <w:rFonts w:cstheme="minorHAnsi"/>
                <w:color w:val="auto"/>
                <w:lang w:val="en-GB"/>
              </w:rPr>
            </w:pPr>
          </w:p>
        </w:tc>
      </w:tr>
      <w:tr w:rsidR="00DC0664" w:rsidRPr="00277328" w:rsidTr="008E2EDE">
        <w:trPr>
          <w:trHeight w:val="150"/>
        </w:trPr>
        <w:tc>
          <w:tcPr>
            <w:cnfStyle w:val="001000000000"/>
            <w:tcW w:w="1666" w:type="pct"/>
            <w:vMerge w:val="restart"/>
          </w:tcPr>
          <w:p w:rsidR="00DC0664" w:rsidRPr="00277328" w:rsidRDefault="00DC0664" w:rsidP="00A42699">
            <w:pPr>
              <w:rPr>
                <w:rFonts w:cstheme="minorHAnsi"/>
                <w:color w:val="auto"/>
                <w:lang w:val="en-GB"/>
              </w:rPr>
            </w:pPr>
            <w:r w:rsidRPr="00277328">
              <w:rPr>
                <w:rFonts w:cstheme="minorHAnsi"/>
                <w:color w:val="auto"/>
                <w:lang w:val="en-GB"/>
              </w:rPr>
              <w:t xml:space="preserve">Severity of disease </w:t>
            </w:r>
          </w:p>
        </w:tc>
        <w:tc>
          <w:tcPr>
            <w:tcW w:w="1667" w:type="pct"/>
          </w:tcPr>
          <w:p w:rsidR="00DC0664" w:rsidRPr="00277328" w:rsidRDefault="00DC0664" w:rsidP="00A42699">
            <w:pPr>
              <w:cnfStyle w:val="000000000000"/>
              <w:rPr>
                <w:rFonts w:cstheme="minorHAnsi"/>
                <w:color w:val="auto"/>
                <w:lang w:val="en-GB"/>
              </w:rPr>
            </w:pPr>
            <w:r w:rsidRPr="00277328">
              <w:rPr>
                <w:rFonts w:cstheme="minorHAnsi"/>
                <w:color w:val="auto"/>
                <w:lang w:val="en-GB"/>
              </w:rPr>
              <w:t>Not severe (NotSev)*</w:t>
            </w:r>
          </w:p>
        </w:tc>
        <w:tc>
          <w:tcPr>
            <w:tcW w:w="1667" w:type="pct"/>
          </w:tcPr>
          <w:p w:rsidR="00DC0664" w:rsidRPr="00277328" w:rsidRDefault="00973154" w:rsidP="00A42699">
            <w:pPr>
              <w:cnfStyle w:val="000000000000"/>
              <w:rPr>
                <w:rFonts w:cstheme="minorHAnsi"/>
                <w:color w:val="auto"/>
                <w:lang w:val="en-GB"/>
              </w:rPr>
            </w:pPr>
            <w:r w:rsidRPr="00277328">
              <w:rPr>
                <w:rFonts w:cstheme="minorHAnsi"/>
                <w:color w:val="auto"/>
                <w:lang w:val="en-GB"/>
              </w:rPr>
              <w:t>Remaining life expectancy more than two years in absence of intervention, when acquiring/having disease</w:t>
            </w:r>
          </w:p>
        </w:tc>
      </w:tr>
      <w:tr w:rsidR="00DC0664" w:rsidRPr="00277328" w:rsidTr="008E2EDE">
        <w:trPr>
          <w:cnfStyle w:val="000000100000"/>
          <w:trHeight w:val="150"/>
        </w:trPr>
        <w:tc>
          <w:tcPr>
            <w:cnfStyle w:val="001000000000"/>
            <w:tcW w:w="1666" w:type="pct"/>
            <w:vMerge/>
            <w:tcBorders>
              <w:left w:val="none" w:sz="0" w:space="0" w:color="auto"/>
              <w:right w:val="none" w:sz="0" w:space="0" w:color="auto"/>
            </w:tcBorders>
          </w:tcPr>
          <w:p w:rsidR="00DC0664" w:rsidRPr="00277328" w:rsidRDefault="00DC0664" w:rsidP="00A42699">
            <w:pPr>
              <w:rPr>
                <w:rFonts w:cstheme="minorHAnsi"/>
                <w:color w:val="auto"/>
                <w:lang w:val="en-GB"/>
              </w:rPr>
            </w:pPr>
          </w:p>
        </w:tc>
        <w:tc>
          <w:tcPr>
            <w:tcW w:w="1667" w:type="pct"/>
            <w:tcBorders>
              <w:left w:val="none" w:sz="0" w:space="0" w:color="auto"/>
              <w:right w:val="none" w:sz="0" w:space="0" w:color="auto"/>
            </w:tcBorders>
          </w:tcPr>
          <w:p w:rsidR="00DC0664" w:rsidRPr="00277328" w:rsidRDefault="00DC0664" w:rsidP="00A42699">
            <w:pPr>
              <w:cnfStyle w:val="000000100000"/>
              <w:rPr>
                <w:rFonts w:cstheme="minorHAnsi"/>
                <w:color w:val="auto"/>
                <w:lang w:val="en-GB"/>
              </w:rPr>
            </w:pPr>
            <w:r w:rsidRPr="00277328">
              <w:rPr>
                <w:rFonts w:cstheme="minorHAnsi"/>
                <w:color w:val="auto"/>
                <w:lang w:val="en-GB"/>
              </w:rPr>
              <w:t>Severe (Sev)</w:t>
            </w:r>
          </w:p>
        </w:tc>
        <w:tc>
          <w:tcPr>
            <w:tcW w:w="1667" w:type="pct"/>
            <w:tcBorders>
              <w:left w:val="none" w:sz="0" w:space="0" w:color="auto"/>
              <w:right w:val="none" w:sz="0" w:space="0" w:color="auto"/>
            </w:tcBorders>
          </w:tcPr>
          <w:p w:rsidR="00DC0664" w:rsidRPr="00277328" w:rsidRDefault="008E2EDE" w:rsidP="00A42699">
            <w:pPr>
              <w:cnfStyle w:val="000000100000"/>
              <w:rPr>
                <w:rFonts w:cstheme="minorHAnsi"/>
                <w:color w:val="auto"/>
                <w:lang w:val="en-GB"/>
              </w:rPr>
            </w:pPr>
            <w:r w:rsidRPr="00277328">
              <w:rPr>
                <w:rFonts w:cstheme="minorHAnsi"/>
                <w:color w:val="auto"/>
                <w:lang w:val="en-GB"/>
              </w:rPr>
              <w:t>Life expectancy &lt; 2  years</w:t>
            </w:r>
          </w:p>
        </w:tc>
      </w:tr>
      <w:tr w:rsidR="00973154" w:rsidRPr="00277328" w:rsidTr="008E2EDE">
        <w:trPr>
          <w:trHeight w:val="293"/>
        </w:trPr>
        <w:tc>
          <w:tcPr>
            <w:cnfStyle w:val="001000000000"/>
            <w:tcW w:w="1666" w:type="pct"/>
            <w:vMerge w:val="restart"/>
          </w:tcPr>
          <w:p w:rsidR="00973154" w:rsidRPr="00277328" w:rsidRDefault="00F16517" w:rsidP="005C610F">
            <w:pPr>
              <w:rPr>
                <w:rFonts w:cstheme="minorHAnsi"/>
                <w:color w:val="auto"/>
                <w:lang w:val="en-GB"/>
              </w:rPr>
            </w:pPr>
            <w:r>
              <w:rPr>
                <w:rFonts w:cstheme="minorHAnsi"/>
                <w:color w:val="auto"/>
                <w:lang w:val="en-GB"/>
              </w:rPr>
              <w:t>Willingness to subsidis</w:t>
            </w:r>
            <w:r w:rsidR="00973154" w:rsidRPr="00277328">
              <w:rPr>
                <w:rFonts w:cstheme="minorHAnsi"/>
                <w:color w:val="auto"/>
                <w:lang w:val="en-GB"/>
              </w:rPr>
              <w:t>e others</w:t>
            </w:r>
          </w:p>
        </w:tc>
        <w:tc>
          <w:tcPr>
            <w:tcW w:w="1667" w:type="pct"/>
          </w:tcPr>
          <w:p w:rsidR="00973154" w:rsidRPr="00277328" w:rsidRDefault="001C44F7" w:rsidP="005C610F">
            <w:pPr>
              <w:cnfStyle w:val="000000000000"/>
              <w:rPr>
                <w:rFonts w:cstheme="minorHAnsi"/>
                <w:color w:val="auto"/>
                <w:lang w:val="en-GB"/>
              </w:rPr>
            </w:pPr>
            <w:r w:rsidRPr="00277328">
              <w:rPr>
                <w:rFonts w:cstheme="minorHAnsi"/>
                <w:color w:val="auto"/>
                <w:lang w:val="en-GB"/>
              </w:rPr>
              <w:t xml:space="preserve">Low Level </w:t>
            </w:r>
            <w:r w:rsidR="00973154" w:rsidRPr="00277328">
              <w:rPr>
                <w:rFonts w:cstheme="minorHAnsi"/>
                <w:color w:val="auto"/>
                <w:lang w:val="en-GB"/>
              </w:rPr>
              <w:t>*</w:t>
            </w:r>
          </w:p>
        </w:tc>
        <w:tc>
          <w:tcPr>
            <w:tcW w:w="1667" w:type="pct"/>
          </w:tcPr>
          <w:p w:rsidR="00973154" w:rsidRPr="00277328" w:rsidRDefault="00973154" w:rsidP="005C610F">
            <w:pPr>
              <w:cnfStyle w:val="000000000000"/>
              <w:rPr>
                <w:rFonts w:cstheme="minorHAnsi"/>
                <w:color w:val="auto"/>
                <w:lang w:val="en-GB"/>
              </w:rPr>
            </w:pPr>
            <w:r w:rsidRPr="00277328">
              <w:rPr>
                <w:rFonts w:cstheme="minorHAnsi"/>
                <w:color w:val="auto"/>
                <w:lang w:val="en-GB"/>
              </w:rPr>
              <w:t xml:space="preserve">Less than 70% of total </w:t>
            </w:r>
            <w:r w:rsidR="008E2EDE" w:rsidRPr="00277328">
              <w:rPr>
                <w:rFonts w:cstheme="minorHAnsi"/>
                <w:color w:val="auto"/>
                <w:lang w:val="en-GB"/>
              </w:rPr>
              <w:t>health expenditures are financed</w:t>
            </w:r>
            <w:r w:rsidRPr="00277328">
              <w:rPr>
                <w:rFonts w:cstheme="minorHAnsi"/>
                <w:color w:val="auto"/>
                <w:lang w:val="en-GB"/>
              </w:rPr>
              <w:t xml:space="preserve"> from public funds</w:t>
            </w:r>
            <w:r w:rsidR="00F64887" w:rsidRPr="00277328">
              <w:rPr>
                <w:rFonts w:cstheme="minorHAnsi"/>
                <w:color w:val="auto"/>
                <w:lang w:val="en-GB"/>
              </w:rPr>
              <w:t xml:space="preserve"> (poverty reduction criterion)</w:t>
            </w:r>
          </w:p>
        </w:tc>
      </w:tr>
      <w:tr w:rsidR="00973154" w:rsidRPr="00277328" w:rsidTr="008E2EDE">
        <w:trPr>
          <w:cnfStyle w:val="000000100000"/>
          <w:trHeight w:val="292"/>
        </w:trPr>
        <w:tc>
          <w:tcPr>
            <w:cnfStyle w:val="001000000000"/>
            <w:tcW w:w="1666" w:type="pct"/>
            <w:vMerge/>
            <w:tcBorders>
              <w:left w:val="none" w:sz="0" w:space="0" w:color="auto"/>
              <w:right w:val="none" w:sz="0" w:space="0" w:color="auto"/>
            </w:tcBorders>
          </w:tcPr>
          <w:p w:rsidR="00973154" w:rsidRPr="00277328" w:rsidRDefault="00973154" w:rsidP="00A42699">
            <w:pPr>
              <w:rPr>
                <w:rFonts w:cstheme="minorHAnsi"/>
                <w:color w:val="auto"/>
                <w:lang w:val="en-GB"/>
              </w:rPr>
            </w:pPr>
          </w:p>
        </w:tc>
        <w:tc>
          <w:tcPr>
            <w:tcW w:w="1667" w:type="pct"/>
            <w:tcBorders>
              <w:left w:val="none" w:sz="0" w:space="0" w:color="auto"/>
              <w:right w:val="none" w:sz="0" w:space="0" w:color="auto"/>
            </w:tcBorders>
          </w:tcPr>
          <w:p w:rsidR="00973154" w:rsidRPr="00277328" w:rsidRDefault="001C44F7" w:rsidP="00A42699">
            <w:pPr>
              <w:cnfStyle w:val="000000100000"/>
              <w:rPr>
                <w:rFonts w:cstheme="minorHAnsi"/>
                <w:color w:val="auto"/>
                <w:lang w:val="en-GB"/>
              </w:rPr>
            </w:pPr>
            <w:r w:rsidRPr="00277328">
              <w:rPr>
                <w:rFonts w:cstheme="minorHAnsi"/>
                <w:color w:val="auto"/>
                <w:lang w:val="en-GB"/>
              </w:rPr>
              <w:t xml:space="preserve">High level </w:t>
            </w:r>
          </w:p>
        </w:tc>
        <w:tc>
          <w:tcPr>
            <w:tcW w:w="1667" w:type="pct"/>
            <w:tcBorders>
              <w:left w:val="none" w:sz="0" w:space="0" w:color="auto"/>
              <w:right w:val="none" w:sz="0" w:space="0" w:color="auto"/>
            </w:tcBorders>
          </w:tcPr>
          <w:p w:rsidR="00973154" w:rsidRPr="00277328" w:rsidRDefault="00F16517" w:rsidP="00A42699">
            <w:pPr>
              <w:cnfStyle w:val="000000100000"/>
              <w:rPr>
                <w:rFonts w:cstheme="minorHAnsi"/>
                <w:color w:val="auto"/>
                <w:lang w:val="en-GB"/>
              </w:rPr>
            </w:pPr>
            <w:r>
              <w:rPr>
                <w:rFonts w:cstheme="minorHAnsi"/>
                <w:color w:val="auto"/>
                <w:lang w:val="en-GB"/>
              </w:rPr>
              <w:t>Subsidis</w:t>
            </w:r>
            <w:r w:rsidR="008E2EDE" w:rsidRPr="00277328">
              <w:rPr>
                <w:rFonts w:cstheme="minorHAnsi"/>
                <w:color w:val="auto"/>
                <w:lang w:val="en-GB"/>
              </w:rPr>
              <w:t>e at more than 70%</w:t>
            </w:r>
          </w:p>
        </w:tc>
      </w:tr>
      <w:tr w:rsidR="00DC0664" w:rsidRPr="00277328" w:rsidTr="008E2EDE">
        <w:trPr>
          <w:trHeight w:val="100"/>
        </w:trPr>
        <w:tc>
          <w:tcPr>
            <w:cnfStyle w:val="001000000000"/>
            <w:tcW w:w="1666" w:type="pct"/>
            <w:vMerge w:val="restart"/>
          </w:tcPr>
          <w:p w:rsidR="00DC0664" w:rsidRPr="00277328" w:rsidRDefault="00DC0664" w:rsidP="00A42699">
            <w:pPr>
              <w:rPr>
                <w:rFonts w:cstheme="minorHAnsi"/>
                <w:color w:val="auto"/>
                <w:lang w:val="en-GB"/>
              </w:rPr>
            </w:pPr>
            <w:r w:rsidRPr="00277328">
              <w:rPr>
                <w:rFonts w:cstheme="minorHAnsi"/>
                <w:color w:val="auto"/>
                <w:lang w:val="en-GB"/>
              </w:rPr>
              <w:lastRenderedPageBreak/>
              <w:t>Age of target group</w:t>
            </w:r>
          </w:p>
        </w:tc>
        <w:tc>
          <w:tcPr>
            <w:tcW w:w="1667" w:type="pct"/>
          </w:tcPr>
          <w:p w:rsidR="00DC0664" w:rsidRPr="00277328" w:rsidRDefault="001C44F7" w:rsidP="00A42699">
            <w:pPr>
              <w:cnfStyle w:val="000000000000"/>
              <w:rPr>
                <w:rFonts w:cstheme="minorHAnsi"/>
                <w:color w:val="auto"/>
                <w:lang w:val="en-GB"/>
              </w:rPr>
            </w:pPr>
            <w:r w:rsidRPr="00277328">
              <w:rPr>
                <w:rFonts w:cstheme="minorHAnsi"/>
                <w:color w:val="auto"/>
                <w:lang w:val="en-GB"/>
              </w:rPr>
              <w:t xml:space="preserve">Young </w:t>
            </w:r>
            <w:r w:rsidR="00DC0664" w:rsidRPr="00277328">
              <w:rPr>
                <w:rFonts w:cstheme="minorHAnsi"/>
                <w:color w:val="auto"/>
                <w:lang w:val="en-GB"/>
              </w:rPr>
              <w:t>*</w:t>
            </w:r>
          </w:p>
        </w:tc>
        <w:tc>
          <w:tcPr>
            <w:tcW w:w="1667" w:type="pct"/>
          </w:tcPr>
          <w:p w:rsidR="00DC0664" w:rsidRPr="00277328" w:rsidRDefault="00973154" w:rsidP="00A42699">
            <w:pPr>
              <w:cnfStyle w:val="000000000000"/>
              <w:rPr>
                <w:rFonts w:cstheme="minorHAnsi"/>
                <w:color w:val="auto"/>
                <w:lang w:val="en-GB"/>
              </w:rPr>
            </w:pPr>
            <w:r w:rsidRPr="00277328">
              <w:rPr>
                <w:rFonts w:cstheme="minorHAnsi"/>
                <w:color w:val="auto"/>
                <w:lang w:val="en-GB"/>
              </w:rPr>
              <w:t>0-1</w:t>
            </w:r>
            <w:r w:rsidR="008E2EDE" w:rsidRPr="00277328">
              <w:rPr>
                <w:rFonts w:cstheme="minorHAnsi"/>
                <w:color w:val="auto"/>
                <w:lang w:val="en-GB"/>
              </w:rPr>
              <w:t>5</w:t>
            </w:r>
            <w:r w:rsidRPr="00277328">
              <w:rPr>
                <w:rFonts w:cstheme="minorHAnsi"/>
                <w:color w:val="auto"/>
                <w:lang w:val="en-GB"/>
              </w:rPr>
              <w:t xml:space="preserve"> years</w:t>
            </w:r>
          </w:p>
        </w:tc>
      </w:tr>
      <w:tr w:rsidR="00DC0664" w:rsidRPr="00277328" w:rsidTr="008E2EDE">
        <w:trPr>
          <w:cnfStyle w:val="000000100000"/>
          <w:trHeight w:val="100"/>
        </w:trPr>
        <w:tc>
          <w:tcPr>
            <w:cnfStyle w:val="001000000000"/>
            <w:tcW w:w="1666" w:type="pct"/>
            <w:vMerge/>
            <w:tcBorders>
              <w:left w:val="none" w:sz="0" w:space="0" w:color="auto"/>
              <w:right w:val="none" w:sz="0" w:space="0" w:color="auto"/>
            </w:tcBorders>
          </w:tcPr>
          <w:p w:rsidR="00DC0664" w:rsidRPr="00277328" w:rsidRDefault="00DC0664" w:rsidP="00A42699">
            <w:pPr>
              <w:rPr>
                <w:rFonts w:cstheme="minorHAnsi"/>
                <w:color w:val="auto"/>
                <w:lang w:val="en-GB"/>
              </w:rPr>
            </w:pPr>
          </w:p>
        </w:tc>
        <w:tc>
          <w:tcPr>
            <w:tcW w:w="1667" w:type="pct"/>
            <w:tcBorders>
              <w:left w:val="none" w:sz="0" w:space="0" w:color="auto"/>
              <w:right w:val="none" w:sz="0" w:space="0" w:color="auto"/>
            </w:tcBorders>
          </w:tcPr>
          <w:p w:rsidR="00DC0664" w:rsidRPr="00277328" w:rsidRDefault="001C44F7" w:rsidP="00A42699">
            <w:pPr>
              <w:cnfStyle w:val="000000100000"/>
              <w:rPr>
                <w:rFonts w:cstheme="minorHAnsi"/>
                <w:color w:val="auto"/>
                <w:lang w:val="en-GB"/>
              </w:rPr>
            </w:pPr>
            <w:r w:rsidRPr="00277328">
              <w:rPr>
                <w:rFonts w:cstheme="minorHAnsi"/>
                <w:color w:val="auto"/>
                <w:lang w:val="en-GB"/>
              </w:rPr>
              <w:t xml:space="preserve">Middle-age </w:t>
            </w:r>
          </w:p>
        </w:tc>
        <w:tc>
          <w:tcPr>
            <w:tcW w:w="1667" w:type="pct"/>
            <w:tcBorders>
              <w:left w:val="none" w:sz="0" w:space="0" w:color="auto"/>
              <w:right w:val="none" w:sz="0" w:space="0" w:color="auto"/>
            </w:tcBorders>
          </w:tcPr>
          <w:p w:rsidR="00DC0664" w:rsidRPr="00277328" w:rsidRDefault="00973154" w:rsidP="00A42699">
            <w:pPr>
              <w:cnfStyle w:val="000000100000"/>
              <w:rPr>
                <w:rFonts w:cstheme="minorHAnsi"/>
                <w:color w:val="auto"/>
                <w:lang w:val="en-GB"/>
              </w:rPr>
            </w:pPr>
            <w:r w:rsidRPr="00277328">
              <w:rPr>
                <w:rFonts w:cstheme="minorHAnsi"/>
                <w:color w:val="auto"/>
                <w:lang w:val="en-GB"/>
              </w:rPr>
              <w:t>15-59 years</w:t>
            </w:r>
          </w:p>
        </w:tc>
      </w:tr>
      <w:tr w:rsidR="00DC0664" w:rsidRPr="00277328" w:rsidTr="008E2EDE">
        <w:trPr>
          <w:trHeight w:val="100"/>
        </w:trPr>
        <w:tc>
          <w:tcPr>
            <w:cnfStyle w:val="001000000000"/>
            <w:tcW w:w="1666" w:type="pct"/>
            <w:vMerge/>
          </w:tcPr>
          <w:p w:rsidR="00DC0664" w:rsidRPr="00277328" w:rsidRDefault="00DC0664" w:rsidP="00A42699">
            <w:pPr>
              <w:rPr>
                <w:rFonts w:cstheme="minorHAnsi"/>
                <w:color w:val="auto"/>
                <w:lang w:val="en-GB"/>
              </w:rPr>
            </w:pPr>
          </w:p>
        </w:tc>
        <w:tc>
          <w:tcPr>
            <w:tcW w:w="1667" w:type="pct"/>
          </w:tcPr>
          <w:p w:rsidR="00DC0664" w:rsidRPr="00277328" w:rsidRDefault="001C44F7" w:rsidP="00A42699">
            <w:pPr>
              <w:cnfStyle w:val="000000000000"/>
              <w:rPr>
                <w:rFonts w:cstheme="minorHAnsi"/>
                <w:color w:val="auto"/>
                <w:lang w:val="en-GB"/>
              </w:rPr>
            </w:pPr>
            <w:r w:rsidRPr="00277328">
              <w:rPr>
                <w:rFonts w:cstheme="minorHAnsi"/>
                <w:color w:val="auto"/>
                <w:lang w:val="en-GB"/>
              </w:rPr>
              <w:t xml:space="preserve">Elderly </w:t>
            </w:r>
          </w:p>
        </w:tc>
        <w:tc>
          <w:tcPr>
            <w:tcW w:w="1667" w:type="pct"/>
          </w:tcPr>
          <w:p w:rsidR="00DC0664" w:rsidRPr="00277328" w:rsidRDefault="00973154" w:rsidP="00A42699">
            <w:pPr>
              <w:cnfStyle w:val="000000000000"/>
              <w:rPr>
                <w:rFonts w:cstheme="minorHAnsi"/>
                <w:color w:val="auto"/>
                <w:lang w:val="en-GB"/>
              </w:rPr>
            </w:pPr>
            <w:r w:rsidRPr="00277328">
              <w:rPr>
                <w:rFonts w:cstheme="minorHAnsi"/>
                <w:color w:val="auto"/>
                <w:lang w:val="en-GB"/>
              </w:rPr>
              <w:t>60 years and older</w:t>
            </w:r>
          </w:p>
        </w:tc>
      </w:tr>
      <w:tr w:rsidR="00973154" w:rsidRPr="00277328" w:rsidTr="008E2EDE">
        <w:trPr>
          <w:cnfStyle w:val="000000100000"/>
          <w:trHeight w:val="150"/>
        </w:trPr>
        <w:tc>
          <w:tcPr>
            <w:cnfStyle w:val="001000000000"/>
            <w:tcW w:w="1666" w:type="pct"/>
            <w:tcBorders>
              <w:left w:val="none" w:sz="0" w:space="0" w:color="auto"/>
              <w:right w:val="none" w:sz="0" w:space="0" w:color="auto"/>
            </w:tcBorders>
          </w:tcPr>
          <w:p w:rsidR="00973154" w:rsidRPr="00277328" w:rsidRDefault="00973154" w:rsidP="00A42699">
            <w:pPr>
              <w:rPr>
                <w:rFonts w:cstheme="minorHAnsi"/>
                <w:b w:val="0"/>
                <w:color w:val="auto"/>
                <w:lang w:val="en-GB"/>
              </w:rPr>
            </w:pPr>
            <w:r w:rsidRPr="00277328">
              <w:rPr>
                <w:rFonts w:cstheme="minorHAnsi"/>
                <w:b w:val="0"/>
                <w:color w:val="auto"/>
                <w:lang w:val="en-GB"/>
              </w:rPr>
              <w:t>EFFICIENCY CRITERIA</w:t>
            </w:r>
          </w:p>
        </w:tc>
        <w:tc>
          <w:tcPr>
            <w:tcW w:w="1667" w:type="pct"/>
            <w:tcBorders>
              <w:left w:val="none" w:sz="0" w:space="0" w:color="auto"/>
              <w:right w:val="none" w:sz="0" w:space="0" w:color="auto"/>
            </w:tcBorders>
          </w:tcPr>
          <w:p w:rsidR="00973154" w:rsidRPr="00277328" w:rsidRDefault="00973154" w:rsidP="00A42699">
            <w:pPr>
              <w:cnfStyle w:val="000000100000"/>
              <w:rPr>
                <w:rFonts w:cstheme="minorHAnsi"/>
                <w:color w:val="auto"/>
                <w:lang w:val="en-GB"/>
              </w:rPr>
            </w:pPr>
          </w:p>
        </w:tc>
        <w:tc>
          <w:tcPr>
            <w:tcW w:w="1667" w:type="pct"/>
            <w:tcBorders>
              <w:left w:val="none" w:sz="0" w:space="0" w:color="auto"/>
              <w:right w:val="none" w:sz="0" w:space="0" w:color="auto"/>
            </w:tcBorders>
          </w:tcPr>
          <w:p w:rsidR="00973154" w:rsidRPr="00277328" w:rsidRDefault="00973154" w:rsidP="00A42699">
            <w:pPr>
              <w:cnfStyle w:val="000000100000"/>
              <w:rPr>
                <w:rFonts w:cstheme="minorHAnsi"/>
                <w:color w:val="auto"/>
                <w:lang w:val="en-GB"/>
              </w:rPr>
            </w:pPr>
          </w:p>
        </w:tc>
      </w:tr>
      <w:tr w:rsidR="00DC0664" w:rsidRPr="00277328" w:rsidTr="008E2EDE">
        <w:trPr>
          <w:trHeight w:val="150"/>
        </w:trPr>
        <w:tc>
          <w:tcPr>
            <w:cnfStyle w:val="001000000000"/>
            <w:tcW w:w="1666" w:type="pct"/>
            <w:vMerge w:val="restart"/>
          </w:tcPr>
          <w:p w:rsidR="00DC0664" w:rsidRPr="00277328" w:rsidRDefault="00DC0664" w:rsidP="00A42699">
            <w:pPr>
              <w:rPr>
                <w:rFonts w:cstheme="minorHAnsi"/>
                <w:color w:val="auto"/>
                <w:lang w:val="en-GB"/>
              </w:rPr>
            </w:pPr>
            <w:r w:rsidRPr="00277328">
              <w:rPr>
                <w:rFonts w:cstheme="minorHAnsi"/>
                <w:color w:val="auto"/>
                <w:lang w:val="en-GB"/>
              </w:rPr>
              <w:t>Individual health benefits</w:t>
            </w:r>
          </w:p>
        </w:tc>
        <w:tc>
          <w:tcPr>
            <w:tcW w:w="1667" w:type="pct"/>
          </w:tcPr>
          <w:p w:rsidR="00DC0664" w:rsidRPr="00277328" w:rsidRDefault="001C44F7" w:rsidP="00A42699">
            <w:pPr>
              <w:cnfStyle w:val="000000000000"/>
              <w:rPr>
                <w:rFonts w:cstheme="minorHAnsi"/>
                <w:color w:val="auto"/>
                <w:lang w:val="en-GB"/>
              </w:rPr>
            </w:pPr>
            <w:r w:rsidRPr="00277328">
              <w:rPr>
                <w:rFonts w:cstheme="minorHAnsi"/>
                <w:color w:val="auto"/>
                <w:lang w:val="en-GB"/>
              </w:rPr>
              <w:t>Small</w:t>
            </w:r>
            <w:r w:rsidR="00DC0664" w:rsidRPr="00277328">
              <w:rPr>
                <w:rFonts w:cstheme="minorHAnsi"/>
                <w:color w:val="auto"/>
                <w:lang w:val="en-GB"/>
              </w:rPr>
              <w:t>*</w:t>
            </w:r>
          </w:p>
        </w:tc>
        <w:tc>
          <w:tcPr>
            <w:tcW w:w="1667" w:type="pct"/>
          </w:tcPr>
          <w:p w:rsidR="00DC0664" w:rsidRPr="00277328" w:rsidRDefault="00973154" w:rsidP="00A42699">
            <w:pPr>
              <w:cnfStyle w:val="000000000000"/>
              <w:rPr>
                <w:rFonts w:cstheme="minorHAnsi"/>
                <w:color w:val="auto"/>
                <w:lang w:val="en-GB"/>
              </w:rPr>
            </w:pPr>
            <w:r w:rsidRPr="00277328">
              <w:rPr>
                <w:rFonts w:cstheme="minorHAnsi"/>
                <w:color w:val="auto"/>
                <w:lang w:val="en-GB"/>
              </w:rPr>
              <w:t xml:space="preserve">Less than five healthy life years on average for whole target group </w:t>
            </w:r>
          </w:p>
        </w:tc>
      </w:tr>
      <w:tr w:rsidR="00DC0664" w:rsidRPr="00277328" w:rsidTr="008E2EDE">
        <w:trPr>
          <w:cnfStyle w:val="000000100000"/>
          <w:trHeight w:val="150"/>
        </w:trPr>
        <w:tc>
          <w:tcPr>
            <w:cnfStyle w:val="001000000000"/>
            <w:tcW w:w="1666" w:type="pct"/>
            <w:vMerge/>
            <w:tcBorders>
              <w:left w:val="none" w:sz="0" w:space="0" w:color="auto"/>
              <w:right w:val="none" w:sz="0" w:space="0" w:color="auto"/>
            </w:tcBorders>
          </w:tcPr>
          <w:p w:rsidR="00DC0664" w:rsidRPr="00277328" w:rsidRDefault="00DC0664" w:rsidP="00A42699">
            <w:pPr>
              <w:rPr>
                <w:rFonts w:cstheme="minorHAnsi"/>
                <w:color w:val="auto"/>
                <w:lang w:val="en-GB"/>
              </w:rPr>
            </w:pPr>
          </w:p>
        </w:tc>
        <w:tc>
          <w:tcPr>
            <w:tcW w:w="1667" w:type="pct"/>
            <w:tcBorders>
              <w:left w:val="none" w:sz="0" w:space="0" w:color="auto"/>
              <w:right w:val="none" w:sz="0" w:space="0" w:color="auto"/>
            </w:tcBorders>
          </w:tcPr>
          <w:p w:rsidR="00DC0664" w:rsidRPr="00277328" w:rsidRDefault="001C44F7" w:rsidP="00A42699">
            <w:pPr>
              <w:cnfStyle w:val="000000100000"/>
              <w:rPr>
                <w:rFonts w:cstheme="minorHAnsi"/>
                <w:color w:val="auto"/>
                <w:lang w:val="en-GB"/>
              </w:rPr>
            </w:pPr>
            <w:r w:rsidRPr="00277328">
              <w:rPr>
                <w:rFonts w:cstheme="minorHAnsi"/>
                <w:color w:val="auto"/>
                <w:lang w:val="en-GB"/>
              </w:rPr>
              <w:t xml:space="preserve">Large </w:t>
            </w:r>
          </w:p>
        </w:tc>
        <w:tc>
          <w:tcPr>
            <w:tcW w:w="1667" w:type="pct"/>
            <w:tcBorders>
              <w:left w:val="none" w:sz="0" w:space="0" w:color="auto"/>
              <w:right w:val="none" w:sz="0" w:space="0" w:color="auto"/>
            </w:tcBorders>
          </w:tcPr>
          <w:p w:rsidR="00DC0664" w:rsidRPr="00277328" w:rsidRDefault="008E2EDE" w:rsidP="00A42699">
            <w:pPr>
              <w:cnfStyle w:val="000000100000"/>
              <w:rPr>
                <w:rFonts w:cstheme="minorHAnsi"/>
                <w:color w:val="auto"/>
                <w:lang w:val="en-GB"/>
              </w:rPr>
            </w:pPr>
            <w:r w:rsidRPr="00277328">
              <w:rPr>
                <w:rFonts w:cstheme="minorHAnsi"/>
                <w:color w:val="auto"/>
                <w:lang w:val="en-GB"/>
              </w:rPr>
              <w:t>More than five healthy life years</w:t>
            </w:r>
          </w:p>
        </w:tc>
      </w:tr>
      <w:tr w:rsidR="00973154" w:rsidRPr="00277328" w:rsidTr="008E2EDE">
        <w:trPr>
          <w:trHeight w:val="293"/>
        </w:trPr>
        <w:tc>
          <w:tcPr>
            <w:cnfStyle w:val="001000000000"/>
            <w:tcW w:w="1666" w:type="pct"/>
            <w:vMerge w:val="restart"/>
          </w:tcPr>
          <w:p w:rsidR="00973154" w:rsidRPr="00277328" w:rsidRDefault="00973154" w:rsidP="005C610F">
            <w:pPr>
              <w:rPr>
                <w:rFonts w:cstheme="minorHAnsi"/>
                <w:color w:val="auto"/>
                <w:lang w:val="en-GB"/>
              </w:rPr>
            </w:pPr>
            <w:r w:rsidRPr="00277328">
              <w:rPr>
                <w:rFonts w:cstheme="minorHAnsi"/>
                <w:color w:val="auto"/>
                <w:lang w:val="en-GB"/>
              </w:rPr>
              <w:t>Number of potential beneficiaries</w:t>
            </w:r>
          </w:p>
        </w:tc>
        <w:tc>
          <w:tcPr>
            <w:tcW w:w="1667" w:type="pct"/>
          </w:tcPr>
          <w:p w:rsidR="00973154" w:rsidRPr="00277328" w:rsidRDefault="001C44F7" w:rsidP="005C610F">
            <w:pPr>
              <w:cnfStyle w:val="000000000000"/>
              <w:rPr>
                <w:rFonts w:cstheme="minorHAnsi"/>
                <w:color w:val="auto"/>
                <w:lang w:val="en-GB"/>
              </w:rPr>
            </w:pPr>
            <w:r w:rsidRPr="00277328">
              <w:rPr>
                <w:rFonts w:cstheme="minorHAnsi"/>
                <w:color w:val="auto"/>
                <w:lang w:val="en-GB"/>
              </w:rPr>
              <w:t>Few</w:t>
            </w:r>
            <w:r w:rsidR="00973154" w:rsidRPr="00277328">
              <w:rPr>
                <w:rFonts w:cstheme="minorHAnsi"/>
                <w:color w:val="auto"/>
                <w:lang w:val="en-GB"/>
              </w:rPr>
              <w:t>*</w:t>
            </w:r>
          </w:p>
        </w:tc>
        <w:tc>
          <w:tcPr>
            <w:tcW w:w="1667" w:type="pct"/>
          </w:tcPr>
          <w:p w:rsidR="00973154" w:rsidRPr="00277328" w:rsidRDefault="00973154" w:rsidP="005C610F">
            <w:pPr>
              <w:cnfStyle w:val="000000000000"/>
              <w:rPr>
                <w:rFonts w:cstheme="minorHAnsi"/>
                <w:color w:val="auto"/>
                <w:lang w:val="en-GB"/>
              </w:rPr>
            </w:pPr>
            <w:r w:rsidRPr="00277328">
              <w:rPr>
                <w:rFonts w:cstheme="minorHAnsi"/>
                <w:color w:val="auto"/>
                <w:lang w:val="en-GB"/>
              </w:rPr>
              <w:t>Less than 100 000 (those who could potentially benefit from intervention)</w:t>
            </w:r>
          </w:p>
        </w:tc>
      </w:tr>
      <w:tr w:rsidR="00973154" w:rsidRPr="00277328" w:rsidTr="008E2EDE">
        <w:trPr>
          <w:cnfStyle w:val="000000100000"/>
          <w:trHeight w:val="292"/>
        </w:trPr>
        <w:tc>
          <w:tcPr>
            <w:cnfStyle w:val="001000000000"/>
            <w:tcW w:w="1666" w:type="pct"/>
            <w:vMerge/>
            <w:tcBorders>
              <w:left w:val="none" w:sz="0" w:space="0" w:color="auto"/>
              <w:right w:val="none" w:sz="0" w:space="0" w:color="auto"/>
            </w:tcBorders>
          </w:tcPr>
          <w:p w:rsidR="00973154" w:rsidRPr="00277328" w:rsidRDefault="00973154" w:rsidP="00A42699">
            <w:pPr>
              <w:rPr>
                <w:rFonts w:cstheme="minorHAnsi"/>
                <w:color w:val="auto"/>
                <w:lang w:val="en-GB"/>
              </w:rPr>
            </w:pPr>
          </w:p>
        </w:tc>
        <w:tc>
          <w:tcPr>
            <w:tcW w:w="1667" w:type="pct"/>
            <w:tcBorders>
              <w:left w:val="none" w:sz="0" w:space="0" w:color="auto"/>
              <w:right w:val="none" w:sz="0" w:space="0" w:color="auto"/>
            </w:tcBorders>
          </w:tcPr>
          <w:p w:rsidR="00973154" w:rsidRPr="00277328" w:rsidRDefault="001C44F7" w:rsidP="00A42699">
            <w:pPr>
              <w:cnfStyle w:val="000000100000"/>
              <w:rPr>
                <w:rFonts w:cstheme="minorHAnsi"/>
                <w:color w:val="auto"/>
                <w:lang w:val="en-GB"/>
              </w:rPr>
            </w:pPr>
            <w:r w:rsidRPr="00277328">
              <w:rPr>
                <w:rFonts w:cstheme="minorHAnsi"/>
                <w:color w:val="auto"/>
                <w:lang w:val="en-GB"/>
              </w:rPr>
              <w:t>Many</w:t>
            </w:r>
          </w:p>
        </w:tc>
        <w:tc>
          <w:tcPr>
            <w:tcW w:w="1667" w:type="pct"/>
            <w:tcBorders>
              <w:left w:val="none" w:sz="0" w:space="0" w:color="auto"/>
              <w:right w:val="none" w:sz="0" w:space="0" w:color="auto"/>
            </w:tcBorders>
          </w:tcPr>
          <w:p w:rsidR="00973154" w:rsidRPr="00277328" w:rsidRDefault="008E2EDE" w:rsidP="00A42699">
            <w:pPr>
              <w:cnfStyle w:val="000000100000"/>
              <w:rPr>
                <w:rFonts w:cstheme="minorHAnsi"/>
                <w:color w:val="auto"/>
                <w:lang w:val="en-GB"/>
              </w:rPr>
            </w:pPr>
            <w:r w:rsidRPr="00277328">
              <w:rPr>
                <w:rFonts w:cstheme="minorHAnsi"/>
                <w:color w:val="auto"/>
                <w:lang w:val="en-GB"/>
              </w:rPr>
              <w:t>More than 100 000</w:t>
            </w:r>
          </w:p>
        </w:tc>
      </w:tr>
      <w:tr w:rsidR="00DC0664" w:rsidRPr="00277328" w:rsidTr="008E2EDE">
        <w:trPr>
          <w:trHeight w:val="150"/>
        </w:trPr>
        <w:tc>
          <w:tcPr>
            <w:cnfStyle w:val="001000000000"/>
            <w:tcW w:w="1666" w:type="pct"/>
            <w:vMerge w:val="restart"/>
          </w:tcPr>
          <w:p w:rsidR="00DC0664" w:rsidRPr="00277328" w:rsidRDefault="00DC0664" w:rsidP="00A42699">
            <w:pPr>
              <w:rPr>
                <w:rFonts w:cstheme="minorHAnsi"/>
                <w:color w:val="auto"/>
                <w:lang w:val="en-GB"/>
              </w:rPr>
            </w:pPr>
            <w:r w:rsidRPr="00277328">
              <w:rPr>
                <w:rFonts w:cstheme="minorHAnsi"/>
                <w:color w:val="auto"/>
                <w:lang w:val="en-GB"/>
              </w:rPr>
              <w:t>Cost-effectiveness</w:t>
            </w:r>
          </w:p>
        </w:tc>
        <w:tc>
          <w:tcPr>
            <w:tcW w:w="1667" w:type="pct"/>
          </w:tcPr>
          <w:p w:rsidR="00DC0664" w:rsidRPr="00277328" w:rsidRDefault="001C44F7" w:rsidP="00A42699">
            <w:pPr>
              <w:cnfStyle w:val="000000000000"/>
              <w:rPr>
                <w:rFonts w:cstheme="minorHAnsi"/>
                <w:color w:val="auto"/>
                <w:lang w:val="en-GB"/>
              </w:rPr>
            </w:pPr>
            <w:r w:rsidRPr="00277328">
              <w:rPr>
                <w:rFonts w:cstheme="minorHAnsi"/>
                <w:color w:val="auto"/>
                <w:lang w:val="en-GB"/>
              </w:rPr>
              <w:t>Not cost-effective</w:t>
            </w:r>
            <w:r w:rsidR="00DC0664" w:rsidRPr="00277328">
              <w:rPr>
                <w:rFonts w:cstheme="minorHAnsi"/>
                <w:color w:val="auto"/>
                <w:lang w:val="en-GB"/>
              </w:rPr>
              <w:t>*</w:t>
            </w:r>
          </w:p>
        </w:tc>
        <w:tc>
          <w:tcPr>
            <w:tcW w:w="1667" w:type="pct"/>
          </w:tcPr>
          <w:p w:rsidR="00DC0664" w:rsidRPr="00277328" w:rsidRDefault="008E2EDE" w:rsidP="00A42699">
            <w:pPr>
              <w:cnfStyle w:val="000000000000"/>
              <w:rPr>
                <w:rFonts w:cstheme="minorHAnsi"/>
                <w:color w:val="auto"/>
                <w:lang w:val="en-GB"/>
              </w:rPr>
            </w:pPr>
            <w:r w:rsidRPr="00277328">
              <w:rPr>
                <w:rFonts w:cstheme="minorHAnsi"/>
                <w:color w:val="auto"/>
                <w:lang w:val="en-GB"/>
              </w:rPr>
              <w:t>Cost/DALY &gt; GDP/capita</w:t>
            </w:r>
          </w:p>
        </w:tc>
      </w:tr>
      <w:tr w:rsidR="00DC0664" w:rsidRPr="00277328" w:rsidTr="008E2EDE">
        <w:trPr>
          <w:cnfStyle w:val="000000100000"/>
          <w:trHeight w:val="150"/>
        </w:trPr>
        <w:tc>
          <w:tcPr>
            <w:cnfStyle w:val="001000000000"/>
            <w:tcW w:w="1666" w:type="pct"/>
            <w:vMerge/>
            <w:tcBorders>
              <w:left w:val="none" w:sz="0" w:space="0" w:color="auto"/>
              <w:right w:val="none" w:sz="0" w:space="0" w:color="auto"/>
            </w:tcBorders>
          </w:tcPr>
          <w:p w:rsidR="00DC0664" w:rsidRPr="00277328" w:rsidRDefault="00DC0664" w:rsidP="00A42699">
            <w:pPr>
              <w:rPr>
                <w:rFonts w:cstheme="minorHAnsi"/>
                <w:color w:val="auto"/>
                <w:lang w:val="en-GB"/>
              </w:rPr>
            </w:pPr>
          </w:p>
        </w:tc>
        <w:tc>
          <w:tcPr>
            <w:tcW w:w="1667" w:type="pct"/>
            <w:tcBorders>
              <w:left w:val="none" w:sz="0" w:space="0" w:color="auto"/>
              <w:right w:val="none" w:sz="0" w:space="0" w:color="auto"/>
            </w:tcBorders>
          </w:tcPr>
          <w:p w:rsidR="00DC0664" w:rsidRPr="00277328" w:rsidRDefault="001C44F7" w:rsidP="00A42699">
            <w:pPr>
              <w:cnfStyle w:val="000000100000"/>
              <w:rPr>
                <w:rFonts w:cstheme="minorHAnsi"/>
                <w:color w:val="auto"/>
                <w:lang w:val="en-GB"/>
              </w:rPr>
            </w:pPr>
            <w:r w:rsidRPr="00277328">
              <w:rPr>
                <w:rFonts w:cstheme="minorHAnsi"/>
                <w:color w:val="auto"/>
                <w:lang w:val="en-GB"/>
              </w:rPr>
              <w:t>Cost-effective</w:t>
            </w:r>
          </w:p>
        </w:tc>
        <w:tc>
          <w:tcPr>
            <w:tcW w:w="1667" w:type="pct"/>
            <w:tcBorders>
              <w:left w:val="none" w:sz="0" w:space="0" w:color="auto"/>
              <w:right w:val="none" w:sz="0" w:space="0" w:color="auto"/>
            </w:tcBorders>
          </w:tcPr>
          <w:p w:rsidR="00DC0664" w:rsidRPr="00277328" w:rsidRDefault="008E2EDE" w:rsidP="00A42699">
            <w:pPr>
              <w:cnfStyle w:val="000000100000"/>
              <w:rPr>
                <w:rFonts w:cstheme="minorHAnsi"/>
                <w:color w:val="auto"/>
                <w:lang w:val="en-GB"/>
              </w:rPr>
            </w:pPr>
            <w:r w:rsidRPr="00277328">
              <w:rPr>
                <w:rFonts w:cstheme="minorHAnsi"/>
                <w:color w:val="auto"/>
                <w:lang w:val="en-GB"/>
              </w:rPr>
              <w:t>Cost/ D</w:t>
            </w:r>
            <w:r w:rsidR="00973154" w:rsidRPr="00277328">
              <w:rPr>
                <w:rFonts w:cstheme="minorHAnsi"/>
                <w:color w:val="auto"/>
                <w:lang w:val="en-GB"/>
              </w:rPr>
              <w:t>ALY</w:t>
            </w:r>
            <w:r w:rsidRPr="00277328">
              <w:rPr>
                <w:rFonts w:cstheme="minorHAnsi"/>
                <w:color w:val="auto"/>
                <w:lang w:val="en-GB"/>
              </w:rPr>
              <w:t xml:space="preserve"> </w:t>
            </w:r>
            <w:r w:rsidR="00973154" w:rsidRPr="00277328">
              <w:rPr>
                <w:rFonts w:cstheme="minorHAnsi"/>
                <w:color w:val="auto"/>
                <w:lang w:val="en-GB"/>
              </w:rPr>
              <w:t>&lt;</w:t>
            </w:r>
            <w:r w:rsidRPr="00277328">
              <w:rPr>
                <w:rFonts w:cstheme="minorHAnsi"/>
                <w:color w:val="auto"/>
                <w:lang w:val="en-GB"/>
              </w:rPr>
              <w:t xml:space="preserve"> </w:t>
            </w:r>
            <w:r w:rsidR="00973154" w:rsidRPr="00277328">
              <w:rPr>
                <w:rFonts w:cstheme="minorHAnsi"/>
                <w:color w:val="auto"/>
                <w:lang w:val="en-GB"/>
              </w:rPr>
              <w:t>GDP/capita</w:t>
            </w:r>
          </w:p>
        </w:tc>
      </w:tr>
    </w:tbl>
    <w:p w:rsidR="00973154" w:rsidRPr="002E3450" w:rsidRDefault="00973154" w:rsidP="00A42699">
      <w:pPr>
        <w:rPr>
          <w:lang w:val="en-GB"/>
        </w:rPr>
      </w:pPr>
      <w:r w:rsidRPr="00277328">
        <w:rPr>
          <w:lang w:val="en-GB"/>
        </w:rPr>
        <w:t>*Baseline levels of variables in the regression model</w:t>
      </w:r>
    </w:p>
    <w:p w:rsidR="00973154" w:rsidRPr="00277328" w:rsidRDefault="00973154" w:rsidP="00A42699">
      <w:pPr>
        <w:rPr>
          <w:b/>
          <w:sz w:val="24"/>
          <w:szCs w:val="24"/>
          <w:lang w:val="en-GB"/>
        </w:rPr>
      </w:pPr>
    </w:p>
    <w:p w:rsidR="00A42699" w:rsidRPr="00277328" w:rsidRDefault="00A42699" w:rsidP="00A42699">
      <w:pPr>
        <w:rPr>
          <w:i/>
          <w:lang w:val="en-GB"/>
        </w:rPr>
      </w:pPr>
      <w:r w:rsidRPr="00277328">
        <w:rPr>
          <w:i/>
          <w:lang w:val="en-GB"/>
        </w:rPr>
        <w:t>Equity attributes</w:t>
      </w:r>
    </w:p>
    <w:p w:rsidR="00A42699" w:rsidRPr="00277328" w:rsidRDefault="00A42699" w:rsidP="00A42699">
      <w:pPr>
        <w:rPr>
          <w:lang w:val="en-GB"/>
        </w:rPr>
      </w:pPr>
      <w:r w:rsidRPr="00277328">
        <w:rPr>
          <w:lang w:val="en-GB"/>
        </w:rPr>
        <w:t>In this experiment, three equity criteria were used. First, the “severity of disease” attribute reflects the societal preference to the patients’ population with worse initial condition (all other things being equal) and the consequent inequalities in hea</w:t>
      </w:r>
      <w:r w:rsidR="00355231">
        <w:rPr>
          <w:lang w:val="en-GB"/>
        </w:rPr>
        <w:t>lth prospects. S</w:t>
      </w:r>
      <w:r w:rsidRPr="00277328">
        <w:rPr>
          <w:lang w:val="en-GB"/>
        </w:rPr>
        <w:t xml:space="preserve">ociety values higher the health gains of severely-ill patients, since they are considered to be in greater need for health care and show decreasing marginal utility </w:t>
      </w:r>
      <w:r w:rsidR="004B0FFF" w:rsidRPr="00277328">
        <w:rPr>
          <w:lang w:val="en-GB"/>
        </w:rPr>
        <w:t>of health</w:t>
      </w:r>
      <w:sdt>
        <w:sdtPr>
          <w:rPr>
            <w:lang w:val="en-GB"/>
          </w:rPr>
          <w:id w:val="40658319"/>
          <w:citation/>
        </w:sdtPr>
        <w:sdtContent>
          <w:r w:rsidR="00E93150" w:rsidRPr="00277328">
            <w:rPr>
              <w:lang w:val="en-GB"/>
            </w:rPr>
            <w:fldChar w:fldCharType="begin"/>
          </w:r>
          <w:r w:rsidR="00FB0F77" w:rsidRPr="00277328">
            <w:rPr>
              <w:lang w:val="en-GB"/>
            </w:rPr>
            <w:instrText xml:space="preserve"> CITATION Sto04 \l 1033 </w:instrText>
          </w:r>
          <w:r w:rsidR="00E93150" w:rsidRPr="00277328">
            <w:rPr>
              <w:lang w:val="en-GB"/>
            </w:rPr>
            <w:fldChar w:fldCharType="separate"/>
          </w:r>
          <w:r w:rsidR="008930F2" w:rsidRPr="00277328">
            <w:rPr>
              <w:lang w:val="en-GB"/>
            </w:rPr>
            <w:t xml:space="preserve"> (Stolk, et al. 2004)</w:t>
          </w:r>
          <w:r w:rsidR="00E93150" w:rsidRPr="00277328">
            <w:rPr>
              <w:lang w:val="en-GB"/>
            </w:rPr>
            <w:fldChar w:fldCharType="end"/>
          </w:r>
        </w:sdtContent>
      </w:sdt>
      <w:r w:rsidRPr="00277328">
        <w:rPr>
          <w:lang w:val="en-GB"/>
        </w:rPr>
        <w:t>. Secondly, the “age of the target group” criterion establishes the rationale for age related preferences in the assessment of health benefits. That is, societal preferences vary with age based on two key factors. One, the different social values of health at each age; and second, the differences in social welfare caused by the distribution of health in the population according t</w:t>
      </w:r>
      <w:r w:rsidR="004B0FFF" w:rsidRPr="00277328">
        <w:rPr>
          <w:lang w:val="en-GB"/>
        </w:rPr>
        <w:t xml:space="preserve">o age </w:t>
      </w:r>
      <w:sdt>
        <w:sdtPr>
          <w:rPr>
            <w:lang w:val="en-GB"/>
          </w:rPr>
          <w:id w:val="40658320"/>
          <w:citation/>
        </w:sdtPr>
        <w:sdtContent>
          <w:r w:rsidR="00E93150" w:rsidRPr="00277328">
            <w:rPr>
              <w:lang w:val="en-GB"/>
            </w:rPr>
            <w:fldChar w:fldCharType="begin"/>
          </w:r>
          <w:r w:rsidR="00FB0F77" w:rsidRPr="00277328">
            <w:rPr>
              <w:lang w:val="en-GB"/>
            </w:rPr>
            <w:instrText xml:space="preserve"> CITATION Tsu99 \l 1033 </w:instrText>
          </w:r>
          <w:r w:rsidR="00E93150" w:rsidRPr="00277328">
            <w:rPr>
              <w:lang w:val="en-GB"/>
            </w:rPr>
            <w:fldChar w:fldCharType="separate"/>
          </w:r>
          <w:r w:rsidR="008930F2" w:rsidRPr="00277328">
            <w:rPr>
              <w:lang w:val="en-GB"/>
            </w:rPr>
            <w:t>(Tsuchiya 1999)</w:t>
          </w:r>
          <w:r w:rsidR="00E93150" w:rsidRPr="00277328">
            <w:rPr>
              <w:lang w:val="en-GB"/>
            </w:rPr>
            <w:fldChar w:fldCharType="end"/>
          </w:r>
        </w:sdtContent>
      </w:sdt>
      <w:r w:rsidR="004B0FFF" w:rsidRPr="00277328">
        <w:rPr>
          <w:lang w:val="en-GB"/>
        </w:rPr>
        <w:t>.</w:t>
      </w:r>
      <w:r w:rsidRPr="00277328">
        <w:rPr>
          <w:lang w:val="en-GB"/>
        </w:rPr>
        <w:t xml:space="preserve"> </w:t>
      </w:r>
    </w:p>
    <w:p w:rsidR="00A42699" w:rsidRPr="00277328" w:rsidRDefault="00A42699" w:rsidP="00A42699">
      <w:pPr>
        <w:rPr>
          <w:lang w:val="en-GB"/>
        </w:rPr>
      </w:pPr>
      <w:r w:rsidRPr="00277328">
        <w:rPr>
          <w:lang w:val="en-GB"/>
        </w:rPr>
        <w:t>Final</w:t>
      </w:r>
      <w:r w:rsidR="00F16517">
        <w:rPr>
          <w:lang w:val="en-GB"/>
        </w:rPr>
        <w:t>ly, the “willingness to subsidis</w:t>
      </w:r>
      <w:r w:rsidRPr="00277328">
        <w:rPr>
          <w:lang w:val="en-GB"/>
        </w:rPr>
        <w:t>e others” attribute mirrors societal concerns for poverty reduction. Societies might be willing to give higher value not on</w:t>
      </w:r>
      <w:r w:rsidR="00F16517">
        <w:rPr>
          <w:lang w:val="en-GB"/>
        </w:rPr>
        <w:t>ly to interventions that maximis</w:t>
      </w:r>
      <w:r w:rsidRPr="00277328">
        <w:rPr>
          <w:lang w:val="en-GB"/>
        </w:rPr>
        <w:t>e general population health but also to interventions that give priorities to vulnerable groups due to low income. According to WHO Commission Report on Macroeconomics and Health, investing in</w:t>
      </w:r>
      <w:r w:rsidR="00355231">
        <w:rPr>
          <w:lang w:val="en-GB"/>
        </w:rPr>
        <w:t xml:space="preserve"> health improvements for the </w:t>
      </w:r>
      <w:r w:rsidRPr="00277328">
        <w:rPr>
          <w:lang w:val="en-GB"/>
        </w:rPr>
        <w:t>disadvantaged populations cou</w:t>
      </w:r>
      <w:r w:rsidR="004B0FFF" w:rsidRPr="00277328">
        <w:rPr>
          <w:lang w:val="en-GB"/>
        </w:rPr>
        <w:t>ld result in poverty reduction (WHO Commission 2001).</w:t>
      </w:r>
      <w:r w:rsidRPr="00277328">
        <w:rPr>
          <w:lang w:val="en-GB"/>
        </w:rPr>
        <w:t>That is, giving preferential treatment to the poor populations could lead to an increase of their “stock” of health and even</w:t>
      </w:r>
      <w:r w:rsidR="004B0FFF" w:rsidRPr="00277328">
        <w:rPr>
          <w:lang w:val="en-GB"/>
        </w:rPr>
        <w:t xml:space="preserve">tually to economic development </w:t>
      </w:r>
      <w:sdt>
        <w:sdtPr>
          <w:rPr>
            <w:lang w:val="en-GB"/>
          </w:rPr>
          <w:id w:val="40658322"/>
          <w:citation/>
        </w:sdtPr>
        <w:sdtContent>
          <w:r w:rsidR="00E93150" w:rsidRPr="00277328">
            <w:rPr>
              <w:lang w:val="en-GB"/>
            </w:rPr>
            <w:fldChar w:fldCharType="begin"/>
          </w:r>
          <w:r w:rsidR="00FB0F77" w:rsidRPr="00277328">
            <w:rPr>
              <w:lang w:val="en-GB"/>
            </w:rPr>
            <w:instrText xml:space="preserve"> CITATION McI00 \l 1033 </w:instrText>
          </w:r>
          <w:r w:rsidR="00E93150" w:rsidRPr="00277328">
            <w:rPr>
              <w:lang w:val="en-GB"/>
            </w:rPr>
            <w:fldChar w:fldCharType="separate"/>
          </w:r>
          <w:r w:rsidR="008930F2" w:rsidRPr="00277328">
            <w:rPr>
              <w:lang w:val="en-GB"/>
            </w:rPr>
            <w:t>(McIntyre and Gilson 2000)</w:t>
          </w:r>
          <w:r w:rsidR="00E93150" w:rsidRPr="00277328">
            <w:rPr>
              <w:lang w:val="en-GB"/>
            </w:rPr>
            <w:fldChar w:fldCharType="end"/>
          </w:r>
        </w:sdtContent>
      </w:sdt>
      <w:r w:rsidRPr="00277328">
        <w:rPr>
          <w:lang w:val="en-GB"/>
        </w:rPr>
        <w:t xml:space="preserve">. This is highly relevant in developing countries where the need for efficient and equitable resource allocation is becoming more and more apparent. </w:t>
      </w:r>
    </w:p>
    <w:p w:rsidR="006573F1" w:rsidRDefault="006573F1">
      <w:pPr>
        <w:rPr>
          <w:i/>
          <w:lang w:val="en-GB"/>
        </w:rPr>
      </w:pPr>
      <w:r>
        <w:rPr>
          <w:i/>
          <w:lang w:val="en-GB"/>
        </w:rPr>
        <w:br w:type="page"/>
      </w:r>
    </w:p>
    <w:p w:rsidR="00A42699" w:rsidRPr="00277328" w:rsidRDefault="00A42699" w:rsidP="00A42699">
      <w:pPr>
        <w:rPr>
          <w:i/>
          <w:lang w:val="en-GB"/>
        </w:rPr>
      </w:pPr>
      <w:r w:rsidRPr="00277328">
        <w:rPr>
          <w:i/>
          <w:lang w:val="en-GB"/>
        </w:rPr>
        <w:lastRenderedPageBreak/>
        <w:t>Efficiency attributes</w:t>
      </w:r>
    </w:p>
    <w:p w:rsidR="00A42699" w:rsidRPr="00277328" w:rsidRDefault="00A42699" w:rsidP="00A42699">
      <w:pPr>
        <w:rPr>
          <w:lang w:val="en-GB"/>
        </w:rPr>
      </w:pPr>
      <w:r w:rsidRPr="00277328">
        <w:rPr>
          <w:lang w:val="en-GB"/>
        </w:rPr>
        <w:t>For the purposes of this experiment, also three efficiency criteria were chosen. First, the “number of potential beneficiaries” criterion reflects that interventions which target many individuals might have a larger impact on social</w:t>
      </w:r>
      <w:r w:rsidR="007933B4" w:rsidRPr="00277328">
        <w:rPr>
          <w:lang w:val="en-GB"/>
        </w:rPr>
        <w:t xml:space="preserve"> welfare </w:t>
      </w:r>
      <w:sdt>
        <w:sdtPr>
          <w:rPr>
            <w:lang w:val="en-GB"/>
          </w:rPr>
          <w:id w:val="40658323"/>
          <w:citation/>
        </w:sdtPr>
        <w:sdtContent>
          <w:r w:rsidR="00E93150" w:rsidRPr="00277328">
            <w:rPr>
              <w:lang w:val="en-GB"/>
            </w:rPr>
            <w:fldChar w:fldCharType="begin"/>
          </w:r>
          <w:r w:rsidR="00FB0F77" w:rsidRPr="00277328">
            <w:rPr>
              <w:lang w:val="en-GB"/>
            </w:rPr>
            <w:instrText xml:space="preserve"> CITATION Bal07 \l 1033 </w:instrText>
          </w:r>
          <w:r w:rsidR="00E93150" w:rsidRPr="00277328">
            <w:rPr>
              <w:lang w:val="en-GB"/>
            </w:rPr>
            <w:fldChar w:fldCharType="separate"/>
          </w:r>
          <w:r w:rsidR="008930F2" w:rsidRPr="00277328">
            <w:rPr>
              <w:lang w:val="en-GB"/>
            </w:rPr>
            <w:t>(Baltussen, et al. 2007)</w:t>
          </w:r>
          <w:r w:rsidR="00E93150" w:rsidRPr="00277328">
            <w:rPr>
              <w:lang w:val="en-GB"/>
            </w:rPr>
            <w:fldChar w:fldCharType="end"/>
          </w:r>
        </w:sdtContent>
      </w:sdt>
      <w:r w:rsidRPr="00277328">
        <w:rPr>
          <w:lang w:val="en-GB"/>
        </w:rPr>
        <w:t xml:space="preserve">. In other words, the total number of beneficiaries indicates the total population impact of the health intervention and could therefore be used for </w:t>
      </w:r>
      <w:r w:rsidR="007933B4" w:rsidRPr="00277328">
        <w:rPr>
          <w:lang w:val="en-GB"/>
        </w:rPr>
        <w:t>efficiency measurements</w:t>
      </w:r>
      <w:r w:rsidRPr="00277328">
        <w:rPr>
          <w:lang w:val="en-GB"/>
        </w:rPr>
        <w:t xml:space="preserve">. Secondly, the “individual health benefits” attribute establishes that for an equal total effect size, interventions with a large health impact on a few individuals might be preferred over those with a small health impact on many individuals. The rationale underlying this assumption is that although the former interventions can be more costly, they might be </w:t>
      </w:r>
      <w:r w:rsidR="00F16517" w:rsidRPr="00277328">
        <w:rPr>
          <w:lang w:val="en-GB"/>
        </w:rPr>
        <w:t>favoured</w:t>
      </w:r>
      <w:r w:rsidRPr="00277328">
        <w:rPr>
          <w:lang w:val="en-GB"/>
        </w:rPr>
        <w:t xml:space="preserve"> by societies because they show greater capacity to d</w:t>
      </w:r>
      <w:r w:rsidR="007933B4" w:rsidRPr="00277328">
        <w:rPr>
          <w:lang w:val="en-GB"/>
        </w:rPr>
        <w:t xml:space="preserve">ecrease health inequalities </w:t>
      </w:r>
      <w:sdt>
        <w:sdtPr>
          <w:rPr>
            <w:lang w:val="en-GB"/>
          </w:rPr>
          <w:id w:val="40658324"/>
          <w:citation/>
        </w:sdtPr>
        <w:sdtContent>
          <w:r w:rsidR="00E93150" w:rsidRPr="00277328">
            <w:rPr>
              <w:lang w:val="en-GB"/>
            </w:rPr>
            <w:fldChar w:fldCharType="begin"/>
          </w:r>
          <w:r w:rsidR="00FB0F77" w:rsidRPr="00277328">
            <w:rPr>
              <w:lang w:val="en-GB"/>
            </w:rPr>
            <w:instrText xml:space="preserve"> CITATION Jam05 \l 1033 </w:instrText>
          </w:r>
          <w:r w:rsidR="00E93150" w:rsidRPr="00277328">
            <w:rPr>
              <w:lang w:val="en-GB"/>
            </w:rPr>
            <w:fldChar w:fldCharType="separate"/>
          </w:r>
          <w:r w:rsidR="008930F2" w:rsidRPr="00277328">
            <w:rPr>
              <w:lang w:val="en-GB"/>
            </w:rPr>
            <w:t>(James, et al. 2005)</w:t>
          </w:r>
          <w:r w:rsidR="00E93150" w:rsidRPr="00277328">
            <w:rPr>
              <w:lang w:val="en-GB"/>
            </w:rPr>
            <w:fldChar w:fldCharType="end"/>
          </w:r>
        </w:sdtContent>
      </w:sdt>
      <w:r w:rsidR="007933B4" w:rsidRPr="00277328">
        <w:rPr>
          <w:lang w:val="en-GB"/>
        </w:rPr>
        <w:t>.</w:t>
      </w:r>
    </w:p>
    <w:p w:rsidR="00A42699" w:rsidRPr="00277328" w:rsidRDefault="00A42699" w:rsidP="00A42699">
      <w:pPr>
        <w:rPr>
          <w:lang w:val="en-GB"/>
        </w:rPr>
      </w:pPr>
      <w:r w:rsidRPr="00277328">
        <w:rPr>
          <w:lang w:val="en-GB"/>
        </w:rPr>
        <w:t xml:space="preserve">Finally, the “cost-effectiveness” criterion reflects the use of the cost effectiveness </w:t>
      </w:r>
      <w:r w:rsidR="00355231">
        <w:rPr>
          <w:lang w:val="en-GB"/>
        </w:rPr>
        <w:t xml:space="preserve">analysis for </w:t>
      </w:r>
      <w:r w:rsidRPr="00277328">
        <w:rPr>
          <w:lang w:val="en-GB"/>
        </w:rPr>
        <w:t>allocation decision</w:t>
      </w:r>
      <w:r w:rsidR="00355231">
        <w:rPr>
          <w:lang w:val="en-GB"/>
        </w:rPr>
        <w:t>s</w:t>
      </w:r>
      <w:r w:rsidRPr="00277328">
        <w:rPr>
          <w:lang w:val="en-GB"/>
        </w:rPr>
        <w:t xml:space="preserve"> within the health sector. In this context, efficiency is defined as the maximization of total societal benefits, subject to budget constraints. Therefore, societies might wish to choose between health interventions on the basis of cost effectiveness criteria, since this could result in the highest health gains for the population, given</w:t>
      </w:r>
      <w:r w:rsidR="007933B4" w:rsidRPr="00277328">
        <w:rPr>
          <w:lang w:val="en-GB"/>
        </w:rPr>
        <w:t xml:space="preserve"> the available budget </w:t>
      </w:r>
      <w:sdt>
        <w:sdtPr>
          <w:rPr>
            <w:lang w:val="en-GB"/>
          </w:rPr>
          <w:id w:val="40658325"/>
          <w:citation/>
        </w:sdtPr>
        <w:sdtContent>
          <w:r w:rsidR="00E93150" w:rsidRPr="00277328">
            <w:rPr>
              <w:lang w:val="en-GB"/>
            </w:rPr>
            <w:fldChar w:fldCharType="begin"/>
          </w:r>
          <w:r w:rsidR="00FB0F77" w:rsidRPr="00277328">
            <w:rPr>
              <w:lang w:val="en-GB"/>
            </w:rPr>
            <w:instrText xml:space="preserve"> CITATION Jam05 \l 1033 </w:instrText>
          </w:r>
          <w:r w:rsidR="00E93150" w:rsidRPr="00277328">
            <w:rPr>
              <w:lang w:val="en-GB"/>
            </w:rPr>
            <w:fldChar w:fldCharType="separate"/>
          </w:r>
          <w:r w:rsidR="008930F2" w:rsidRPr="00277328">
            <w:rPr>
              <w:lang w:val="en-GB"/>
            </w:rPr>
            <w:t>(James, et al. 2005)</w:t>
          </w:r>
          <w:r w:rsidR="00E93150" w:rsidRPr="00277328">
            <w:rPr>
              <w:lang w:val="en-GB"/>
            </w:rPr>
            <w:fldChar w:fldCharType="end"/>
          </w:r>
        </w:sdtContent>
      </w:sdt>
      <w:r w:rsidRPr="00277328">
        <w:rPr>
          <w:lang w:val="en-GB"/>
        </w:rPr>
        <w:t>. However, cost effectiveness can offer only limited guidance to decision makers concerning priority setting. Equity principles should be equally considered in this process. Even more, potential trade-offs between these criteria could offer further insights to policy makers. The experimental de</w:t>
      </w:r>
      <w:r w:rsidR="006A5A0D">
        <w:rPr>
          <w:lang w:val="en-GB"/>
        </w:rPr>
        <w:t xml:space="preserve">sign of the DCE allows for trade-offs </w:t>
      </w:r>
      <w:r w:rsidR="003C0629">
        <w:rPr>
          <w:lang w:val="en-GB"/>
        </w:rPr>
        <w:t xml:space="preserve">to be calculated and </w:t>
      </w:r>
      <w:r w:rsidRPr="00277328">
        <w:rPr>
          <w:lang w:val="en-GB"/>
        </w:rPr>
        <w:t xml:space="preserve">is extensively </w:t>
      </w:r>
      <w:r w:rsidR="00F16517" w:rsidRPr="00277328">
        <w:rPr>
          <w:lang w:val="en-GB"/>
        </w:rPr>
        <w:t>analysed</w:t>
      </w:r>
      <w:r w:rsidRPr="00277328">
        <w:rPr>
          <w:lang w:val="en-GB"/>
        </w:rPr>
        <w:t xml:space="preserve"> in the next section.  </w:t>
      </w:r>
    </w:p>
    <w:p w:rsidR="00A42699" w:rsidRPr="00277328" w:rsidRDefault="00A42699" w:rsidP="00A42699">
      <w:pPr>
        <w:rPr>
          <w:sz w:val="24"/>
          <w:szCs w:val="24"/>
          <w:lang w:val="en-GB"/>
        </w:rPr>
      </w:pPr>
    </w:p>
    <w:p w:rsidR="00A42699" w:rsidRPr="00277328" w:rsidRDefault="00A42699" w:rsidP="003414E6">
      <w:pPr>
        <w:pStyle w:val="Heading2"/>
        <w:rPr>
          <w:lang w:val="en-GB"/>
        </w:rPr>
      </w:pPr>
      <w:r w:rsidRPr="00277328">
        <w:rPr>
          <w:lang w:val="en-GB"/>
        </w:rPr>
        <w:t xml:space="preserve"> </w:t>
      </w:r>
      <w:bookmarkStart w:id="20" w:name="_Toc367791012"/>
      <w:r w:rsidRPr="00277328">
        <w:rPr>
          <w:lang w:val="en-GB"/>
        </w:rPr>
        <w:t>Experimental design</w:t>
      </w:r>
      <w:bookmarkEnd w:id="20"/>
      <w:r w:rsidRPr="00277328">
        <w:rPr>
          <w:lang w:val="en-GB"/>
        </w:rPr>
        <w:t xml:space="preserve"> </w:t>
      </w:r>
    </w:p>
    <w:p w:rsidR="00A42699" w:rsidRPr="00277328" w:rsidRDefault="00A42699" w:rsidP="00A42699">
      <w:pPr>
        <w:rPr>
          <w:lang w:val="en-GB"/>
        </w:rPr>
      </w:pPr>
      <w:r w:rsidRPr="00277328">
        <w:rPr>
          <w:lang w:val="en-GB"/>
        </w:rPr>
        <w:t>Conducting a DCE involves several key stages. The first two steps are concerned with the definition of the policy question and the identification of the relevant attributes that are policy relevant. Once the criteria and their corresponding values are defined, the attributes levels have to be combined into alternatives. Then, the scenarios are presented to the respondents within different binary or multinomial choice set</w:t>
      </w:r>
      <w:r w:rsidR="003C0629">
        <w:rPr>
          <w:lang w:val="en-GB"/>
        </w:rPr>
        <w:t>s</w:t>
      </w:r>
      <w:r w:rsidRPr="00277328">
        <w:rPr>
          <w:lang w:val="en-GB"/>
        </w:rPr>
        <w:t>. The construction of these choice sets and the selection of the experimental design are crucial for many reasons. As Louviere and his collea</w:t>
      </w:r>
      <w:r w:rsidR="007933B4" w:rsidRPr="00277328">
        <w:rPr>
          <w:lang w:val="en-GB"/>
        </w:rPr>
        <w:t>gues note</w:t>
      </w:r>
      <w:sdt>
        <w:sdtPr>
          <w:rPr>
            <w:lang w:val="en-GB"/>
          </w:rPr>
          <w:id w:val="40658326"/>
          <w:citation/>
        </w:sdtPr>
        <w:sdtContent>
          <w:r w:rsidR="00E93150" w:rsidRPr="00277328">
            <w:rPr>
              <w:lang w:val="en-GB"/>
            </w:rPr>
            <w:fldChar w:fldCharType="begin"/>
          </w:r>
          <w:r w:rsidR="00FB0F77" w:rsidRPr="00277328">
            <w:rPr>
              <w:lang w:val="en-GB"/>
            </w:rPr>
            <w:instrText xml:space="preserve"> CITATION Lou00 \l 1033 </w:instrText>
          </w:r>
          <w:r w:rsidR="00E93150" w:rsidRPr="00277328">
            <w:rPr>
              <w:lang w:val="en-GB"/>
            </w:rPr>
            <w:fldChar w:fldCharType="separate"/>
          </w:r>
          <w:r w:rsidR="008930F2" w:rsidRPr="00277328">
            <w:rPr>
              <w:lang w:val="en-GB"/>
            </w:rPr>
            <w:t xml:space="preserve"> (Louviere, Hensher and Swait, Stated choice methods: analysis and applications. 2000)</w:t>
          </w:r>
          <w:r w:rsidR="00E93150" w:rsidRPr="00277328">
            <w:rPr>
              <w:lang w:val="en-GB"/>
            </w:rPr>
            <w:fldChar w:fldCharType="end"/>
          </w:r>
        </w:sdtContent>
      </w:sdt>
      <w:r w:rsidRPr="00277328">
        <w:rPr>
          <w:lang w:val="en-GB"/>
        </w:rPr>
        <w:t>, there are four design principles for DCEs: (a)</w:t>
      </w:r>
      <w:r w:rsidRPr="00277328">
        <w:rPr>
          <w:i/>
          <w:lang w:val="en-GB"/>
        </w:rPr>
        <w:t xml:space="preserve"> identification, </w:t>
      </w:r>
      <w:r w:rsidRPr="00277328">
        <w:rPr>
          <w:lang w:val="en-GB"/>
        </w:rPr>
        <w:t xml:space="preserve">which assures that the desired form of the utility function used in the experiment can be estimated; (b) </w:t>
      </w:r>
      <w:r w:rsidRPr="00277328">
        <w:rPr>
          <w:i/>
          <w:lang w:val="en-GB"/>
        </w:rPr>
        <w:t xml:space="preserve">precision, </w:t>
      </w:r>
      <w:r w:rsidRPr="00277328">
        <w:rPr>
          <w:lang w:val="en-GB"/>
        </w:rPr>
        <w:t xml:space="preserve">ensuring that the design of the experiment allows for efficient parameter estimates; (c) </w:t>
      </w:r>
      <w:r w:rsidRPr="00277328">
        <w:rPr>
          <w:i/>
          <w:lang w:val="en-GB"/>
        </w:rPr>
        <w:t xml:space="preserve">cognitive complexity, </w:t>
      </w:r>
      <w:r w:rsidRPr="00277328">
        <w:rPr>
          <w:lang w:val="en-GB"/>
        </w:rPr>
        <w:t xml:space="preserve">which protects the respondents from an excessive cognitive burden and (d) </w:t>
      </w:r>
      <w:r w:rsidRPr="00277328">
        <w:rPr>
          <w:i/>
          <w:lang w:val="en-GB"/>
        </w:rPr>
        <w:t xml:space="preserve">market realism, </w:t>
      </w:r>
      <w:r w:rsidRPr="00277328">
        <w:rPr>
          <w:lang w:val="en-GB"/>
        </w:rPr>
        <w:t>which ensures that the choice process as presented</w:t>
      </w:r>
      <w:r w:rsidR="007933B4" w:rsidRPr="00277328">
        <w:rPr>
          <w:lang w:val="en-GB"/>
        </w:rPr>
        <w:t xml:space="preserve"> in the experiment is realistic.</w:t>
      </w:r>
    </w:p>
    <w:p w:rsidR="00A42699" w:rsidRPr="00277328" w:rsidRDefault="00A42699" w:rsidP="00A42699">
      <w:pPr>
        <w:rPr>
          <w:lang w:val="en-GB"/>
        </w:rPr>
      </w:pPr>
      <w:r w:rsidRPr="00277328">
        <w:rPr>
          <w:lang w:val="en-GB"/>
        </w:rPr>
        <w:t xml:space="preserve">For the construction of the choice sets, most studies start with a full factorial design (FFD) which includes all the possible combinations of the attribute levels. This construction is, by definition, a statistically efficient design. For this experiment, five attributes with two levels and one attribute with three levels were used. Therefore, the total number of unique </w:t>
      </w:r>
      <w:r w:rsidRPr="00277328">
        <w:rPr>
          <w:lang w:val="en-GB"/>
        </w:rPr>
        <w:lastRenderedPageBreak/>
        <w:t>combinations was 96, based on the product of the number of levels for each criterion (i.e. 2</w:t>
      </w:r>
      <w:r w:rsidRPr="00277328">
        <w:rPr>
          <w:vertAlign w:val="superscript"/>
          <w:lang w:val="en-GB"/>
        </w:rPr>
        <w:t xml:space="preserve">5 </w:t>
      </w:r>
      <w:r w:rsidRPr="00277328">
        <w:rPr>
          <w:lang w:val="en-GB"/>
        </w:rPr>
        <w:t>* 3</w:t>
      </w:r>
      <w:r w:rsidRPr="00277328">
        <w:rPr>
          <w:vertAlign w:val="superscript"/>
          <w:lang w:val="en-GB"/>
        </w:rPr>
        <w:t>1</w:t>
      </w:r>
      <w:r w:rsidRPr="00277328">
        <w:rPr>
          <w:lang w:val="en-GB"/>
        </w:rPr>
        <w:t>=96). The main advantage of FFDs is that it allows for the examination of all effects of a</w:t>
      </w:r>
      <w:r w:rsidR="003C0629">
        <w:rPr>
          <w:lang w:val="en-GB"/>
        </w:rPr>
        <w:t>ttributes on choices. P</w:t>
      </w:r>
      <w:r w:rsidRPr="00277328">
        <w:rPr>
          <w:lang w:val="en-GB"/>
        </w:rPr>
        <w:t xml:space="preserve">arameter estimates are obtained for both main effects of each attribute on utility and for all the possible interactions of them. This is consistent with the principle that also non-linearities in the utility function should be taken into account. However, using the full set of combinations in the experiment can be restrictively </w:t>
      </w:r>
      <w:r w:rsidR="003C0629">
        <w:rPr>
          <w:lang w:val="en-GB"/>
        </w:rPr>
        <w:t xml:space="preserve">costly. Even more, it could produce a greater </w:t>
      </w:r>
      <w:r w:rsidRPr="00277328">
        <w:rPr>
          <w:lang w:val="en-GB"/>
        </w:rPr>
        <w:t>cognitive burde</w:t>
      </w:r>
      <w:r w:rsidR="003C0629">
        <w:rPr>
          <w:lang w:val="en-GB"/>
        </w:rPr>
        <w:t>n of the respondents</w:t>
      </w:r>
      <w:r w:rsidRPr="00277328">
        <w:rPr>
          <w:lang w:val="en-GB"/>
        </w:rPr>
        <w:t>. For these reasons, many studies proposed the use of a subset of all combinations, also named fractional factor</w:t>
      </w:r>
      <w:r w:rsidR="007933B4" w:rsidRPr="00277328">
        <w:rPr>
          <w:lang w:val="en-GB"/>
        </w:rPr>
        <w:t>ial designs (Ryan, Gerard and Amaya-Amaya 2008)</w:t>
      </w:r>
      <w:r w:rsidRPr="00277328">
        <w:rPr>
          <w:lang w:val="en-GB"/>
        </w:rPr>
        <w:t>.</w:t>
      </w:r>
    </w:p>
    <w:p w:rsidR="00A42699" w:rsidRPr="00277328" w:rsidRDefault="00A42699" w:rsidP="00A42699">
      <w:pPr>
        <w:rPr>
          <w:lang w:val="en-GB"/>
        </w:rPr>
      </w:pPr>
      <w:r w:rsidRPr="00277328">
        <w:rPr>
          <w:lang w:val="en-GB"/>
        </w:rPr>
        <w:t>In fractional factorial designs, the subset of combinations should be at least equal or greater than the number of the parameters that the researcher wishes to estimates. In statistical terms, it should be equal or greater than the degrees of freedom of the model used. Most studies use main effects fractional factorial designs, which assume that only the main effects of the attributes are significant. This can be a potential drawback of using fewer combinations, since the possible correlation between the levels of the attributes is not taken into account. In other words, these designs consider all interaction effects insignificant. Thus, they do not account for the probability that respondents’ preferences for one attribute will depend on the level of one or more oth</w:t>
      </w:r>
      <w:r w:rsidR="007933B4" w:rsidRPr="00277328">
        <w:rPr>
          <w:lang w:val="en-GB"/>
        </w:rPr>
        <w:t xml:space="preserve">er attributes </w:t>
      </w:r>
      <w:sdt>
        <w:sdtPr>
          <w:rPr>
            <w:lang w:val="en-GB"/>
          </w:rPr>
          <w:id w:val="40658328"/>
          <w:citation/>
        </w:sdtPr>
        <w:sdtContent>
          <w:r w:rsidR="00E93150" w:rsidRPr="00277328">
            <w:rPr>
              <w:lang w:val="en-GB"/>
            </w:rPr>
            <w:fldChar w:fldCharType="begin"/>
          </w:r>
          <w:r w:rsidR="00FB0F77" w:rsidRPr="00277328">
            <w:rPr>
              <w:lang w:val="en-GB"/>
            </w:rPr>
            <w:instrText xml:space="preserve"> CITATION Kja05 \l 1033 </w:instrText>
          </w:r>
          <w:r w:rsidR="00E93150" w:rsidRPr="00277328">
            <w:rPr>
              <w:lang w:val="en-GB"/>
            </w:rPr>
            <w:fldChar w:fldCharType="separate"/>
          </w:r>
          <w:r w:rsidR="008930F2" w:rsidRPr="00277328">
            <w:rPr>
              <w:lang w:val="en-GB"/>
            </w:rPr>
            <w:t>(Kjaer 2005)</w:t>
          </w:r>
          <w:r w:rsidR="00E93150" w:rsidRPr="00277328">
            <w:rPr>
              <w:lang w:val="en-GB"/>
            </w:rPr>
            <w:fldChar w:fldCharType="end"/>
          </w:r>
        </w:sdtContent>
      </w:sdt>
      <w:r w:rsidRPr="00277328">
        <w:rPr>
          <w:lang w:val="en-GB"/>
        </w:rPr>
        <w:t xml:space="preserve">. The resolution of the design could help to identify whether also interaction effects can be estimated. However, this approach has its own limitations and as Louviere et.al note (2000), omitting interaction effects does not necessarily lead to biased results. </w:t>
      </w:r>
    </w:p>
    <w:p w:rsidR="00A42699" w:rsidRPr="00277328" w:rsidRDefault="00A42699" w:rsidP="00A42699">
      <w:pPr>
        <w:rPr>
          <w:lang w:val="en-GB"/>
        </w:rPr>
      </w:pPr>
      <w:r w:rsidRPr="00277328">
        <w:rPr>
          <w:lang w:val="en-GB"/>
        </w:rPr>
        <w:t>One way to deal with these limitations is to draw upon the properties of optimal experimental designs, as prop</w:t>
      </w:r>
      <w:r w:rsidR="00942E39" w:rsidRPr="00277328">
        <w:rPr>
          <w:lang w:val="en-GB"/>
        </w:rPr>
        <w:t xml:space="preserve">osed by Huber and Zwerina </w:t>
      </w:r>
      <w:sdt>
        <w:sdtPr>
          <w:rPr>
            <w:lang w:val="en-GB"/>
          </w:rPr>
          <w:id w:val="40658329"/>
          <w:citation/>
        </w:sdtPr>
        <w:sdtContent>
          <w:r w:rsidR="00E93150" w:rsidRPr="00277328">
            <w:rPr>
              <w:lang w:val="en-GB"/>
            </w:rPr>
            <w:fldChar w:fldCharType="begin"/>
          </w:r>
          <w:r w:rsidR="00FB0F77" w:rsidRPr="00277328">
            <w:rPr>
              <w:lang w:val="en-GB"/>
            </w:rPr>
            <w:instrText xml:space="preserve"> CITATION Hub96 \l 1033 </w:instrText>
          </w:r>
          <w:r w:rsidR="00E93150" w:rsidRPr="00277328">
            <w:rPr>
              <w:lang w:val="en-GB"/>
            </w:rPr>
            <w:fldChar w:fldCharType="separate"/>
          </w:r>
          <w:r w:rsidR="008930F2" w:rsidRPr="00277328">
            <w:rPr>
              <w:lang w:val="en-GB"/>
            </w:rPr>
            <w:t>(Huber and Zwerina 1996)</w:t>
          </w:r>
          <w:r w:rsidR="00E93150" w:rsidRPr="00277328">
            <w:rPr>
              <w:lang w:val="en-GB"/>
            </w:rPr>
            <w:fldChar w:fldCharType="end"/>
          </w:r>
        </w:sdtContent>
      </w:sdt>
      <w:r w:rsidRPr="00277328">
        <w:rPr>
          <w:lang w:val="en-GB"/>
        </w:rPr>
        <w:t xml:space="preserve">. According to the authors, the characteristics that describe an efficient choice design are: (a) </w:t>
      </w:r>
      <w:r w:rsidRPr="00277328">
        <w:rPr>
          <w:i/>
          <w:lang w:val="en-GB"/>
        </w:rPr>
        <w:t>Level balance</w:t>
      </w:r>
      <w:r w:rsidRPr="00277328">
        <w:rPr>
          <w:lang w:val="en-GB"/>
        </w:rPr>
        <w:t xml:space="preserve">, indicating that all the levels of an attribute are presented with equal frequency; (b) </w:t>
      </w:r>
      <w:r w:rsidRPr="00277328">
        <w:rPr>
          <w:i/>
          <w:lang w:val="en-GB"/>
        </w:rPr>
        <w:t>Orthogonality</w:t>
      </w:r>
      <w:r w:rsidRPr="00277328">
        <w:rPr>
          <w:lang w:val="en-GB"/>
        </w:rPr>
        <w:t xml:space="preserve">, which ensures that the levels of each attribute vary independently of each other; that is, all combinations of pairs of levels occur with proportional frequencies; (c) </w:t>
      </w:r>
      <w:r w:rsidRPr="00277328">
        <w:rPr>
          <w:i/>
          <w:lang w:val="en-GB"/>
        </w:rPr>
        <w:t>Minimal overlap</w:t>
      </w:r>
      <w:r w:rsidRPr="00277328">
        <w:rPr>
          <w:lang w:val="en-GB"/>
        </w:rPr>
        <w:t xml:space="preserve">, which assures that the probability that any attribute level appears within each choice set is as small as possible; and (d) </w:t>
      </w:r>
      <w:r w:rsidRPr="00277328">
        <w:rPr>
          <w:i/>
          <w:lang w:val="en-GB"/>
        </w:rPr>
        <w:t>Utility balance</w:t>
      </w:r>
      <w:r w:rsidRPr="00277328">
        <w:rPr>
          <w:lang w:val="en-GB"/>
        </w:rPr>
        <w:t>, ensuring that every alternative within a choice set is equally</w:t>
      </w:r>
      <w:r w:rsidR="00942E39" w:rsidRPr="00277328">
        <w:rPr>
          <w:lang w:val="en-GB"/>
        </w:rPr>
        <w:t xml:space="preserve"> attractive to the participants</w:t>
      </w:r>
      <w:r w:rsidRPr="00277328">
        <w:rPr>
          <w:lang w:val="en-GB"/>
        </w:rPr>
        <w:t xml:space="preserve">. Orthogonal designs can be equivalent to main effects fractional factorial designs in the sense that the uncorrelated main effects estimated are considered to be orthogonal. </w:t>
      </w:r>
    </w:p>
    <w:p w:rsidR="00A42699" w:rsidRPr="00277328" w:rsidRDefault="00A42699" w:rsidP="00A42699">
      <w:pPr>
        <w:rPr>
          <w:lang w:val="en-GB"/>
        </w:rPr>
      </w:pPr>
      <w:r w:rsidRPr="00277328">
        <w:rPr>
          <w:lang w:val="en-GB"/>
        </w:rPr>
        <w:t xml:space="preserve"> In this context, an orthogonal design for linear models has been used in this experiment. Subsequently, it has been converted into a choice design. In particular, Sawtooth Software was used to select 32 unique alternatives for the fractional factorial design. These alternatives were then randomly assigned into 16 pair comparisons, in order to represent an orthogonal array. This design ensured that the effects of individual criteria will not be confounded, meaning that the variations of the attributes are uncorrelated in all choice sets. Even more, it was consistent with the properties of optimal designs and allowed for the estimation of all main effects w</w:t>
      </w:r>
      <w:r w:rsidR="00942E39" w:rsidRPr="00277328">
        <w:rPr>
          <w:lang w:val="en-GB"/>
        </w:rPr>
        <w:t>ithin the DCE</w:t>
      </w:r>
      <w:r w:rsidRPr="00277328">
        <w:rPr>
          <w:lang w:val="en-GB"/>
        </w:rPr>
        <w:t xml:space="preserve">. Once the questionnaires were formulated, they were delivered for the purposes of data collection. The procedure is further </w:t>
      </w:r>
      <w:r w:rsidR="00F16517" w:rsidRPr="00277328">
        <w:rPr>
          <w:lang w:val="en-GB"/>
        </w:rPr>
        <w:t>analysed</w:t>
      </w:r>
      <w:r w:rsidRPr="00277328">
        <w:rPr>
          <w:lang w:val="en-GB"/>
        </w:rPr>
        <w:t xml:space="preserve"> in the next section. Appendix A provides an example of a questionnaire that respondents were presented with.</w:t>
      </w:r>
    </w:p>
    <w:p w:rsidR="00A42699" w:rsidRPr="00277328" w:rsidRDefault="00A42699" w:rsidP="003414E6">
      <w:pPr>
        <w:pStyle w:val="Heading2"/>
        <w:rPr>
          <w:lang w:val="en-GB"/>
        </w:rPr>
      </w:pPr>
      <w:r w:rsidRPr="00277328">
        <w:rPr>
          <w:sz w:val="28"/>
          <w:szCs w:val="28"/>
          <w:lang w:val="en-GB"/>
        </w:rPr>
        <w:lastRenderedPageBreak/>
        <w:t xml:space="preserve"> </w:t>
      </w:r>
      <w:bookmarkStart w:id="21" w:name="_Toc367791013"/>
      <w:r w:rsidRPr="00277328">
        <w:rPr>
          <w:lang w:val="en-GB"/>
        </w:rPr>
        <w:t>Data collection</w:t>
      </w:r>
      <w:bookmarkEnd w:id="21"/>
    </w:p>
    <w:p w:rsidR="00A42699" w:rsidRPr="00277328" w:rsidRDefault="00A42699" w:rsidP="00A42699">
      <w:pPr>
        <w:rPr>
          <w:lang w:val="en-GB"/>
        </w:rPr>
      </w:pPr>
      <w:r w:rsidRPr="00277328">
        <w:rPr>
          <w:lang w:val="en-GB"/>
        </w:rPr>
        <w:t xml:space="preserve">The focus of this thesis is on identifying whether the preferences of specialists in different aspects of the Spanish health care sector are in line with actual policy implementations. Therefore, the formulated questionnaire was presented at two health economics events in Spain: the Spanish Health Economics Association Meeting in May 2011; and the Encounter of the Drug Industry in September 2011. The attendees of these events were mostly policy makers, public health managers and representatives of the pharmaceutical industry. In total, about 150 copies of the questionnaire were delivered in these events, while around 100 more copies were sent to </w:t>
      </w:r>
      <w:r w:rsidR="00B571F4">
        <w:rPr>
          <w:lang w:val="en-GB"/>
        </w:rPr>
        <w:t xml:space="preserve">Spanish </w:t>
      </w:r>
      <w:r w:rsidRPr="00277328">
        <w:rPr>
          <w:lang w:val="en-GB"/>
        </w:rPr>
        <w:t>health economists at various Regional Health Services. These regions included Valencia, Madrid, the Basque country and Catalonia. During the following months, a monitoring of those regional services took place.</w:t>
      </w:r>
    </w:p>
    <w:p w:rsidR="00A42699" w:rsidRPr="00277328" w:rsidRDefault="00A42699" w:rsidP="00A42699">
      <w:pPr>
        <w:rPr>
          <w:lang w:val="en-GB"/>
        </w:rPr>
      </w:pPr>
      <w:r w:rsidRPr="00277328">
        <w:rPr>
          <w:lang w:val="en-GB"/>
        </w:rPr>
        <w:t>As mentioned before, in order to assess the total efficiency of a choice experiment, it is important to evaluate the cognitive complexity of the experiment, also named “respondent efficiency</w:t>
      </w:r>
      <w:r w:rsidR="00485517" w:rsidRPr="00277328">
        <w:rPr>
          <w:lang w:val="en-GB"/>
        </w:rPr>
        <w:t xml:space="preserve">” </w:t>
      </w:r>
      <w:r w:rsidR="00392921">
        <w:rPr>
          <w:lang w:val="en-GB"/>
        </w:rPr>
        <w:t>(Louviere 2001). R</w:t>
      </w:r>
      <w:r w:rsidRPr="00277328">
        <w:rPr>
          <w:lang w:val="en-GB"/>
        </w:rPr>
        <w:t>espondents’ choices can be affected by several determinants. That is, their familiarity with the commodity being assessed; the accuracy and simplicity of the questionnaire; and the size of the design. Many approaches have been proposed in the literature to diminish the cognitive burden for the respondents in DCEs. In this case, a detailed p</w:t>
      </w:r>
      <w:r w:rsidR="00392921">
        <w:rPr>
          <w:lang w:val="en-GB"/>
        </w:rPr>
        <w:t xml:space="preserve">resentation of the </w:t>
      </w:r>
      <w:r w:rsidRPr="00277328">
        <w:rPr>
          <w:lang w:val="en-GB"/>
        </w:rPr>
        <w:t xml:space="preserve">study </w:t>
      </w:r>
      <w:r w:rsidR="00392921">
        <w:rPr>
          <w:lang w:val="en-GB"/>
        </w:rPr>
        <w:t xml:space="preserve">goal </w:t>
      </w:r>
      <w:r w:rsidRPr="00277328">
        <w:rPr>
          <w:lang w:val="en-GB"/>
        </w:rPr>
        <w:t xml:space="preserve">preceded the experiment. At the same time, guidance in understanding and dealing with the questionnaire was provided, in both the events and the sent copies. </w:t>
      </w:r>
    </w:p>
    <w:p w:rsidR="00A42699" w:rsidRPr="00277328" w:rsidRDefault="00A42699" w:rsidP="00A42699">
      <w:pPr>
        <w:rPr>
          <w:lang w:val="en-GB"/>
        </w:rPr>
      </w:pPr>
      <w:r w:rsidRPr="00277328">
        <w:rPr>
          <w:lang w:val="en-GB"/>
        </w:rPr>
        <w:t>Some socio-demographic questions followed, concerning the respondents’ age, gender, profession, workplace and experience in the health sector. These data were especially relevant for the assessment of preference heterogeneity caused by the differences in socio-economic factors. Once the completed questionnaires wer</w:t>
      </w:r>
      <w:r w:rsidR="00B571F4">
        <w:rPr>
          <w:lang w:val="en-GB"/>
        </w:rPr>
        <w:t xml:space="preserve">e received, several </w:t>
      </w:r>
      <w:r w:rsidRPr="00277328">
        <w:rPr>
          <w:lang w:val="en-GB"/>
        </w:rPr>
        <w:t>had to be dropped from the a</w:t>
      </w:r>
      <w:r w:rsidR="00B571F4">
        <w:rPr>
          <w:lang w:val="en-GB"/>
        </w:rPr>
        <w:t>nalysis due to invalid answers</w:t>
      </w:r>
      <w:r w:rsidRPr="00277328">
        <w:rPr>
          <w:lang w:val="en-GB"/>
        </w:rPr>
        <w:t>. Even more, two questionnaires were excluded for being incomplete. Finally, 69 valid and fully answered questionnaires were collected, giving a response rate of about 27%. A detailed description of the respondents’ characteristic</w:t>
      </w:r>
      <w:r w:rsidR="00B571F4">
        <w:rPr>
          <w:lang w:val="en-GB"/>
        </w:rPr>
        <w:t>s is given in Table 5. I</w:t>
      </w:r>
      <w:r w:rsidRPr="00277328">
        <w:rPr>
          <w:lang w:val="en-GB"/>
        </w:rPr>
        <w:t>t is worth mentioning that most valid questionnaires stemme</w:t>
      </w:r>
      <w:r w:rsidR="00B571F4">
        <w:rPr>
          <w:lang w:val="en-GB"/>
        </w:rPr>
        <w:t>d from health sector technocrats</w:t>
      </w:r>
      <w:r w:rsidRPr="00277328">
        <w:rPr>
          <w:lang w:val="en-GB"/>
        </w:rPr>
        <w:t xml:space="preserve"> working in different regions. </w:t>
      </w:r>
    </w:p>
    <w:p w:rsidR="00A42699" w:rsidRPr="00277328" w:rsidRDefault="00A42699" w:rsidP="00A42699">
      <w:pPr>
        <w:rPr>
          <w:lang w:val="en-GB"/>
        </w:rPr>
      </w:pPr>
      <w:r w:rsidRPr="00277328">
        <w:rPr>
          <w:lang w:val="en-GB"/>
        </w:rPr>
        <w:t>For instance, 24 respondents were from Madrid, 20 from Valencia and 15 from the Basque Country, making these regions the three most represented ACs. Five more questionnaires were obtained from Catalonia (3) and Cantabria (2), completed by</w:t>
      </w:r>
      <w:r w:rsidR="00B571F4">
        <w:rPr>
          <w:lang w:val="en-GB"/>
        </w:rPr>
        <w:t xml:space="preserve"> regional health care technocrats</w:t>
      </w:r>
      <w:r w:rsidRPr="00277328">
        <w:rPr>
          <w:lang w:val="en-GB"/>
        </w:rPr>
        <w:t xml:space="preserve">. Finally, five valid questionnaires were collected in Madrid, but this time from health care workers at the national level. The average respondent age was 45.4 years and the average years of work experience was of 14.2 years. However, differences are being observed between the regions, with the respondents from the Basque Country being slightly older than the rest. Even more, the average experience is notably higher for those technicians that work at the national level, as compared to those working at the regional level. </w:t>
      </w:r>
    </w:p>
    <w:p w:rsidR="00A42699" w:rsidRPr="00277328" w:rsidRDefault="00A42699" w:rsidP="00A42699">
      <w:pPr>
        <w:rPr>
          <w:lang w:val="en-GB"/>
        </w:rPr>
      </w:pPr>
      <w:r w:rsidRPr="00277328">
        <w:rPr>
          <w:lang w:val="en-GB"/>
        </w:rPr>
        <w:t xml:space="preserve">With respect to the job type, the questionnaire was delivered to individuals representing several aspects of the Spanish health system. That is, senior members of decision making groups at various political and legislative levels responsible for strategy, implementation, </w:t>
      </w:r>
      <w:r w:rsidRPr="00277328">
        <w:rPr>
          <w:lang w:val="en-GB"/>
        </w:rPr>
        <w:lastRenderedPageBreak/>
        <w:t>supervision and funding of health polices; individual managers and directors in the pharmaceutical industry; national research associates and executives of health care institutions; and health care academics. The selection was based on the general principle that rational priority setting needs the participation of different groups, inside and outside the political area. Their choices were according their responsibilities and role in the health care system.</w:t>
      </w:r>
    </w:p>
    <w:p w:rsidR="00A42699" w:rsidRPr="00277328" w:rsidRDefault="00A42699" w:rsidP="00A42699">
      <w:pPr>
        <w:rPr>
          <w:lang w:val="en-GB"/>
        </w:rPr>
      </w:pPr>
      <w:r w:rsidRPr="00277328">
        <w:rPr>
          <w:lang w:val="en-GB"/>
        </w:rPr>
        <w:t>As shown in Table 5, most respondents were public health managers at the national or regional level (37). Questionnaires have been collected also from policy makers responsible for health care at the regional level (14); researchers (7); health technology assessment (HTA) executives (4); and directors and managers representing the pharmaceutical industry (3). Lastly, four valid questionnaires have been received from two health economics consultants, a health journalist and a physician who had worked in health management positions.</w:t>
      </w:r>
      <w:r w:rsidR="00F16517">
        <w:rPr>
          <w:lang w:val="en-GB"/>
        </w:rPr>
        <w:t xml:space="preserve"> Those individuals are categoris</w:t>
      </w:r>
      <w:r w:rsidRPr="00277328">
        <w:rPr>
          <w:lang w:val="en-GB"/>
        </w:rPr>
        <w:t xml:space="preserve">ed as others in Table 5. A more detailed presentation of descriptive statistics is given in Chapter 5. </w:t>
      </w:r>
    </w:p>
    <w:p w:rsidR="00A42699" w:rsidRPr="00277328" w:rsidRDefault="00A42699" w:rsidP="00A42699">
      <w:pPr>
        <w:rPr>
          <w:sz w:val="24"/>
          <w:szCs w:val="24"/>
          <w:lang w:val="en-GB"/>
        </w:rPr>
      </w:pPr>
    </w:p>
    <w:p w:rsidR="00D40221" w:rsidRPr="00277328" w:rsidRDefault="00973154" w:rsidP="00A42699">
      <w:pPr>
        <w:rPr>
          <w:b/>
          <w:u w:val="single"/>
          <w:lang w:val="en-GB"/>
        </w:rPr>
      </w:pPr>
      <w:r w:rsidRPr="00277328">
        <w:rPr>
          <w:b/>
          <w:u w:val="single"/>
          <w:lang w:val="en-GB"/>
        </w:rPr>
        <w:t>Table 5: Characteristics of DCE respondents</w:t>
      </w:r>
    </w:p>
    <w:tbl>
      <w:tblPr>
        <w:tblStyle w:val="LightShading-Accent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567"/>
        <w:gridCol w:w="850"/>
        <w:gridCol w:w="1185"/>
        <w:gridCol w:w="658"/>
        <w:gridCol w:w="580"/>
        <w:gridCol w:w="887"/>
        <w:gridCol w:w="887"/>
        <w:gridCol w:w="761"/>
        <w:gridCol w:w="760"/>
        <w:gridCol w:w="634"/>
        <w:gridCol w:w="507"/>
        <w:gridCol w:w="512"/>
      </w:tblGrid>
      <w:tr w:rsidR="00126F02" w:rsidRPr="00277328" w:rsidTr="006A5A0D">
        <w:trPr>
          <w:cnfStyle w:val="000000100000"/>
          <w:trHeight w:val="690"/>
        </w:trPr>
        <w:tc>
          <w:tcPr>
            <w:cnfStyle w:val="000010000000"/>
            <w:tcW w:w="1101" w:type="dxa"/>
          </w:tcPr>
          <w:p w:rsidR="00A42699" w:rsidRPr="00277328" w:rsidRDefault="00A42699" w:rsidP="005D2DEE">
            <w:pPr>
              <w:rPr>
                <w:rFonts w:cstheme="minorHAnsi"/>
                <w:b/>
                <w:color w:val="auto"/>
                <w:sz w:val="20"/>
                <w:szCs w:val="20"/>
                <w:lang w:val="en-GB" w:eastAsia="es-ES_tradnl"/>
              </w:rPr>
            </w:pPr>
            <w:r w:rsidRPr="00277328">
              <w:rPr>
                <w:rFonts w:cstheme="minorHAnsi"/>
                <w:b/>
                <w:color w:val="auto"/>
                <w:sz w:val="20"/>
                <w:szCs w:val="20"/>
                <w:lang w:val="en-GB" w:eastAsia="es-ES_tradnl"/>
              </w:rPr>
              <w:t>Region</w:t>
            </w:r>
          </w:p>
        </w:tc>
        <w:tc>
          <w:tcPr>
            <w:tcW w:w="567" w:type="dxa"/>
          </w:tcPr>
          <w:p w:rsidR="00A42699" w:rsidRPr="00277328" w:rsidRDefault="00A42699" w:rsidP="005D2DEE">
            <w:pPr>
              <w:jc w:val="center"/>
              <w:cnfStyle w:val="000000100000"/>
              <w:rPr>
                <w:rFonts w:cstheme="minorHAnsi"/>
                <w:b/>
                <w:color w:val="auto"/>
                <w:sz w:val="20"/>
                <w:szCs w:val="20"/>
                <w:lang w:val="en-GB" w:eastAsia="es-ES_tradnl"/>
              </w:rPr>
            </w:pPr>
            <w:r w:rsidRPr="00277328">
              <w:rPr>
                <w:rFonts w:cstheme="minorHAnsi"/>
                <w:b/>
                <w:color w:val="auto"/>
                <w:sz w:val="20"/>
                <w:szCs w:val="20"/>
                <w:lang w:val="en-GB" w:eastAsia="es-ES_tradnl"/>
              </w:rPr>
              <w:t>N</w:t>
            </w:r>
          </w:p>
        </w:tc>
        <w:tc>
          <w:tcPr>
            <w:cnfStyle w:val="000010000000"/>
            <w:tcW w:w="850" w:type="dxa"/>
          </w:tcPr>
          <w:p w:rsidR="00A42699" w:rsidRPr="00277328" w:rsidRDefault="00A42699" w:rsidP="005D2DEE">
            <w:pPr>
              <w:jc w:val="center"/>
              <w:rPr>
                <w:rFonts w:cstheme="minorHAnsi"/>
                <w:b/>
                <w:color w:val="auto"/>
                <w:sz w:val="20"/>
                <w:szCs w:val="20"/>
                <w:lang w:val="en-GB" w:eastAsia="es-ES_tradnl"/>
              </w:rPr>
            </w:pPr>
            <w:r w:rsidRPr="00277328">
              <w:rPr>
                <w:rFonts w:cstheme="minorHAnsi"/>
                <w:b/>
                <w:color w:val="auto"/>
                <w:sz w:val="20"/>
                <w:szCs w:val="20"/>
                <w:lang w:val="en-GB" w:eastAsia="es-ES_tradnl"/>
              </w:rPr>
              <w:t>%</w:t>
            </w:r>
          </w:p>
        </w:tc>
        <w:tc>
          <w:tcPr>
            <w:tcW w:w="1185" w:type="dxa"/>
          </w:tcPr>
          <w:p w:rsidR="00A42699" w:rsidRPr="00277328" w:rsidRDefault="00392921" w:rsidP="005D2DEE">
            <w:pPr>
              <w:jc w:val="center"/>
              <w:cnfStyle w:val="000000100000"/>
              <w:rPr>
                <w:rFonts w:cstheme="minorHAnsi"/>
                <w:b/>
                <w:color w:val="auto"/>
                <w:sz w:val="20"/>
                <w:szCs w:val="20"/>
                <w:lang w:val="en-GB" w:eastAsia="es-ES_tradnl"/>
              </w:rPr>
            </w:pPr>
            <w:r>
              <w:rPr>
                <w:rFonts w:cstheme="minorHAnsi"/>
                <w:b/>
                <w:color w:val="auto"/>
                <w:sz w:val="20"/>
                <w:szCs w:val="20"/>
                <w:lang w:val="en-GB" w:eastAsia="es-ES_tradnl"/>
              </w:rPr>
              <w:t>Average age (std.</w:t>
            </w:r>
            <w:r w:rsidR="00A42699" w:rsidRPr="00277328">
              <w:rPr>
                <w:rFonts w:cstheme="minorHAnsi"/>
                <w:b/>
                <w:color w:val="auto"/>
                <w:sz w:val="20"/>
                <w:szCs w:val="20"/>
                <w:lang w:val="en-GB" w:eastAsia="es-ES_tradnl"/>
              </w:rPr>
              <w:t>dev)</w:t>
            </w:r>
          </w:p>
        </w:tc>
        <w:tc>
          <w:tcPr>
            <w:cnfStyle w:val="000010000000"/>
            <w:tcW w:w="658" w:type="dxa"/>
          </w:tcPr>
          <w:p w:rsidR="00A42699" w:rsidRPr="00277328" w:rsidRDefault="00A42699" w:rsidP="005D2DEE">
            <w:pPr>
              <w:jc w:val="center"/>
              <w:rPr>
                <w:rFonts w:cstheme="minorHAnsi"/>
                <w:b/>
                <w:color w:val="auto"/>
                <w:sz w:val="20"/>
                <w:szCs w:val="20"/>
                <w:lang w:val="en-GB" w:eastAsia="es-ES_tradnl"/>
              </w:rPr>
            </w:pPr>
            <w:r w:rsidRPr="00277328">
              <w:rPr>
                <w:rFonts w:cstheme="minorHAnsi"/>
                <w:b/>
                <w:color w:val="auto"/>
                <w:sz w:val="20"/>
                <w:szCs w:val="20"/>
                <w:lang w:val="en-GB" w:eastAsia="es-ES_tradnl"/>
              </w:rPr>
              <w:t>Male</w:t>
            </w:r>
          </w:p>
        </w:tc>
        <w:tc>
          <w:tcPr>
            <w:tcW w:w="580" w:type="dxa"/>
          </w:tcPr>
          <w:p w:rsidR="00A42699" w:rsidRPr="00277328" w:rsidRDefault="00A42699" w:rsidP="005D2DEE">
            <w:pPr>
              <w:jc w:val="center"/>
              <w:cnfStyle w:val="000000100000"/>
              <w:rPr>
                <w:rFonts w:cstheme="minorHAnsi"/>
                <w:b/>
                <w:color w:val="auto"/>
                <w:sz w:val="20"/>
                <w:szCs w:val="20"/>
                <w:lang w:val="en-GB" w:eastAsia="es-ES_tradnl"/>
              </w:rPr>
            </w:pPr>
            <w:r w:rsidRPr="00277328">
              <w:rPr>
                <w:rFonts w:cstheme="minorHAnsi"/>
                <w:b/>
                <w:color w:val="auto"/>
                <w:sz w:val="20"/>
                <w:szCs w:val="20"/>
                <w:lang w:val="en-GB" w:eastAsia="es-ES_tradnl"/>
              </w:rPr>
              <w:t>Female</w:t>
            </w:r>
          </w:p>
        </w:tc>
        <w:tc>
          <w:tcPr>
            <w:cnfStyle w:val="000010000000"/>
            <w:tcW w:w="887" w:type="dxa"/>
          </w:tcPr>
          <w:p w:rsidR="00A42699" w:rsidRPr="00277328" w:rsidRDefault="00A42699" w:rsidP="005D2DEE">
            <w:pPr>
              <w:jc w:val="center"/>
              <w:rPr>
                <w:rFonts w:cstheme="minorHAnsi"/>
                <w:b/>
                <w:color w:val="auto"/>
                <w:sz w:val="20"/>
                <w:szCs w:val="20"/>
                <w:lang w:val="en-GB" w:eastAsia="es-ES_tradnl"/>
              </w:rPr>
            </w:pPr>
            <w:r w:rsidRPr="00277328">
              <w:rPr>
                <w:rFonts w:cstheme="minorHAnsi"/>
                <w:b/>
                <w:color w:val="auto"/>
                <w:sz w:val="20"/>
                <w:szCs w:val="20"/>
                <w:lang w:val="en-GB" w:eastAsia="es-ES_tradnl"/>
              </w:rPr>
              <w:t>Experience</w:t>
            </w:r>
          </w:p>
        </w:tc>
        <w:tc>
          <w:tcPr>
            <w:tcW w:w="887" w:type="dxa"/>
          </w:tcPr>
          <w:p w:rsidR="00A42699" w:rsidRPr="00277328" w:rsidRDefault="00A42699" w:rsidP="005D2DEE">
            <w:pPr>
              <w:jc w:val="center"/>
              <w:cnfStyle w:val="000000100000"/>
              <w:rPr>
                <w:rFonts w:cstheme="minorHAnsi"/>
                <w:b/>
                <w:color w:val="auto"/>
                <w:sz w:val="20"/>
                <w:szCs w:val="20"/>
                <w:lang w:val="en-GB" w:eastAsia="es-ES_tradnl"/>
              </w:rPr>
            </w:pPr>
            <w:r w:rsidRPr="00277328">
              <w:rPr>
                <w:rFonts w:cstheme="minorHAnsi"/>
                <w:b/>
                <w:color w:val="auto"/>
                <w:sz w:val="20"/>
                <w:szCs w:val="20"/>
                <w:lang w:val="en-GB" w:eastAsia="es-ES_tradnl"/>
              </w:rPr>
              <w:t>Public Health Managers</w:t>
            </w:r>
          </w:p>
        </w:tc>
        <w:tc>
          <w:tcPr>
            <w:cnfStyle w:val="000010000000"/>
            <w:tcW w:w="761" w:type="dxa"/>
          </w:tcPr>
          <w:p w:rsidR="00A42699" w:rsidRPr="00277328" w:rsidRDefault="00A42699" w:rsidP="005D2DEE">
            <w:pPr>
              <w:jc w:val="center"/>
              <w:rPr>
                <w:rFonts w:cstheme="minorHAnsi"/>
                <w:b/>
                <w:color w:val="auto"/>
                <w:sz w:val="20"/>
                <w:szCs w:val="20"/>
                <w:lang w:val="en-GB" w:eastAsia="es-ES_tradnl"/>
              </w:rPr>
            </w:pPr>
            <w:r w:rsidRPr="00277328">
              <w:rPr>
                <w:rFonts w:cstheme="minorHAnsi"/>
                <w:b/>
                <w:color w:val="auto"/>
                <w:sz w:val="20"/>
                <w:szCs w:val="20"/>
                <w:lang w:val="en-GB" w:eastAsia="es-ES_tradnl"/>
              </w:rPr>
              <w:t>Research</w:t>
            </w:r>
          </w:p>
        </w:tc>
        <w:tc>
          <w:tcPr>
            <w:tcW w:w="760" w:type="dxa"/>
          </w:tcPr>
          <w:p w:rsidR="00A42699" w:rsidRPr="00277328" w:rsidRDefault="00A42699" w:rsidP="005D2DEE">
            <w:pPr>
              <w:jc w:val="center"/>
              <w:cnfStyle w:val="000000100000"/>
              <w:rPr>
                <w:rFonts w:cstheme="minorHAnsi"/>
                <w:b/>
                <w:color w:val="auto"/>
                <w:sz w:val="20"/>
                <w:szCs w:val="20"/>
                <w:lang w:val="en-GB" w:eastAsia="es-ES_tradnl"/>
              </w:rPr>
            </w:pPr>
            <w:r w:rsidRPr="00277328">
              <w:rPr>
                <w:rFonts w:cstheme="minorHAnsi"/>
                <w:b/>
                <w:color w:val="auto"/>
                <w:sz w:val="20"/>
                <w:szCs w:val="20"/>
                <w:lang w:val="en-GB" w:eastAsia="es-ES_tradnl"/>
              </w:rPr>
              <w:t>Drug Industry</w:t>
            </w:r>
          </w:p>
        </w:tc>
        <w:tc>
          <w:tcPr>
            <w:cnfStyle w:val="000010000000"/>
            <w:tcW w:w="634" w:type="dxa"/>
          </w:tcPr>
          <w:p w:rsidR="00A42699" w:rsidRPr="00277328" w:rsidRDefault="00A42699" w:rsidP="005D2DEE">
            <w:pPr>
              <w:jc w:val="center"/>
              <w:rPr>
                <w:rFonts w:cstheme="minorHAnsi"/>
                <w:b/>
                <w:color w:val="auto"/>
                <w:sz w:val="20"/>
                <w:szCs w:val="20"/>
                <w:lang w:val="en-GB" w:eastAsia="es-ES_tradnl"/>
              </w:rPr>
            </w:pPr>
            <w:r w:rsidRPr="00277328">
              <w:rPr>
                <w:rFonts w:cstheme="minorHAnsi"/>
                <w:b/>
                <w:color w:val="auto"/>
                <w:sz w:val="20"/>
                <w:szCs w:val="20"/>
                <w:lang w:val="en-GB" w:eastAsia="es-ES_tradnl"/>
              </w:rPr>
              <w:t>Health Policy</w:t>
            </w:r>
          </w:p>
        </w:tc>
        <w:tc>
          <w:tcPr>
            <w:tcW w:w="507" w:type="dxa"/>
          </w:tcPr>
          <w:p w:rsidR="00A42699" w:rsidRPr="00277328" w:rsidRDefault="00A42699" w:rsidP="005D2DEE">
            <w:pPr>
              <w:jc w:val="center"/>
              <w:cnfStyle w:val="000000100000"/>
              <w:rPr>
                <w:rFonts w:cstheme="minorHAnsi"/>
                <w:b/>
                <w:color w:val="auto"/>
                <w:sz w:val="20"/>
                <w:szCs w:val="20"/>
                <w:lang w:val="en-GB" w:eastAsia="es-ES_tradnl"/>
              </w:rPr>
            </w:pPr>
            <w:r w:rsidRPr="00277328">
              <w:rPr>
                <w:rFonts w:cstheme="minorHAnsi"/>
                <w:b/>
                <w:color w:val="auto"/>
                <w:sz w:val="20"/>
                <w:szCs w:val="20"/>
                <w:lang w:val="en-GB" w:eastAsia="es-ES_tradnl"/>
              </w:rPr>
              <w:t>HTA</w:t>
            </w:r>
          </w:p>
        </w:tc>
        <w:tc>
          <w:tcPr>
            <w:cnfStyle w:val="000010000000"/>
            <w:tcW w:w="512" w:type="dxa"/>
          </w:tcPr>
          <w:p w:rsidR="00A42699" w:rsidRPr="00277328" w:rsidRDefault="00A42699" w:rsidP="005D2DEE">
            <w:pPr>
              <w:jc w:val="center"/>
              <w:rPr>
                <w:rFonts w:cstheme="minorHAnsi"/>
                <w:b/>
                <w:color w:val="auto"/>
                <w:sz w:val="20"/>
                <w:szCs w:val="20"/>
                <w:lang w:val="en-GB" w:eastAsia="es-ES_tradnl"/>
              </w:rPr>
            </w:pPr>
            <w:r w:rsidRPr="00277328">
              <w:rPr>
                <w:rFonts w:cstheme="minorHAnsi"/>
                <w:b/>
                <w:color w:val="auto"/>
                <w:sz w:val="20"/>
                <w:szCs w:val="20"/>
                <w:lang w:val="en-GB" w:eastAsia="es-ES_tradnl"/>
              </w:rPr>
              <w:t>Others</w:t>
            </w:r>
          </w:p>
        </w:tc>
      </w:tr>
      <w:tr w:rsidR="001C44F7" w:rsidRPr="00277328" w:rsidTr="006573F1">
        <w:trPr>
          <w:trHeight w:val="215"/>
        </w:trPr>
        <w:tc>
          <w:tcPr>
            <w:cnfStyle w:val="000010000000"/>
            <w:tcW w:w="1101" w:type="dxa"/>
            <w:tcBorders>
              <w:left w:val="none" w:sz="0" w:space="0" w:color="auto"/>
              <w:bottom w:val="none" w:sz="0" w:space="0" w:color="auto"/>
              <w:right w:val="none" w:sz="0" w:space="0" w:color="auto"/>
            </w:tcBorders>
          </w:tcPr>
          <w:p w:rsidR="00A42699" w:rsidRPr="00277328" w:rsidRDefault="00A42699" w:rsidP="005D2DEE">
            <w:pPr>
              <w:rPr>
                <w:rFonts w:cstheme="minorHAnsi"/>
                <w:b/>
                <w:color w:val="auto"/>
                <w:sz w:val="20"/>
                <w:szCs w:val="20"/>
                <w:lang w:val="en-GB" w:eastAsia="es-ES_tradnl"/>
              </w:rPr>
            </w:pPr>
            <w:r w:rsidRPr="00277328">
              <w:rPr>
                <w:rFonts w:cstheme="minorHAnsi"/>
                <w:b/>
                <w:color w:val="auto"/>
                <w:sz w:val="20"/>
                <w:szCs w:val="20"/>
                <w:lang w:val="en-GB" w:eastAsia="es-ES_tradnl"/>
              </w:rPr>
              <w:t>Madrid</w:t>
            </w:r>
          </w:p>
        </w:tc>
        <w:tc>
          <w:tcPr>
            <w:tcW w:w="567" w:type="dxa"/>
          </w:tcPr>
          <w:p w:rsidR="00A42699" w:rsidRPr="00277328" w:rsidRDefault="00A42699" w:rsidP="005D2DEE">
            <w:pPr>
              <w:jc w:val="center"/>
              <w:cnfStyle w:val="000000000000"/>
              <w:rPr>
                <w:rFonts w:cstheme="minorHAnsi"/>
                <w:color w:val="auto"/>
                <w:sz w:val="20"/>
                <w:szCs w:val="20"/>
                <w:lang w:val="en-GB" w:eastAsia="es-ES_tradnl"/>
              </w:rPr>
            </w:pPr>
            <w:r w:rsidRPr="00277328">
              <w:rPr>
                <w:rFonts w:cstheme="minorHAnsi"/>
                <w:color w:val="auto"/>
                <w:sz w:val="20"/>
                <w:szCs w:val="20"/>
                <w:lang w:val="en-GB" w:eastAsia="es-ES_tradnl"/>
              </w:rPr>
              <w:t>24</w:t>
            </w:r>
          </w:p>
        </w:tc>
        <w:tc>
          <w:tcPr>
            <w:cnfStyle w:val="000010000000"/>
            <w:tcW w:w="850" w:type="dxa"/>
            <w:tcBorders>
              <w:left w:val="none" w:sz="0" w:space="0" w:color="auto"/>
              <w:bottom w:val="none" w:sz="0" w:space="0" w:color="auto"/>
              <w:right w:val="none" w:sz="0" w:space="0" w:color="auto"/>
            </w:tcBorders>
          </w:tcPr>
          <w:p w:rsidR="00A42699" w:rsidRPr="00277328" w:rsidRDefault="00A42699" w:rsidP="005D2DEE">
            <w:pPr>
              <w:jc w:val="center"/>
              <w:rPr>
                <w:rFonts w:cstheme="minorHAnsi"/>
                <w:color w:val="auto"/>
                <w:sz w:val="20"/>
                <w:szCs w:val="20"/>
                <w:lang w:val="en-GB" w:eastAsia="es-ES_tradnl"/>
              </w:rPr>
            </w:pPr>
            <w:r w:rsidRPr="00277328">
              <w:rPr>
                <w:rFonts w:cstheme="minorHAnsi"/>
                <w:color w:val="auto"/>
                <w:sz w:val="20"/>
                <w:szCs w:val="20"/>
                <w:lang w:val="en-GB" w:eastAsia="es-ES_tradnl"/>
              </w:rPr>
              <w:t>34,78</w:t>
            </w:r>
          </w:p>
        </w:tc>
        <w:tc>
          <w:tcPr>
            <w:tcW w:w="1185" w:type="dxa"/>
          </w:tcPr>
          <w:p w:rsidR="00A42699" w:rsidRPr="00277328" w:rsidRDefault="00A42699" w:rsidP="005D2DEE">
            <w:pPr>
              <w:jc w:val="center"/>
              <w:cnfStyle w:val="000000000000"/>
              <w:rPr>
                <w:rFonts w:cstheme="minorHAnsi"/>
                <w:color w:val="auto"/>
                <w:sz w:val="20"/>
                <w:szCs w:val="20"/>
                <w:lang w:val="en-GB" w:eastAsia="es-ES_tradnl"/>
              </w:rPr>
            </w:pPr>
            <w:r w:rsidRPr="00277328">
              <w:rPr>
                <w:rFonts w:cstheme="minorHAnsi"/>
                <w:color w:val="auto"/>
                <w:sz w:val="20"/>
                <w:szCs w:val="20"/>
                <w:lang w:val="en-GB" w:eastAsia="es-ES_tradnl"/>
              </w:rPr>
              <w:t>44,50</w:t>
            </w:r>
          </w:p>
        </w:tc>
        <w:tc>
          <w:tcPr>
            <w:cnfStyle w:val="000010000000"/>
            <w:tcW w:w="658" w:type="dxa"/>
            <w:tcBorders>
              <w:left w:val="none" w:sz="0" w:space="0" w:color="auto"/>
              <w:bottom w:val="none" w:sz="0" w:space="0" w:color="auto"/>
              <w:right w:val="none" w:sz="0" w:space="0" w:color="auto"/>
            </w:tcBorders>
          </w:tcPr>
          <w:p w:rsidR="00A42699" w:rsidRPr="00277328" w:rsidRDefault="00A42699" w:rsidP="005D2DEE">
            <w:pPr>
              <w:jc w:val="center"/>
              <w:rPr>
                <w:rFonts w:cstheme="minorHAnsi"/>
                <w:color w:val="auto"/>
                <w:sz w:val="20"/>
                <w:szCs w:val="20"/>
                <w:lang w:val="en-GB" w:eastAsia="es-ES_tradnl"/>
              </w:rPr>
            </w:pPr>
            <w:r w:rsidRPr="00277328">
              <w:rPr>
                <w:rFonts w:cstheme="minorHAnsi"/>
                <w:color w:val="auto"/>
                <w:sz w:val="20"/>
                <w:szCs w:val="20"/>
                <w:lang w:val="en-GB" w:eastAsia="es-ES_tradnl"/>
              </w:rPr>
              <w:t>10</w:t>
            </w:r>
          </w:p>
        </w:tc>
        <w:tc>
          <w:tcPr>
            <w:tcW w:w="580" w:type="dxa"/>
          </w:tcPr>
          <w:p w:rsidR="00A42699" w:rsidRPr="00277328" w:rsidRDefault="00A42699" w:rsidP="005D2DEE">
            <w:pPr>
              <w:jc w:val="center"/>
              <w:cnfStyle w:val="000000000000"/>
              <w:rPr>
                <w:rFonts w:cstheme="minorHAnsi"/>
                <w:color w:val="auto"/>
                <w:sz w:val="20"/>
                <w:szCs w:val="20"/>
                <w:lang w:val="en-GB" w:eastAsia="es-ES_tradnl"/>
              </w:rPr>
            </w:pPr>
            <w:r w:rsidRPr="00277328">
              <w:rPr>
                <w:rFonts w:cstheme="minorHAnsi"/>
                <w:color w:val="auto"/>
                <w:sz w:val="20"/>
                <w:szCs w:val="20"/>
                <w:lang w:val="en-GB" w:eastAsia="es-ES_tradnl"/>
              </w:rPr>
              <w:t>14</w:t>
            </w:r>
          </w:p>
        </w:tc>
        <w:tc>
          <w:tcPr>
            <w:cnfStyle w:val="000010000000"/>
            <w:tcW w:w="887" w:type="dxa"/>
            <w:tcBorders>
              <w:left w:val="none" w:sz="0" w:space="0" w:color="auto"/>
              <w:bottom w:val="none" w:sz="0" w:space="0" w:color="auto"/>
              <w:right w:val="none" w:sz="0" w:space="0" w:color="auto"/>
            </w:tcBorders>
          </w:tcPr>
          <w:p w:rsidR="00A42699" w:rsidRPr="00277328" w:rsidRDefault="00A42699" w:rsidP="005D2DEE">
            <w:pPr>
              <w:jc w:val="center"/>
              <w:rPr>
                <w:rFonts w:cstheme="minorHAnsi"/>
                <w:color w:val="auto"/>
                <w:sz w:val="20"/>
                <w:szCs w:val="20"/>
                <w:lang w:val="en-GB" w:eastAsia="es-ES_tradnl"/>
              </w:rPr>
            </w:pPr>
            <w:r w:rsidRPr="00277328">
              <w:rPr>
                <w:rFonts w:cstheme="minorHAnsi"/>
                <w:color w:val="auto"/>
                <w:sz w:val="20"/>
                <w:szCs w:val="20"/>
                <w:lang w:val="en-GB" w:eastAsia="es-ES_tradnl"/>
              </w:rPr>
              <w:t>13,79</w:t>
            </w:r>
          </w:p>
        </w:tc>
        <w:tc>
          <w:tcPr>
            <w:tcW w:w="887" w:type="dxa"/>
          </w:tcPr>
          <w:p w:rsidR="00A42699" w:rsidRPr="00277328" w:rsidRDefault="00A42699" w:rsidP="005D2DEE">
            <w:pPr>
              <w:jc w:val="center"/>
              <w:cnfStyle w:val="000000000000"/>
              <w:rPr>
                <w:rFonts w:cstheme="minorHAnsi"/>
                <w:color w:val="auto"/>
                <w:sz w:val="20"/>
                <w:szCs w:val="20"/>
                <w:lang w:val="en-GB" w:eastAsia="es-ES_tradnl"/>
              </w:rPr>
            </w:pPr>
            <w:r w:rsidRPr="00277328">
              <w:rPr>
                <w:rFonts w:cstheme="minorHAnsi"/>
                <w:color w:val="auto"/>
                <w:sz w:val="20"/>
                <w:szCs w:val="20"/>
                <w:lang w:val="en-GB" w:eastAsia="es-ES_tradnl"/>
              </w:rPr>
              <w:t>14</w:t>
            </w:r>
          </w:p>
        </w:tc>
        <w:tc>
          <w:tcPr>
            <w:cnfStyle w:val="000010000000"/>
            <w:tcW w:w="761" w:type="dxa"/>
            <w:tcBorders>
              <w:left w:val="none" w:sz="0" w:space="0" w:color="auto"/>
              <w:bottom w:val="none" w:sz="0" w:space="0" w:color="auto"/>
              <w:right w:val="none" w:sz="0" w:space="0" w:color="auto"/>
            </w:tcBorders>
          </w:tcPr>
          <w:p w:rsidR="00A42699" w:rsidRPr="00277328" w:rsidRDefault="00A42699" w:rsidP="005D2DEE">
            <w:pPr>
              <w:jc w:val="center"/>
              <w:rPr>
                <w:rFonts w:cstheme="minorHAnsi"/>
                <w:color w:val="auto"/>
                <w:sz w:val="20"/>
                <w:szCs w:val="20"/>
                <w:lang w:val="en-GB" w:eastAsia="es-ES_tradnl"/>
              </w:rPr>
            </w:pPr>
            <w:r w:rsidRPr="00277328">
              <w:rPr>
                <w:rFonts w:cstheme="minorHAnsi"/>
                <w:color w:val="auto"/>
                <w:sz w:val="20"/>
                <w:szCs w:val="20"/>
                <w:lang w:val="en-GB" w:eastAsia="es-ES_tradnl"/>
              </w:rPr>
              <w:t>5</w:t>
            </w:r>
          </w:p>
        </w:tc>
        <w:tc>
          <w:tcPr>
            <w:tcW w:w="760" w:type="dxa"/>
          </w:tcPr>
          <w:p w:rsidR="00A42699" w:rsidRPr="00277328" w:rsidRDefault="00A42699" w:rsidP="005D2DEE">
            <w:pPr>
              <w:jc w:val="center"/>
              <w:cnfStyle w:val="000000000000"/>
              <w:rPr>
                <w:rFonts w:cstheme="minorHAnsi"/>
                <w:color w:val="auto"/>
                <w:sz w:val="20"/>
                <w:szCs w:val="20"/>
                <w:lang w:val="en-GB" w:eastAsia="es-ES_tradnl"/>
              </w:rPr>
            </w:pPr>
            <w:r w:rsidRPr="00277328">
              <w:rPr>
                <w:rFonts w:cstheme="minorHAnsi"/>
                <w:color w:val="auto"/>
                <w:sz w:val="20"/>
                <w:szCs w:val="20"/>
                <w:lang w:val="en-GB" w:eastAsia="es-ES_tradnl"/>
              </w:rPr>
              <w:t>1</w:t>
            </w:r>
          </w:p>
        </w:tc>
        <w:tc>
          <w:tcPr>
            <w:cnfStyle w:val="000010000000"/>
            <w:tcW w:w="634" w:type="dxa"/>
            <w:tcBorders>
              <w:left w:val="none" w:sz="0" w:space="0" w:color="auto"/>
              <w:bottom w:val="none" w:sz="0" w:space="0" w:color="auto"/>
              <w:right w:val="none" w:sz="0" w:space="0" w:color="auto"/>
            </w:tcBorders>
          </w:tcPr>
          <w:p w:rsidR="00A42699" w:rsidRPr="00277328" w:rsidRDefault="00A42699" w:rsidP="005D2DEE">
            <w:pPr>
              <w:jc w:val="center"/>
              <w:rPr>
                <w:rFonts w:cstheme="minorHAnsi"/>
                <w:color w:val="auto"/>
                <w:sz w:val="20"/>
                <w:szCs w:val="20"/>
                <w:lang w:val="en-GB" w:eastAsia="es-ES_tradnl"/>
              </w:rPr>
            </w:pPr>
            <w:r w:rsidRPr="00277328">
              <w:rPr>
                <w:rFonts w:cstheme="minorHAnsi"/>
                <w:color w:val="auto"/>
                <w:sz w:val="20"/>
                <w:szCs w:val="20"/>
                <w:lang w:val="en-GB" w:eastAsia="es-ES_tradnl"/>
              </w:rPr>
              <w:t>0</w:t>
            </w:r>
          </w:p>
        </w:tc>
        <w:tc>
          <w:tcPr>
            <w:tcW w:w="507" w:type="dxa"/>
            <w:noWrap/>
          </w:tcPr>
          <w:p w:rsidR="00A42699" w:rsidRPr="00277328" w:rsidRDefault="00A42699" w:rsidP="005D2DEE">
            <w:pPr>
              <w:jc w:val="center"/>
              <w:cnfStyle w:val="000000000000"/>
              <w:rPr>
                <w:rFonts w:cstheme="minorHAnsi"/>
                <w:color w:val="auto"/>
                <w:sz w:val="20"/>
                <w:szCs w:val="20"/>
                <w:lang w:val="en-GB" w:eastAsia="es-ES_tradnl"/>
              </w:rPr>
            </w:pPr>
            <w:r w:rsidRPr="00277328">
              <w:rPr>
                <w:rFonts w:cstheme="minorHAnsi"/>
                <w:color w:val="auto"/>
                <w:sz w:val="20"/>
                <w:szCs w:val="20"/>
                <w:lang w:val="en-GB" w:eastAsia="es-ES_tradnl"/>
              </w:rPr>
              <w:t>1</w:t>
            </w:r>
          </w:p>
        </w:tc>
        <w:tc>
          <w:tcPr>
            <w:cnfStyle w:val="000010000000"/>
            <w:tcW w:w="512" w:type="dxa"/>
            <w:tcBorders>
              <w:left w:val="none" w:sz="0" w:space="0" w:color="auto"/>
              <w:bottom w:val="none" w:sz="0" w:space="0" w:color="auto"/>
              <w:right w:val="none" w:sz="0" w:space="0" w:color="auto"/>
            </w:tcBorders>
            <w:noWrap/>
          </w:tcPr>
          <w:p w:rsidR="00A42699" w:rsidRPr="00277328" w:rsidRDefault="00A42699" w:rsidP="005D2DEE">
            <w:pPr>
              <w:jc w:val="center"/>
              <w:rPr>
                <w:rFonts w:cstheme="minorHAnsi"/>
                <w:color w:val="auto"/>
                <w:sz w:val="20"/>
                <w:szCs w:val="20"/>
                <w:lang w:val="en-GB" w:eastAsia="es-ES_tradnl"/>
              </w:rPr>
            </w:pPr>
            <w:r w:rsidRPr="00277328">
              <w:rPr>
                <w:rFonts w:cstheme="minorHAnsi"/>
                <w:color w:val="auto"/>
                <w:sz w:val="20"/>
                <w:szCs w:val="20"/>
                <w:lang w:val="en-GB" w:eastAsia="es-ES_tradnl"/>
              </w:rPr>
              <w:t>3</w:t>
            </w:r>
          </w:p>
        </w:tc>
      </w:tr>
      <w:tr w:rsidR="00126F02" w:rsidRPr="00277328" w:rsidTr="006A5A0D">
        <w:trPr>
          <w:cnfStyle w:val="000000100000"/>
          <w:trHeight w:val="215"/>
        </w:trPr>
        <w:tc>
          <w:tcPr>
            <w:cnfStyle w:val="000010000000"/>
            <w:tcW w:w="1101" w:type="dxa"/>
          </w:tcPr>
          <w:p w:rsidR="00A42699" w:rsidRPr="00277328" w:rsidRDefault="00A42699" w:rsidP="005D2DEE">
            <w:pPr>
              <w:rPr>
                <w:rFonts w:cstheme="minorHAnsi"/>
                <w:b/>
                <w:color w:val="auto"/>
                <w:sz w:val="20"/>
                <w:szCs w:val="20"/>
                <w:lang w:val="en-GB" w:eastAsia="es-ES_tradnl"/>
              </w:rPr>
            </w:pPr>
            <w:r w:rsidRPr="00277328">
              <w:rPr>
                <w:rFonts w:cstheme="minorHAnsi"/>
                <w:b/>
                <w:color w:val="auto"/>
                <w:sz w:val="20"/>
                <w:szCs w:val="20"/>
                <w:lang w:val="en-GB" w:eastAsia="es-ES_tradnl"/>
              </w:rPr>
              <w:t>Valencia</w:t>
            </w:r>
          </w:p>
        </w:tc>
        <w:tc>
          <w:tcPr>
            <w:tcW w:w="567" w:type="dxa"/>
          </w:tcPr>
          <w:p w:rsidR="00A42699" w:rsidRPr="00277328" w:rsidRDefault="00A42699" w:rsidP="005D2DEE">
            <w:pPr>
              <w:jc w:val="center"/>
              <w:cnfStyle w:val="000000100000"/>
              <w:rPr>
                <w:rFonts w:cstheme="minorHAnsi"/>
                <w:color w:val="auto"/>
                <w:sz w:val="20"/>
                <w:szCs w:val="20"/>
                <w:lang w:val="en-GB" w:eastAsia="es-ES_tradnl"/>
              </w:rPr>
            </w:pPr>
            <w:r w:rsidRPr="00277328">
              <w:rPr>
                <w:rFonts w:cstheme="minorHAnsi"/>
                <w:color w:val="auto"/>
                <w:sz w:val="20"/>
                <w:szCs w:val="20"/>
                <w:lang w:val="en-GB" w:eastAsia="es-ES_tradnl"/>
              </w:rPr>
              <w:t>20</w:t>
            </w:r>
          </w:p>
        </w:tc>
        <w:tc>
          <w:tcPr>
            <w:cnfStyle w:val="000010000000"/>
            <w:tcW w:w="850" w:type="dxa"/>
          </w:tcPr>
          <w:p w:rsidR="00A42699" w:rsidRPr="00277328" w:rsidRDefault="00A42699" w:rsidP="005D2DEE">
            <w:pPr>
              <w:jc w:val="center"/>
              <w:rPr>
                <w:rFonts w:cstheme="minorHAnsi"/>
                <w:color w:val="auto"/>
                <w:sz w:val="20"/>
                <w:szCs w:val="20"/>
                <w:lang w:val="en-GB" w:eastAsia="es-ES_tradnl"/>
              </w:rPr>
            </w:pPr>
            <w:r w:rsidRPr="00277328">
              <w:rPr>
                <w:rFonts w:cstheme="minorHAnsi"/>
                <w:color w:val="auto"/>
                <w:sz w:val="20"/>
                <w:szCs w:val="20"/>
                <w:lang w:val="en-GB" w:eastAsia="es-ES_tradnl"/>
              </w:rPr>
              <w:t>28,99</w:t>
            </w:r>
          </w:p>
        </w:tc>
        <w:tc>
          <w:tcPr>
            <w:tcW w:w="1185" w:type="dxa"/>
          </w:tcPr>
          <w:p w:rsidR="00A42699" w:rsidRPr="00277328" w:rsidRDefault="00A42699" w:rsidP="005D2DEE">
            <w:pPr>
              <w:jc w:val="center"/>
              <w:cnfStyle w:val="000000100000"/>
              <w:rPr>
                <w:rFonts w:cstheme="minorHAnsi"/>
                <w:color w:val="auto"/>
                <w:sz w:val="20"/>
                <w:szCs w:val="20"/>
                <w:lang w:val="en-GB" w:eastAsia="es-ES_tradnl"/>
              </w:rPr>
            </w:pPr>
            <w:r w:rsidRPr="00277328">
              <w:rPr>
                <w:rFonts w:cstheme="minorHAnsi"/>
                <w:color w:val="auto"/>
                <w:sz w:val="20"/>
                <w:szCs w:val="20"/>
                <w:lang w:val="en-GB" w:eastAsia="es-ES_tradnl"/>
              </w:rPr>
              <w:t>43,90</w:t>
            </w:r>
          </w:p>
        </w:tc>
        <w:tc>
          <w:tcPr>
            <w:cnfStyle w:val="000010000000"/>
            <w:tcW w:w="658" w:type="dxa"/>
          </w:tcPr>
          <w:p w:rsidR="00A42699" w:rsidRPr="00277328" w:rsidRDefault="00A42699" w:rsidP="005D2DEE">
            <w:pPr>
              <w:jc w:val="center"/>
              <w:rPr>
                <w:rFonts w:cstheme="minorHAnsi"/>
                <w:color w:val="auto"/>
                <w:sz w:val="20"/>
                <w:szCs w:val="20"/>
                <w:lang w:val="en-GB" w:eastAsia="es-ES_tradnl"/>
              </w:rPr>
            </w:pPr>
            <w:r w:rsidRPr="00277328">
              <w:rPr>
                <w:rFonts w:cstheme="minorHAnsi"/>
                <w:color w:val="auto"/>
                <w:sz w:val="20"/>
                <w:szCs w:val="20"/>
                <w:lang w:val="en-GB" w:eastAsia="es-ES_tradnl"/>
              </w:rPr>
              <w:t>10</w:t>
            </w:r>
          </w:p>
        </w:tc>
        <w:tc>
          <w:tcPr>
            <w:tcW w:w="580" w:type="dxa"/>
          </w:tcPr>
          <w:p w:rsidR="00A42699" w:rsidRPr="00277328" w:rsidRDefault="00A42699" w:rsidP="005D2DEE">
            <w:pPr>
              <w:jc w:val="center"/>
              <w:cnfStyle w:val="000000100000"/>
              <w:rPr>
                <w:rFonts w:cstheme="minorHAnsi"/>
                <w:color w:val="auto"/>
                <w:sz w:val="20"/>
                <w:szCs w:val="20"/>
                <w:lang w:val="en-GB" w:eastAsia="es-ES_tradnl"/>
              </w:rPr>
            </w:pPr>
            <w:r w:rsidRPr="00277328">
              <w:rPr>
                <w:rFonts w:cstheme="minorHAnsi"/>
                <w:color w:val="auto"/>
                <w:sz w:val="20"/>
                <w:szCs w:val="20"/>
                <w:lang w:val="en-GB" w:eastAsia="es-ES_tradnl"/>
              </w:rPr>
              <w:t>10</w:t>
            </w:r>
          </w:p>
        </w:tc>
        <w:tc>
          <w:tcPr>
            <w:cnfStyle w:val="000010000000"/>
            <w:tcW w:w="887" w:type="dxa"/>
          </w:tcPr>
          <w:p w:rsidR="00A42699" w:rsidRPr="00277328" w:rsidRDefault="00A42699" w:rsidP="005D2DEE">
            <w:pPr>
              <w:jc w:val="center"/>
              <w:rPr>
                <w:rFonts w:cstheme="minorHAnsi"/>
                <w:color w:val="auto"/>
                <w:sz w:val="20"/>
                <w:szCs w:val="20"/>
                <w:lang w:val="en-GB" w:eastAsia="es-ES_tradnl"/>
              </w:rPr>
            </w:pPr>
            <w:r w:rsidRPr="00277328">
              <w:rPr>
                <w:rFonts w:cstheme="minorHAnsi"/>
                <w:color w:val="auto"/>
                <w:sz w:val="20"/>
                <w:szCs w:val="20"/>
                <w:lang w:val="en-GB" w:eastAsia="es-ES_tradnl"/>
              </w:rPr>
              <w:t>14,45</w:t>
            </w:r>
          </w:p>
        </w:tc>
        <w:tc>
          <w:tcPr>
            <w:tcW w:w="887" w:type="dxa"/>
          </w:tcPr>
          <w:p w:rsidR="00A42699" w:rsidRPr="00277328" w:rsidRDefault="00A42699" w:rsidP="005D2DEE">
            <w:pPr>
              <w:jc w:val="center"/>
              <w:cnfStyle w:val="000000100000"/>
              <w:rPr>
                <w:rFonts w:cstheme="minorHAnsi"/>
                <w:color w:val="auto"/>
                <w:sz w:val="20"/>
                <w:szCs w:val="20"/>
                <w:lang w:val="en-GB" w:eastAsia="es-ES_tradnl"/>
              </w:rPr>
            </w:pPr>
            <w:r w:rsidRPr="00277328">
              <w:rPr>
                <w:rFonts w:cstheme="minorHAnsi"/>
                <w:color w:val="auto"/>
                <w:sz w:val="20"/>
                <w:szCs w:val="20"/>
                <w:lang w:val="en-GB" w:eastAsia="es-ES_tradnl"/>
              </w:rPr>
              <w:t>7</w:t>
            </w:r>
          </w:p>
        </w:tc>
        <w:tc>
          <w:tcPr>
            <w:cnfStyle w:val="000010000000"/>
            <w:tcW w:w="761" w:type="dxa"/>
          </w:tcPr>
          <w:p w:rsidR="00A42699" w:rsidRPr="00277328" w:rsidRDefault="00A42699" w:rsidP="005D2DEE">
            <w:pPr>
              <w:jc w:val="center"/>
              <w:rPr>
                <w:rFonts w:cstheme="minorHAnsi"/>
                <w:color w:val="auto"/>
                <w:sz w:val="20"/>
                <w:szCs w:val="20"/>
                <w:lang w:val="en-GB" w:eastAsia="es-ES_tradnl"/>
              </w:rPr>
            </w:pPr>
            <w:r w:rsidRPr="00277328">
              <w:rPr>
                <w:rFonts w:cstheme="minorHAnsi"/>
                <w:color w:val="auto"/>
                <w:sz w:val="20"/>
                <w:szCs w:val="20"/>
                <w:lang w:val="en-GB" w:eastAsia="es-ES_tradnl"/>
              </w:rPr>
              <w:t>0</w:t>
            </w:r>
          </w:p>
        </w:tc>
        <w:tc>
          <w:tcPr>
            <w:tcW w:w="760" w:type="dxa"/>
          </w:tcPr>
          <w:p w:rsidR="00A42699" w:rsidRPr="00277328" w:rsidRDefault="00A42699" w:rsidP="005D2DEE">
            <w:pPr>
              <w:jc w:val="center"/>
              <w:cnfStyle w:val="000000100000"/>
              <w:rPr>
                <w:rFonts w:cstheme="minorHAnsi"/>
                <w:color w:val="auto"/>
                <w:sz w:val="20"/>
                <w:szCs w:val="20"/>
                <w:lang w:val="en-GB" w:eastAsia="es-ES_tradnl"/>
              </w:rPr>
            </w:pPr>
            <w:r w:rsidRPr="00277328">
              <w:rPr>
                <w:rFonts w:cstheme="minorHAnsi"/>
                <w:color w:val="auto"/>
                <w:sz w:val="20"/>
                <w:szCs w:val="20"/>
                <w:lang w:val="en-GB" w:eastAsia="es-ES_tradnl"/>
              </w:rPr>
              <w:t>0</w:t>
            </w:r>
          </w:p>
        </w:tc>
        <w:tc>
          <w:tcPr>
            <w:cnfStyle w:val="000010000000"/>
            <w:tcW w:w="634" w:type="dxa"/>
            <w:noWrap/>
          </w:tcPr>
          <w:p w:rsidR="00A42699" w:rsidRPr="00277328" w:rsidRDefault="00A42699" w:rsidP="005D2DEE">
            <w:pPr>
              <w:jc w:val="center"/>
              <w:rPr>
                <w:rFonts w:cstheme="minorHAnsi"/>
                <w:color w:val="auto"/>
                <w:sz w:val="20"/>
                <w:szCs w:val="20"/>
                <w:lang w:val="en-GB" w:eastAsia="es-ES_tradnl"/>
              </w:rPr>
            </w:pPr>
            <w:r w:rsidRPr="00277328">
              <w:rPr>
                <w:rFonts w:cstheme="minorHAnsi"/>
                <w:color w:val="auto"/>
                <w:sz w:val="20"/>
                <w:szCs w:val="20"/>
                <w:lang w:val="en-GB" w:eastAsia="es-ES_tradnl"/>
              </w:rPr>
              <w:t>13</w:t>
            </w:r>
          </w:p>
        </w:tc>
        <w:tc>
          <w:tcPr>
            <w:tcW w:w="507" w:type="dxa"/>
          </w:tcPr>
          <w:p w:rsidR="00A42699" w:rsidRPr="00277328" w:rsidRDefault="00A42699" w:rsidP="005D2DEE">
            <w:pPr>
              <w:jc w:val="center"/>
              <w:cnfStyle w:val="000000100000"/>
              <w:rPr>
                <w:rFonts w:cstheme="minorHAnsi"/>
                <w:color w:val="auto"/>
                <w:sz w:val="20"/>
                <w:szCs w:val="20"/>
                <w:lang w:val="en-GB" w:eastAsia="es-ES_tradnl"/>
              </w:rPr>
            </w:pPr>
            <w:r w:rsidRPr="00277328">
              <w:rPr>
                <w:rFonts w:cstheme="minorHAnsi"/>
                <w:color w:val="auto"/>
                <w:sz w:val="20"/>
                <w:szCs w:val="20"/>
                <w:lang w:val="en-GB" w:eastAsia="es-ES_tradnl"/>
              </w:rPr>
              <w:t>0</w:t>
            </w:r>
          </w:p>
        </w:tc>
        <w:tc>
          <w:tcPr>
            <w:cnfStyle w:val="000010000000"/>
            <w:tcW w:w="512" w:type="dxa"/>
          </w:tcPr>
          <w:p w:rsidR="00A42699" w:rsidRPr="00277328" w:rsidRDefault="00A42699" w:rsidP="005D2DEE">
            <w:pPr>
              <w:jc w:val="center"/>
              <w:rPr>
                <w:rFonts w:cstheme="minorHAnsi"/>
                <w:color w:val="auto"/>
                <w:sz w:val="20"/>
                <w:szCs w:val="20"/>
                <w:lang w:val="en-GB" w:eastAsia="es-ES_tradnl"/>
              </w:rPr>
            </w:pPr>
            <w:r w:rsidRPr="00277328">
              <w:rPr>
                <w:rFonts w:cstheme="minorHAnsi"/>
                <w:color w:val="auto"/>
                <w:sz w:val="20"/>
                <w:szCs w:val="20"/>
                <w:lang w:val="en-GB" w:eastAsia="es-ES_tradnl"/>
              </w:rPr>
              <w:t>0</w:t>
            </w:r>
          </w:p>
        </w:tc>
      </w:tr>
      <w:tr w:rsidR="001C44F7" w:rsidRPr="00277328" w:rsidTr="006573F1">
        <w:trPr>
          <w:trHeight w:val="215"/>
        </w:trPr>
        <w:tc>
          <w:tcPr>
            <w:cnfStyle w:val="000010000000"/>
            <w:tcW w:w="1101" w:type="dxa"/>
            <w:tcBorders>
              <w:left w:val="none" w:sz="0" w:space="0" w:color="auto"/>
              <w:bottom w:val="none" w:sz="0" w:space="0" w:color="auto"/>
              <w:right w:val="none" w:sz="0" w:space="0" w:color="auto"/>
            </w:tcBorders>
          </w:tcPr>
          <w:p w:rsidR="00A42699" w:rsidRPr="00277328" w:rsidRDefault="00A42699" w:rsidP="005D2DEE">
            <w:pPr>
              <w:rPr>
                <w:rFonts w:cstheme="minorHAnsi"/>
                <w:b/>
                <w:color w:val="auto"/>
                <w:sz w:val="20"/>
                <w:szCs w:val="20"/>
                <w:lang w:val="en-GB" w:eastAsia="es-ES_tradnl"/>
              </w:rPr>
            </w:pPr>
            <w:r w:rsidRPr="00277328">
              <w:rPr>
                <w:rFonts w:cstheme="minorHAnsi"/>
                <w:b/>
                <w:color w:val="auto"/>
                <w:sz w:val="20"/>
                <w:szCs w:val="20"/>
                <w:lang w:val="en-GB" w:eastAsia="es-ES_tradnl"/>
              </w:rPr>
              <w:t>Basque Country</w:t>
            </w:r>
          </w:p>
        </w:tc>
        <w:tc>
          <w:tcPr>
            <w:tcW w:w="567" w:type="dxa"/>
          </w:tcPr>
          <w:p w:rsidR="00A42699" w:rsidRPr="00277328" w:rsidRDefault="00A42699" w:rsidP="005D2DEE">
            <w:pPr>
              <w:jc w:val="center"/>
              <w:cnfStyle w:val="000000000000"/>
              <w:rPr>
                <w:rFonts w:cstheme="minorHAnsi"/>
                <w:color w:val="auto"/>
                <w:sz w:val="20"/>
                <w:szCs w:val="20"/>
                <w:lang w:val="en-GB" w:eastAsia="es-ES_tradnl"/>
              </w:rPr>
            </w:pPr>
            <w:r w:rsidRPr="00277328">
              <w:rPr>
                <w:rFonts w:cstheme="minorHAnsi"/>
                <w:color w:val="auto"/>
                <w:sz w:val="20"/>
                <w:szCs w:val="20"/>
                <w:lang w:val="en-GB" w:eastAsia="es-ES_tradnl"/>
              </w:rPr>
              <w:t>15</w:t>
            </w:r>
          </w:p>
        </w:tc>
        <w:tc>
          <w:tcPr>
            <w:cnfStyle w:val="000010000000"/>
            <w:tcW w:w="850" w:type="dxa"/>
            <w:tcBorders>
              <w:left w:val="none" w:sz="0" w:space="0" w:color="auto"/>
              <w:bottom w:val="none" w:sz="0" w:space="0" w:color="auto"/>
              <w:right w:val="none" w:sz="0" w:space="0" w:color="auto"/>
            </w:tcBorders>
          </w:tcPr>
          <w:p w:rsidR="00A42699" w:rsidRPr="00277328" w:rsidRDefault="00A42699" w:rsidP="005D2DEE">
            <w:pPr>
              <w:jc w:val="center"/>
              <w:rPr>
                <w:rFonts w:cstheme="minorHAnsi"/>
                <w:color w:val="auto"/>
                <w:sz w:val="20"/>
                <w:szCs w:val="20"/>
                <w:lang w:val="en-GB" w:eastAsia="es-ES_tradnl"/>
              </w:rPr>
            </w:pPr>
            <w:r w:rsidRPr="00277328">
              <w:rPr>
                <w:rFonts w:cstheme="minorHAnsi"/>
                <w:color w:val="auto"/>
                <w:sz w:val="20"/>
                <w:szCs w:val="20"/>
                <w:lang w:val="en-GB" w:eastAsia="es-ES_tradnl"/>
              </w:rPr>
              <w:t>21,74</w:t>
            </w:r>
          </w:p>
        </w:tc>
        <w:tc>
          <w:tcPr>
            <w:tcW w:w="1185" w:type="dxa"/>
          </w:tcPr>
          <w:p w:rsidR="00A42699" w:rsidRPr="00277328" w:rsidRDefault="00A42699" w:rsidP="005D2DEE">
            <w:pPr>
              <w:jc w:val="center"/>
              <w:cnfStyle w:val="000000000000"/>
              <w:rPr>
                <w:rFonts w:cstheme="minorHAnsi"/>
                <w:color w:val="auto"/>
                <w:sz w:val="20"/>
                <w:szCs w:val="20"/>
                <w:lang w:val="en-GB" w:eastAsia="es-ES_tradnl"/>
              </w:rPr>
            </w:pPr>
            <w:r w:rsidRPr="00277328">
              <w:rPr>
                <w:rFonts w:cstheme="minorHAnsi"/>
                <w:color w:val="auto"/>
                <w:sz w:val="20"/>
                <w:szCs w:val="20"/>
                <w:lang w:val="en-GB" w:eastAsia="es-ES_tradnl"/>
              </w:rPr>
              <w:t>47,93</w:t>
            </w:r>
          </w:p>
        </w:tc>
        <w:tc>
          <w:tcPr>
            <w:cnfStyle w:val="000010000000"/>
            <w:tcW w:w="658" w:type="dxa"/>
            <w:tcBorders>
              <w:left w:val="none" w:sz="0" w:space="0" w:color="auto"/>
              <w:bottom w:val="none" w:sz="0" w:space="0" w:color="auto"/>
              <w:right w:val="none" w:sz="0" w:space="0" w:color="auto"/>
            </w:tcBorders>
          </w:tcPr>
          <w:p w:rsidR="00A42699" w:rsidRPr="00277328" w:rsidRDefault="00A42699" w:rsidP="005D2DEE">
            <w:pPr>
              <w:jc w:val="center"/>
              <w:rPr>
                <w:rFonts w:cstheme="minorHAnsi"/>
                <w:color w:val="auto"/>
                <w:sz w:val="20"/>
                <w:szCs w:val="20"/>
                <w:lang w:val="en-GB" w:eastAsia="es-ES_tradnl"/>
              </w:rPr>
            </w:pPr>
            <w:r w:rsidRPr="00277328">
              <w:rPr>
                <w:rFonts w:cstheme="minorHAnsi"/>
                <w:color w:val="auto"/>
                <w:sz w:val="20"/>
                <w:szCs w:val="20"/>
                <w:lang w:val="en-GB" w:eastAsia="es-ES_tradnl"/>
              </w:rPr>
              <w:t>11</w:t>
            </w:r>
          </w:p>
        </w:tc>
        <w:tc>
          <w:tcPr>
            <w:tcW w:w="580" w:type="dxa"/>
          </w:tcPr>
          <w:p w:rsidR="00A42699" w:rsidRPr="00277328" w:rsidRDefault="00A42699" w:rsidP="005D2DEE">
            <w:pPr>
              <w:jc w:val="center"/>
              <w:cnfStyle w:val="000000000000"/>
              <w:rPr>
                <w:rFonts w:cstheme="minorHAnsi"/>
                <w:color w:val="auto"/>
                <w:sz w:val="20"/>
                <w:szCs w:val="20"/>
                <w:lang w:val="en-GB" w:eastAsia="es-ES_tradnl"/>
              </w:rPr>
            </w:pPr>
            <w:r w:rsidRPr="00277328">
              <w:rPr>
                <w:rFonts w:cstheme="minorHAnsi"/>
                <w:color w:val="auto"/>
                <w:sz w:val="20"/>
                <w:szCs w:val="20"/>
                <w:lang w:val="en-GB" w:eastAsia="es-ES_tradnl"/>
              </w:rPr>
              <w:t>4</w:t>
            </w:r>
          </w:p>
        </w:tc>
        <w:tc>
          <w:tcPr>
            <w:cnfStyle w:val="000010000000"/>
            <w:tcW w:w="887" w:type="dxa"/>
            <w:tcBorders>
              <w:left w:val="none" w:sz="0" w:space="0" w:color="auto"/>
              <w:bottom w:val="none" w:sz="0" w:space="0" w:color="auto"/>
              <w:right w:val="none" w:sz="0" w:space="0" w:color="auto"/>
            </w:tcBorders>
          </w:tcPr>
          <w:p w:rsidR="00A42699" w:rsidRPr="00277328" w:rsidRDefault="00A42699" w:rsidP="005D2DEE">
            <w:pPr>
              <w:jc w:val="center"/>
              <w:rPr>
                <w:rFonts w:cstheme="minorHAnsi"/>
                <w:color w:val="auto"/>
                <w:sz w:val="20"/>
                <w:szCs w:val="20"/>
                <w:lang w:val="en-GB" w:eastAsia="es-ES_tradnl"/>
              </w:rPr>
            </w:pPr>
            <w:r w:rsidRPr="00277328">
              <w:rPr>
                <w:rFonts w:cstheme="minorHAnsi"/>
                <w:color w:val="auto"/>
                <w:sz w:val="20"/>
                <w:szCs w:val="20"/>
                <w:lang w:val="en-GB" w:eastAsia="es-ES_tradnl"/>
              </w:rPr>
              <w:t>13,60</w:t>
            </w:r>
          </w:p>
        </w:tc>
        <w:tc>
          <w:tcPr>
            <w:tcW w:w="887" w:type="dxa"/>
          </w:tcPr>
          <w:p w:rsidR="00A42699" w:rsidRPr="00277328" w:rsidRDefault="00A42699" w:rsidP="005D2DEE">
            <w:pPr>
              <w:jc w:val="center"/>
              <w:cnfStyle w:val="000000000000"/>
              <w:rPr>
                <w:rFonts w:cstheme="minorHAnsi"/>
                <w:color w:val="auto"/>
                <w:sz w:val="20"/>
                <w:szCs w:val="20"/>
                <w:lang w:val="en-GB" w:eastAsia="es-ES_tradnl"/>
              </w:rPr>
            </w:pPr>
            <w:r w:rsidRPr="00277328">
              <w:rPr>
                <w:rFonts w:cstheme="minorHAnsi"/>
                <w:color w:val="auto"/>
                <w:sz w:val="20"/>
                <w:szCs w:val="20"/>
                <w:lang w:val="en-GB" w:eastAsia="es-ES_tradnl"/>
              </w:rPr>
              <w:t>8</w:t>
            </w:r>
          </w:p>
        </w:tc>
        <w:tc>
          <w:tcPr>
            <w:cnfStyle w:val="000010000000"/>
            <w:tcW w:w="761" w:type="dxa"/>
            <w:tcBorders>
              <w:left w:val="none" w:sz="0" w:space="0" w:color="auto"/>
              <w:bottom w:val="none" w:sz="0" w:space="0" w:color="auto"/>
              <w:right w:val="none" w:sz="0" w:space="0" w:color="auto"/>
            </w:tcBorders>
          </w:tcPr>
          <w:p w:rsidR="00A42699" w:rsidRPr="00277328" w:rsidRDefault="00A42699" w:rsidP="005D2DEE">
            <w:pPr>
              <w:jc w:val="center"/>
              <w:rPr>
                <w:rFonts w:cstheme="minorHAnsi"/>
                <w:color w:val="auto"/>
                <w:sz w:val="20"/>
                <w:szCs w:val="20"/>
                <w:lang w:val="en-GB" w:eastAsia="es-ES_tradnl"/>
              </w:rPr>
            </w:pPr>
            <w:r w:rsidRPr="00277328">
              <w:rPr>
                <w:rFonts w:cstheme="minorHAnsi"/>
                <w:color w:val="auto"/>
                <w:sz w:val="20"/>
                <w:szCs w:val="20"/>
                <w:lang w:val="en-GB" w:eastAsia="es-ES_tradnl"/>
              </w:rPr>
              <w:t>0</w:t>
            </w:r>
          </w:p>
        </w:tc>
        <w:tc>
          <w:tcPr>
            <w:tcW w:w="760" w:type="dxa"/>
          </w:tcPr>
          <w:p w:rsidR="00A42699" w:rsidRPr="00277328" w:rsidRDefault="00A42699" w:rsidP="005D2DEE">
            <w:pPr>
              <w:jc w:val="center"/>
              <w:cnfStyle w:val="000000000000"/>
              <w:rPr>
                <w:rFonts w:cstheme="minorHAnsi"/>
                <w:color w:val="auto"/>
                <w:sz w:val="20"/>
                <w:szCs w:val="20"/>
                <w:lang w:val="en-GB" w:eastAsia="es-ES_tradnl"/>
              </w:rPr>
            </w:pPr>
            <w:r w:rsidRPr="00277328">
              <w:rPr>
                <w:rFonts w:cstheme="minorHAnsi"/>
                <w:color w:val="auto"/>
                <w:sz w:val="20"/>
                <w:szCs w:val="20"/>
                <w:lang w:val="en-GB" w:eastAsia="es-ES_tradnl"/>
              </w:rPr>
              <w:t>2</w:t>
            </w:r>
          </w:p>
        </w:tc>
        <w:tc>
          <w:tcPr>
            <w:cnfStyle w:val="000010000000"/>
            <w:tcW w:w="634" w:type="dxa"/>
            <w:tcBorders>
              <w:left w:val="none" w:sz="0" w:space="0" w:color="auto"/>
              <w:bottom w:val="none" w:sz="0" w:space="0" w:color="auto"/>
              <w:right w:val="none" w:sz="0" w:space="0" w:color="auto"/>
            </w:tcBorders>
          </w:tcPr>
          <w:p w:rsidR="00A42699" w:rsidRPr="00277328" w:rsidRDefault="00A42699" w:rsidP="005D2DEE">
            <w:pPr>
              <w:jc w:val="center"/>
              <w:rPr>
                <w:rFonts w:cstheme="minorHAnsi"/>
                <w:color w:val="auto"/>
                <w:sz w:val="20"/>
                <w:szCs w:val="20"/>
                <w:lang w:val="en-GB" w:eastAsia="es-ES_tradnl"/>
              </w:rPr>
            </w:pPr>
            <w:r w:rsidRPr="00277328">
              <w:rPr>
                <w:rFonts w:cstheme="minorHAnsi"/>
                <w:color w:val="auto"/>
                <w:sz w:val="20"/>
                <w:szCs w:val="20"/>
                <w:lang w:val="en-GB" w:eastAsia="es-ES_tradnl"/>
              </w:rPr>
              <w:t>1</w:t>
            </w:r>
          </w:p>
        </w:tc>
        <w:tc>
          <w:tcPr>
            <w:tcW w:w="507" w:type="dxa"/>
          </w:tcPr>
          <w:p w:rsidR="00A42699" w:rsidRPr="00277328" w:rsidRDefault="00A42699" w:rsidP="005D2DEE">
            <w:pPr>
              <w:jc w:val="center"/>
              <w:cnfStyle w:val="000000000000"/>
              <w:rPr>
                <w:rFonts w:cstheme="minorHAnsi"/>
                <w:color w:val="auto"/>
                <w:sz w:val="20"/>
                <w:szCs w:val="20"/>
                <w:lang w:val="en-GB" w:eastAsia="es-ES_tradnl"/>
              </w:rPr>
            </w:pPr>
            <w:r w:rsidRPr="00277328">
              <w:rPr>
                <w:rFonts w:cstheme="minorHAnsi"/>
                <w:color w:val="auto"/>
                <w:sz w:val="20"/>
                <w:szCs w:val="20"/>
                <w:lang w:val="en-GB" w:eastAsia="es-ES_tradnl"/>
              </w:rPr>
              <w:t>3</w:t>
            </w:r>
          </w:p>
        </w:tc>
        <w:tc>
          <w:tcPr>
            <w:cnfStyle w:val="000010000000"/>
            <w:tcW w:w="512" w:type="dxa"/>
            <w:tcBorders>
              <w:left w:val="none" w:sz="0" w:space="0" w:color="auto"/>
              <w:bottom w:val="none" w:sz="0" w:space="0" w:color="auto"/>
              <w:right w:val="none" w:sz="0" w:space="0" w:color="auto"/>
            </w:tcBorders>
          </w:tcPr>
          <w:p w:rsidR="00A42699" w:rsidRPr="00277328" w:rsidRDefault="00A42699" w:rsidP="005D2DEE">
            <w:pPr>
              <w:jc w:val="center"/>
              <w:rPr>
                <w:rFonts w:cstheme="minorHAnsi"/>
                <w:color w:val="auto"/>
                <w:sz w:val="20"/>
                <w:szCs w:val="20"/>
                <w:lang w:val="en-GB" w:eastAsia="es-ES_tradnl"/>
              </w:rPr>
            </w:pPr>
            <w:r w:rsidRPr="00277328">
              <w:rPr>
                <w:rFonts w:cstheme="minorHAnsi"/>
                <w:color w:val="auto"/>
                <w:sz w:val="20"/>
                <w:szCs w:val="20"/>
                <w:lang w:val="en-GB" w:eastAsia="es-ES_tradnl"/>
              </w:rPr>
              <w:t>1</w:t>
            </w:r>
          </w:p>
        </w:tc>
      </w:tr>
      <w:tr w:rsidR="00126F02" w:rsidRPr="00277328" w:rsidTr="006A5A0D">
        <w:trPr>
          <w:cnfStyle w:val="000000100000"/>
          <w:trHeight w:val="215"/>
        </w:trPr>
        <w:tc>
          <w:tcPr>
            <w:cnfStyle w:val="000010000000"/>
            <w:tcW w:w="1101" w:type="dxa"/>
          </w:tcPr>
          <w:p w:rsidR="00A42699" w:rsidRPr="00277328" w:rsidRDefault="00A42699" w:rsidP="005D2DEE">
            <w:pPr>
              <w:rPr>
                <w:rFonts w:cstheme="minorHAnsi"/>
                <w:b/>
                <w:color w:val="auto"/>
                <w:sz w:val="20"/>
                <w:szCs w:val="20"/>
                <w:lang w:val="en-GB" w:eastAsia="es-ES_tradnl"/>
              </w:rPr>
            </w:pPr>
            <w:r w:rsidRPr="00277328">
              <w:rPr>
                <w:rFonts w:cstheme="minorHAnsi"/>
                <w:b/>
                <w:color w:val="auto"/>
                <w:sz w:val="20"/>
                <w:szCs w:val="20"/>
                <w:lang w:val="en-GB" w:eastAsia="es-ES_tradnl"/>
              </w:rPr>
              <w:t>Other regions</w:t>
            </w:r>
          </w:p>
        </w:tc>
        <w:tc>
          <w:tcPr>
            <w:tcW w:w="567" w:type="dxa"/>
          </w:tcPr>
          <w:p w:rsidR="00A42699" w:rsidRPr="00277328" w:rsidRDefault="00A42699" w:rsidP="005D2DEE">
            <w:pPr>
              <w:jc w:val="center"/>
              <w:cnfStyle w:val="000000100000"/>
              <w:rPr>
                <w:rFonts w:cstheme="minorHAnsi"/>
                <w:color w:val="auto"/>
                <w:sz w:val="20"/>
                <w:szCs w:val="20"/>
                <w:lang w:val="en-GB" w:eastAsia="es-ES_tradnl"/>
              </w:rPr>
            </w:pPr>
            <w:r w:rsidRPr="00277328">
              <w:rPr>
                <w:rFonts w:cstheme="minorHAnsi"/>
                <w:color w:val="auto"/>
                <w:sz w:val="20"/>
                <w:szCs w:val="20"/>
                <w:lang w:val="en-GB" w:eastAsia="es-ES_tradnl"/>
              </w:rPr>
              <w:t>5</w:t>
            </w:r>
          </w:p>
        </w:tc>
        <w:tc>
          <w:tcPr>
            <w:cnfStyle w:val="000010000000"/>
            <w:tcW w:w="850" w:type="dxa"/>
          </w:tcPr>
          <w:p w:rsidR="00A42699" w:rsidRPr="00277328" w:rsidRDefault="00A42699" w:rsidP="005D2DEE">
            <w:pPr>
              <w:jc w:val="center"/>
              <w:rPr>
                <w:rFonts w:cstheme="minorHAnsi"/>
                <w:color w:val="auto"/>
                <w:sz w:val="20"/>
                <w:szCs w:val="20"/>
                <w:lang w:val="en-GB" w:eastAsia="es-ES_tradnl"/>
              </w:rPr>
            </w:pPr>
            <w:r w:rsidRPr="00277328">
              <w:rPr>
                <w:rFonts w:cstheme="minorHAnsi"/>
                <w:color w:val="auto"/>
                <w:sz w:val="20"/>
                <w:szCs w:val="20"/>
                <w:lang w:val="en-GB" w:eastAsia="es-ES_tradnl"/>
              </w:rPr>
              <w:t>7,25</w:t>
            </w:r>
          </w:p>
        </w:tc>
        <w:tc>
          <w:tcPr>
            <w:tcW w:w="1185" w:type="dxa"/>
          </w:tcPr>
          <w:p w:rsidR="00A42699" w:rsidRPr="00277328" w:rsidRDefault="00A42699" w:rsidP="005D2DEE">
            <w:pPr>
              <w:jc w:val="center"/>
              <w:cnfStyle w:val="000000100000"/>
              <w:rPr>
                <w:rFonts w:cstheme="minorHAnsi"/>
                <w:color w:val="auto"/>
                <w:sz w:val="20"/>
                <w:szCs w:val="20"/>
                <w:lang w:val="en-GB" w:eastAsia="es-ES_tradnl"/>
              </w:rPr>
            </w:pPr>
            <w:r w:rsidRPr="00277328">
              <w:rPr>
                <w:rFonts w:cstheme="minorHAnsi"/>
                <w:color w:val="auto"/>
                <w:sz w:val="20"/>
                <w:szCs w:val="20"/>
                <w:lang w:val="en-GB" w:eastAsia="es-ES_tradnl"/>
              </w:rPr>
              <w:t>42,80</w:t>
            </w:r>
          </w:p>
        </w:tc>
        <w:tc>
          <w:tcPr>
            <w:cnfStyle w:val="000010000000"/>
            <w:tcW w:w="658" w:type="dxa"/>
          </w:tcPr>
          <w:p w:rsidR="00A42699" w:rsidRPr="00277328" w:rsidRDefault="00A42699" w:rsidP="005D2DEE">
            <w:pPr>
              <w:jc w:val="center"/>
              <w:rPr>
                <w:rFonts w:cstheme="minorHAnsi"/>
                <w:color w:val="auto"/>
                <w:sz w:val="20"/>
                <w:szCs w:val="20"/>
                <w:lang w:val="en-GB" w:eastAsia="es-ES_tradnl"/>
              </w:rPr>
            </w:pPr>
            <w:r w:rsidRPr="00277328">
              <w:rPr>
                <w:rFonts w:cstheme="minorHAnsi"/>
                <w:color w:val="auto"/>
                <w:sz w:val="20"/>
                <w:szCs w:val="20"/>
                <w:lang w:val="en-GB" w:eastAsia="es-ES_tradnl"/>
              </w:rPr>
              <w:t>2</w:t>
            </w:r>
          </w:p>
        </w:tc>
        <w:tc>
          <w:tcPr>
            <w:tcW w:w="580" w:type="dxa"/>
          </w:tcPr>
          <w:p w:rsidR="00A42699" w:rsidRPr="00277328" w:rsidRDefault="00A42699" w:rsidP="005D2DEE">
            <w:pPr>
              <w:jc w:val="center"/>
              <w:cnfStyle w:val="000000100000"/>
              <w:rPr>
                <w:rFonts w:cstheme="minorHAnsi"/>
                <w:color w:val="auto"/>
                <w:sz w:val="20"/>
                <w:szCs w:val="20"/>
                <w:lang w:val="en-GB" w:eastAsia="es-ES_tradnl"/>
              </w:rPr>
            </w:pPr>
            <w:r w:rsidRPr="00277328">
              <w:rPr>
                <w:rFonts w:cstheme="minorHAnsi"/>
                <w:color w:val="auto"/>
                <w:sz w:val="20"/>
                <w:szCs w:val="20"/>
                <w:lang w:val="en-GB" w:eastAsia="es-ES_tradnl"/>
              </w:rPr>
              <w:t>3</w:t>
            </w:r>
          </w:p>
        </w:tc>
        <w:tc>
          <w:tcPr>
            <w:cnfStyle w:val="000010000000"/>
            <w:tcW w:w="887" w:type="dxa"/>
          </w:tcPr>
          <w:p w:rsidR="00A42699" w:rsidRPr="00277328" w:rsidRDefault="00A42699" w:rsidP="005D2DEE">
            <w:pPr>
              <w:jc w:val="center"/>
              <w:rPr>
                <w:rFonts w:cstheme="minorHAnsi"/>
                <w:color w:val="auto"/>
                <w:sz w:val="20"/>
                <w:szCs w:val="20"/>
                <w:lang w:val="en-GB" w:eastAsia="es-ES_tradnl"/>
              </w:rPr>
            </w:pPr>
            <w:r w:rsidRPr="00277328">
              <w:rPr>
                <w:rFonts w:cstheme="minorHAnsi"/>
                <w:color w:val="auto"/>
                <w:sz w:val="20"/>
                <w:szCs w:val="20"/>
                <w:lang w:val="en-GB" w:eastAsia="es-ES_tradnl"/>
              </w:rPr>
              <w:t>11,20</w:t>
            </w:r>
          </w:p>
        </w:tc>
        <w:tc>
          <w:tcPr>
            <w:tcW w:w="887" w:type="dxa"/>
          </w:tcPr>
          <w:p w:rsidR="00A42699" w:rsidRPr="00277328" w:rsidRDefault="00A42699" w:rsidP="005D2DEE">
            <w:pPr>
              <w:jc w:val="center"/>
              <w:cnfStyle w:val="000000100000"/>
              <w:rPr>
                <w:rFonts w:cstheme="minorHAnsi"/>
                <w:color w:val="auto"/>
                <w:sz w:val="20"/>
                <w:szCs w:val="20"/>
                <w:lang w:val="en-GB" w:eastAsia="es-ES_tradnl"/>
              </w:rPr>
            </w:pPr>
            <w:r w:rsidRPr="00277328">
              <w:rPr>
                <w:rFonts w:cstheme="minorHAnsi"/>
                <w:color w:val="auto"/>
                <w:sz w:val="20"/>
                <w:szCs w:val="20"/>
                <w:lang w:val="en-GB" w:eastAsia="es-ES_tradnl"/>
              </w:rPr>
              <w:t>3</w:t>
            </w:r>
          </w:p>
        </w:tc>
        <w:tc>
          <w:tcPr>
            <w:cnfStyle w:val="000010000000"/>
            <w:tcW w:w="761" w:type="dxa"/>
          </w:tcPr>
          <w:p w:rsidR="00A42699" w:rsidRPr="00277328" w:rsidRDefault="00A42699" w:rsidP="005D2DEE">
            <w:pPr>
              <w:jc w:val="center"/>
              <w:rPr>
                <w:rFonts w:cstheme="minorHAnsi"/>
                <w:color w:val="auto"/>
                <w:sz w:val="20"/>
                <w:szCs w:val="20"/>
                <w:lang w:val="en-GB" w:eastAsia="es-ES_tradnl"/>
              </w:rPr>
            </w:pPr>
            <w:r w:rsidRPr="00277328">
              <w:rPr>
                <w:rFonts w:cstheme="minorHAnsi"/>
                <w:color w:val="auto"/>
                <w:sz w:val="20"/>
                <w:szCs w:val="20"/>
                <w:lang w:val="en-GB" w:eastAsia="es-ES_tradnl"/>
              </w:rPr>
              <w:t>2</w:t>
            </w:r>
          </w:p>
        </w:tc>
        <w:tc>
          <w:tcPr>
            <w:tcW w:w="760" w:type="dxa"/>
          </w:tcPr>
          <w:p w:rsidR="00A42699" w:rsidRPr="00277328" w:rsidRDefault="00A42699" w:rsidP="005D2DEE">
            <w:pPr>
              <w:jc w:val="center"/>
              <w:cnfStyle w:val="000000100000"/>
              <w:rPr>
                <w:rFonts w:cstheme="minorHAnsi"/>
                <w:color w:val="auto"/>
                <w:sz w:val="20"/>
                <w:szCs w:val="20"/>
                <w:lang w:val="en-GB" w:eastAsia="es-ES_tradnl"/>
              </w:rPr>
            </w:pPr>
            <w:r w:rsidRPr="00277328">
              <w:rPr>
                <w:rFonts w:cstheme="minorHAnsi"/>
                <w:color w:val="auto"/>
                <w:sz w:val="20"/>
                <w:szCs w:val="20"/>
                <w:lang w:val="en-GB" w:eastAsia="es-ES_tradnl"/>
              </w:rPr>
              <w:t>0</w:t>
            </w:r>
          </w:p>
        </w:tc>
        <w:tc>
          <w:tcPr>
            <w:cnfStyle w:val="000010000000"/>
            <w:tcW w:w="634" w:type="dxa"/>
          </w:tcPr>
          <w:p w:rsidR="00A42699" w:rsidRPr="00277328" w:rsidRDefault="00A42699" w:rsidP="005D2DEE">
            <w:pPr>
              <w:jc w:val="center"/>
              <w:rPr>
                <w:rFonts w:cstheme="minorHAnsi"/>
                <w:color w:val="auto"/>
                <w:sz w:val="20"/>
                <w:szCs w:val="20"/>
                <w:lang w:val="en-GB" w:eastAsia="es-ES_tradnl"/>
              </w:rPr>
            </w:pPr>
            <w:r w:rsidRPr="00277328">
              <w:rPr>
                <w:rFonts w:cstheme="minorHAnsi"/>
                <w:color w:val="auto"/>
                <w:sz w:val="20"/>
                <w:szCs w:val="20"/>
                <w:lang w:val="en-GB" w:eastAsia="es-ES_tradnl"/>
              </w:rPr>
              <w:t>0</w:t>
            </w:r>
          </w:p>
        </w:tc>
        <w:tc>
          <w:tcPr>
            <w:tcW w:w="507" w:type="dxa"/>
          </w:tcPr>
          <w:p w:rsidR="00A42699" w:rsidRPr="00277328" w:rsidRDefault="00A42699" w:rsidP="005D2DEE">
            <w:pPr>
              <w:jc w:val="center"/>
              <w:cnfStyle w:val="000000100000"/>
              <w:rPr>
                <w:rFonts w:cstheme="minorHAnsi"/>
                <w:color w:val="auto"/>
                <w:sz w:val="20"/>
                <w:szCs w:val="20"/>
                <w:lang w:val="en-GB" w:eastAsia="es-ES_tradnl"/>
              </w:rPr>
            </w:pPr>
            <w:r w:rsidRPr="00277328">
              <w:rPr>
                <w:rFonts w:cstheme="minorHAnsi"/>
                <w:color w:val="auto"/>
                <w:sz w:val="20"/>
                <w:szCs w:val="20"/>
                <w:lang w:val="en-GB" w:eastAsia="es-ES_tradnl"/>
              </w:rPr>
              <w:t>0</w:t>
            </w:r>
          </w:p>
        </w:tc>
        <w:tc>
          <w:tcPr>
            <w:cnfStyle w:val="000010000000"/>
            <w:tcW w:w="512" w:type="dxa"/>
            <w:noWrap/>
          </w:tcPr>
          <w:p w:rsidR="00A42699" w:rsidRPr="00277328" w:rsidRDefault="00A42699" w:rsidP="005D2DEE">
            <w:pPr>
              <w:jc w:val="center"/>
              <w:rPr>
                <w:rFonts w:cstheme="minorHAnsi"/>
                <w:color w:val="auto"/>
                <w:sz w:val="20"/>
                <w:szCs w:val="20"/>
                <w:lang w:val="en-GB" w:eastAsia="es-ES_tradnl"/>
              </w:rPr>
            </w:pPr>
            <w:r w:rsidRPr="00277328">
              <w:rPr>
                <w:rFonts w:cstheme="minorHAnsi"/>
                <w:color w:val="auto"/>
                <w:sz w:val="20"/>
                <w:szCs w:val="20"/>
                <w:lang w:val="en-GB" w:eastAsia="es-ES_tradnl"/>
              </w:rPr>
              <w:t>0</w:t>
            </w:r>
          </w:p>
        </w:tc>
      </w:tr>
      <w:tr w:rsidR="001C44F7" w:rsidRPr="00277328" w:rsidTr="006573F1">
        <w:trPr>
          <w:trHeight w:val="403"/>
        </w:trPr>
        <w:tc>
          <w:tcPr>
            <w:cnfStyle w:val="000010000000"/>
            <w:tcW w:w="1101" w:type="dxa"/>
            <w:tcBorders>
              <w:left w:val="none" w:sz="0" w:space="0" w:color="auto"/>
              <w:right w:val="none" w:sz="0" w:space="0" w:color="auto"/>
            </w:tcBorders>
          </w:tcPr>
          <w:p w:rsidR="00A42699" w:rsidRPr="00277328" w:rsidRDefault="00A42699" w:rsidP="005D2DEE">
            <w:pPr>
              <w:rPr>
                <w:rFonts w:cstheme="minorHAnsi"/>
                <w:b/>
                <w:color w:val="auto"/>
                <w:sz w:val="20"/>
                <w:szCs w:val="20"/>
                <w:lang w:val="en-GB" w:eastAsia="es-ES_tradnl"/>
              </w:rPr>
            </w:pPr>
            <w:r w:rsidRPr="00277328">
              <w:rPr>
                <w:rFonts w:cstheme="minorHAnsi"/>
                <w:b/>
                <w:color w:val="auto"/>
                <w:sz w:val="20"/>
                <w:szCs w:val="20"/>
                <w:lang w:val="en-GB" w:eastAsia="es-ES_tradnl"/>
              </w:rPr>
              <w:t>National level</w:t>
            </w:r>
          </w:p>
        </w:tc>
        <w:tc>
          <w:tcPr>
            <w:tcW w:w="567" w:type="dxa"/>
          </w:tcPr>
          <w:p w:rsidR="00A42699" w:rsidRPr="00277328" w:rsidRDefault="00A42699" w:rsidP="005D2DEE">
            <w:pPr>
              <w:jc w:val="center"/>
              <w:cnfStyle w:val="000000000000"/>
              <w:rPr>
                <w:rFonts w:cstheme="minorHAnsi"/>
                <w:color w:val="auto"/>
                <w:sz w:val="20"/>
                <w:szCs w:val="20"/>
                <w:lang w:val="en-GB" w:eastAsia="es-ES_tradnl"/>
              </w:rPr>
            </w:pPr>
            <w:r w:rsidRPr="00277328">
              <w:rPr>
                <w:rFonts w:cstheme="minorHAnsi"/>
                <w:color w:val="auto"/>
                <w:sz w:val="20"/>
                <w:szCs w:val="20"/>
                <w:lang w:val="en-GB" w:eastAsia="es-ES_tradnl"/>
              </w:rPr>
              <w:t>5</w:t>
            </w:r>
          </w:p>
        </w:tc>
        <w:tc>
          <w:tcPr>
            <w:cnfStyle w:val="000010000000"/>
            <w:tcW w:w="850" w:type="dxa"/>
            <w:tcBorders>
              <w:left w:val="none" w:sz="0" w:space="0" w:color="auto"/>
              <w:right w:val="none" w:sz="0" w:space="0" w:color="auto"/>
            </w:tcBorders>
          </w:tcPr>
          <w:p w:rsidR="00A42699" w:rsidRPr="00277328" w:rsidRDefault="00A42699" w:rsidP="005D2DEE">
            <w:pPr>
              <w:jc w:val="center"/>
              <w:rPr>
                <w:rFonts w:cstheme="minorHAnsi"/>
                <w:color w:val="auto"/>
                <w:sz w:val="20"/>
                <w:szCs w:val="20"/>
                <w:lang w:val="en-GB" w:eastAsia="es-ES_tradnl"/>
              </w:rPr>
            </w:pPr>
            <w:r w:rsidRPr="00277328">
              <w:rPr>
                <w:rFonts w:cstheme="minorHAnsi"/>
                <w:color w:val="auto"/>
                <w:sz w:val="20"/>
                <w:szCs w:val="20"/>
                <w:lang w:val="en-GB" w:eastAsia="es-ES_tradnl"/>
              </w:rPr>
              <w:t>7,25</w:t>
            </w:r>
          </w:p>
        </w:tc>
        <w:tc>
          <w:tcPr>
            <w:tcW w:w="1185" w:type="dxa"/>
            <w:noWrap/>
          </w:tcPr>
          <w:p w:rsidR="00A42699" w:rsidRPr="00277328" w:rsidRDefault="00A42699" w:rsidP="005D2DEE">
            <w:pPr>
              <w:jc w:val="center"/>
              <w:cnfStyle w:val="000000000000"/>
              <w:rPr>
                <w:rFonts w:cstheme="minorHAnsi"/>
                <w:color w:val="auto"/>
                <w:sz w:val="20"/>
                <w:szCs w:val="20"/>
                <w:lang w:val="en-GB" w:eastAsia="es-ES_tradnl"/>
              </w:rPr>
            </w:pPr>
            <w:r w:rsidRPr="00277328">
              <w:rPr>
                <w:rFonts w:cstheme="minorHAnsi"/>
                <w:color w:val="auto"/>
                <w:sz w:val="20"/>
                <w:szCs w:val="20"/>
                <w:lang w:val="en-GB" w:eastAsia="es-ES_tradnl"/>
              </w:rPr>
              <w:t>51,40</w:t>
            </w:r>
          </w:p>
        </w:tc>
        <w:tc>
          <w:tcPr>
            <w:cnfStyle w:val="000010000000"/>
            <w:tcW w:w="658" w:type="dxa"/>
            <w:tcBorders>
              <w:left w:val="none" w:sz="0" w:space="0" w:color="auto"/>
              <w:right w:val="none" w:sz="0" w:space="0" w:color="auto"/>
            </w:tcBorders>
          </w:tcPr>
          <w:p w:rsidR="00A42699" w:rsidRPr="00277328" w:rsidRDefault="00A42699" w:rsidP="005D2DEE">
            <w:pPr>
              <w:jc w:val="center"/>
              <w:rPr>
                <w:rFonts w:cstheme="minorHAnsi"/>
                <w:color w:val="auto"/>
                <w:sz w:val="20"/>
                <w:szCs w:val="20"/>
                <w:lang w:val="en-GB" w:eastAsia="es-ES_tradnl"/>
              </w:rPr>
            </w:pPr>
            <w:r w:rsidRPr="00277328">
              <w:rPr>
                <w:rFonts w:cstheme="minorHAnsi"/>
                <w:color w:val="auto"/>
                <w:sz w:val="20"/>
                <w:szCs w:val="20"/>
                <w:lang w:val="en-GB" w:eastAsia="es-ES_tradnl"/>
              </w:rPr>
              <w:t>4</w:t>
            </w:r>
          </w:p>
        </w:tc>
        <w:tc>
          <w:tcPr>
            <w:tcW w:w="580" w:type="dxa"/>
          </w:tcPr>
          <w:p w:rsidR="00A42699" w:rsidRPr="00277328" w:rsidRDefault="00A42699" w:rsidP="005D2DEE">
            <w:pPr>
              <w:jc w:val="center"/>
              <w:cnfStyle w:val="000000000000"/>
              <w:rPr>
                <w:rFonts w:cstheme="minorHAnsi"/>
                <w:color w:val="auto"/>
                <w:sz w:val="20"/>
                <w:szCs w:val="20"/>
                <w:lang w:val="en-GB" w:eastAsia="es-ES_tradnl"/>
              </w:rPr>
            </w:pPr>
            <w:r w:rsidRPr="00277328">
              <w:rPr>
                <w:rFonts w:cstheme="minorHAnsi"/>
                <w:color w:val="auto"/>
                <w:sz w:val="20"/>
                <w:szCs w:val="20"/>
                <w:lang w:val="en-GB" w:eastAsia="es-ES_tradnl"/>
              </w:rPr>
              <w:t>1</w:t>
            </w:r>
          </w:p>
        </w:tc>
        <w:tc>
          <w:tcPr>
            <w:cnfStyle w:val="000010000000"/>
            <w:tcW w:w="887" w:type="dxa"/>
            <w:tcBorders>
              <w:left w:val="none" w:sz="0" w:space="0" w:color="auto"/>
              <w:right w:val="none" w:sz="0" w:space="0" w:color="auto"/>
            </w:tcBorders>
            <w:noWrap/>
          </w:tcPr>
          <w:p w:rsidR="00A42699" w:rsidRPr="00277328" w:rsidRDefault="00A42699" w:rsidP="005D2DEE">
            <w:pPr>
              <w:jc w:val="center"/>
              <w:rPr>
                <w:rFonts w:cstheme="minorHAnsi"/>
                <w:color w:val="auto"/>
                <w:sz w:val="20"/>
                <w:szCs w:val="20"/>
                <w:lang w:val="en-GB" w:eastAsia="es-ES_tradnl"/>
              </w:rPr>
            </w:pPr>
            <w:r w:rsidRPr="00277328">
              <w:rPr>
                <w:rFonts w:cstheme="minorHAnsi"/>
                <w:color w:val="auto"/>
                <w:sz w:val="20"/>
                <w:szCs w:val="20"/>
                <w:lang w:val="en-GB" w:eastAsia="es-ES_tradnl"/>
              </w:rPr>
              <w:t>20,00</w:t>
            </w:r>
          </w:p>
        </w:tc>
        <w:tc>
          <w:tcPr>
            <w:tcW w:w="887" w:type="dxa"/>
          </w:tcPr>
          <w:p w:rsidR="00A42699" w:rsidRPr="00277328" w:rsidRDefault="00A42699" w:rsidP="005D2DEE">
            <w:pPr>
              <w:jc w:val="center"/>
              <w:cnfStyle w:val="000000000000"/>
              <w:rPr>
                <w:rFonts w:cstheme="minorHAnsi"/>
                <w:color w:val="auto"/>
                <w:sz w:val="20"/>
                <w:szCs w:val="20"/>
                <w:lang w:val="en-GB" w:eastAsia="es-ES_tradnl"/>
              </w:rPr>
            </w:pPr>
            <w:r w:rsidRPr="00277328">
              <w:rPr>
                <w:rFonts w:cstheme="minorHAnsi"/>
                <w:color w:val="auto"/>
                <w:sz w:val="20"/>
                <w:szCs w:val="20"/>
                <w:lang w:val="en-GB" w:eastAsia="es-ES_tradnl"/>
              </w:rPr>
              <w:t>5</w:t>
            </w:r>
          </w:p>
        </w:tc>
        <w:tc>
          <w:tcPr>
            <w:cnfStyle w:val="000010000000"/>
            <w:tcW w:w="761" w:type="dxa"/>
            <w:tcBorders>
              <w:left w:val="none" w:sz="0" w:space="0" w:color="auto"/>
              <w:right w:val="none" w:sz="0" w:space="0" w:color="auto"/>
            </w:tcBorders>
          </w:tcPr>
          <w:p w:rsidR="00A42699" w:rsidRPr="00277328" w:rsidRDefault="00A42699" w:rsidP="005D2DEE">
            <w:pPr>
              <w:jc w:val="center"/>
              <w:rPr>
                <w:rFonts w:cstheme="minorHAnsi"/>
                <w:color w:val="auto"/>
                <w:sz w:val="20"/>
                <w:szCs w:val="20"/>
                <w:lang w:val="en-GB" w:eastAsia="es-ES_tradnl"/>
              </w:rPr>
            </w:pPr>
            <w:r w:rsidRPr="00277328">
              <w:rPr>
                <w:rFonts w:cstheme="minorHAnsi"/>
                <w:color w:val="auto"/>
                <w:sz w:val="20"/>
                <w:szCs w:val="20"/>
                <w:lang w:val="en-GB" w:eastAsia="es-ES_tradnl"/>
              </w:rPr>
              <w:t>0</w:t>
            </w:r>
          </w:p>
        </w:tc>
        <w:tc>
          <w:tcPr>
            <w:tcW w:w="760" w:type="dxa"/>
          </w:tcPr>
          <w:p w:rsidR="00A42699" w:rsidRPr="00277328" w:rsidRDefault="00A42699" w:rsidP="005D2DEE">
            <w:pPr>
              <w:jc w:val="center"/>
              <w:cnfStyle w:val="000000000000"/>
              <w:rPr>
                <w:rFonts w:cstheme="minorHAnsi"/>
                <w:color w:val="auto"/>
                <w:sz w:val="20"/>
                <w:szCs w:val="20"/>
                <w:lang w:val="en-GB" w:eastAsia="es-ES_tradnl"/>
              </w:rPr>
            </w:pPr>
            <w:r w:rsidRPr="00277328">
              <w:rPr>
                <w:rFonts w:cstheme="minorHAnsi"/>
                <w:color w:val="auto"/>
                <w:sz w:val="20"/>
                <w:szCs w:val="20"/>
                <w:lang w:val="en-GB" w:eastAsia="es-ES_tradnl"/>
              </w:rPr>
              <w:t>0</w:t>
            </w:r>
          </w:p>
        </w:tc>
        <w:tc>
          <w:tcPr>
            <w:cnfStyle w:val="000010000000"/>
            <w:tcW w:w="634" w:type="dxa"/>
            <w:tcBorders>
              <w:left w:val="none" w:sz="0" w:space="0" w:color="auto"/>
              <w:right w:val="none" w:sz="0" w:space="0" w:color="auto"/>
            </w:tcBorders>
          </w:tcPr>
          <w:p w:rsidR="00A42699" w:rsidRPr="00277328" w:rsidRDefault="00A42699" w:rsidP="005D2DEE">
            <w:pPr>
              <w:jc w:val="center"/>
              <w:rPr>
                <w:rFonts w:cstheme="minorHAnsi"/>
                <w:color w:val="auto"/>
                <w:sz w:val="20"/>
                <w:szCs w:val="20"/>
                <w:lang w:val="en-GB" w:eastAsia="es-ES_tradnl"/>
              </w:rPr>
            </w:pPr>
            <w:r w:rsidRPr="00277328">
              <w:rPr>
                <w:rFonts w:cstheme="minorHAnsi"/>
                <w:color w:val="auto"/>
                <w:sz w:val="20"/>
                <w:szCs w:val="20"/>
                <w:lang w:val="en-GB" w:eastAsia="es-ES_tradnl"/>
              </w:rPr>
              <w:t>0</w:t>
            </w:r>
          </w:p>
        </w:tc>
        <w:tc>
          <w:tcPr>
            <w:tcW w:w="507" w:type="dxa"/>
          </w:tcPr>
          <w:p w:rsidR="00A42699" w:rsidRPr="00277328" w:rsidRDefault="00A42699" w:rsidP="005D2DEE">
            <w:pPr>
              <w:jc w:val="center"/>
              <w:cnfStyle w:val="000000000000"/>
              <w:rPr>
                <w:rFonts w:cstheme="minorHAnsi"/>
                <w:color w:val="auto"/>
                <w:sz w:val="20"/>
                <w:szCs w:val="20"/>
                <w:lang w:val="en-GB" w:eastAsia="es-ES_tradnl"/>
              </w:rPr>
            </w:pPr>
            <w:r w:rsidRPr="00277328">
              <w:rPr>
                <w:rFonts w:cstheme="minorHAnsi"/>
                <w:color w:val="auto"/>
                <w:sz w:val="20"/>
                <w:szCs w:val="20"/>
                <w:lang w:val="en-GB" w:eastAsia="es-ES_tradnl"/>
              </w:rPr>
              <w:t>0</w:t>
            </w:r>
          </w:p>
        </w:tc>
        <w:tc>
          <w:tcPr>
            <w:cnfStyle w:val="000010000000"/>
            <w:tcW w:w="512" w:type="dxa"/>
            <w:tcBorders>
              <w:left w:val="none" w:sz="0" w:space="0" w:color="auto"/>
              <w:right w:val="none" w:sz="0" w:space="0" w:color="auto"/>
            </w:tcBorders>
          </w:tcPr>
          <w:p w:rsidR="00A42699" w:rsidRPr="00277328" w:rsidRDefault="00A42699" w:rsidP="005D2DEE">
            <w:pPr>
              <w:jc w:val="center"/>
              <w:rPr>
                <w:rFonts w:cstheme="minorHAnsi"/>
                <w:color w:val="auto"/>
                <w:sz w:val="20"/>
                <w:szCs w:val="20"/>
                <w:lang w:val="en-GB" w:eastAsia="es-ES_tradnl"/>
              </w:rPr>
            </w:pPr>
            <w:r w:rsidRPr="00277328">
              <w:rPr>
                <w:rFonts w:cstheme="minorHAnsi"/>
                <w:color w:val="auto"/>
                <w:sz w:val="20"/>
                <w:szCs w:val="20"/>
                <w:lang w:val="en-GB" w:eastAsia="es-ES_tradnl"/>
              </w:rPr>
              <w:t>0</w:t>
            </w:r>
          </w:p>
        </w:tc>
      </w:tr>
    </w:tbl>
    <w:p w:rsidR="005B5C82" w:rsidRPr="00277328" w:rsidRDefault="005B5C82" w:rsidP="00A42699">
      <w:pPr>
        <w:rPr>
          <w:sz w:val="24"/>
          <w:szCs w:val="24"/>
          <w:lang w:val="en-GB"/>
        </w:rPr>
      </w:pPr>
      <w:r>
        <w:rPr>
          <w:sz w:val="24"/>
          <w:szCs w:val="24"/>
          <w:lang w:val="en-GB"/>
        </w:rPr>
        <w:br/>
      </w:r>
    </w:p>
    <w:p w:rsidR="00A42699" w:rsidRPr="00277328" w:rsidRDefault="00A42699" w:rsidP="003414E6">
      <w:pPr>
        <w:pStyle w:val="Heading2"/>
        <w:rPr>
          <w:lang w:val="en-GB"/>
        </w:rPr>
      </w:pPr>
      <w:r w:rsidRPr="00277328">
        <w:rPr>
          <w:sz w:val="28"/>
          <w:szCs w:val="28"/>
          <w:lang w:val="en-GB"/>
        </w:rPr>
        <w:t xml:space="preserve"> </w:t>
      </w:r>
      <w:bookmarkStart w:id="22" w:name="_Toc367791014"/>
      <w:r w:rsidRPr="00277328">
        <w:rPr>
          <w:lang w:val="en-GB"/>
        </w:rPr>
        <w:t>Data analysis</w:t>
      </w:r>
      <w:bookmarkEnd w:id="22"/>
    </w:p>
    <w:p w:rsidR="00A42699" w:rsidRPr="00277328" w:rsidRDefault="00A42699" w:rsidP="00A42699">
      <w:pPr>
        <w:rPr>
          <w:rFonts w:cstheme="minorHAnsi"/>
          <w:lang w:val="en-GB"/>
        </w:rPr>
      </w:pPr>
      <w:r w:rsidRPr="00277328">
        <w:rPr>
          <w:rFonts w:cstheme="minorHAnsi"/>
          <w:lang w:val="en-GB"/>
        </w:rPr>
        <w:t xml:space="preserve">Discrete choice </w:t>
      </w:r>
      <w:r w:rsidR="00173A00" w:rsidRPr="00277328">
        <w:rPr>
          <w:rFonts w:cstheme="minorHAnsi"/>
          <w:lang w:val="en-GB"/>
        </w:rPr>
        <w:t>modelling</w:t>
      </w:r>
      <w:r w:rsidRPr="00277328">
        <w:rPr>
          <w:rFonts w:cstheme="minorHAnsi"/>
          <w:lang w:val="en-GB"/>
        </w:rPr>
        <w:t xml:space="preserve"> (DCM) is of utmost significance in the application of DCEs. First, the questionnaires are formulated and the data gathered. Then, DCM under the theoretical framework of RUT is applied in order to </w:t>
      </w:r>
      <w:r w:rsidR="00173A00" w:rsidRPr="00277328">
        <w:rPr>
          <w:rFonts w:cstheme="minorHAnsi"/>
          <w:lang w:val="en-GB"/>
        </w:rPr>
        <w:t>analyse</w:t>
      </w:r>
      <w:r w:rsidRPr="00277328">
        <w:rPr>
          <w:rFonts w:cstheme="minorHAnsi"/>
          <w:lang w:val="en-GB"/>
        </w:rPr>
        <w:t xml:space="preserve"> the responses obtained from participants. As mentioned before, RUT assumes that, researchers cannot observe all factors that affect their preferences and thus, individual choice behaviour is considered random. In this context, the latent utility derived from an alternative </w:t>
      </w:r>
      <w:r w:rsidRPr="00277328">
        <w:rPr>
          <w:rFonts w:cstheme="minorHAnsi"/>
          <w:i/>
          <w:lang w:val="en-GB"/>
        </w:rPr>
        <w:t>i</w:t>
      </w:r>
      <w:r w:rsidRPr="00277328">
        <w:rPr>
          <w:rFonts w:cstheme="minorHAnsi"/>
          <w:lang w:val="en-GB"/>
        </w:rPr>
        <w:t>, as perceived from individual</w:t>
      </w:r>
      <w:r w:rsidRPr="00277328">
        <w:rPr>
          <w:rFonts w:cstheme="minorHAnsi"/>
          <w:i/>
          <w:lang w:val="en-GB"/>
        </w:rPr>
        <w:t xml:space="preserve"> q</w:t>
      </w:r>
      <w:r w:rsidRPr="00277328">
        <w:rPr>
          <w:rFonts w:cstheme="minorHAnsi"/>
          <w:lang w:val="en-GB"/>
        </w:rPr>
        <w:t xml:space="preserve">, is decomposed into two additively separable parts: a systematic part explained by the characteristics of the alternative </w:t>
      </w:r>
      <w:r w:rsidRPr="00277328">
        <w:rPr>
          <w:rFonts w:cstheme="minorHAnsi"/>
          <w:i/>
          <w:sz w:val="24"/>
          <w:lang w:val="en-GB"/>
        </w:rPr>
        <w:t>V</w:t>
      </w:r>
      <w:r w:rsidRPr="00277328">
        <w:rPr>
          <w:rFonts w:cstheme="minorHAnsi"/>
          <w:i/>
          <w:sz w:val="24"/>
          <w:vertAlign w:val="subscript"/>
          <w:lang w:val="en-GB"/>
        </w:rPr>
        <w:t>iq</w:t>
      </w:r>
      <w:r w:rsidRPr="00277328">
        <w:rPr>
          <w:rFonts w:cstheme="minorHAnsi"/>
          <w:sz w:val="24"/>
          <w:lang w:val="en-GB"/>
        </w:rPr>
        <w:t xml:space="preserve"> </w:t>
      </w:r>
      <w:r w:rsidRPr="00277328">
        <w:rPr>
          <w:rFonts w:cstheme="minorHAnsi"/>
          <w:lang w:val="en-GB"/>
        </w:rPr>
        <w:t xml:space="preserve">and a stochastic part </w:t>
      </w:r>
      <w:r w:rsidRPr="00277328">
        <w:rPr>
          <w:rFonts w:cstheme="minorHAnsi"/>
          <w:i/>
          <w:sz w:val="24"/>
          <w:lang w:val="en-GB"/>
        </w:rPr>
        <w:t>ε</w:t>
      </w:r>
      <w:r w:rsidRPr="00277328">
        <w:rPr>
          <w:rFonts w:cstheme="minorHAnsi"/>
          <w:i/>
          <w:sz w:val="24"/>
          <w:vertAlign w:val="subscript"/>
          <w:lang w:val="en-GB"/>
        </w:rPr>
        <w:t>iq</w:t>
      </w:r>
      <w:r w:rsidRPr="00277328">
        <w:rPr>
          <w:rFonts w:cstheme="minorHAnsi"/>
          <w:lang w:val="en-GB"/>
        </w:rPr>
        <w:t xml:space="preserve">, i.e. </w:t>
      </w:r>
      <w:r w:rsidRPr="00277328">
        <w:rPr>
          <w:rFonts w:cstheme="minorHAnsi"/>
          <w:i/>
          <w:sz w:val="28"/>
          <w:szCs w:val="24"/>
          <w:lang w:val="en-GB"/>
        </w:rPr>
        <w:t>U</w:t>
      </w:r>
      <w:r w:rsidRPr="00277328">
        <w:rPr>
          <w:rFonts w:cstheme="minorHAnsi"/>
          <w:i/>
          <w:sz w:val="28"/>
          <w:szCs w:val="24"/>
          <w:vertAlign w:val="subscript"/>
          <w:lang w:val="en-GB"/>
        </w:rPr>
        <w:t>iq</w:t>
      </w:r>
      <w:r w:rsidRPr="00277328">
        <w:rPr>
          <w:rFonts w:cstheme="minorHAnsi"/>
          <w:i/>
          <w:sz w:val="28"/>
          <w:szCs w:val="24"/>
          <w:lang w:val="en-GB"/>
        </w:rPr>
        <w:t xml:space="preserve"> </w:t>
      </w:r>
      <w:r w:rsidRPr="00277328">
        <w:rPr>
          <w:rFonts w:cstheme="minorHAnsi"/>
          <w:sz w:val="28"/>
          <w:szCs w:val="24"/>
          <w:lang w:val="en-GB"/>
        </w:rPr>
        <w:t xml:space="preserve">= </w:t>
      </w:r>
      <w:r w:rsidRPr="00277328">
        <w:rPr>
          <w:rFonts w:cstheme="minorHAnsi"/>
          <w:i/>
          <w:sz w:val="28"/>
          <w:szCs w:val="24"/>
          <w:lang w:val="en-GB"/>
        </w:rPr>
        <w:t>V</w:t>
      </w:r>
      <w:r w:rsidRPr="00277328">
        <w:rPr>
          <w:rFonts w:cstheme="minorHAnsi"/>
          <w:i/>
          <w:sz w:val="28"/>
          <w:szCs w:val="24"/>
          <w:vertAlign w:val="subscript"/>
          <w:lang w:val="en-GB"/>
        </w:rPr>
        <w:t xml:space="preserve">iq </w:t>
      </w:r>
      <w:r w:rsidRPr="00277328">
        <w:rPr>
          <w:rFonts w:cstheme="minorHAnsi"/>
          <w:sz w:val="28"/>
          <w:szCs w:val="24"/>
          <w:lang w:val="en-GB"/>
        </w:rPr>
        <w:t>+</w:t>
      </w:r>
      <w:r w:rsidRPr="00277328">
        <w:rPr>
          <w:rFonts w:cstheme="minorHAnsi"/>
          <w:i/>
          <w:sz w:val="28"/>
          <w:szCs w:val="24"/>
          <w:vertAlign w:val="subscript"/>
          <w:lang w:val="en-GB"/>
        </w:rPr>
        <w:t xml:space="preserve"> </w:t>
      </w:r>
      <w:r w:rsidRPr="00277328">
        <w:rPr>
          <w:rFonts w:cstheme="minorHAnsi"/>
          <w:i/>
          <w:sz w:val="28"/>
          <w:szCs w:val="24"/>
          <w:lang w:val="en-GB"/>
        </w:rPr>
        <w:t>ε</w:t>
      </w:r>
      <w:r w:rsidRPr="00277328">
        <w:rPr>
          <w:rFonts w:cstheme="minorHAnsi"/>
          <w:i/>
          <w:sz w:val="28"/>
          <w:szCs w:val="24"/>
          <w:vertAlign w:val="subscript"/>
          <w:lang w:val="en-GB"/>
        </w:rPr>
        <w:t xml:space="preserve">iq </w:t>
      </w:r>
      <w:r w:rsidRPr="00277328">
        <w:rPr>
          <w:rFonts w:cstheme="minorHAnsi"/>
          <w:i/>
          <w:sz w:val="28"/>
          <w:szCs w:val="24"/>
          <w:lang w:val="en-GB"/>
        </w:rPr>
        <w:t>= Σ</w:t>
      </w:r>
      <w:r w:rsidRPr="00277328">
        <w:rPr>
          <w:rFonts w:cstheme="minorHAnsi"/>
          <w:i/>
          <w:sz w:val="28"/>
          <w:szCs w:val="24"/>
          <w:vertAlign w:val="superscript"/>
          <w:lang w:val="en-GB"/>
        </w:rPr>
        <w:t>K</w:t>
      </w:r>
      <w:r w:rsidRPr="00277328">
        <w:rPr>
          <w:rFonts w:cstheme="minorHAnsi"/>
          <w:i/>
          <w:sz w:val="28"/>
          <w:szCs w:val="24"/>
          <w:vertAlign w:val="subscript"/>
          <w:lang w:val="en-GB"/>
        </w:rPr>
        <w:t xml:space="preserve">k=1 </w:t>
      </w:r>
      <w:r w:rsidRPr="00277328">
        <w:rPr>
          <w:rFonts w:cstheme="minorHAnsi"/>
          <w:i/>
          <w:sz w:val="28"/>
          <w:szCs w:val="24"/>
          <w:lang w:val="en-GB"/>
        </w:rPr>
        <w:t>β</w:t>
      </w:r>
      <w:r w:rsidRPr="00277328">
        <w:rPr>
          <w:rFonts w:cstheme="minorHAnsi"/>
          <w:i/>
          <w:sz w:val="28"/>
          <w:szCs w:val="24"/>
          <w:vertAlign w:val="subscript"/>
          <w:lang w:val="en-GB"/>
        </w:rPr>
        <w:t>κ</w:t>
      </w:r>
      <w:r w:rsidRPr="00277328">
        <w:rPr>
          <w:rFonts w:cstheme="minorHAnsi"/>
          <w:i/>
          <w:sz w:val="28"/>
          <w:szCs w:val="24"/>
          <w:lang w:val="en-GB"/>
        </w:rPr>
        <w:t>Χ</w:t>
      </w:r>
      <w:r w:rsidRPr="00277328">
        <w:rPr>
          <w:rFonts w:cstheme="minorHAnsi"/>
          <w:i/>
          <w:sz w:val="28"/>
          <w:szCs w:val="24"/>
          <w:vertAlign w:val="subscript"/>
          <w:lang w:val="en-GB"/>
        </w:rPr>
        <w:t>iκq</w:t>
      </w:r>
      <w:r w:rsidRPr="00277328">
        <w:rPr>
          <w:rFonts w:cstheme="minorHAnsi"/>
          <w:i/>
          <w:sz w:val="28"/>
          <w:szCs w:val="24"/>
          <w:lang w:val="en-GB"/>
        </w:rPr>
        <w:t xml:space="preserve"> + ε</w:t>
      </w:r>
      <w:r w:rsidRPr="00277328">
        <w:rPr>
          <w:rFonts w:cstheme="minorHAnsi"/>
          <w:i/>
          <w:sz w:val="28"/>
          <w:szCs w:val="24"/>
          <w:vertAlign w:val="subscript"/>
          <w:lang w:val="en-GB"/>
        </w:rPr>
        <w:t>iq</w:t>
      </w:r>
      <w:r w:rsidRPr="00277328">
        <w:rPr>
          <w:rFonts w:cstheme="minorHAnsi"/>
          <w:sz w:val="24"/>
          <w:szCs w:val="24"/>
          <w:lang w:val="en-GB"/>
        </w:rPr>
        <w:t>,</w:t>
      </w:r>
      <w:r w:rsidRPr="00277328">
        <w:rPr>
          <w:rFonts w:cstheme="minorHAnsi"/>
          <w:lang w:val="en-GB"/>
        </w:rPr>
        <w:t xml:space="preserve"> where k are the criteria and </w:t>
      </w:r>
      <w:r w:rsidRPr="00277328">
        <w:rPr>
          <w:rFonts w:cstheme="minorHAnsi"/>
          <w:sz w:val="24"/>
          <w:lang w:val="en-GB"/>
        </w:rPr>
        <w:t>β</w:t>
      </w:r>
      <w:r w:rsidRPr="00277328">
        <w:rPr>
          <w:rFonts w:cstheme="minorHAnsi"/>
          <w:sz w:val="24"/>
          <w:vertAlign w:val="subscript"/>
          <w:lang w:val="en-GB"/>
        </w:rPr>
        <w:t xml:space="preserve">k </w:t>
      </w:r>
      <w:r w:rsidRPr="00277328">
        <w:rPr>
          <w:rFonts w:cstheme="minorHAnsi"/>
          <w:lang w:val="en-GB"/>
        </w:rPr>
        <w:t>are the parameters to be estimated</w:t>
      </w:r>
      <w:r w:rsidRPr="00277328">
        <w:rPr>
          <w:rFonts w:cstheme="minorHAnsi"/>
          <w:vertAlign w:val="subscript"/>
          <w:lang w:val="en-GB"/>
        </w:rPr>
        <w:t xml:space="preserve">. </w:t>
      </w:r>
      <w:r w:rsidRPr="00277328">
        <w:rPr>
          <w:rFonts w:cstheme="minorHAnsi"/>
          <w:lang w:val="en-GB"/>
        </w:rPr>
        <w:t xml:space="preserve">For the estimation purposes of this experiment, the deterministic part </w:t>
      </w:r>
      <w:r w:rsidRPr="00277328">
        <w:rPr>
          <w:rFonts w:cstheme="minorHAnsi"/>
          <w:sz w:val="24"/>
          <w:lang w:val="en-GB"/>
        </w:rPr>
        <w:t>V</w:t>
      </w:r>
      <w:r w:rsidRPr="00277328">
        <w:rPr>
          <w:rFonts w:cstheme="minorHAnsi"/>
          <w:sz w:val="24"/>
          <w:vertAlign w:val="subscript"/>
          <w:lang w:val="en-GB"/>
        </w:rPr>
        <w:t>iq</w:t>
      </w:r>
      <w:r w:rsidRPr="00277328">
        <w:rPr>
          <w:rFonts w:cstheme="minorHAnsi"/>
          <w:sz w:val="24"/>
          <w:lang w:val="en-GB"/>
        </w:rPr>
        <w:t xml:space="preserve"> </w:t>
      </w:r>
      <w:r w:rsidRPr="00277328">
        <w:rPr>
          <w:rFonts w:cstheme="minorHAnsi"/>
          <w:lang w:val="en-GB"/>
        </w:rPr>
        <w:t>is assumed to be linear-in-parameters, which leads to an additive linear utility model estimated by main effects fractional factorial designs.</w:t>
      </w:r>
    </w:p>
    <w:p w:rsidR="00A42699" w:rsidRPr="00277328" w:rsidRDefault="00A42699" w:rsidP="00A42699">
      <w:pPr>
        <w:rPr>
          <w:rFonts w:cstheme="minorHAnsi"/>
          <w:lang w:val="en-GB"/>
        </w:rPr>
      </w:pPr>
      <w:r w:rsidRPr="00277328">
        <w:rPr>
          <w:rFonts w:cstheme="minorHAnsi"/>
          <w:lang w:val="en-GB"/>
        </w:rPr>
        <w:lastRenderedPageBreak/>
        <w:t>The representative component of utility (</w:t>
      </w:r>
      <w:r w:rsidRPr="00277328">
        <w:rPr>
          <w:rFonts w:cstheme="minorHAnsi"/>
          <w:sz w:val="24"/>
          <w:lang w:val="en-GB"/>
        </w:rPr>
        <w:t>V</w:t>
      </w:r>
      <w:r w:rsidRPr="00277328">
        <w:rPr>
          <w:rFonts w:cstheme="minorHAnsi"/>
          <w:sz w:val="24"/>
          <w:vertAlign w:val="subscript"/>
          <w:lang w:val="en-GB"/>
        </w:rPr>
        <w:t>iq</w:t>
      </w:r>
      <w:r w:rsidRPr="00277328">
        <w:rPr>
          <w:rFonts w:cstheme="minorHAnsi"/>
          <w:lang w:val="en-GB"/>
        </w:rPr>
        <w:t xml:space="preserve">) establishes the observed relative effect of each attribute on the overall utility. </w:t>
      </w:r>
      <w:r w:rsidRPr="00277328">
        <w:rPr>
          <w:rFonts w:cstheme="minorHAnsi"/>
          <w:sz w:val="24"/>
          <w:lang w:val="en-GB"/>
        </w:rPr>
        <w:t>(</w:t>
      </w:r>
      <w:proofErr w:type="gramStart"/>
      <w:r w:rsidRPr="00277328">
        <w:rPr>
          <w:rFonts w:cstheme="minorHAnsi"/>
          <w:sz w:val="24"/>
          <w:lang w:val="en-GB"/>
        </w:rPr>
        <w:t>ε</w:t>
      </w:r>
      <w:r w:rsidRPr="00277328">
        <w:rPr>
          <w:rFonts w:cstheme="minorHAnsi"/>
          <w:sz w:val="24"/>
          <w:vertAlign w:val="subscript"/>
          <w:lang w:val="en-GB"/>
        </w:rPr>
        <w:t>iq</w:t>
      </w:r>
      <w:proofErr w:type="gramEnd"/>
      <w:r w:rsidRPr="00277328">
        <w:rPr>
          <w:rFonts w:cstheme="minorHAnsi"/>
          <w:lang w:val="en-GB"/>
        </w:rPr>
        <w:t>)</w:t>
      </w:r>
      <w:r w:rsidRPr="00277328">
        <w:rPr>
          <w:rFonts w:cstheme="minorHAnsi"/>
          <w:vertAlign w:val="subscript"/>
          <w:lang w:val="en-GB"/>
        </w:rPr>
        <w:t xml:space="preserve"> </w:t>
      </w:r>
      <w:r w:rsidRPr="00277328">
        <w:rPr>
          <w:rFonts w:cstheme="minorHAnsi"/>
          <w:lang w:val="en-GB"/>
        </w:rPr>
        <w:t xml:space="preserve">comprises the unmeasured factors that affect choice, such as heterogeneity in tastes and unobserved attributes that have not been anticipated in the design. The underlying </w:t>
      </w:r>
      <w:r w:rsidR="00173A00" w:rsidRPr="00277328">
        <w:rPr>
          <w:rFonts w:cstheme="minorHAnsi"/>
          <w:lang w:val="en-GB"/>
        </w:rPr>
        <w:t>behavioural</w:t>
      </w:r>
      <w:r w:rsidRPr="00277328">
        <w:rPr>
          <w:rFonts w:cstheme="minorHAnsi"/>
          <w:lang w:val="en-GB"/>
        </w:rPr>
        <w:t xml:space="preserve"> rule is that an individual will choose one alternative over another among a set of J alternatives, if and only if th</w:t>
      </w:r>
      <w:r w:rsidR="00F16517">
        <w:rPr>
          <w:rFonts w:cstheme="minorHAnsi"/>
          <w:lang w:val="en-GB"/>
        </w:rPr>
        <w:t>at alternative maximis</w:t>
      </w:r>
      <w:r w:rsidRPr="00277328">
        <w:rPr>
          <w:rFonts w:cstheme="minorHAnsi"/>
          <w:lang w:val="en-GB"/>
        </w:rPr>
        <w:t xml:space="preserve">es his utility. That is, the probability that one alternative is chosen over another is equal to the probability that the difference between the unobserved components of the two alternatives is equal or less than the difference between the explainable parts of the utility function </w:t>
      </w:r>
      <w:sdt>
        <w:sdtPr>
          <w:rPr>
            <w:rFonts w:cstheme="minorHAnsi"/>
            <w:lang w:val="en-GB"/>
          </w:rPr>
          <w:id w:val="40658331"/>
          <w:citation/>
        </w:sdtPr>
        <w:sdtContent>
          <w:r w:rsidR="00E93150" w:rsidRPr="00277328">
            <w:rPr>
              <w:rFonts w:cstheme="minorHAnsi"/>
              <w:lang w:val="en-GB"/>
            </w:rPr>
            <w:fldChar w:fldCharType="begin"/>
          </w:r>
          <w:r w:rsidR="00485517" w:rsidRPr="00277328">
            <w:rPr>
              <w:rFonts w:cstheme="minorHAnsi"/>
              <w:lang w:val="en-GB"/>
            </w:rPr>
            <w:instrText xml:space="preserve"> CITATION Hen \l 1033  </w:instrText>
          </w:r>
          <w:r w:rsidR="00E93150" w:rsidRPr="00277328">
            <w:rPr>
              <w:rFonts w:cstheme="minorHAnsi"/>
              <w:lang w:val="en-GB"/>
            </w:rPr>
            <w:fldChar w:fldCharType="separate"/>
          </w:r>
          <w:r w:rsidR="008930F2" w:rsidRPr="00277328">
            <w:rPr>
              <w:rFonts w:cstheme="minorHAnsi"/>
              <w:lang w:val="en-GB"/>
            </w:rPr>
            <w:t>(Hensher, Rose and Green 2005)</w:t>
          </w:r>
          <w:r w:rsidR="00E93150" w:rsidRPr="00277328">
            <w:rPr>
              <w:rFonts w:cstheme="minorHAnsi"/>
              <w:lang w:val="en-GB"/>
            </w:rPr>
            <w:fldChar w:fldCharType="end"/>
          </w:r>
        </w:sdtContent>
      </w:sdt>
      <w:r w:rsidRPr="00277328">
        <w:rPr>
          <w:rFonts w:cstheme="minorHAnsi"/>
          <w:lang w:val="en-GB"/>
        </w:rPr>
        <w:t xml:space="preserve">.  In order to derive a basic choice model, a particular distribution of the random component of utility has to be defined, since the actual distribution is unknown to the researcher. In this experiment, Gumbel or extreme value type 1 (EV1) </w:t>
      </w:r>
      <w:r w:rsidR="00392921">
        <w:rPr>
          <w:rFonts w:cstheme="minorHAnsi"/>
          <w:lang w:val="en-GB"/>
        </w:rPr>
        <w:t xml:space="preserve">distribution </w:t>
      </w:r>
      <w:r w:rsidRPr="00277328">
        <w:rPr>
          <w:rFonts w:cstheme="minorHAnsi"/>
          <w:lang w:val="en-GB"/>
        </w:rPr>
        <w:t>was assumed, which indicates that the difference between the random variables follows a logistic distribution.</w:t>
      </w:r>
    </w:p>
    <w:p w:rsidR="00F64887" w:rsidRPr="005B5C82" w:rsidRDefault="00A42699" w:rsidP="00A42699">
      <w:pPr>
        <w:rPr>
          <w:rFonts w:cstheme="minorHAnsi"/>
          <w:lang w:val="en-GB"/>
        </w:rPr>
      </w:pPr>
      <w:r w:rsidRPr="00277328">
        <w:rPr>
          <w:rFonts w:cstheme="minorHAnsi"/>
          <w:lang w:val="en-GB"/>
        </w:rPr>
        <w:t>Furthermore, since each attribute has its own random component, the relationship between the different ε</w:t>
      </w:r>
      <w:r w:rsidRPr="00277328">
        <w:rPr>
          <w:rFonts w:cstheme="minorHAnsi"/>
          <w:vertAlign w:val="subscript"/>
          <w:lang w:val="en-GB"/>
        </w:rPr>
        <w:t>j</w:t>
      </w:r>
      <w:r w:rsidRPr="00277328">
        <w:rPr>
          <w:rFonts w:cstheme="minorHAnsi"/>
          <w:lang w:val="en-GB"/>
        </w:rPr>
        <w:t>‘s has to be established. For this experiment, the error terms were assumed to be Independent and Identically Distributed (IID) for the purposes of statistical inference. The assumptions of IID and Gumbel dis</w:t>
      </w:r>
      <w:r w:rsidR="008A4E9F">
        <w:rPr>
          <w:rFonts w:cstheme="minorHAnsi"/>
          <w:lang w:val="en-GB"/>
        </w:rPr>
        <w:t>tributed errors gave rise to Mc</w:t>
      </w:r>
      <w:r w:rsidRPr="00277328">
        <w:rPr>
          <w:rFonts w:cstheme="minorHAnsi"/>
          <w:lang w:val="en-GB"/>
        </w:rPr>
        <w:t>Fadden’s conditional logit model (CLM) being used for estimation</w:t>
      </w:r>
      <w:r w:rsidR="00485517" w:rsidRPr="00277328">
        <w:rPr>
          <w:rFonts w:cstheme="minorHAnsi"/>
          <w:lang w:val="en-GB"/>
        </w:rPr>
        <w:t xml:space="preserve"> (McFadden 1974)</w:t>
      </w:r>
      <w:r w:rsidRPr="00277328">
        <w:rPr>
          <w:rFonts w:cstheme="minorHAnsi"/>
          <w:lang w:val="en-GB"/>
        </w:rPr>
        <w:t xml:space="preserve">. CLM assumes that the probability of individual </w:t>
      </w:r>
      <w:r w:rsidRPr="00392921">
        <w:rPr>
          <w:rFonts w:cstheme="minorHAnsi"/>
          <w:i/>
          <w:lang w:val="en-GB"/>
        </w:rPr>
        <w:t>q</w:t>
      </w:r>
      <w:r w:rsidRPr="00277328">
        <w:rPr>
          <w:rFonts w:cstheme="minorHAnsi"/>
          <w:lang w:val="en-GB"/>
        </w:rPr>
        <w:t xml:space="preserve"> choosing alternative</w:t>
      </w:r>
      <w:r w:rsidRPr="00392921">
        <w:rPr>
          <w:rFonts w:cstheme="minorHAnsi"/>
          <w:i/>
          <w:lang w:val="en-GB"/>
        </w:rPr>
        <w:t xml:space="preserve"> i</w:t>
      </w:r>
      <w:r w:rsidRPr="00277328">
        <w:rPr>
          <w:rFonts w:cstheme="minorHAnsi"/>
          <w:lang w:val="en-GB"/>
        </w:rPr>
        <w:t xml:space="preserve"> among a set of </w:t>
      </w:r>
      <w:r w:rsidRPr="00392921">
        <w:rPr>
          <w:rFonts w:cstheme="minorHAnsi"/>
          <w:i/>
          <w:lang w:val="en-GB"/>
        </w:rPr>
        <w:t>J</w:t>
      </w:r>
      <w:r w:rsidRPr="00277328">
        <w:rPr>
          <w:rFonts w:cstheme="minorHAnsi"/>
          <w:lang w:val="en-GB"/>
        </w:rPr>
        <w:t xml:space="preserve"> alternatives is given by the type </w:t>
      </w:r>
      <w:r w:rsidRPr="00277328">
        <w:rPr>
          <w:rFonts w:cstheme="minorHAnsi"/>
          <w:i/>
          <w:sz w:val="24"/>
          <w:lang w:val="en-GB"/>
        </w:rPr>
        <w:t>P</w:t>
      </w:r>
      <w:r w:rsidRPr="00277328">
        <w:rPr>
          <w:rFonts w:cstheme="minorHAnsi"/>
          <w:i/>
          <w:sz w:val="24"/>
          <w:vertAlign w:val="subscript"/>
          <w:lang w:val="en-GB"/>
        </w:rPr>
        <w:t xml:space="preserve">iq </w:t>
      </w:r>
      <w:r w:rsidRPr="00277328">
        <w:rPr>
          <w:rFonts w:cstheme="minorHAnsi"/>
          <w:i/>
          <w:sz w:val="24"/>
          <w:lang w:val="en-GB"/>
        </w:rPr>
        <w:t xml:space="preserve">= </w:t>
      </w:r>
      <m:oMath>
        <m:f>
          <m:fPr>
            <m:ctrlPr>
              <w:rPr>
                <w:rFonts w:ascii="Cambria Math" w:hAnsi="Cambria Math" w:cstheme="minorHAnsi"/>
                <w:i/>
                <w:sz w:val="24"/>
                <w:lang w:val="en-GB"/>
              </w:rPr>
            </m:ctrlPr>
          </m:fPr>
          <m:num>
            <m:func>
              <m:funcPr>
                <m:ctrlPr>
                  <w:rPr>
                    <w:rFonts w:ascii="Cambria Math" w:hAnsi="Cambria Math" w:cstheme="minorHAnsi"/>
                    <w:i/>
                    <w:sz w:val="24"/>
                    <w:lang w:val="en-GB"/>
                  </w:rPr>
                </m:ctrlPr>
              </m:funcPr>
              <m:fName>
                <m:r>
                  <m:rPr>
                    <m:sty m:val="p"/>
                  </m:rPr>
                  <w:rPr>
                    <w:rFonts w:ascii="Cambria Math" w:cstheme="minorHAnsi"/>
                    <w:sz w:val="24"/>
                    <w:lang w:val="en-GB"/>
                  </w:rPr>
                  <m:t>exp</m:t>
                </m:r>
                <m:ctrlPr>
                  <w:rPr>
                    <w:rFonts w:ascii="Cambria Math" w:hAnsi="Cambria Math" w:cstheme="minorHAnsi"/>
                    <w:sz w:val="24"/>
                    <w:lang w:val="en-GB"/>
                  </w:rPr>
                </m:ctrlPr>
              </m:fName>
              <m:e>
                <m:d>
                  <m:dPr>
                    <m:ctrlPr>
                      <w:rPr>
                        <w:rFonts w:ascii="Cambria Math" w:hAnsi="Cambria Math" w:cstheme="minorHAnsi"/>
                        <w:i/>
                        <w:sz w:val="24"/>
                        <w:lang w:val="en-GB"/>
                      </w:rPr>
                    </m:ctrlPr>
                  </m:dPr>
                  <m:e>
                    <m:r>
                      <w:rPr>
                        <w:rFonts w:ascii="Cambria Math" w:hAnsi="Cambria Math" w:cstheme="minorHAnsi"/>
                        <w:sz w:val="24"/>
                        <w:lang w:val="en-GB"/>
                      </w:rPr>
                      <m:t>Viq</m:t>
                    </m:r>
                  </m:e>
                </m:d>
              </m:e>
            </m:func>
          </m:num>
          <m:den>
            <m:nary>
              <m:naryPr>
                <m:chr m:val="∑"/>
                <m:limLoc m:val="undOvr"/>
                <m:ctrlPr>
                  <w:rPr>
                    <w:rFonts w:ascii="Cambria Math" w:hAnsi="Cambria Math" w:cstheme="minorHAnsi"/>
                    <w:i/>
                    <w:sz w:val="24"/>
                    <w:lang w:val="en-GB"/>
                  </w:rPr>
                </m:ctrlPr>
              </m:naryPr>
              <m:sub>
                <m:r>
                  <w:rPr>
                    <w:rFonts w:ascii="Cambria Math" w:hAnsi="Cambria Math" w:cstheme="minorHAnsi"/>
                    <w:sz w:val="24"/>
                    <w:lang w:val="en-GB"/>
                  </w:rPr>
                  <m:t>j</m:t>
                </m:r>
                <m:r>
                  <w:rPr>
                    <w:rFonts w:ascii="Cambria Math" w:cstheme="minorHAnsi"/>
                    <w:sz w:val="24"/>
                    <w:lang w:val="en-GB"/>
                  </w:rPr>
                  <m:t>=1</m:t>
                </m:r>
              </m:sub>
              <m:sup>
                <m:r>
                  <w:rPr>
                    <w:rFonts w:ascii="Cambria Math" w:hAnsi="Cambria Math" w:cstheme="minorHAnsi"/>
                    <w:sz w:val="24"/>
                    <w:lang w:val="en-GB"/>
                  </w:rPr>
                  <m:t>J</m:t>
                </m:r>
              </m:sup>
              <m:e>
                <m:func>
                  <m:funcPr>
                    <m:ctrlPr>
                      <w:rPr>
                        <w:rFonts w:ascii="Cambria Math" w:hAnsi="Cambria Math" w:cstheme="minorHAnsi"/>
                        <w:i/>
                        <w:sz w:val="24"/>
                        <w:lang w:val="en-GB"/>
                      </w:rPr>
                    </m:ctrlPr>
                  </m:funcPr>
                  <m:fName>
                    <m:r>
                      <m:rPr>
                        <m:sty m:val="p"/>
                      </m:rPr>
                      <w:rPr>
                        <w:rFonts w:ascii="Cambria Math" w:cstheme="minorHAnsi"/>
                        <w:sz w:val="24"/>
                        <w:lang w:val="en-GB"/>
                      </w:rPr>
                      <m:t>exp</m:t>
                    </m:r>
                    <m:ctrlPr>
                      <w:rPr>
                        <w:rFonts w:ascii="Cambria Math" w:hAnsi="Cambria Math" w:cstheme="minorHAnsi"/>
                        <w:sz w:val="24"/>
                        <w:lang w:val="en-GB"/>
                      </w:rPr>
                    </m:ctrlPr>
                  </m:fName>
                  <m:e>
                    <m:d>
                      <m:dPr>
                        <m:ctrlPr>
                          <w:rPr>
                            <w:rFonts w:ascii="Cambria Math" w:hAnsi="Cambria Math" w:cstheme="minorHAnsi"/>
                            <w:i/>
                            <w:sz w:val="24"/>
                            <w:lang w:val="en-GB"/>
                          </w:rPr>
                        </m:ctrlPr>
                      </m:dPr>
                      <m:e>
                        <m:r>
                          <w:rPr>
                            <w:rFonts w:ascii="Cambria Math" w:hAnsi="Cambria Math" w:cstheme="minorHAnsi"/>
                            <w:sz w:val="24"/>
                            <w:lang w:val="en-GB"/>
                          </w:rPr>
                          <m:t>Vjq</m:t>
                        </m:r>
                      </m:e>
                    </m:d>
                  </m:e>
                </m:func>
              </m:e>
            </m:nary>
          </m:den>
        </m:f>
      </m:oMath>
      <w:r w:rsidRPr="00277328">
        <w:rPr>
          <w:rFonts w:cstheme="minorHAnsi"/>
          <w:sz w:val="24"/>
          <w:lang w:val="en-GB"/>
        </w:rPr>
        <w:t xml:space="preserve"> </w:t>
      </w:r>
      <w:r w:rsidR="008A4E9F">
        <w:rPr>
          <w:rFonts w:cstheme="minorHAnsi"/>
          <w:lang w:val="en-GB"/>
        </w:rPr>
        <w:t>(Mc</w:t>
      </w:r>
      <w:r w:rsidRPr="00277328">
        <w:rPr>
          <w:rFonts w:cstheme="minorHAnsi"/>
          <w:lang w:val="en-GB"/>
        </w:rPr>
        <w:t>Fadden, Conditional logit analysis). In CLMs, the assumption of IID errors leads to the Independence of Irrelevant Alternatives (IIA) property. According to IIA, the ratio of the selection probabilities of any two alternatives is unaffected by other alternatives, for any given individual. This assumption allows for consistent estimation of model parameters b</w:t>
      </w:r>
      <w:r w:rsidR="005B5C82">
        <w:rPr>
          <w:rFonts w:cstheme="minorHAnsi"/>
          <w:lang w:val="en-GB"/>
        </w:rPr>
        <w:t>ut it can be quite restrictive.</w:t>
      </w:r>
      <w:r w:rsidR="005B5C82">
        <w:rPr>
          <w:rFonts w:cstheme="minorHAnsi"/>
          <w:lang w:val="en-GB"/>
        </w:rPr>
        <w:br/>
      </w:r>
    </w:p>
    <w:p w:rsidR="00A42699" w:rsidRPr="00277328" w:rsidRDefault="00A42699" w:rsidP="003414E6">
      <w:pPr>
        <w:pStyle w:val="Heading3"/>
        <w:rPr>
          <w:lang w:val="en-GB"/>
        </w:rPr>
      </w:pPr>
      <w:bookmarkStart w:id="23" w:name="_Toc367791015"/>
      <w:r w:rsidRPr="00277328">
        <w:rPr>
          <w:lang w:val="en-GB"/>
        </w:rPr>
        <w:t>Model specification</w:t>
      </w:r>
      <w:bookmarkEnd w:id="23"/>
    </w:p>
    <w:p w:rsidR="00A42699" w:rsidRPr="00277328" w:rsidRDefault="00A42699" w:rsidP="00A42699">
      <w:pPr>
        <w:rPr>
          <w:lang w:val="en-GB"/>
        </w:rPr>
      </w:pPr>
      <w:r w:rsidRPr="00277328">
        <w:rPr>
          <w:lang w:val="en-GB"/>
        </w:rPr>
        <w:t>CLMs are essentially equivalent to Multinomial Logit Models (MNL). Given that, the parameters of the choice model can be estimated using the standard technique of Maximum Likelihood for binary outcomes. That is, under the assumptions of IID and EV1 errors, the CLM is estimated by finding the values of the coefficien</w:t>
      </w:r>
      <w:r w:rsidR="00F16517">
        <w:rPr>
          <w:lang w:val="en-GB"/>
        </w:rPr>
        <w:t>ts (βs) that maximis</w:t>
      </w:r>
      <w:r w:rsidRPr="00277328">
        <w:rPr>
          <w:lang w:val="en-GB"/>
        </w:rPr>
        <w:t>e the log-likelihood function</w:t>
      </w:r>
      <w:r w:rsidR="00485517" w:rsidRPr="00277328">
        <w:rPr>
          <w:vertAlign w:val="superscript"/>
          <w:lang w:val="en-GB"/>
        </w:rPr>
        <w:t xml:space="preserve"> </w:t>
      </w:r>
      <w:r w:rsidR="00485517" w:rsidRPr="00277328">
        <w:rPr>
          <w:lang w:val="en-GB"/>
        </w:rPr>
        <w:t>(Ryan, Gerard and Amaya-Amaya 2008)</w:t>
      </w:r>
      <w:r w:rsidRPr="00277328">
        <w:rPr>
          <w:lang w:val="en-GB"/>
        </w:rPr>
        <w:t xml:space="preserve">. In this experiment, parameters for all main effects (i.e. for the six attributes included in the experiment) were estimated. The data analysis was implemented </w:t>
      </w:r>
      <w:r w:rsidR="00B571F4">
        <w:rPr>
          <w:lang w:val="en-GB"/>
        </w:rPr>
        <w:t>using statistical software Stata</w:t>
      </w:r>
      <w:r w:rsidRPr="00277328">
        <w:rPr>
          <w:lang w:val="en-GB"/>
        </w:rPr>
        <w:t xml:space="preserve">. Apart from </w:t>
      </w:r>
      <w:r w:rsidR="00B571F4">
        <w:rPr>
          <w:lang w:val="en-GB"/>
        </w:rPr>
        <w:t xml:space="preserve">the </w:t>
      </w:r>
      <w:r w:rsidRPr="00277328">
        <w:rPr>
          <w:lang w:val="en-GB"/>
        </w:rPr>
        <w:t xml:space="preserve">variables representing the attributes, interaction terms between the attributes and socio-demographic characteristics were calculated and estimated in order to incorporate the observed heterogeneity in respondents’ choices. </w:t>
      </w:r>
    </w:p>
    <w:p w:rsidR="00A42699" w:rsidRPr="00277328" w:rsidRDefault="00A42699" w:rsidP="00A42699">
      <w:pPr>
        <w:rPr>
          <w:lang w:val="en-GB"/>
        </w:rPr>
      </w:pPr>
      <w:r w:rsidRPr="00277328">
        <w:rPr>
          <w:lang w:val="en-GB"/>
        </w:rPr>
        <w:t>However, MNL models cannot represent unobserved heterogeneity. The IIA assumption, although simplifying the estimation procedure, has some essential disadvantages. That is, the observed and unobserved characteristics of utility are not always independent and/or the random components of utility are often correlated with each other. In these cases, the IIA assumption is violated and the MNL resul</w:t>
      </w:r>
      <w:r w:rsidR="00485517" w:rsidRPr="00277328">
        <w:rPr>
          <w:lang w:val="en-GB"/>
        </w:rPr>
        <w:t xml:space="preserve">ts are biased </w:t>
      </w:r>
      <w:sdt>
        <w:sdtPr>
          <w:rPr>
            <w:lang w:val="en-GB"/>
          </w:rPr>
          <w:id w:val="40658335"/>
          <w:citation/>
        </w:sdtPr>
        <w:sdtContent>
          <w:r w:rsidR="00E93150" w:rsidRPr="00277328">
            <w:rPr>
              <w:lang w:val="en-GB"/>
            </w:rPr>
            <w:fldChar w:fldCharType="begin"/>
          </w:r>
          <w:r w:rsidR="00FB0F77" w:rsidRPr="00277328">
            <w:rPr>
              <w:lang w:val="en-GB"/>
            </w:rPr>
            <w:instrText xml:space="preserve"> CITATION Kja05 \l 1033 </w:instrText>
          </w:r>
          <w:r w:rsidR="00E93150" w:rsidRPr="00277328">
            <w:rPr>
              <w:lang w:val="en-GB"/>
            </w:rPr>
            <w:fldChar w:fldCharType="separate"/>
          </w:r>
          <w:r w:rsidR="008930F2" w:rsidRPr="00277328">
            <w:rPr>
              <w:lang w:val="en-GB"/>
            </w:rPr>
            <w:t>(Kjaer 2005)</w:t>
          </w:r>
          <w:r w:rsidR="00E93150" w:rsidRPr="00277328">
            <w:rPr>
              <w:lang w:val="en-GB"/>
            </w:rPr>
            <w:fldChar w:fldCharType="end"/>
          </w:r>
        </w:sdtContent>
      </w:sdt>
      <w:r w:rsidRPr="00277328">
        <w:rPr>
          <w:lang w:val="en-GB"/>
        </w:rPr>
        <w:t xml:space="preserve">. For this analysis, unobserved heterogeneity was incorporated and </w:t>
      </w:r>
      <w:r w:rsidR="00173A00" w:rsidRPr="00277328">
        <w:rPr>
          <w:lang w:val="en-GB"/>
        </w:rPr>
        <w:t>modelled</w:t>
      </w:r>
      <w:r w:rsidRPr="00277328">
        <w:rPr>
          <w:lang w:val="en-GB"/>
        </w:rPr>
        <w:t xml:space="preserve"> through a</w:t>
      </w:r>
      <w:r w:rsidR="008A4E9F">
        <w:rPr>
          <w:lang w:val="en-GB"/>
        </w:rPr>
        <w:t xml:space="preserve"> Mixed Logit Model </w:t>
      </w:r>
      <w:r w:rsidR="008A4E9F">
        <w:rPr>
          <w:lang w:val="en-GB"/>
        </w:rPr>
        <w:lastRenderedPageBreak/>
        <w:t>(MXL). As Mc</w:t>
      </w:r>
      <w:r w:rsidRPr="00277328">
        <w:rPr>
          <w:lang w:val="en-GB"/>
        </w:rPr>
        <w:t>Fadden and Train (2000) noted, every random utility maximization model can be resembled by MXL (or else random parameters model) models, with a consistent choice of variables and mixing distribution</w:t>
      </w:r>
      <w:r w:rsidR="00485517" w:rsidRPr="00277328">
        <w:rPr>
          <w:lang w:val="en-GB"/>
        </w:rPr>
        <w:t xml:space="preserve"> </w:t>
      </w:r>
      <w:sdt>
        <w:sdtPr>
          <w:rPr>
            <w:lang w:val="en-GB"/>
          </w:rPr>
          <w:id w:val="40658336"/>
          <w:citation/>
        </w:sdtPr>
        <w:sdtContent>
          <w:r w:rsidR="00E93150" w:rsidRPr="00277328">
            <w:rPr>
              <w:lang w:val="en-GB"/>
            </w:rPr>
            <w:fldChar w:fldCharType="begin"/>
          </w:r>
          <w:r w:rsidR="00FB0F77" w:rsidRPr="00277328">
            <w:rPr>
              <w:lang w:val="en-GB"/>
            </w:rPr>
            <w:instrText xml:space="preserve"> CITATION McF00 \l 1033 </w:instrText>
          </w:r>
          <w:r w:rsidR="00E93150" w:rsidRPr="00277328">
            <w:rPr>
              <w:lang w:val="en-GB"/>
            </w:rPr>
            <w:fldChar w:fldCharType="separate"/>
          </w:r>
          <w:r w:rsidR="008930F2" w:rsidRPr="00277328">
            <w:rPr>
              <w:lang w:val="en-GB"/>
            </w:rPr>
            <w:t>(McFadden and Train 2000)</w:t>
          </w:r>
          <w:r w:rsidR="00E93150" w:rsidRPr="00277328">
            <w:rPr>
              <w:lang w:val="en-GB"/>
            </w:rPr>
            <w:fldChar w:fldCharType="end"/>
          </w:r>
        </w:sdtContent>
      </w:sdt>
      <w:r w:rsidRPr="00277328">
        <w:rPr>
          <w:lang w:val="en-GB"/>
        </w:rPr>
        <w:t>. MXL models relax the IIA assumption by allowing for random taste variation and flexible substitution patter</w:t>
      </w:r>
      <w:r w:rsidR="00485517" w:rsidRPr="00277328">
        <w:rPr>
          <w:lang w:val="en-GB"/>
        </w:rPr>
        <w:t>ns.</w:t>
      </w:r>
    </w:p>
    <w:p w:rsidR="00A42699" w:rsidRPr="00277328" w:rsidRDefault="00A42699" w:rsidP="00A42699">
      <w:pPr>
        <w:rPr>
          <w:lang w:val="en-GB"/>
        </w:rPr>
      </w:pPr>
      <w:r w:rsidRPr="00277328">
        <w:rPr>
          <w:lang w:val="en-GB"/>
        </w:rPr>
        <w:t>Since MXL models assume that the coefficients are random, they allow for the marginal utility to be random. That is, in MXL models a percentage change for the probability of one alternative being chosen does not necessarily imply the same change in the probability of each other alterna</w:t>
      </w:r>
      <w:r w:rsidR="00485517" w:rsidRPr="00277328">
        <w:rPr>
          <w:lang w:val="en-GB"/>
        </w:rPr>
        <w:t xml:space="preserve">tive being chosen </w:t>
      </w:r>
      <w:sdt>
        <w:sdtPr>
          <w:rPr>
            <w:lang w:val="en-GB"/>
          </w:rPr>
          <w:id w:val="40658337"/>
          <w:citation/>
        </w:sdtPr>
        <w:sdtContent>
          <w:r w:rsidR="00E93150" w:rsidRPr="00277328">
            <w:rPr>
              <w:lang w:val="en-GB"/>
            </w:rPr>
            <w:fldChar w:fldCharType="begin"/>
          </w:r>
          <w:r w:rsidR="00FB0F77" w:rsidRPr="00277328">
            <w:rPr>
              <w:lang w:val="en-GB"/>
            </w:rPr>
            <w:instrText xml:space="preserve"> CITATION Hen \l 1033 </w:instrText>
          </w:r>
          <w:r w:rsidR="00E93150" w:rsidRPr="00277328">
            <w:rPr>
              <w:lang w:val="en-GB"/>
            </w:rPr>
            <w:fldChar w:fldCharType="separate"/>
          </w:r>
          <w:r w:rsidR="008930F2" w:rsidRPr="00277328">
            <w:rPr>
              <w:lang w:val="en-GB"/>
            </w:rPr>
            <w:t>(Hensher, Rose and Green 2005)</w:t>
          </w:r>
          <w:r w:rsidR="00E93150" w:rsidRPr="00277328">
            <w:rPr>
              <w:lang w:val="en-GB"/>
            </w:rPr>
            <w:fldChar w:fldCharType="end"/>
          </w:r>
        </w:sdtContent>
      </w:sdt>
      <w:r w:rsidRPr="00277328">
        <w:rPr>
          <w:lang w:val="en-GB"/>
        </w:rPr>
        <w:t xml:space="preserve">. Since the coefficients are also random variables, their distribution has to be defined. In this analysis, a normal distribution was assumed.  Comparisons have been implemented between the CLM and the MXL model assessing their goodness of fit, based on BIC and AIC criteria. Backward selection (at the 0.10 significance level) and goodness of fit tests have been used in order to choose which variables will be included and reach a final model specification. The form of the </w:t>
      </w:r>
      <w:r w:rsidR="00B571F4">
        <w:rPr>
          <w:lang w:val="en-GB"/>
        </w:rPr>
        <w:t xml:space="preserve">conditional logit </w:t>
      </w:r>
      <w:r w:rsidRPr="00277328">
        <w:rPr>
          <w:lang w:val="en-GB"/>
        </w:rPr>
        <w:t>model estimated is the following:</w:t>
      </w:r>
    </w:p>
    <w:p w:rsidR="00A42699" w:rsidRPr="00277328" w:rsidRDefault="00A42699" w:rsidP="00A42699">
      <w:pPr>
        <w:rPr>
          <w:sz w:val="24"/>
          <w:szCs w:val="24"/>
          <w:lang w:val="en-GB"/>
        </w:rPr>
      </w:pPr>
      <m:oMathPara>
        <m:oMath>
          <m:r>
            <w:rPr>
              <w:rFonts w:ascii="Cambria Math" w:hAnsi="Cambria Math"/>
              <w:sz w:val="24"/>
              <w:szCs w:val="24"/>
              <w:lang w:val="en-GB"/>
            </w:rPr>
            <m:t xml:space="preserve">Logit </m:t>
          </m:r>
          <m:d>
            <m:dPr>
              <m:ctrlPr>
                <w:rPr>
                  <w:rFonts w:ascii="Cambria Math" w:hAnsi="Cambria Math"/>
                  <w:i/>
                  <w:sz w:val="24"/>
                  <w:szCs w:val="24"/>
                  <w:lang w:val="en-GB"/>
                </w:rPr>
              </m:ctrlPr>
            </m:dPr>
            <m:e>
              <m:sSub>
                <m:sSubPr>
                  <m:ctrlPr>
                    <w:rPr>
                      <w:rFonts w:ascii="Cambria Math" w:hAnsi="Cambria Math"/>
                      <w:i/>
                      <w:sz w:val="24"/>
                      <w:szCs w:val="24"/>
                      <w:lang w:val="en-GB"/>
                    </w:rPr>
                  </m:ctrlPr>
                </m:sSubPr>
                <m:e>
                  <m:r>
                    <w:rPr>
                      <w:rFonts w:ascii="Cambria Math" w:hAnsi="Cambria Math"/>
                      <w:sz w:val="24"/>
                      <w:szCs w:val="24"/>
                      <w:lang w:val="en-GB"/>
                    </w:rPr>
                    <m:t>P</m:t>
                  </m:r>
                </m:e>
                <m:sub>
                  <m:r>
                    <w:rPr>
                      <w:rFonts w:ascii="Cambria Math" w:hAnsi="Cambria Math"/>
                      <w:sz w:val="24"/>
                      <w:szCs w:val="24"/>
                      <w:lang w:val="en-GB"/>
                    </w:rPr>
                    <m:t>iq</m:t>
                  </m:r>
                </m:sub>
              </m:sSub>
            </m:e>
          </m:d>
          <m:r>
            <w:rPr>
              <w:rFonts w:ascii="Cambria Math" w:hAnsi="Cambria Math"/>
              <w:sz w:val="24"/>
              <w:szCs w:val="24"/>
              <w:lang w:val="en-GB"/>
            </w:rPr>
            <m:t>=P(choice=1|</m:t>
          </m:r>
          <m:sSub>
            <m:sSubPr>
              <m:ctrlPr>
                <w:rPr>
                  <w:rFonts w:ascii="Cambria Math" w:hAnsi="Cambria Math"/>
                  <w:i/>
                  <w:sz w:val="24"/>
                  <w:szCs w:val="24"/>
                  <w:lang w:val="en-GB"/>
                </w:rPr>
              </m:ctrlPr>
            </m:sSubPr>
            <m:e>
              <m:r>
                <w:rPr>
                  <w:rFonts w:ascii="Cambria Math" w:hAnsi="Cambria Math"/>
                  <w:sz w:val="24"/>
                  <w:szCs w:val="24"/>
                  <w:lang w:val="en-GB"/>
                </w:rPr>
                <m:t>k</m:t>
              </m:r>
            </m:e>
            <m:sub>
              <m:r>
                <w:rPr>
                  <w:rFonts w:ascii="Cambria Math" w:hAnsi="Cambria Math"/>
                  <w:sz w:val="24"/>
                  <w:szCs w:val="24"/>
                  <w:lang w:val="en-GB"/>
                </w:rPr>
                <m:t>q</m:t>
              </m:r>
            </m:sub>
          </m:sSub>
          <m:r>
            <w:rPr>
              <w:rFonts w:ascii="Cambria Math" w:hAnsi="Cambria Math"/>
              <w:sz w:val="24"/>
              <w:szCs w:val="24"/>
              <w:lang w:val="en-GB"/>
            </w:rPr>
            <m:t xml:space="preserve">, </m:t>
          </m:r>
          <m:sSub>
            <m:sSubPr>
              <m:ctrlPr>
                <w:rPr>
                  <w:rFonts w:ascii="Cambria Math" w:hAnsi="Cambria Math"/>
                  <w:i/>
                  <w:sz w:val="24"/>
                  <w:szCs w:val="24"/>
                  <w:lang w:val="en-GB"/>
                </w:rPr>
              </m:ctrlPr>
            </m:sSubPr>
            <m:e>
              <m:r>
                <w:rPr>
                  <w:rFonts w:ascii="Cambria Math" w:hAnsi="Cambria Math"/>
                  <w:sz w:val="24"/>
                  <w:szCs w:val="24"/>
                  <w:lang w:val="en-GB"/>
                </w:rPr>
                <m:t>C</m:t>
              </m:r>
            </m:e>
            <m:sub>
              <m:r>
                <w:rPr>
                  <w:rFonts w:ascii="Cambria Math" w:hAnsi="Cambria Math"/>
                  <w:sz w:val="24"/>
                  <w:szCs w:val="24"/>
                  <w:lang w:val="en-GB"/>
                </w:rPr>
                <m:t>q</m:t>
              </m:r>
            </m:sub>
          </m:sSub>
          <m:r>
            <w:rPr>
              <w:rFonts w:ascii="Cambria Math" w:hAnsi="Cambria Math"/>
              <w:sz w:val="24"/>
              <w:szCs w:val="24"/>
              <w:lang w:val="en-GB"/>
            </w:rPr>
            <m:t xml:space="preserve">) = </m:t>
          </m:r>
          <m:sSub>
            <m:sSubPr>
              <m:ctrlPr>
                <w:rPr>
                  <w:rFonts w:ascii="Cambria Math" w:hAnsi="Cambria Math"/>
                  <w:i/>
                  <w:sz w:val="24"/>
                  <w:szCs w:val="24"/>
                  <w:lang w:val="en-GB"/>
                </w:rPr>
              </m:ctrlPr>
            </m:sSubPr>
            <m:e>
              <m:r>
                <w:rPr>
                  <w:rFonts w:ascii="Cambria Math" w:hAnsi="Cambria Math"/>
                  <w:sz w:val="24"/>
                  <w:szCs w:val="24"/>
                  <w:lang w:val="en-GB"/>
                </w:rPr>
                <m:t>β</m:t>
              </m:r>
            </m:e>
            <m:sub>
              <m:r>
                <w:rPr>
                  <w:rFonts w:ascii="Cambria Math" w:hAnsi="Cambria Math"/>
                  <w:sz w:val="24"/>
                  <w:szCs w:val="24"/>
                  <w:lang w:val="en-GB"/>
                </w:rPr>
                <m:t>1</m:t>
              </m:r>
            </m:sub>
          </m:sSub>
          <m:r>
            <w:rPr>
              <w:rFonts w:ascii="Cambria Math" w:hAnsi="Cambria Math"/>
              <w:sz w:val="24"/>
              <w:szCs w:val="24"/>
              <w:lang w:val="en-GB"/>
            </w:rPr>
            <m:t xml:space="preserve">*severity + </m:t>
          </m:r>
          <m:sSub>
            <m:sSubPr>
              <m:ctrlPr>
                <w:rPr>
                  <w:rFonts w:ascii="Cambria Math" w:hAnsi="Cambria Math"/>
                  <w:i/>
                  <w:sz w:val="24"/>
                  <w:szCs w:val="24"/>
                  <w:lang w:val="en-GB"/>
                </w:rPr>
              </m:ctrlPr>
            </m:sSubPr>
            <m:e>
              <m:r>
                <w:rPr>
                  <w:rFonts w:ascii="Cambria Math" w:hAnsi="Cambria Math"/>
                  <w:sz w:val="24"/>
                  <w:szCs w:val="24"/>
                  <w:lang w:val="en-GB"/>
                </w:rPr>
                <m:t>β</m:t>
              </m:r>
            </m:e>
            <m:sub>
              <m:r>
                <w:rPr>
                  <w:rFonts w:ascii="Cambria Math" w:hAnsi="Cambria Math"/>
                  <w:sz w:val="24"/>
                  <w:szCs w:val="24"/>
                  <w:lang w:val="en-GB"/>
                </w:rPr>
                <m:t>2</m:t>
              </m:r>
            </m:sub>
          </m:sSub>
          <m:r>
            <w:rPr>
              <w:rFonts w:ascii="Cambria Math" w:hAnsi="Cambria Math"/>
              <w:sz w:val="24"/>
              <w:szCs w:val="24"/>
              <w:lang w:val="en-GB"/>
            </w:rPr>
            <m:t xml:space="preserve">*number of beneficiaries + </m:t>
          </m:r>
          <m:sSub>
            <m:sSubPr>
              <m:ctrlPr>
                <w:rPr>
                  <w:rFonts w:ascii="Cambria Math" w:hAnsi="Cambria Math"/>
                  <w:i/>
                  <w:sz w:val="24"/>
                  <w:szCs w:val="24"/>
                  <w:lang w:val="en-GB"/>
                </w:rPr>
              </m:ctrlPr>
            </m:sSubPr>
            <m:e>
              <m:r>
                <w:rPr>
                  <w:rFonts w:ascii="Cambria Math" w:hAnsi="Cambria Math"/>
                  <w:sz w:val="24"/>
                  <w:szCs w:val="24"/>
                  <w:lang w:val="en-GB"/>
                </w:rPr>
                <m:t>β</m:t>
              </m:r>
            </m:e>
            <m:sub>
              <m:r>
                <w:rPr>
                  <w:rFonts w:ascii="Cambria Math" w:hAnsi="Cambria Math"/>
                  <w:sz w:val="24"/>
                  <w:szCs w:val="24"/>
                  <w:lang w:val="en-GB"/>
                </w:rPr>
                <m:t>3</m:t>
              </m:r>
            </m:sub>
          </m:sSub>
          <m:r>
            <w:rPr>
              <w:rFonts w:ascii="Cambria Math" w:hAnsi="Cambria Math"/>
              <w:sz w:val="24"/>
              <w:szCs w:val="24"/>
              <w:lang w:val="en-GB"/>
            </w:rPr>
            <m:t xml:space="preserve">*middle age + </m:t>
          </m:r>
          <m:sSub>
            <m:sSubPr>
              <m:ctrlPr>
                <w:rPr>
                  <w:rFonts w:ascii="Cambria Math" w:hAnsi="Cambria Math"/>
                  <w:i/>
                  <w:sz w:val="24"/>
                  <w:szCs w:val="24"/>
                  <w:lang w:val="en-GB"/>
                </w:rPr>
              </m:ctrlPr>
            </m:sSubPr>
            <m:e>
              <m:r>
                <w:rPr>
                  <w:rFonts w:ascii="Cambria Math" w:hAnsi="Cambria Math"/>
                  <w:sz w:val="24"/>
                  <w:szCs w:val="24"/>
                  <w:lang w:val="en-GB"/>
                </w:rPr>
                <m:t>β</m:t>
              </m:r>
            </m:e>
            <m:sub>
              <m:r>
                <w:rPr>
                  <w:rFonts w:ascii="Cambria Math" w:hAnsi="Cambria Math"/>
                  <w:sz w:val="24"/>
                  <w:szCs w:val="24"/>
                  <w:lang w:val="en-GB"/>
                </w:rPr>
                <m:t>4</m:t>
              </m:r>
            </m:sub>
          </m:sSub>
          <m:r>
            <w:rPr>
              <w:rFonts w:ascii="Cambria Math" w:hAnsi="Cambria Math"/>
              <w:sz w:val="24"/>
              <w:szCs w:val="24"/>
              <w:lang w:val="en-GB"/>
            </w:rPr>
            <m:t xml:space="preserve">*high age + </m:t>
          </m:r>
          <m:sSub>
            <m:sSubPr>
              <m:ctrlPr>
                <w:rPr>
                  <w:rFonts w:ascii="Cambria Math" w:hAnsi="Cambria Math"/>
                  <w:i/>
                  <w:sz w:val="24"/>
                  <w:szCs w:val="24"/>
                  <w:lang w:val="en-GB"/>
                </w:rPr>
              </m:ctrlPr>
            </m:sSubPr>
            <m:e>
              <m:r>
                <w:rPr>
                  <w:rFonts w:ascii="Cambria Math" w:hAnsi="Cambria Math"/>
                  <w:sz w:val="24"/>
                  <w:szCs w:val="24"/>
                  <w:lang w:val="en-GB"/>
                </w:rPr>
                <m:t>β</m:t>
              </m:r>
            </m:e>
            <m:sub>
              <m:r>
                <w:rPr>
                  <w:rFonts w:ascii="Cambria Math" w:hAnsi="Cambria Math"/>
                  <w:sz w:val="24"/>
                  <w:szCs w:val="24"/>
                  <w:lang w:val="en-GB"/>
                </w:rPr>
                <m:t>5</m:t>
              </m:r>
            </m:sub>
          </m:sSub>
          <m:r>
            <w:rPr>
              <w:rFonts w:ascii="Cambria Math" w:hAnsi="Cambria Math"/>
              <w:sz w:val="24"/>
              <w:szCs w:val="24"/>
              <w:lang w:val="en-GB"/>
            </w:rPr>
            <m:t xml:space="preserve">*individual benefits + </m:t>
          </m:r>
          <m:sSub>
            <m:sSubPr>
              <m:ctrlPr>
                <w:rPr>
                  <w:rFonts w:ascii="Cambria Math" w:hAnsi="Cambria Math"/>
                  <w:i/>
                  <w:sz w:val="24"/>
                  <w:szCs w:val="24"/>
                  <w:lang w:val="en-GB"/>
                </w:rPr>
              </m:ctrlPr>
            </m:sSubPr>
            <m:e>
              <m:r>
                <w:rPr>
                  <w:rFonts w:ascii="Cambria Math" w:hAnsi="Cambria Math"/>
                  <w:sz w:val="24"/>
                  <w:szCs w:val="24"/>
                  <w:lang w:val="en-GB"/>
                </w:rPr>
                <m:t>β</m:t>
              </m:r>
            </m:e>
            <m:sub>
              <m:r>
                <w:rPr>
                  <w:rFonts w:ascii="Cambria Math" w:hAnsi="Cambria Math"/>
                  <w:sz w:val="24"/>
                  <w:szCs w:val="24"/>
                  <w:lang w:val="en-GB"/>
                </w:rPr>
                <m:t>6</m:t>
              </m:r>
            </m:sub>
          </m:sSub>
          <m:r>
            <w:rPr>
              <w:rFonts w:ascii="Cambria Math" w:hAnsi="Cambria Math"/>
              <w:sz w:val="24"/>
              <w:szCs w:val="24"/>
              <w:lang w:val="en-GB"/>
            </w:rPr>
            <m:t xml:space="preserve">*wts + </m:t>
          </m:r>
          <m:sSub>
            <m:sSubPr>
              <m:ctrlPr>
                <w:rPr>
                  <w:rFonts w:ascii="Cambria Math" w:hAnsi="Cambria Math"/>
                  <w:i/>
                  <w:sz w:val="24"/>
                  <w:szCs w:val="24"/>
                  <w:lang w:val="en-GB"/>
                </w:rPr>
              </m:ctrlPr>
            </m:sSubPr>
            <m:e>
              <m:r>
                <w:rPr>
                  <w:rFonts w:ascii="Cambria Math" w:hAnsi="Cambria Math"/>
                  <w:sz w:val="24"/>
                  <w:szCs w:val="24"/>
                  <w:lang w:val="en-GB"/>
                </w:rPr>
                <m:t>β</m:t>
              </m:r>
            </m:e>
            <m:sub>
              <m:r>
                <w:rPr>
                  <w:rFonts w:ascii="Cambria Math" w:hAnsi="Cambria Math"/>
                  <w:sz w:val="24"/>
                  <w:szCs w:val="24"/>
                  <w:lang w:val="en-GB"/>
                </w:rPr>
                <m:t>7</m:t>
              </m:r>
            </m:sub>
          </m:sSub>
          <m:r>
            <w:rPr>
              <w:rFonts w:ascii="Cambria Math" w:hAnsi="Cambria Math"/>
              <w:sz w:val="24"/>
              <w:szCs w:val="24"/>
              <w:lang w:val="en-GB"/>
            </w:rPr>
            <m:t xml:space="preserve">*cea + </m:t>
          </m:r>
          <m:sSub>
            <m:sSubPr>
              <m:ctrlPr>
                <w:rPr>
                  <w:rFonts w:ascii="Cambria Math" w:hAnsi="Cambria Math"/>
                  <w:i/>
                  <w:sz w:val="24"/>
                  <w:szCs w:val="24"/>
                  <w:lang w:val="en-GB"/>
                </w:rPr>
              </m:ctrlPr>
            </m:sSubPr>
            <m:e>
              <m:r>
                <w:rPr>
                  <w:rFonts w:ascii="Cambria Math" w:hAnsi="Cambria Math"/>
                  <w:sz w:val="24"/>
                  <w:szCs w:val="24"/>
                  <w:lang w:val="en-GB"/>
                </w:rPr>
                <m:t>β</m:t>
              </m:r>
            </m:e>
            <m:sub>
              <m:r>
                <w:rPr>
                  <w:rFonts w:ascii="Cambria Math" w:hAnsi="Cambria Math"/>
                  <w:sz w:val="24"/>
                  <w:szCs w:val="24"/>
                  <w:lang w:val="en-GB"/>
                </w:rPr>
                <m:t>8</m:t>
              </m:r>
            </m:sub>
          </m:sSub>
          <m:r>
            <w:rPr>
              <w:rFonts w:ascii="Cambria Math" w:hAnsi="Cambria Math"/>
              <w:sz w:val="24"/>
              <w:szCs w:val="24"/>
              <w:lang w:val="en-GB"/>
            </w:rPr>
            <m:t>*</m:t>
          </m:r>
          <m:d>
            <m:dPr>
              <m:ctrlPr>
                <w:rPr>
                  <w:rFonts w:ascii="Cambria Math" w:hAnsi="Cambria Math"/>
                  <w:i/>
                  <w:sz w:val="24"/>
                  <w:szCs w:val="24"/>
                  <w:lang w:val="en-GB"/>
                </w:rPr>
              </m:ctrlPr>
            </m:dPr>
            <m:e>
              <m:r>
                <w:rPr>
                  <w:rFonts w:ascii="Cambria Math" w:hAnsi="Cambria Math"/>
                  <w:sz w:val="24"/>
                  <w:szCs w:val="24"/>
                  <w:lang w:val="en-GB"/>
                </w:rPr>
                <m:t>high age*male</m:t>
              </m:r>
            </m:e>
          </m:d>
          <m:r>
            <w:rPr>
              <w:rFonts w:ascii="Cambria Math" w:hAnsi="Cambria Math"/>
              <w:sz w:val="24"/>
              <w:szCs w:val="24"/>
              <w:lang w:val="en-GB"/>
            </w:rPr>
            <m:t xml:space="preserve">+ </m:t>
          </m:r>
          <m:sSub>
            <m:sSubPr>
              <m:ctrlPr>
                <w:rPr>
                  <w:rFonts w:ascii="Cambria Math" w:hAnsi="Cambria Math"/>
                  <w:i/>
                  <w:sz w:val="24"/>
                  <w:szCs w:val="24"/>
                  <w:lang w:val="en-GB"/>
                </w:rPr>
              </m:ctrlPr>
            </m:sSubPr>
            <m:e>
              <m:r>
                <w:rPr>
                  <w:rFonts w:ascii="Cambria Math" w:hAnsi="Cambria Math"/>
                  <w:sz w:val="24"/>
                  <w:szCs w:val="24"/>
                  <w:lang w:val="en-GB"/>
                </w:rPr>
                <m:t>β</m:t>
              </m:r>
            </m:e>
            <m:sub>
              <m:r>
                <w:rPr>
                  <w:rFonts w:ascii="Cambria Math" w:hAnsi="Cambria Math"/>
                  <w:sz w:val="24"/>
                  <w:szCs w:val="24"/>
                  <w:lang w:val="en-GB"/>
                </w:rPr>
                <m:t>9</m:t>
              </m:r>
            </m:sub>
          </m:sSub>
          <m:r>
            <w:rPr>
              <w:rFonts w:ascii="Cambria Math" w:hAnsi="Cambria Math"/>
              <w:sz w:val="24"/>
              <w:szCs w:val="24"/>
              <w:lang w:val="en-GB"/>
            </w:rPr>
            <m:t>*</m:t>
          </m:r>
          <m:d>
            <m:dPr>
              <m:ctrlPr>
                <w:rPr>
                  <w:rFonts w:ascii="Cambria Math" w:hAnsi="Cambria Math"/>
                  <w:i/>
                  <w:sz w:val="24"/>
                  <w:szCs w:val="24"/>
                  <w:lang w:val="en-GB"/>
                </w:rPr>
              </m:ctrlPr>
            </m:dPr>
            <m:e>
              <m:r>
                <w:rPr>
                  <w:rFonts w:ascii="Cambria Math" w:hAnsi="Cambria Math"/>
                  <w:sz w:val="24"/>
                  <w:szCs w:val="24"/>
                  <w:lang w:val="en-GB"/>
                </w:rPr>
                <m:t>individual benefits*male</m:t>
              </m:r>
            </m:e>
          </m:d>
          <m:r>
            <w:rPr>
              <w:rFonts w:ascii="Cambria Math" w:hAnsi="Cambria Math"/>
              <w:sz w:val="24"/>
              <w:szCs w:val="24"/>
              <w:lang w:val="en-GB"/>
            </w:rPr>
            <m:t xml:space="preserve">+ </m:t>
          </m:r>
          <m:sSub>
            <m:sSubPr>
              <m:ctrlPr>
                <w:rPr>
                  <w:rFonts w:ascii="Cambria Math" w:hAnsi="Cambria Math"/>
                  <w:i/>
                  <w:sz w:val="24"/>
                  <w:szCs w:val="24"/>
                  <w:lang w:val="en-GB"/>
                </w:rPr>
              </m:ctrlPr>
            </m:sSubPr>
            <m:e>
              <m:r>
                <w:rPr>
                  <w:rFonts w:ascii="Cambria Math" w:hAnsi="Cambria Math"/>
                  <w:sz w:val="24"/>
                  <w:szCs w:val="24"/>
                  <w:lang w:val="el-GR"/>
                </w:rPr>
                <m:t>β</m:t>
              </m:r>
            </m:e>
            <m:sub>
              <m:r>
                <w:rPr>
                  <w:rFonts w:ascii="Cambria Math" w:hAnsi="Cambria Math"/>
                  <w:sz w:val="24"/>
                  <w:szCs w:val="24"/>
                  <w:lang w:val="en-GB"/>
                </w:rPr>
                <m:t>10</m:t>
              </m:r>
            </m:sub>
          </m:sSub>
          <m:r>
            <w:rPr>
              <w:rFonts w:ascii="Cambria Math" w:hAnsi="Cambria Math"/>
              <w:sz w:val="24"/>
              <w:szCs w:val="24"/>
              <w:lang w:val="en-GB"/>
            </w:rPr>
            <m:t xml:space="preserve">*(cea*jobtype2)+ </m:t>
          </m:r>
          <m:sSub>
            <m:sSubPr>
              <m:ctrlPr>
                <w:rPr>
                  <w:rFonts w:ascii="Cambria Math" w:hAnsi="Cambria Math"/>
                  <w:i/>
                  <w:sz w:val="24"/>
                  <w:szCs w:val="24"/>
                  <w:lang w:val="en-GB"/>
                </w:rPr>
              </m:ctrlPr>
            </m:sSubPr>
            <m:e>
              <m:r>
                <w:rPr>
                  <w:rFonts w:ascii="Cambria Math" w:hAnsi="Cambria Math"/>
                  <w:sz w:val="24"/>
                  <w:szCs w:val="24"/>
                  <w:lang w:val="en-GB"/>
                </w:rPr>
                <m:t>ε</m:t>
              </m:r>
            </m:e>
            <m:sub>
              <m:r>
                <w:rPr>
                  <w:rFonts w:ascii="Cambria Math" w:hAnsi="Cambria Math"/>
                  <w:sz w:val="24"/>
                  <w:szCs w:val="24"/>
                  <w:lang w:val="en-GB"/>
                </w:rPr>
                <m:t>iq</m:t>
              </m:r>
            </m:sub>
          </m:sSub>
          <m:r>
            <w:rPr>
              <w:rFonts w:ascii="Cambria Math" w:hAnsi="Cambria Math"/>
              <w:sz w:val="24"/>
              <w:szCs w:val="24"/>
              <w:lang w:val="en-GB"/>
            </w:rPr>
            <m:t xml:space="preserve"> </m:t>
          </m:r>
        </m:oMath>
      </m:oMathPara>
    </w:p>
    <w:p w:rsidR="00A42699" w:rsidRPr="00277328" w:rsidRDefault="00A42699" w:rsidP="00A42699">
      <w:pPr>
        <w:rPr>
          <w:szCs w:val="24"/>
          <w:lang w:val="en-GB"/>
        </w:rPr>
      </w:pPr>
      <w:r w:rsidRPr="00277328">
        <w:rPr>
          <w:szCs w:val="24"/>
          <w:lang w:val="en-GB"/>
        </w:rPr>
        <w:t>Where</w:t>
      </w:r>
      <w:r w:rsidRPr="00277328">
        <w:rPr>
          <w:sz w:val="24"/>
          <w:szCs w:val="24"/>
          <w:lang w:val="en-GB"/>
        </w:rPr>
        <w:t xml:space="preserve"> </w:t>
      </w:r>
      <w:r w:rsidRPr="00277328">
        <w:rPr>
          <w:i/>
          <w:sz w:val="24"/>
          <w:szCs w:val="24"/>
          <w:lang w:val="en-GB"/>
        </w:rPr>
        <w:t>k</w:t>
      </w:r>
      <w:r w:rsidRPr="00277328">
        <w:rPr>
          <w:i/>
          <w:sz w:val="24"/>
          <w:szCs w:val="24"/>
          <w:vertAlign w:val="subscript"/>
          <w:lang w:val="en-GB"/>
        </w:rPr>
        <w:t>q</w:t>
      </w:r>
      <w:r w:rsidRPr="00277328">
        <w:rPr>
          <w:sz w:val="24"/>
          <w:szCs w:val="24"/>
          <w:vertAlign w:val="subscript"/>
          <w:lang w:val="en-GB"/>
        </w:rPr>
        <w:t xml:space="preserve"> </w:t>
      </w:r>
      <w:r w:rsidRPr="00277328">
        <w:rPr>
          <w:szCs w:val="24"/>
          <w:lang w:val="en-GB"/>
        </w:rPr>
        <w:t>indicates the vector of measured attributes for individual</w:t>
      </w:r>
      <w:r w:rsidRPr="00277328">
        <w:rPr>
          <w:i/>
          <w:szCs w:val="24"/>
          <w:lang w:val="en-GB"/>
        </w:rPr>
        <w:t xml:space="preserve"> </w:t>
      </w:r>
      <w:r w:rsidRPr="00277328">
        <w:rPr>
          <w:i/>
          <w:sz w:val="24"/>
          <w:szCs w:val="24"/>
          <w:lang w:val="en-GB"/>
        </w:rPr>
        <w:t>q</w:t>
      </w:r>
      <w:r w:rsidRPr="00277328">
        <w:rPr>
          <w:szCs w:val="24"/>
          <w:lang w:val="en-GB"/>
        </w:rPr>
        <w:t xml:space="preserve"> and</w:t>
      </w:r>
      <w:r w:rsidRPr="00277328">
        <w:rPr>
          <w:sz w:val="24"/>
          <w:szCs w:val="24"/>
          <w:lang w:val="en-GB"/>
        </w:rPr>
        <w:t xml:space="preserve"> </w:t>
      </w:r>
      <w:proofErr w:type="gramStart"/>
      <w:r w:rsidRPr="00277328">
        <w:rPr>
          <w:i/>
          <w:sz w:val="24"/>
          <w:szCs w:val="24"/>
          <w:lang w:val="en-GB"/>
        </w:rPr>
        <w:t>C</w:t>
      </w:r>
      <w:r w:rsidRPr="00277328">
        <w:rPr>
          <w:i/>
          <w:sz w:val="24"/>
          <w:szCs w:val="24"/>
          <w:vertAlign w:val="subscript"/>
          <w:lang w:val="en-GB"/>
        </w:rPr>
        <w:t>q</w:t>
      </w:r>
      <w:proofErr w:type="gramEnd"/>
      <w:r w:rsidRPr="00277328">
        <w:rPr>
          <w:sz w:val="24"/>
          <w:szCs w:val="24"/>
          <w:vertAlign w:val="subscript"/>
          <w:lang w:val="en-GB"/>
        </w:rPr>
        <w:t xml:space="preserve"> </w:t>
      </w:r>
      <w:r w:rsidRPr="00277328">
        <w:rPr>
          <w:szCs w:val="24"/>
          <w:lang w:val="en-GB"/>
        </w:rPr>
        <w:t xml:space="preserve">indicates a choice set. </w:t>
      </w:r>
    </w:p>
    <w:p w:rsidR="005B5C82" w:rsidRDefault="00A42699" w:rsidP="00A42699">
      <w:pPr>
        <w:rPr>
          <w:szCs w:val="24"/>
          <w:lang w:val="en-GB"/>
        </w:rPr>
      </w:pPr>
      <w:r w:rsidRPr="00277328">
        <w:rPr>
          <w:szCs w:val="24"/>
          <w:lang w:val="en-GB"/>
        </w:rPr>
        <w:t>Finally, in order to account for potential regional diversity in priority setting, three sub-models are estimated, one for each of the three regions included in the study. Before separating the model, some assumptions have to be tested. In particular, the IID property implies that the error terms are not only independent of each other but also identically distributed among alternatives, thus homoskedastic. That is, the error variances (or equivalently the inversely related scale parameters) are equal across alternat</w:t>
      </w:r>
      <w:r w:rsidR="00485517" w:rsidRPr="00277328">
        <w:rPr>
          <w:szCs w:val="24"/>
          <w:lang w:val="en-GB"/>
        </w:rPr>
        <w:t>ives and individuals</w:t>
      </w:r>
      <w:r w:rsidR="006A5A0D">
        <w:rPr>
          <w:szCs w:val="24"/>
          <w:lang w:val="en-GB"/>
        </w:rPr>
        <w:t xml:space="preserve"> (Ryan, Gerard and Amaya-Amaya, </w:t>
      </w:r>
      <w:r w:rsidR="00485517" w:rsidRPr="00277328">
        <w:rPr>
          <w:szCs w:val="24"/>
          <w:lang w:val="en-GB"/>
        </w:rPr>
        <w:t>2008)</w:t>
      </w:r>
      <w:r w:rsidRPr="00277328">
        <w:rPr>
          <w:szCs w:val="24"/>
          <w:lang w:val="en-GB"/>
        </w:rPr>
        <w:t>. Therefore, in order to obtain efficient parameter estimates from the sub-models, the scale factors should not be significantly different. To test this assumption, a fitted heteroskedastic conditional logit model is used, which establishes that the differences in scale parameters between the three regions are not significant</w:t>
      </w:r>
      <w:r w:rsidR="00600D28">
        <w:rPr>
          <w:szCs w:val="24"/>
          <w:lang w:val="en-GB"/>
        </w:rPr>
        <w:t>, hence the model is separable.</w:t>
      </w:r>
    </w:p>
    <w:p w:rsidR="005B5C82" w:rsidRPr="00277328" w:rsidRDefault="005B5C82" w:rsidP="00A42699">
      <w:pPr>
        <w:rPr>
          <w:szCs w:val="24"/>
          <w:lang w:val="en-GB"/>
        </w:rPr>
      </w:pPr>
    </w:p>
    <w:p w:rsidR="00A42699" w:rsidRPr="00277328" w:rsidRDefault="00A42699" w:rsidP="003414E6">
      <w:pPr>
        <w:pStyle w:val="Heading2"/>
        <w:rPr>
          <w:lang w:val="en-GB"/>
        </w:rPr>
      </w:pPr>
      <w:r w:rsidRPr="00277328">
        <w:rPr>
          <w:lang w:val="en-GB"/>
        </w:rPr>
        <w:t xml:space="preserve"> </w:t>
      </w:r>
      <w:bookmarkStart w:id="24" w:name="_Toc367791016"/>
      <w:r w:rsidRPr="00277328">
        <w:rPr>
          <w:lang w:val="en-GB"/>
        </w:rPr>
        <w:t>Probability analysis</w:t>
      </w:r>
      <w:bookmarkEnd w:id="24"/>
    </w:p>
    <w:p w:rsidR="00A42699" w:rsidRPr="00277328" w:rsidRDefault="00A42699" w:rsidP="00A42699">
      <w:pPr>
        <w:rPr>
          <w:szCs w:val="24"/>
          <w:lang w:val="en-GB"/>
        </w:rPr>
      </w:pPr>
      <w:r w:rsidRPr="00277328">
        <w:rPr>
          <w:szCs w:val="24"/>
          <w:lang w:val="en-GB"/>
        </w:rPr>
        <w:t xml:space="preserve">In most cases, the interpretation of the model results would be based on the comparison of the size and significance of the estimated parameters for the attributes. However, in discrete choice models the relative impact of attributes is not directly comparable since the coefficients estimates are confounded with the implicit subjective utility scale. Put differently, parameters estimates combine the relative impact (or weight) </w:t>
      </w:r>
      <w:r w:rsidR="008A4E9F">
        <w:rPr>
          <w:szCs w:val="24"/>
          <w:lang w:val="en-GB"/>
        </w:rPr>
        <w:t xml:space="preserve">of an attribute on respondents’ </w:t>
      </w:r>
      <w:r w:rsidRPr="00277328">
        <w:rPr>
          <w:szCs w:val="24"/>
          <w:lang w:val="en-GB"/>
        </w:rPr>
        <w:t xml:space="preserve">choice and the utility scale values related with its levels </w:t>
      </w:r>
      <w:sdt>
        <w:sdtPr>
          <w:rPr>
            <w:szCs w:val="24"/>
            <w:lang w:val="en-GB"/>
          </w:rPr>
          <w:id w:val="40658339"/>
          <w:citation/>
        </w:sdtPr>
        <w:sdtContent>
          <w:r w:rsidR="00E93150" w:rsidRPr="00277328">
            <w:rPr>
              <w:szCs w:val="24"/>
              <w:lang w:val="en-GB"/>
            </w:rPr>
            <w:fldChar w:fldCharType="begin"/>
          </w:r>
          <w:r w:rsidR="00E3500A" w:rsidRPr="00277328">
            <w:rPr>
              <w:szCs w:val="24"/>
              <w:lang w:val="en-GB"/>
            </w:rPr>
            <w:instrText xml:space="preserve"> CITATION Lan07 \l 1033 </w:instrText>
          </w:r>
          <w:r w:rsidR="00E93150" w:rsidRPr="00277328">
            <w:rPr>
              <w:szCs w:val="24"/>
              <w:lang w:val="en-GB"/>
            </w:rPr>
            <w:fldChar w:fldCharType="separate"/>
          </w:r>
          <w:r w:rsidR="008930F2" w:rsidRPr="00277328">
            <w:rPr>
              <w:szCs w:val="24"/>
              <w:lang w:val="en-GB"/>
            </w:rPr>
            <w:t xml:space="preserve">(Lanscar, Louviere and </w:t>
          </w:r>
          <w:r w:rsidR="008930F2" w:rsidRPr="00277328">
            <w:rPr>
              <w:szCs w:val="24"/>
              <w:lang w:val="en-GB"/>
            </w:rPr>
            <w:lastRenderedPageBreak/>
            <w:t>Flynn 2007)</w:t>
          </w:r>
          <w:r w:rsidR="00E93150" w:rsidRPr="00277328">
            <w:rPr>
              <w:szCs w:val="24"/>
              <w:lang w:val="en-GB"/>
            </w:rPr>
            <w:fldChar w:fldCharType="end"/>
          </w:r>
        </w:sdtContent>
      </w:sdt>
      <w:r w:rsidRPr="00277328">
        <w:rPr>
          <w:szCs w:val="24"/>
          <w:lang w:val="en-GB"/>
        </w:rPr>
        <w:t xml:space="preserve">. Consequently, the researcher cannot distinguish whether the magnitude of the coefficients estimated are a result of the attribute’s impact or the location of each attribute level on the latent utility interval scale. Therefore, for statistical inference in DCEs other methods have to be used rather than simply calculating the marginal effects of the attributes. </w:t>
      </w:r>
    </w:p>
    <w:p w:rsidR="00A42699" w:rsidRPr="00277328" w:rsidRDefault="00A42699" w:rsidP="00A42699">
      <w:pPr>
        <w:rPr>
          <w:szCs w:val="24"/>
          <w:lang w:val="en-GB"/>
        </w:rPr>
      </w:pPr>
      <w:r w:rsidRPr="00277328">
        <w:rPr>
          <w:szCs w:val="24"/>
          <w:lang w:val="en-GB"/>
        </w:rPr>
        <w:t xml:space="preserve">Several methods to investigate the relative weights of attributes in DCEs have been proposed in the literature </w:t>
      </w:r>
      <w:sdt>
        <w:sdtPr>
          <w:rPr>
            <w:szCs w:val="24"/>
            <w:lang w:val="en-GB"/>
          </w:rPr>
          <w:id w:val="40658340"/>
          <w:citation/>
        </w:sdtPr>
        <w:sdtContent>
          <w:r w:rsidR="00E93150" w:rsidRPr="00277328">
            <w:rPr>
              <w:szCs w:val="24"/>
              <w:lang w:val="en-GB"/>
            </w:rPr>
            <w:fldChar w:fldCharType="begin"/>
          </w:r>
          <w:r w:rsidR="00E3500A" w:rsidRPr="00277328">
            <w:rPr>
              <w:szCs w:val="24"/>
              <w:lang w:val="en-GB"/>
            </w:rPr>
            <w:instrText xml:space="preserve"> CITATION Lan \l 1033  </w:instrText>
          </w:r>
          <w:r w:rsidR="00E93150" w:rsidRPr="00277328">
            <w:rPr>
              <w:szCs w:val="24"/>
              <w:lang w:val="en-GB"/>
            </w:rPr>
            <w:fldChar w:fldCharType="separate"/>
          </w:r>
          <w:r w:rsidR="008930F2" w:rsidRPr="00277328">
            <w:rPr>
              <w:szCs w:val="24"/>
              <w:lang w:val="en-GB"/>
            </w:rPr>
            <w:t>(Lancsar 2002)</w:t>
          </w:r>
          <w:r w:rsidR="00E93150" w:rsidRPr="00277328">
            <w:rPr>
              <w:szCs w:val="24"/>
              <w:lang w:val="en-GB"/>
            </w:rPr>
            <w:fldChar w:fldCharType="end"/>
          </w:r>
        </w:sdtContent>
      </w:sdt>
      <w:r w:rsidR="00E3500A" w:rsidRPr="00277328">
        <w:rPr>
          <w:szCs w:val="24"/>
          <w:lang w:val="en-GB"/>
        </w:rPr>
        <w:t xml:space="preserve"> </w:t>
      </w:r>
      <w:r w:rsidR="005C0F5C" w:rsidRPr="00277328">
        <w:rPr>
          <w:szCs w:val="24"/>
          <w:lang w:val="en-GB"/>
        </w:rPr>
        <w:t xml:space="preserve">(Louviere &amp; Islam </w:t>
      </w:r>
      <w:r w:rsidR="00E3500A" w:rsidRPr="00277328">
        <w:rPr>
          <w:szCs w:val="24"/>
          <w:lang w:val="en-GB"/>
        </w:rPr>
        <w:t>2004)</w:t>
      </w:r>
      <w:r w:rsidR="005C0F5C" w:rsidRPr="00277328">
        <w:rPr>
          <w:szCs w:val="24"/>
          <w:lang w:val="en-GB"/>
        </w:rPr>
        <w:t xml:space="preserve">. </w:t>
      </w:r>
      <w:r w:rsidRPr="00277328">
        <w:rPr>
          <w:szCs w:val="24"/>
          <w:lang w:val="en-GB"/>
        </w:rPr>
        <w:t>In this experiment, probability analysis is applied, which calculates the probability of an alternative being chosen given a particular attribute (and its associated level). For inference, once the parameters are estimated, the predicted probability of a base case alternative is calculated (i.e. an alternative where all attributes are set to their mean values). Next, one of the criteria is set equal to 1 and again the predicted probability is obtained. The two probabilities are then compared and their percentage difference is calculated. Separately repeating this procedure for each attribute leads to an implicit ordering of the relative importance of each criterion according to its impact on the probability of choosing each alterna</w:t>
      </w:r>
      <w:r w:rsidR="005C0F5C" w:rsidRPr="00277328">
        <w:rPr>
          <w:szCs w:val="24"/>
          <w:lang w:val="en-GB"/>
        </w:rPr>
        <w:t xml:space="preserve">tive </w:t>
      </w:r>
      <w:sdt>
        <w:sdtPr>
          <w:rPr>
            <w:szCs w:val="24"/>
            <w:lang w:val="en-GB"/>
          </w:rPr>
          <w:id w:val="40658342"/>
          <w:citation/>
        </w:sdtPr>
        <w:sdtContent>
          <w:r w:rsidR="00E93150" w:rsidRPr="00277328">
            <w:rPr>
              <w:szCs w:val="24"/>
              <w:lang w:val="en-GB"/>
            </w:rPr>
            <w:fldChar w:fldCharType="begin"/>
          </w:r>
          <w:r w:rsidR="005C0F5C" w:rsidRPr="00277328">
            <w:rPr>
              <w:szCs w:val="24"/>
              <w:lang w:val="en-GB"/>
            </w:rPr>
            <w:instrText xml:space="preserve"> CITATION Lan07 \l 1033 </w:instrText>
          </w:r>
          <w:r w:rsidR="00E93150" w:rsidRPr="00277328">
            <w:rPr>
              <w:szCs w:val="24"/>
              <w:lang w:val="en-GB"/>
            </w:rPr>
            <w:fldChar w:fldCharType="separate"/>
          </w:r>
          <w:r w:rsidR="008930F2" w:rsidRPr="00277328">
            <w:rPr>
              <w:szCs w:val="24"/>
              <w:lang w:val="en-GB"/>
            </w:rPr>
            <w:t>(Lanscar, Louviere and Flynn 2007)</w:t>
          </w:r>
          <w:r w:rsidR="00E93150" w:rsidRPr="00277328">
            <w:rPr>
              <w:szCs w:val="24"/>
              <w:lang w:val="en-GB"/>
            </w:rPr>
            <w:fldChar w:fldCharType="end"/>
          </w:r>
        </w:sdtContent>
      </w:sdt>
      <w:r w:rsidRPr="00277328">
        <w:rPr>
          <w:szCs w:val="24"/>
          <w:lang w:val="en-GB"/>
        </w:rPr>
        <w:t>. This procedure is applied for all the three regions</w:t>
      </w:r>
      <w:r w:rsidR="008A4E9F">
        <w:rPr>
          <w:szCs w:val="24"/>
          <w:lang w:val="en-GB"/>
        </w:rPr>
        <w:t xml:space="preserve"> and is implemented using Excel</w:t>
      </w:r>
      <w:r w:rsidRPr="00277328">
        <w:rPr>
          <w:szCs w:val="24"/>
          <w:lang w:val="en-GB"/>
        </w:rPr>
        <w:t>.</w:t>
      </w:r>
    </w:p>
    <w:p w:rsidR="00A42699" w:rsidRDefault="00A42699" w:rsidP="00A42699">
      <w:pPr>
        <w:rPr>
          <w:szCs w:val="24"/>
          <w:lang w:val="en-GB"/>
        </w:rPr>
      </w:pPr>
      <w:r w:rsidRPr="00277328">
        <w:rPr>
          <w:szCs w:val="24"/>
          <w:lang w:val="en-GB"/>
        </w:rPr>
        <w:t xml:space="preserve">Finally, to </w:t>
      </w:r>
      <w:r w:rsidR="00173A00" w:rsidRPr="00277328">
        <w:rPr>
          <w:szCs w:val="24"/>
          <w:lang w:val="en-GB"/>
        </w:rPr>
        <w:t>analyse</w:t>
      </w:r>
      <w:r w:rsidRPr="00277328">
        <w:rPr>
          <w:szCs w:val="24"/>
          <w:lang w:val="en-GB"/>
        </w:rPr>
        <w:t xml:space="preserve"> the overall effect of efficiency over equity attributes, percentage changes are calculated for the aggregate equity and efficiency criteria. That is, predicted probabilities are again computed for each case, by setting first all equity and then all efficiency criteria equal to 1 simultaneously. Next, the percentage changes between the aggregate probabilities and the base case alternative are calculated. These percentage differences are then used to construct an equity/efficiency ratio, which estimates the “size” of the equity/efficien</w:t>
      </w:r>
      <w:r w:rsidR="005C0F5C" w:rsidRPr="00277328">
        <w:rPr>
          <w:szCs w:val="24"/>
          <w:lang w:val="en-GB"/>
        </w:rPr>
        <w:t>cy trade-off</w:t>
      </w:r>
      <w:r w:rsidR="008A4E9F">
        <w:rPr>
          <w:szCs w:val="24"/>
          <w:lang w:val="en-GB"/>
        </w:rPr>
        <w:t xml:space="preserve">. Given </w:t>
      </w:r>
      <w:r w:rsidRPr="00277328">
        <w:rPr>
          <w:szCs w:val="24"/>
          <w:lang w:val="en-GB"/>
        </w:rPr>
        <w:t>the three mutually exclusive levels of “age of target group” attribute, three different calculations had to be implemented, one for each level. For the rest of the binary criteria, that was not an issue. Last</w:t>
      </w:r>
      <w:r w:rsidR="008A4E9F">
        <w:rPr>
          <w:szCs w:val="24"/>
          <w:lang w:val="en-GB"/>
        </w:rPr>
        <w:t>ly</w:t>
      </w:r>
      <w:r w:rsidRPr="00277328">
        <w:rPr>
          <w:szCs w:val="24"/>
          <w:lang w:val="en-GB"/>
        </w:rPr>
        <w:t>, three different computations were performed, one for each of the regions.</w:t>
      </w:r>
    </w:p>
    <w:p w:rsidR="005B5C82" w:rsidRPr="00277328" w:rsidRDefault="005B5C82" w:rsidP="00A42699">
      <w:pPr>
        <w:rPr>
          <w:szCs w:val="24"/>
          <w:lang w:val="en-GB"/>
        </w:rPr>
      </w:pPr>
    </w:p>
    <w:p w:rsidR="00A42699" w:rsidRPr="00277328" w:rsidRDefault="00A42699" w:rsidP="00950BD7">
      <w:pPr>
        <w:pStyle w:val="Heading3"/>
        <w:rPr>
          <w:lang w:val="en-GB"/>
        </w:rPr>
      </w:pPr>
      <w:r w:rsidRPr="00277328">
        <w:rPr>
          <w:lang w:val="en-GB"/>
        </w:rPr>
        <w:t xml:space="preserve"> </w:t>
      </w:r>
      <w:bookmarkStart w:id="25" w:name="_Toc367791017"/>
      <w:r w:rsidRPr="00277328">
        <w:rPr>
          <w:lang w:val="en-GB"/>
        </w:rPr>
        <w:t>Composite league table</w:t>
      </w:r>
      <w:bookmarkEnd w:id="25"/>
      <w:r w:rsidRPr="00277328">
        <w:rPr>
          <w:lang w:val="en-GB"/>
        </w:rPr>
        <w:t xml:space="preserve"> </w:t>
      </w:r>
    </w:p>
    <w:p w:rsidR="001F0FBA" w:rsidRPr="00277328" w:rsidRDefault="00A42699" w:rsidP="001F0FBA">
      <w:pPr>
        <w:rPr>
          <w:rFonts w:cstheme="minorHAnsi"/>
          <w:szCs w:val="24"/>
          <w:lang w:val="en-GB"/>
        </w:rPr>
      </w:pPr>
      <w:r w:rsidRPr="00277328">
        <w:rPr>
          <w:szCs w:val="24"/>
          <w:lang w:val="en-GB"/>
        </w:rPr>
        <w:t>One last step of MCDA is the broad classification and ranking of health interventions within the context of specific clinical conditions and country-specific policy questions, also named composite league tables (CLTs). That is, health interventions across several disease areas that are of interest in Spain are rank-ordered in order to give a further insight for the determinants that affect priority setting. The disease areas and risk factors included in the construction of the CLT consisted of burden of disease data from high-income countries. These data originated from WHO and partner communities reports on non-communicable disease</w:t>
      </w:r>
      <w:r w:rsidR="005C0F5C" w:rsidRPr="00277328">
        <w:rPr>
          <w:szCs w:val="24"/>
          <w:lang w:val="en-GB"/>
        </w:rPr>
        <w:t xml:space="preserve">s and health policy </w:t>
      </w:r>
      <w:sdt>
        <w:sdtPr>
          <w:rPr>
            <w:szCs w:val="24"/>
            <w:lang w:val="en-GB"/>
          </w:rPr>
          <w:id w:val="40658343"/>
          <w:citation/>
        </w:sdtPr>
        <w:sdtContent>
          <w:r w:rsidR="00E93150" w:rsidRPr="00277328">
            <w:rPr>
              <w:szCs w:val="24"/>
              <w:lang w:val="en-GB"/>
            </w:rPr>
            <w:fldChar w:fldCharType="begin"/>
          </w:r>
          <w:r w:rsidR="005C0F5C" w:rsidRPr="00277328">
            <w:rPr>
              <w:szCs w:val="24"/>
              <w:lang w:val="en-GB"/>
            </w:rPr>
            <w:instrText xml:space="preserve"> CITATION Alw10 \l 1033 </w:instrText>
          </w:r>
          <w:r w:rsidR="00E93150" w:rsidRPr="00277328">
            <w:rPr>
              <w:szCs w:val="24"/>
              <w:lang w:val="en-GB"/>
            </w:rPr>
            <w:fldChar w:fldCharType="separate"/>
          </w:r>
          <w:r w:rsidR="008930F2" w:rsidRPr="00277328">
            <w:rPr>
              <w:szCs w:val="24"/>
              <w:lang w:val="en-GB"/>
            </w:rPr>
            <w:t>(Alwan, et al. 2010)</w:t>
          </w:r>
          <w:r w:rsidR="00E93150" w:rsidRPr="00277328">
            <w:rPr>
              <w:szCs w:val="24"/>
              <w:lang w:val="en-GB"/>
            </w:rPr>
            <w:fldChar w:fldCharType="end"/>
          </w:r>
        </w:sdtContent>
      </w:sdt>
      <w:r w:rsidR="005C0F5C" w:rsidRPr="00277328">
        <w:rPr>
          <w:szCs w:val="24"/>
          <w:lang w:val="en-GB"/>
        </w:rPr>
        <w:t xml:space="preserve"> (WHO Action Plan 2008) </w:t>
      </w:r>
      <w:sdt>
        <w:sdtPr>
          <w:rPr>
            <w:szCs w:val="24"/>
            <w:lang w:val="en-GB"/>
          </w:rPr>
          <w:id w:val="40658345"/>
          <w:citation/>
        </w:sdtPr>
        <w:sdtContent>
          <w:r w:rsidR="00E93150" w:rsidRPr="00277328">
            <w:rPr>
              <w:szCs w:val="24"/>
              <w:lang w:val="en-GB"/>
            </w:rPr>
            <w:fldChar w:fldCharType="begin"/>
          </w:r>
          <w:r w:rsidR="005C0F5C" w:rsidRPr="00277328">
            <w:rPr>
              <w:szCs w:val="24"/>
              <w:lang w:val="en-GB"/>
            </w:rPr>
            <w:instrText xml:space="preserve"> CITATION Lop06 \l 1033 </w:instrText>
          </w:r>
          <w:r w:rsidR="00E93150" w:rsidRPr="00277328">
            <w:rPr>
              <w:szCs w:val="24"/>
              <w:lang w:val="en-GB"/>
            </w:rPr>
            <w:fldChar w:fldCharType="separate"/>
          </w:r>
          <w:r w:rsidR="008930F2" w:rsidRPr="00277328">
            <w:rPr>
              <w:szCs w:val="24"/>
              <w:lang w:val="en-GB"/>
            </w:rPr>
            <w:t>(Lopez, et al. 2006)</w:t>
          </w:r>
          <w:r w:rsidR="00E93150" w:rsidRPr="00277328">
            <w:rPr>
              <w:szCs w:val="24"/>
              <w:lang w:val="en-GB"/>
            </w:rPr>
            <w:fldChar w:fldCharType="end"/>
          </w:r>
        </w:sdtContent>
      </w:sdt>
      <w:r w:rsidR="00741164" w:rsidRPr="00277328">
        <w:rPr>
          <w:szCs w:val="24"/>
          <w:lang w:val="en-GB"/>
        </w:rPr>
        <w:t xml:space="preserve"> </w:t>
      </w:r>
      <w:sdt>
        <w:sdtPr>
          <w:rPr>
            <w:szCs w:val="24"/>
            <w:lang w:val="en-GB"/>
          </w:rPr>
          <w:id w:val="40658346"/>
          <w:citation/>
        </w:sdtPr>
        <w:sdtContent>
          <w:r w:rsidR="00E93150" w:rsidRPr="00277328">
            <w:rPr>
              <w:szCs w:val="24"/>
              <w:lang w:val="en-GB"/>
            </w:rPr>
            <w:fldChar w:fldCharType="begin"/>
          </w:r>
          <w:r w:rsidR="00741164" w:rsidRPr="00277328">
            <w:rPr>
              <w:szCs w:val="24"/>
              <w:lang w:val="en-GB"/>
            </w:rPr>
            <w:instrText xml:space="preserve"> CITATION Chi04 \l 1033 </w:instrText>
          </w:r>
          <w:r w:rsidR="00E93150" w:rsidRPr="00277328">
            <w:rPr>
              <w:szCs w:val="24"/>
              <w:lang w:val="en-GB"/>
            </w:rPr>
            <w:fldChar w:fldCharType="separate"/>
          </w:r>
          <w:r w:rsidR="008930F2" w:rsidRPr="00277328">
            <w:rPr>
              <w:szCs w:val="24"/>
              <w:lang w:val="en-GB"/>
            </w:rPr>
            <w:t>(Chisholm, et al. 2004)</w:t>
          </w:r>
          <w:r w:rsidR="00E93150" w:rsidRPr="00277328">
            <w:rPr>
              <w:szCs w:val="24"/>
              <w:lang w:val="en-GB"/>
            </w:rPr>
            <w:fldChar w:fldCharType="end"/>
          </w:r>
        </w:sdtContent>
      </w:sdt>
      <w:r w:rsidRPr="00277328">
        <w:rPr>
          <w:szCs w:val="24"/>
          <w:lang w:val="en-GB"/>
        </w:rPr>
        <w:t xml:space="preserve">. </w:t>
      </w:r>
      <w:r w:rsidRPr="00277328">
        <w:rPr>
          <w:rFonts w:cstheme="minorHAnsi"/>
          <w:szCs w:val="24"/>
          <w:lang w:val="en-GB"/>
        </w:rPr>
        <w:t xml:space="preserve">Primary/secondary preventive and inpatient/outpatient therapy interventions treating such clinical conditions and risk factors were then mapped on the experiment’s attributes and levels (e.g. if an intervention targeted severe conditions, the ‘Severity’ criterion would be mapped as Severe, i.e. 1, while if an intervention had small </w:t>
      </w:r>
      <w:r w:rsidRPr="00277328">
        <w:rPr>
          <w:rFonts w:cstheme="minorHAnsi"/>
          <w:szCs w:val="24"/>
          <w:lang w:val="en-GB"/>
        </w:rPr>
        <w:lastRenderedPageBreak/>
        <w:t>individual health benefits then the ‘Individual health benefits’ criterion would take the value Small, i.e. 0).</w:t>
      </w:r>
      <w:r w:rsidR="00DF210F" w:rsidRPr="00277328">
        <w:rPr>
          <w:rFonts w:cstheme="minorHAnsi"/>
          <w:szCs w:val="24"/>
          <w:lang w:val="en-GB"/>
        </w:rPr>
        <w:t xml:space="preserve"> Table 6 </w:t>
      </w:r>
      <w:r w:rsidR="00E70ECF" w:rsidRPr="00277328">
        <w:rPr>
          <w:rFonts w:cstheme="minorHAnsi"/>
          <w:szCs w:val="24"/>
          <w:lang w:val="en-GB"/>
        </w:rPr>
        <w:t xml:space="preserve">provides a summary of </w:t>
      </w:r>
      <w:r w:rsidR="00DF210F" w:rsidRPr="00277328">
        <w:rPr>
          <w:rFonts w:cstheme="minorHAnsi"/>
          <w:szCs w:val="24"/>
          <w:lang w:val="en-GB"/>
        </w:rPr>
        <w:t>the types of health conditions examined.</w:t>
      </w:r>
    </w:p>
    <w:p w:rsidR="006A5A0D" w:rsidRDefault="006A5A0D" w:rsidP="00A42699">
      <w:pPr>
        <w:rPr>
          <w:rFonts w:cstheme="minorHAnsi"/>
          <w:b/>
          <w:u w:val="single"/>
          <w:lang w:val="en-GB"/>
        </w:rPr>
      </w:pPr>
    </w:p>
    <w:p w:rsidR="001F0FBA" w:rsidRPr="00277328" w:rsidRDefault="00DF210F" w:rsidP="00A42699">
      <w:pPr>
        <w:rPr>
          <w:rFonts w:cstheme="minorHAnsi"/>
          <w:b/>
          <w:u w:val="single"/>
          <w:lang w:val="en-GB"/>
        </w:rPr>
      </w:pPr>
      <w:r w:rsidRPr="00277328">
        <w:rPr>
          <w:rFonts w:cstheme="minorHAnsi"/>
          <w:b/>
          <w:u w:val="single"/>
          <w:lang w:val="en-GB"/>
        </w:rPr>
        <w:t>Table 6: Types of conditions</w:t>
      </w:r>
    </w:p>
    <w:tbl>
      <w:tblPr>
        <w:tblW w:w="4000" w:type="dxa"/>
        <w:tblInd w:w="93" w:type="dxa"/>
        <w:tblLook w:val="04A0"/>
      </w:tblPr>
      <w:tblGrid>
        <w:gridCol w:w="4000"/>
      </w:tblGrid>
      <w:tr w:rsidR="001F0FBA" w:rsidRPr="00277328" w:rsidTr="00AE5D17">
        <w:trPr>
          <w:trHeight w:val="300"/>
        </w:trPr>
        <w:tc>
          <w:tcPr>
            <w:tcW w:w="4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0FBA" w:rsidRPr="00277328" w:rsidRDefault="00173A00" w:rsidP="001F0FBA">
            <w:pPr>
              <w:spacing w:after="0" w:line="240" w:lineRule="auto"/>
              <w:jc w:val="center"/>
              <w:rPr>
                <w:rFonts w:ascii="Arial" w:eastAsia="Times New Roman" w:hAnsi="Arial" w:cs="Arial"/>
                <w:b/>
                <w:bCs/>
                <w:sz w:val="20"/>
                <w:szCs w:val="20"/>
                <w:lang w:val="en-GB" w:eastAsia="el-GR"/>
              </w:rPr>
            </w:pPr>
            <w:r w:rsidRPr="00277328">
              <w:rPr>
                <w:rFonts w:ascii="Arial" w:eastAsia="Times New Roman" w:hAnsi="Arial" w:cs="Arial"/>
                <w:b/>
                <w:bCs/>
                <w:sz w:val="20"/>
                <w:szCs w:val="20"/>
                <w:lang w:val="en-GB" w:eastAsia="el-GR"/>
              </w:rPr>
              <w:t>Colour</w:t>
            </w:r>
            <w:r w:rsidR="001F0FBA" w:rsidRPr="00277328">
              <w:rPr>
                <w:rFonts w:ascii="Arial" w:eastAsia="Times New Roman" w:hAnsi="Arial" w:cs="Arial"/>
                <w:b/>
                <w:bCs/>
                <w:sz w:val="20"/>
                <w:szCs w:val="20"/>
                <w:lang w:val="en-GB" w:eastAsia="el-GR"/>
              </w:rPr>
              <w:t xml:space="preserve"> coded types of conditions</w:t>
            </w:r>
          </w:p>
        </w:tc>
      </w:tr>
      <w:tr w:rsidR="001F0FBA" w:rsidRPr="00277328" w:rsidTr="00AE5D17">
        <w:trPr>
          <w:trHeight w:val="300"/>
        </w:trPr>
        <w:tc>
          <w:tcPr>
            <w:tcW w:w="400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1F0FBA" w:rsidRPr="00277328" w:rsidRDefault="001F0FBA" w:rsidP="001F0FBA">
            <w:pPr>
              <w:spacing w:after="0" w:line="240" w:lineRule="auto"/>
              <w:rPr>
                <w:rFonts w:ascii="Arial" w:eastAsia="Times New Roman" w:hAnsi="Arial" w:cs="Arial"/>
                <w:sz w:val="16"/>
                <w:szCs w:val="16"/>
                <w:lang w:val="en-GB" w:eastAsia="el-GR"/>
              </w:rPr>
            </w:pPr>
            <w:r w:rsidRPr="00277328">
              <w:rPr>
                <w:rFonts w:ascii="Arial" w:eastAsia="Times New Roman" w:hAnsi="Arial" w:cs="Arial"/>
                <w:sz w:val="16"/>
                <w:szCs w:val="16"/>
                <w:lang w:val="en-GB" w:eastAsia="el-GR"/>
              </w:rPr>
              <w:t>Risk factors</w:t>
            </w:r>
          </w:p>
        </w:tc>
      </w:tr>
      <w:tr w:rsidR="001F0FBA" w:rsidRPr="00277328" w:rsidTr="001F0FBA">
        <w:trPr>
          <w:trHeight w:val="300"/>
        </w:trPr>
        <w:tc>
          <w:tcPr>
            <w:tcW w:w="4000" w:type="dxa"/>
            <w:tcBorders>
              <w:top w:val="nil"/>
              <w:left w:val="single" w:sz="4" w:space="0" w:color="auto"/>
              <w:bottom w:val="single" w:sz="4" w:space="0" w:color="auto"/>
              <w:right w:val="single" w:sz="4" w:space="0" w:color="auto"/>
            </w:tcBorders>
            <w:shd w:val="clear" w:color="000000" w:fill="FFCC99"/>
            <w:noWrap/>
            <w:vAlign w:val="center"/>
            <w:hideMark/>
          </w:tcPr>
          <w:p w:rsidR="001F0FBA" w:rsidRPr="00277328" w:rsidRDefault="001F0FBA" w:rsidP="001F0FBA">
            <w:pPr>
              <w:spacing w:after="0" w:line="240" w:lineRule="auto"/>
              <w:rPr>
                <w:rFonts w:ascii="Arial" w:eastAsia="Times New Roman" w:hAnsi="Arial" w:cs="Arial"/>
                <w:sz w:val="16"/>
                <w:szCs w:val="16"/>
                <w:lang w:val="en-GB" w:eastAsia="el-GR"/>
              </w:rPr>
            </w:pPr>
            <w:r w:rsidRPr="00277328">
              <w:rPr>
                <w:rFonts w:ascii="Arial" w:eastAsia="Times New Roman" w:hAnsi="Arial" w:cs="Arial"/>
                <w:sz w:val="16"/>
                <w:szCs w:val="16"/>
                <w:lang w:val="en-GB" w:eastAsia="el-GR"/>
              </w:rPr>
              <w:t>Neoplasia</w:t>
            </w:r>
          </w:p>
        </w:tc>
      </w:tr>
      <w:tr w:rsidR="001F0FBA" w:rsidRPr="00277328" w:rsidTr="001F0FBA">
        <w:trPr>
          <w:trHeight w:val="300"/>
        </w:trPr>
        <w:tc>
          <w:tcPr>
            <w:tcW w:w="4000" w:type="dxa"/>
            <w:tcBorders>
              <w:top w:val="nil"/>
              <w:left w:val="single" w:sz="4" w:space="0" w:color="auto"/>
              <w:bottom w:val="single" w:sz="4" w:space="0" w:color="auto"/>
              <w:right w:val="single" w:sz="4" w:space="0" w:color="auto"/>
            </w:tcBorders>
            <w:shd w:val="clear" w:color="000000" w:fill="CCFFCC"/>
            <w:noWrap/>
            <w:vAlign w:val="center"/>
            <w:hideMark/>
          </w:tcPr>
          <w:p w:rsidR="001F0FBA" w:rsidRPr="00277328" w:rsidRDefault="001F0FBA" w:rsidP="001F0FBA">
            <w:pPr>
              <w:spacing w:after="0" w:line="240" w:lineRule="auto"/>
              <w:rPr>
                <w:rFonts w:ascii="Arial" w:eastAsia="Times New Roman" w:hAnsi="Arial" w:cs="Arial"/>
                <w:sz w:val="16"/>
                <w:szCs w:val="16"/>
                <w:lang w:val="en-GB" w:eastAsia="el-GR"/>
              </w:rPr>
            </w:pPr>
            <w:r w:rsidRPr="00277328">
              <w:rPr>
                <w:rFonts w:ascii="Arial" w:eastAsia="Times New Roman" w:hAnsi="Arial" w:cs="Arial"/>
                <w:sz w:val="16"/>
                <w:szCs w:val="16"/>
                <w:lang w:val="en-GB" w:eastAsia="el-GR"/>
              </w:rPr>
              <w:t>CVD</w:t>
            </w:r>
          </w:p>
        </w:tc>
      </w:tr>
      <w:tr w:rsidR="001F0FBA" w:rsidRPr="00277328" w:rsidTr="001F0FBA">
        <w:trPr>
          <w:trHeight w:val="300"/>
        </w:trPr>
        <w:tc>
          <w:tcPr>
            <w:tcW w:w="4000" w:type="dxa"/>
            <w:tcBorders>
              <w:top w:val="nil"/>
              <w:left w:val="single" w:sz="4" w:space="0" w:color="auto"/>
              <w:bottom w:val="single" w:sz="4" w:space="0" w:color="auto"/>
              <w:right w:val="single" w:sz="4" w:space="0" w:color="auto"/>
            </w:tcBorders>
            <w:shd w:val="clear" w:color="000000" w:fill="99CCFF"/>
            <w:noWrap/>
            <w:vAlign w:val="center"/>
            <w:hideMark/>
          </w:tcPr>
          <w:p w:rsidR="001F0FBA" w:rsidRPr="00277328" w:rsidRDefault="001F0FBA" w:rsidP="001F0FBA">
            <w:pPr>
              <w:spacing w:after="0" w:line="240" w:lineRule="auto"/>
              <w:rPr>
                <w:rFonts w:ascii="Arial" w:eastAsia="Times New Roman" w:hAnsi="Arial" w:cs="Arial"/>
                <w:sz w:val="16"/>
                <w:szCs w:val="16"/>
                <w:lang w:val="en-GB" w:eastAsia="el-GR"/>
              </w:rPr>
            </w:pPr>
            <w:r w:rsidRPr="00277328">
              <w:rPr>
                <w:rFonts w:ascii="Arial" w:eastAsia="Times New Roman" w:hAnsi="Arial" w:cs="Arial"/>
                <w:sz w:val="16"/>
                <w:szCs w:val="16"/>
                <w:lang w:val="en-GB" w:eastAsia="el-GR"/>
              </w:rPr>
              <w:t>Pulmonology</w:t>
            </w:r>
          </w:p>
        </w:tc>
      </w:tr>
      <w:tr w:rsidR="001F0FBA" w:rsidRPr="00277328" w:rsidTr="001F0FBA">
        <w:trPr>
          <w:trHeight w:val="300"/>
        </w:trPr>
        <w:tc>
          <w:tcPr>
            <w:tcW w:w="4000" w:type="dxa"/>
            <w:tcBorders>
              <w:top w:val="nil"/>
              <w:left w:val="single" w:sz="4" w:space="0" w:color="auto"/>
              <w:bottom w:val="single" w:sz="4" w:space="0" w:color="auto"/>
              <w:right w:val="single" w:sz="4" w:space="0" w:color="auto"/>
            </w:tcBorders>
            <w:shd w:val="clear" w:color="000000" w:fill="CC99FF"/>
            <w:noWrap/>
            <w:vAlign w:val="center"/>
            <w:hideMark/>
          </w:tcPr>
          <w:p w:rsidR="001F0FBA" w:rsidRPr="00277328" w:rsidRDefault="001F0FBA" w:rsidP="001F0FBA">
            <w:pPr>
              <w:spacing w:after="0" w:line="240" w:lineRule="auto"/>
              <w:rPr>
                <w:rFonts w:ascii="Arial" w:eastAsia="Times New Roman" w:hAnsi="Arial" w:cs="Arial"/>
                <w:sz w:val="16"/>
                <w:szCs w:val="16"/>
                <w:lang w:val="en-GB" w:eastAsia="el-GR"/>
              </w:rPr>
            </w:pPr>
            <w:r w:rsidRPr="00277328">
              <w:rPr>
                <w:rFonts w:ascii="Arial" w:eastAsia="Times New Roman" w:hAnsi="Arial" w:cs="Arial"/>
                <w:sz w:val="16"/>
                <w:szCs w:val="16"/>
                <w:lang w:val="en-GB" w:eastAsia="el-GR"/>
              </w:rPr>
              <w:t>Endocrinology</w:t>
            </w:r>
          </w:p>
        </w:tc>
      </w:tr>
      <w:tr w:rsidR="001F0FBA" w:rsidRPr="00277328" w:rsidTr="001F0FBA">
        <w:trPr>
          <w:trHeight w:val="300"/>
        </w:trPr>
        <w:tc>
          <w:tcPr>
            <w:tcW w:w="4000" w:type="dxa"/>
            <w:tcBorders>
              <w:top w:val="nil"/>
              <w:left w:val="single" w:sz="4" w:space="0" w:color="auto"/>
              <w:bottom w:val="single" w:sz="4" w:space="0" w:color="auto"/>
              <w:right w:val="single" w:sz="4" w:space="0" w:color="auto"/>
            </w:tcBorders>
            <w:shd w:val="clear" w:color="000000" w:fill="948A54"/>
            <w:noWrap/>
            <w:vAlign w:val="center"/>
            <w:hideMark/>
          </w:tcPr>
          <w:p w:rsidR="001F0FBA" w:rsidRPr="00277328" w:rsidRDefault="001F0FBA" w:rsidP="001F0FBA">
            <w:pPr>
              <w:spacing w:after="0" w:line="240" w:lineRule="auto"/>
              <w:rPr>
                <w:rFonts w:ascii="Arial" w:eastAsia="Times New Roman" w:hAnsi="Arial" w:cs="Arial"/>
                <w:sz w:val="16"/>
                <w:szCs w:val="16"/>
                <w:lang w:val="en-GB" w:eastAsia="el-GR"/>
              </w:rPr>
            </w:pPr>
            <w:r w:rsidRPr="00277328">
              <w:rPr>
                <w:rFonts w:ascii="Arial" w:eastAsia="Times New Roman" w:hAnsi="Arial" w:cs="Arial"/>
                <w:sz w:val="16"/>
                <w:szCs w:val="16"/>
                <w:lang w:val="en-GB" w:eastAsia="el-GR"/>
              </w:rPr>
              <w:t>Mental  disorders</w:t>
            </w:r>
          </w:p>
        </w:tc>
      </w:tr>
    </w:tbl>
    <w:p w:rsidR="00DF210F" w:rsidRPr="00277328" w:rsidRDefault="00DF210F" w:rsidP="00A42699">
      <w:pPr>
        <w:rPr>
          <w:rFonts w:cstheme="minorHAnsi"/>
          <w:b/>
          <w:u w:val="single"/>
          <w:lang w:val="en-GB"/>
        </w:rPr>
      </w:pPr>
    </w:p>
    <w:p w:rsidR="00A42699" w:rsidRDefault="00A42699" w:rsidP="00A42699">
      <w:pPr>
        <w:rPr>
          <w:rFonts w:cstheme="minorHAnsi"/>
          <w:szCs w:val="24"/>
          <w:lang w:val="en-GB"/>
        </w:rPr>
      </w:pPr>
      <w:r w:rsidRPr="00277328">
        <w:rPr>
          <w:rFonts w:cstheme="minorHAnsi"/>
          <w:szCs w:val="24"/>
          <w:lang w:val="en-GB"/>
        </w:rPr>
        <w:t>Based on the coefficients estimates, a “composite index” score (CI) was defined for each intervention, establishing its relative priority as a function of its characteristic</w:t>
      </w:r>
      <w:r w:rsidR="00741164" w:rsidRPr="00277328">
        <w:rPr>
          <w:rFonts w:cstheme="minorHAnsi"/>
          <w:szCs w:val="24"/>
          <w:lang w:val="en-GB"/>
        </w:rPr>
        <w:t>s</w:t>
      </w:r>
      <w:sdt>
        <w:sdtPr>
          <w:rPr>
            <w:rFonts w:cstheme="minorHAnsi"/>
            <w:szCs w:val="24"/>
            <w:lang w:val="en-GB"/>
          </w:rPr>
          <w:id w:val="40658347"/>
          <w:citation/>
        </w:sdtPr>
        <w:sdtContent>
          <w:r w:rsidR="00E93150" w:rsidRPr="00277328">
            <w:rPr>
              <w:rFonts w:cstheme="minorHAnsi"/>
              <w:szCs w:val="24"/>
              <w:lang w:val="en-GB"/>
            </w:rPr>
            <w:fldChar w:fldCharType="begin"/>
          </w:r>
          <w:r w:rsidR="00741164" w:rsidRPr="00277328">
            <w:rPr>
              <w:rFonts w:cstheme="minorHAnsi"/>
              <w:szCs w:val="24"/>
              <w:lang w:val="en-GB"/>
            </w:rPr>
            <w:instrText xml:space="preserve"> CITATION Def12 \l 1033 </w:instrText>
          </w:r>
          <w:r w:rsidR="00E93150" w:rsidRPr="00277328">
            <w:rPr>
              <w:rFonts w:cstheme="minorHAnsi"/>
              <w:szCs w:val="24"/>
              <w:lang w:val="en-GB"/>
            </w:rPr>
            <w:fldChar w:fldCharType="separate"/>
          </w:r>
          <w:r w:rsidR="008930F2" w:rsidRPr="00277328">
            <w:rPr>
              <w:rFonts w:cstheme="minorHAnsi"/>
              <w:szCs w:val="24"/>
              <w:lang w:val="en-GB"/>
            </w:rPr>
            <w:t xml:space="preserve"> (Defechereux, et al. 2012)</w:t>
          </w:r>
          <w:r w:rsidR="00E93150" w:rsidRPr="00277328">
            <w:rPr>
              <w:rFonts w:cstheme="minorHAnsi"/>
              <w:szCs w:val="24"/>
              <w:lang w:val="en-GB"/>
            </w:rPr>
            <w:fldChar w:fldCharType="end"/>
          </w:r>
        </w:sdtContent>
      </w:sdt>
      <w:r w:rsidRPr="00277328">
        <w:rPr>
          <w:rFonts w:cstheme="minorHAnsi"/>
          <w:szCs w:val="24"/>
          <w:lang w:val="en-GB"/>
        </w:rPr>
        <w:t xml:space="preserve">. In other words, CI scores were calculated based again on a linear additive utility model, but in this case the alternatives were the different health </w:t>
      </w:r>
      <w:r w:rsidR="00741164" w:rsidRPr="00277328">
        <w:rPr>
          <w:rFonts w:cstheme="minorHAnsi"/>
          <w:szCs w:val="24"/>
          <w:lang w:val="en-GB"/>
        </w:rPr>
        <w:t>interventions</w:t>
      </w:r>
      <w:r w:rsidRPr="00277328">
        <w:rPr>
          <w:rFonts w:cstheme="minorHAnsi"/>
          <w:szCs w:val="24"/>
          <w:lang w:val="en-GB"/>
        </w:rPr>
        <w:t>. According to the CI results, interventions were ranked in the CLT. As before, the three age categories of target groups imply that three different CLTs had to be created. Even more, within each target group, three different rankings were included, associated with the three different region</w:t>
      </w:r>
      <w:r w:rsidR="00A73111" w:rsidRPr="00277328">
        <w:rPr>
          <w:rFonts w:cstheme="minorHAnsi"/>
          <w:szCs w:val="24"/>
          <w:lang w:val="en-GB"/>
        </w:rPr>
        <w:t>s.</w:t>
      </w:r>
    </w:p>
    <w:p w:rsidR="005B5C82" w:rsidRPr="005B5C82" w:rsidRDefault="005B5C82" w:rsidP="00A42699">
      <w:pPr>
        <w:rPr>
          <w:rFonts w:cstheme="minorHAnsi"/>
          <w:szCs w:val="24"/>
          <w:lang w:val="en-GB"/>
        </w:rPr>
      </w:pPr>
    </w:p>
    <w:p w:rsidR="005B5C82" w:rsidRDefault="005B5C82">
      <w:pPr>
        <w:rPr>
          <w:rFonts w:eastAsiaTheme="majorEastAsia" w:cstheme="majorBidi"/>
          <w:b/>
          <w:bCs/>
          <w:sz w:val="28"/>
          <w:szCs w:val="28"/>
          <w:lang w:val="en-GB"/>
        </w:rPr>
      </w:pPr>
      <w:r>
        <w:rPr>
          <w:lang w:val="en-GB"/>
        </w:rPr>
        <w:br w:type="page"/>
      </w:r>
    </w:p>
    <w:p w:rsidR="00A42699" w:rsidRPr="00277328" w:rsidRDefault="00A42699" w:rsidP="00950BD7">
      <w:pPr>
        <w:pStyle w:val="Heading1"/>
        <w:rPr>
          <w:lang w:val="en-GB"/>
        </w:rPr>
      </w:pPr>
      <w:bookmarkStart w:id="26" w:name="_Toc367791018"/>
      <w:r w:rsidRPr="00277328">
        <w:rPr>
          <w:lang w:val="en-GB"/>
        </w:rPr>
        <w:lastRenderedPageBreak/>
        <w:t>RESULTS</w:t>
      </w:r>
      <w:bookmarkEnd w:id="26"/>
    </w:p>
    <w:p w:rsidR="00A42699" w:rsidRPr="00277328" w:rsidRDefault="00A42699" w:rsidP="00A42699">
      <w:pPr>
        <w:pStyle w:val="Default"/>
        <w:ind w:left="720"/>
        <w:rPr>
          <w:rFonts w:asciiTheme="minorHAnsi" w:hAnsiTheme="minorHAnsi" w:cstheme="minorHAnsi"/>
          <w:b/>
          <w:sz w:val="28"/>
          <w:szCs w:val="28"/>
          <w:lang w:val="en-GB"/>
        </w:rPr>
      </w:pPr>
    </w:p>
    <w:p w:rsidR="00A42699" w:rsidRPr="00277328" w:rsidRDefault="00A42699" w:rsidP="00950BD7">
      <w:pPr>
        <w:pStyle w:val="Heading2"/>
        <w:rPr>
          <w:lang w:val="en-GB"/>
        </w:rPr>
      </w:pPr>
      <w:bookmarkStart w:id="27" w:name="_Toc367791019"/>
      <w:r w:rsidRPr="00277328">
        <w:rPr>
          <w:lang w:val="en-GB"/>
        </w:rPr>
        <w:t>Sample descriptive statistics</w:t>
      </w:r>
      <w:bookmarkEnd w:id="27"/>
    </w:p>
    <w:p w:rsidR="00A42699" w:rsidRPr="00277328" w:rsidRDefault="00A42699" w:rsidP="00A42699">
      <w:pPr>
        <w:pStyle w:val="Default"/>
        <w:rPr>
          <w:rFonts w:asciiTheme="minorHAnsi" w:hAnsiTheme="minorHAnsi" w:cstheme="minorHAnsi"/>
          <w:b/>
          <w:sz w:val="28"/>
          <w:szCs w:val="28"/>
          <w:lang w:val="en-GB"/>
        </w:rPr>
      </w:pPr>
    </w:p>
    <w:p w:rsidR="00A42699" w:rsidRPr="00277328" w:rsidRDefault="00A42699" w:rsidP="00A42699">
      <w:pPr>
        <w:rPr>
          <w:szCs w:val="24"/>
          <w:lang w:val="en-GB"/>
        </w:rPr>
      </w:pPr>
      <w:r w:rsidRPr="00277328">
        <w:rPr>
          <w:szCs w:val="24"/>
          <w:lang w:val="en-GB"/>
        </w:rPr>
        <w:t xml:space="preserve">This section illustrates some basic descriptive statistics regarding the sample used in the analysis. As discussed earlier, out of the 71 participants, 69 questionnaires were valid and fully completed. The sample is almost equally composed by males (37) and females (32), with males’ participation being slightly dominant (53.62% as compared to 46.38% of women). Concerning their work experience, 41% exhibits more than 10 years </w:t>
      </w:r>
      <w:r w:rsidR="008A4E9F">
        <w:rPr>
          <w:szCs w:val="24"/>
          <w:lang w:val="en-GB"/>
        </w:rPr>
        <w:t xml:space="preserve">of </w:t>
      </w:r>
      <w:r w:rsidRPr="00277328">
        <w:rPr>
          <w:szCs w:val="24"/>
          <w:lang w:val="en-GB"/>
        </w:rPr>
        <w:t xml:space="preserve">experience in health care decision making. In terms of regions, the highest percentage represents the region of Madrid (41%), while 32% and 27% represent the combined areas of Cantabria/Valencia and Basque country/Catalonia, respectively. </w:t>
      </w:r>
    </w:p>
    <w:p w:rsidR="00A42699" w:rsidRPr="00277328" w:rsidRDefault="00A42699" w:rsidP="00A42699">
      <w:pPr>
        <w:rPr>
          <w:szCs w:val="24"/>
          <w:lang w:val="en-GB"/>
        </w:rPr>
      </w:pPr>
      <w:r w:rsidRPr="00277328">
        <w:rPr>
          <w:szCs w:val="24"/>
          <w:lang w:val="en-GB"/>
        </w:rPr>
        <w:t>Finally, regarding to job types, the largest share (49%) are public health care managers at the regional and national level</w:t>
      </w:r>
      <w:r w:rsidR="00F64887" w:rsidRPr="00277328">
        <w:rPr>
          <w:szCs w:val="24"/>
          <w:lang w:val="en-GB"/>
        </w:rPr>
        <w:t>, including representatives of the pharmaceutical industry</w:t>
      </w:r>
      <w:r w:rsidRPr="00277328">
        <w:rPr>
          <w:szCs w:val="24"/>
          <w:lang w:val="en-GB"/>
        </w:rPr>
        <w:t xml:space="preserve">. The remainder consists of consultants (27%), including </w:t>
      </w:r>
      <w:r w:rsidR="00F64887" w:rsidRPr="00277328">
        <w:rPr>
          <w:szCs w:val="24"/>
          <w:lang w:val="en-GB"/>
        </w:rPr>
        <w:t xml:space="preserve">university research associates and </w:t>
      </w:r>
      <w:r w:rsidRPr="00277328">
        <w:rPr>
          <w:szCs w:val="24"/>
          <w:lang w:val="en-GB"/>
        </w:rPr>
        <w:t>H</w:t>
      </w:r>
      <w:r w:rsidR="00F64887" w:rsidRPr="00277328">
        <w:rPr>
          <w:szCs w:val="24"/>
          <w:lang w:val="en-GB"/>
        </w:rPr>
        <w:t>TA executives</w:t>
      </w:r>
      <w:r w:rsidRPr="00277328">
        <w:rPr>
          <w:szCs w:val="24"/>
          <w:lang w:val="en-GB"/>
        </w:rPr>
        <w:t xml:space="preserve">; and policy makers (24%), responsible for social insurance, health care and funding structures at the regional level. A summary of descriptive statistics is given in Table </w:t>
      </w:r>
      <w:r w:rsidR="003A3FDB">
        <w:rPr>
          <w:szCs w:val="24"/>
          <w:lang w:val="en-GB"/>
        </w:rPr>
        <w:t>7</w:t>
      </w:r>
      <w:r w:rsidRPr="00277328">
        <w:rPr>
          <w:szCs w:val="24"/>
          <w:lang w:val="en-GB"/>
        </w:rPr>
        <w:t xml:space="preserve">, along with the characteristics of DCE respondents. </w:t>
      </w:r>
    </w:p>
    <w:p w:rsidR="006A5A0D" w:rsidRDefault="006A5A0D" w:rsidP="00A42699">
      <w:pPr>
        <w:rPr>
          <w:b/>
          <w:szCs w:val="24"/>
          <w:u w:val="single"/>
          <w:lang w:val="en-GB"/>
        </w:rPr>
      </w:pPr>
    </w:p>
    <w:p w:rsidR="00F64887" w:rsidRPr="00277328" w:rsidRDefault="00DF210F" w:rsidP="00A42699">
      <w:pPr>
        <w:rPr>
          <w:b/>
          <w:szCs w:val="24"/>
          <w:u w:val="single"/>
          <w:lang w:val="en-GB"/>
        </w:rPr>
      </w:pPr>
      <w:r w:rsidRPr="00277328">
        <w:rPr>
          <w:b/>
          <w:szCs w:val="24"/>
          <w:u w:val="single"/>
          <w:lang w:val="en-GB"/>
        </w:rPr>
        <w:t>Table 7</w:t>
      </w:r>
      <w:r w:rsidR="00F64887" w:rsidRPr="00277328">
        <w:rPr>
          <w:b/>
          <w:szCs w:val="24"/>
          <w:u w:val="single"/>
          <w:lang w:val="en-GB"/>
        </w:rPr>
        <w:t>: Descriptive statistics of DCE respondents</w:t>
      </w:r>
    </w:p>
    <w:tbl>
      <w:tblPr>
        <w:tblStyle w:val="LightGrid-Accent2"/>
        <w:tblW w:w="0" w:type="auto"/>
        <w:tblLook w:val="04A0"/>
      </w:tblPr>
      <w:tblGrid>
        <w:gridCol w:w="2840"/>
        <w:gridCol w:w="2841"/>
        <w:gridCol w:w="2841"/>
      </w:tblGrid>
      <w:tr w:rsidR="00F64887" w:rsidRPr="00277328" w:rsidTr="00F64887">
        <w:trPr>
          <w:cnfStyle w:val="100000000000"/>
        </w:trPr>
        <w:tc>
          <w:tcPr>
            <w:cnfStyle w:val="001000000000"/>
            <w:tcW w:w="2840" w:type="dxa"/>
          </w:tcPr>
          <w:p w:rsidR="00F64887" w:rsidRPr="00277328" w:rsidRDefault="00F64887" w:rsidP="00A42699">
            <w:pPr>
              <w:rPr>
                <w:rFonts w:asciiTheme="minorHAnsi" w:hAnsiTheme="minorHAnsi" w:cstheme="minorHAnsi"/>
                <w:szCs w:val="24"/>
                <w:lang w:val="en-GB"/>
              </w:rPr>
            </w:pPr>
            <w:r w:rsidRPr="00277328">
              <w:rPr>
                <w:rFonts w:asciiTheme="minorHAnsi" w:hAnsiTheme="minorHAnsi" w:cstheme="minorHAnsi"/>
                <w:szCs w:val="24"/>
                <w:lang w:val="en-GB"/>
              </w:rPr>
              <w:t>Characteristics</w:t>
            </w:r>
          </w:p>
        </w:tc>
        <w:tc>
          <w:tcPr>
            <w:tcW w:w="2841" w:type="dxa"/>
          </w:tcPr>
          <w:p w:rsidR="00F64887" w:rsidRPr="00277328" w:rsidRDefault="00F64887" w:rsidP="00A42699">
            <w:pPr>
              <w:cnfStyle w:val="100000000000"/>
              <w:rPr>
                <w:rFonts w:asciiTheme="minorHAnsi" w:hAnsiTheme="minorHAnsi" w:cstheme="minorHAnsi"/>
                <w:szCs w:val="24"/>
                <w:lang w:val="en-GB"/>
              </w:rPr>
            </w:pPr>
            <w:r w:rsidRPr="00277328">
              <w:rPr>
                <w:rFonts w:asciiTheme="minorHAnsi" w:hAnsiTheme="minorHAnsi" w:cstheme="minorHAnsi"/>
                <w:szCs w:val="24"/>
                <w:lang w:val="en-GB"/>
              </w:rPr>
              <w:t>Frequency</w:t>
            </w:r>
          </w:p>
        </w:tc>
        <w:tc>
          <w:tcPr>
            <w:tcW w:w="2841" w:type="dxa"/>
          </w:tcPr>
          <w:p w:rsidR="00F64887" w:rsidRPr="00277328" w:rsidRDefault="00F64887" w:rsidP="00A42699">
            <w:pPr>
              <w:cnfStyle w:val="100000000000"/>
              <w:rPr>
                <w:rFonts w:asciiTheme="minorHAnsi" w:hAnsiTheme="minorHAnsi" w:cstheme="minorHAnsi"/>
                <w:szCs w:val="24"/>
                <w:lang w:val="en-GB"/>
              </w:rPr>
            </w:pPr>
            <w:r w:rsidRPr="00277328">
              <w:rPr>
                <w:rFonts w:asciiTheme="minorHAnsi" w:hAnsiTheme="minorHAnsi" w:cstheme="minorHAnsi"/>
                <w:szCs w:val="24"/>
                <w:lang w:val="en-GB"/>
              </w:rPr>
              <w:t>Percent</w:t>
            </w:r>
          </w:p>
        </w:tc>
      </w:tr>
      <w:tr w:rsidR="00F64887" w:rsidRPr="00277328" w:rsidTr="00F64887">
        <w:trPr>
          <w:cnfStyle w:val="000000100000"/>
        </w:trPr>
        <w:tc>
          <w:tcPr>
            <w:cnfStyle w:val="001000000000"/>
            <w:tcW w:w="2840" w:type="dxa"/>
          </w:tcPr>
          <w:p w:rsidR="00F64887" w:rsidRPr="00277328" w:rsidRDefault="00F64887" w:rsidP="00A42699">
            <w:pPr>
              <w:rPr>
                <w:rFonts w:asciiTheme="minorHAnsi" w:hAnsiTheme="minorHAnsi" w:cstheme="minorHAnsi"/>
                <w:szCs w:val="24"/>
                <w:lang w:val="en-GB"/>
              </w:rPr>
            </w:pPr>
            <w:r w:rsidRPr="00277328">
              <w:rPr>
                <w:rFonts w:asciiTheme="minorHAnsi" w:hAnsiTheme="minorHAnsi" w:cstheme="minorHAnsi"/>
                <w:szCs w:val="24"/>
                <w:lang w:val="en-GB"/>
              </w:rPr>
              <w:t xml:space="preserve">Sex </w:t>
            </w:r>
          </w:p>
          <w:p w:rsidR="00F64887" w:rsidRPr="00277328" w:rsidRDefault="00F64887" w:rsidP="00A42699">
            <w:pPr>
              <w:rPr>
                <w:rFonts w:asciiTheme="minorHAnsi" w:hAnsiTheme="minorHAnsi" w:cstheme="minorHAnsi"/>
                <w:b w:val="0"/>
                <w:i/>
                <w:szCs w:val="24"/>
                <w:lang w:val="en-GB"/>
              </w:rPr>
            </w:pPr>
            <w:r w:rsidRPr="00277328">
              <w:rPr>
                <w:rFonts w:asciiTheme="minorHAnsi" w:hAnsiTheme="minorHAnsi" w:cstheme="minorHAnsi"/>
                <w:b w:val="0"/>
                <w:i/>
                <w:szCs w:val="24"/>
                <w:lang w:val="en-GB"/>
              </w:rPr>
              <w:t>Male</w:t>
            </w:r>
          </w:p>
          <w:p w:rsidR="00F64887" w:rsidRPr="00277328" w:rsidRDefault="00F64887" w:rsidP="00A42699">
            <w:pPr>
              <w:rPr>
                <w:rFonts w:asciiTheme="minorHAnsi" w:hAnsiTheme="minorHAnsi" w:cstheme="minorHAnsi"/>
                <w:szCs w:val="24"/>
                <w:lang w:val="en-GB"/>
              </w:rPr>
            </w:pPr>
            <w:r w:rsidRPr="00277328">
              <w:rPr>
                <w:rFonts w:asciiTheme="minorHAnsi" w:hAnsiTheme="minorHAnsi" w:cstheme="minorHAnsi"/>
                <w:b w:val="0"/>
                <w:i/>
                <w:szCs w:val="24"/>
                <w:lang w:val="en-GB"/>
              </w:rPr>
              <w:t>Female</w:t>
            </w:r>
          </w:p>
        </w:tc>
        <w:tc>
          <w:tcPr>
            <w:tcW w:w="2841" w:type="dxa"/>
          </w:tcPr>
          <w:p w:rsidR="00F64887" w:rsidRPr="00277328" w:rsidRDefault="00F64887" w:rsidP="00A42699">
            <w:pPr>
              <w:cnfStyle w:val="000000100000"/>
              <w:rPr>
                <w:rFonts w:cstheme="minorHAnsi"/>
                <w:szCs w:val="24"/>
                <w:lang w:val="en-GB"/>
              </w:rPr>
            </w:pPr>
          </w:p>
          <w:p w:rsidR="003C33CC" w:rsidRPr="00277328" w:rsidRDefault="003C33CC" w:rsidP="00A42699">
            <w:pPr>
              <w:cnfStyle w:val="000000100000"/>
              <w:rPr>
                <w:rFonts w:cstheme="minorHAnsi"/>
                <w:szCs w:val="24"/>
                <w:lang w:val="en-GB"/>
              </w:rPr>
            </w:pPr>
            <w:r w:rsidRPr="00277328">
              <w:rPr>
                <w:rFonts w:cstheme="minorHAnsi"/>
                <w:szCs w:val="24"/>
                <w:lang w:val="en-GB"/>
              </w:rPr>
              <w:t>37</w:t>
            </w:r>
          </w:p>
          <w:p w:rsidR="003C33CC" w:rsidRPr="00277328" w:rsidRDefault="003C33CC" w:rsidP="00A42699">
            <w:pPr>
              <w:cnfStyle w:val="000000100000"/>
              <w:rPr>
                <w:rFonts w:cstheme="minorHAnsi"/>
                <w:szCs w:val="24"/>
                <w:lang w:val="en-GB"/>
              </w:rPr>
            </w:pPr>
            <w:r w:rsidRPr="00277328">
              <w:rPr>
                <w:rFonts w:cstheme="minorHAnsi"/>
                <w:szCs w:val="24"/>
                <w:lang w:val="en-GB"/>
              </w:rPr>
              <w:t>32</w:t>
            </w:r>
          </w:p>
        </w:tc>
        <w:tc>
          <w:tcPr>
            <w:tcW w:w="2841" w:type="dxa"/>
          </w:tcPr>
          <w:p w:rsidR="00F64887" w:rsidRPr="00277328" w:rsidRDefault="00F64887" w:rsidP="00A42699">
            <w:pPr>
              <w:cnfStyle w:val="000000100000"/>
              <w:rPr>
                <w:rFonts w:cstheme="minorHAnsi"/>
                <w:szCs w:val="24"/>
                <w:lang w:val="en-GB"/>
              </w:rPr>
            </w:pPr>
          </w:p>
          <w:p w:rsidR="003C33CC" w:rsidRPr="00277328" w:rsidRDefault="003C33CC" w:rsidP="00A42699">
            <w:pPr>
              <w:cnfStyle w:val="000000100000"/>
              <w:rPr>
                <w:rFonts w:cstheme="minorHAnsi"/>
                <w:szCs w:val="24"/>
                <w:lang w:val="en-GB"/>
              </w:rPr>
            </w:pPr>
            <w:r w:rsidRPr="00277328">
              <w:rPr>
                <w:rFonts w:cstheme="minorHAnsi"/>
                <w:szCs w:val="24"/>
                <w:lang w:val="en-GB"/>
              </w:rPr>
              <w:t>54%</w:t>
            </w:r>
          </w:p>
          <w:p w:rsidR="003C33CC" w:rsidRPr="00277328" w:rsidRDefault="003C33CC" w:rsidP="00A42699">
            <w:pPr>
              <w:cnfStyle w:val="000000100000"/>
              <w:rPr>
                <w:rFonts w:cstheme="minorHAnsi"/>
                <w:szCs w:val="24"/>
                <w:lang w:val="en-GB"/>
              </w:rPr>
            </w:pPr>
            <w:r w:rsidRPr="00277328">
              <w:rPr>
                <w:rFonts w:cstheme="minorHAnsi"/>
                <w:szCs w:val="24"/>
                <w:lang w:val="en-GB"/>
              </w:rPr>
              <w:t>47%</w:t>
            </w:r>
          </w:p>
        </w:tc>
      </w:tr>
      <w:tr w:rsidR="00F64887" w:rsidRPr="00277328" w:rsidTr="00F64887">
        <w:trPr>
          <w:cnfStyle w:val="000000010000"/>
        </w:trPr>
        <w:tc>
          <w:tcPr>
            <w:cnfStyle w:val="001000000000"/>
            <w:tcW w:w="2840" w:type="dxa"/>
          </w:tcPr>
          <w:p w:rsidR="00F64887" w:rsidRPr="00277328" w:rsidRDefault="00F64887" w:rsidP="00A42699">
            <w:pPr>
              <w:rPr>
                <w:rFonts w:asciiTheme="minorHAnsi" w:hAnsiTheme="minorHAnsi" w:cstheme="minorHAnsi"/>
                <w:szCs w:val="24"/>
                <w:lang w:val="en-GB"/>
              </w:rPr>
            </w:pPr>
            <w:r w:rsidRPr="00277328">
              <w:rPr>
                <w:rFonts w:asciiTheme="minorHAnsi" w:hAnsiTheme="minorHAnsi" w:cstheme="minorHAnsi"/>
                <w:szCs w:val="24"/>
                <w:lang w:val="en-GB"/>
              </w:rPr>
              <w:t>Experience</w:t>
            </w:r>
          </w:p>
          <w:p w:rsidR="00F64887" w:rsidRPr="00277328" w:rsidRDefault="00F64887" w:rsidP="00A42699">
            <w:pPr>
              <w:rPr>
                <w:rFonts w:asciiTheme="minorHAnsi" w:hAnsiTheme="minorHAnsi" w:cstheme="minorHAnsi"/>
                <w:b w:val="0"/>
                <w:i/>
                <w:szCs w:val="24"/>
                <w:lang w:val="en-GB"/>
              </w:rPr>
            </w:pPr>
            <w:r w:rsidRPr="00277328">
              <w:rPr>
                <w:rFonts w:asciiTheme="minorHAnsi" w:hAnsiTheme="minorHAnsi" w:cstheme="minorHAnsi"/>
                <w:b w:val="0"/>
                <w:i/>
                <w:szCs w:val="24"/>
                <w:lang w:val="en-GB"/>
              </w:rPr>
              <w:t>More than 10 years</w:t>
            </w:r>
          </w:p>
          <w:p w:rsidR="00F64887" w:rsidRPr="00277328" w:rsidRDefault="00F64887" w:rsidP="00A42699">
            <w:pPr>
              <w:rPr>
                <w:rFonts w:asciiTheme="minorHAnsi" w:hAnsiTheme="minorHAnsi" w:cstheme="minorHAnsi"/>
                <w:szCs w:val="24"/>
                <w:lang w:val="en-GB"/>
              </w:rPr>
            </w:pPr>
            <w:r w:rsidRPr="00277328">
              <w:rPr>
                <w:rFonts w:asciiTheme="minorHAnsi" w:hAnsiTheme="minorHAnsi" w:cstheme="minorHAnsi"/>
                <w:b w:val="0"/>
                <w:i/>
                <w:szCs w:val="24"/>
                <w:lang w:val="en-GB"/>
              </w:rPr>
              <w:t>Less than/equal to 10 years</w:t>
            </w:r>
          </w:p>
        </w:tc>
        <w:tc>
          <w:tcPr>
            <w:tcW w:w="2841" w:type="dxa"/>
          </w:tcPr>
          <w:p w:rsidR="00F64887" w:rsidRPr="00277328" w:rsidRDefault="00F64887" w:rsidP="00A42699">
            <w:pPr>
              <w:cnfStyle w:val="000000010000"/>
              <w:rPr>
                <w:rFonts w:cstheme="minorHAnsi"/>
                <w:szCs w:val="24"/>
                <w:lang w:val="en-GB"/>
              </w:rPr>
            </w:pPr>
          </w:p>
          <w:p w:rsidR="003C33CC" w:rsidRPr="00277328" w:rsidRDefault="003C33CC" w:rsidP="00A42699">
            <w:pPr>
              <w:cnfStyle w:val="000000010000"/>
              <w:rPr>
                <w:rFonts w:cstheme="minorHAnsi"/>
                <w:szCs w:val="24"/>
                <w:lang w:val="en-GB"/>
              </w:rPr>
            </w:pPr>
            <w:r w:rsidRPr="00277328">
              <w:rPr>
                <w:rFonts w:cstheme="minorHAnsi"/>
                <w:szCs w:val="24"/>
                <w:lang w:val="en-GB"/>
              </w:rPr>
              <w:t>28</w:t>
            </w:r>
          </w:p>
          <w:p w:rsidR="003C33CC" w:rsidRPr="00277328" w:rsidRDefault="00DC2CAC" w:rsidP="00A42699">
            <w:pPr>
              <w:cnfStyle w:val="000000010000"/>
              <w:rPr>
                <w:rFonts w:cstheme="minorHAnsi"/>
                <w:szCs w:val="24"/>
                <w:lang w:val="en-GB"/>
              </w:rPr>
            </w:pPr>
            <w:r w:rsidRPr="00277328">
              <w:rPr>
                <w:rFonts w:cstheme="minorHAnsi"/>
                <w:szCs w:val="24"/>
                <w:lang w:val="en-GB"/>
              </w:rPr>
              <w:t>41</w:t>
            </w:r>
          </w:p>
        </w:tc>
        <w:tc>
          <w:tcPr>
            <w:tcW w:w="2841" w:type="dxa"/>
          </w:tcPr>
          <w:p w:rsidR="00F64887" w:rsidRPr="00277328" w:rsidRDefault="00F64887" w:rsidP="00A42699">
            <w:pPr>
              <w:cnfStyle w:val="000000010000"/>
              <w:rPr>
                <w:rFonts w:cstheme="minorHAnsi"/>
                <w:szCs w:val="24"/>
                <w:lang w:val="en-GB"/>
              </w:rPr>
            </w:pPr>
          </w:p>
          <w:p w:rsidR="003C33CC" w:rsidRPr="00277328" w:rsidRDefault="003C33CC" w:rsidP="00A42699">
            <w:pPr>
              <w:cnfStyle w:val="000000010000"/>
              <w:rPr>
                <w:rFonts w:cstheme="minorHAnsi"/>
                <w:szCs w:val="24"/>
                <w:lang w:val="en-GB"/>
              </w:rPr>
            </w:pPr>
            <w:r w:rsidRPr="00277328">
              <w:rPr>
                <w:rFonts w:cstheme="minorHAnsi"/>
                <w:szCs w:val="24"/>
                <w:lang w:val="en-GB"/>
              </w:rPr>
              <w:t>41%</w:t>
            </w:r>
          </w:p>
          <w:p w:rsidR="003C33CC" w:rsidRPr="00277328" w:rsidRDefault="003C33CC" w:rsidP="00A42699">
            <w:pPr>
              <w:cnfStyle w:val="000000010000"/>
              <w:rPr>
                <w:rFonts w:cstheme="minorHAnsi"/>
                <w:szCs w:val="24"/>
                <w:lang w:val="en-GB"/>
              </w:rPr>
            </w:pPr>
            <w:r w:rsidRPr="00277328">
              <w:rPr>
                <w:rFonts w:cstheme="minorHAnsi"/>
                <w:szCs w:val="24"/>
                <w:lang w:val="en-GB"/>
              </w:rPr>
              <w:t>59%</w:t>
            </w:r>
          </w:p>
        </w:tc>
      </w:tr>
      <w:tr w:rsidR="00F64887" w:rsidRPr="00277328" w:rsidTr="00F64887">
        <w:trPr>
          <w:cnfStyle w:val="000000100000"/>
        </w:trPr>
        <w:tc>
          <w:tcPr>
            <w:cnfStyle w:val="001000000000"/>
            <w:tcW w:w="2840" w:type="dxa"/>
          </w:tcPr>
          <w:p w:rsidR="00F64887" w:rsidRPr="00277328" w:rsidRDefault="00F64887" w:rsidP="00A42699">
            <w:pPr>
              <w:rPr>
                <w:rFonts w:asciiTheme="minorHAnsi" w:hAnsiTheme="minorHAnsi" w:cstheme="minorHAnsi"/>
                <w:szCs w:val="24"/>
                <w:lang w:val="en-GB"/>
              </w:rPr>
            </w:pPr>
            <w:r w:rsidRPr="00277328">
              <w:rPr>
                <w:rFonts w:asciiTheme="minorHAnsi" w:hAnsiTheme="minorHAnsi" w:cstheme="minorHAnsi"/>
                <w:szCs w:val="24"/>
                <w:lang w:val="en-GB"/>
              </w:rPr>
              <w:t>Job type</w:t>
            </w:r>
          </w:p>
          <w:p w:rsidR="00F64887" w:rsidRPr="00277328" w:rsidRDefault="00F64887" w:rsidP="00A42699">
            <w:pPr>
              <w:rPr>
                <w:rFonts w:asciiTheme="minorHAnsi" w:hAnsiTheme="minorHAnsi" w:cstheme="minorHAnsi"/>
                <w:b w:val="0"/>
                <w:i/>
                <w:szCs w:val="24"/>
                <w:lang w:val="en-GB"/>
              </w:rPr>
            </w:pPr>
            <w:r w:rsidRPr="00277328">
              <w:rPr>
                <w:rFonts w:asciiTheme="minorHAnsi" w:hAnsiTheme="minorHAnsi" w:cstheme="minorHAnsi"/>
                <w:b w:val="0"/>
                <w:i/>
                <w:szCs w:val="24"/>
                <w:lang w:val="en-GB"/>
              </w:rPr>
              <w:t>Policy maker</w:t>
            </w:r>
          </w:p>
          <w:p w:rsidR="003C33CC" w:rsidRPr="00277328" w:rsidRDefault="003C33CC" w:rsidP="00A42699">
            <w:pPr>
              <w:rPr>
                <w:rFonts w:asciiTheme="minorHAnsi" w:hAnsiTheme="minorHAnsi" w:cstheme="minorHAnsi"/>
                <w:b w:val="0"/>
                <w:i/>
                <w:szCs w:val="24"/>
                <w:lang w:val="en-GB"/>
              </w:rPr>
            </w:pPr>
            <w:r w:rsidRPr="00277328">
              <w:rPr>
                <w:rFonts w:asciiTheme="minorHAnsi" w:hAnsiTheme="minorHAnsi" w:cstheme="minorHAnsi"/>
                <w:b w:val="0"/>
                <w:i/>
                <w:szCs w:val="24"/>
                <w:lang w:val="en-GB"/>
              </w:rPr>
              <w:t>Health manager</w:t>
            </w:r>
          </w:p>
          <w:p w:rsidR="003C33CC" w:rsidRPr="00277328" w:rsidRDefault="003C33CC" w:rsidP="00A42699">
            <w:pPr>
              <w:rPr>
                <w:rFonts w:asciiTheme="minorHAnsi" w:hAnsiTheme="minorHAnsi" w:cstheme="minorHAnsi"/>
                <w:szCs w:val="24"/>
                <w:lang w:val="en-GB"/>
              </w:rPr>
            </w:pPr>
            <w:r w:rsidRPr="00277328">
              <w:rPr>
                <w:rFonts w:asciiTheme="minorHAnsi" w:hAnsiTheme="minorHAnsi" w:cstheme="minorHAnsi"/>
                <w:b w:val="0"/>
                <w:i/>
                <w:szCs w:val="24"/>
                <w:lang w:val="en-GB"/>
              </w:rPr>
              <w:t>Consultant</w:t>
            </w:r>
          </w:p>
        </w:tc>
        <w:tc>
          <w:tcPr>
            <w:tcW w:w="2841" w:type="dxa"/>
          </w:tcPr>
          <w:p w:rsidR="00F64887" w:rsidRPr="00277328" w:rsidRDefault="00F64887" w:rsidP="00A42699">
            <w:pPr>
              <w:cnfStyle w:val="000000100000"/>
              <w:rPr>
                <w:rFonts w:cstheme="minorHAnsi"/>
                <w:szCs w:val="24"/>
                <w:lang w:val="en-GB"/>
              </w:rPr>
            </w:pPr>
          </w:p>
          <w:p w:rsidR="003C33CC" w:rsidRPr="00277328" w:rsidRDefault="003C33CC" w:rsidP="00A42699">
            <w:pPr>
              <w:cnfStyle w:val="000000100000"/>
              <w:rPr>
                <w:rFonts w:cstheme="minorHAnsi"/>
                <w:szCs w:val="24"/>
                <w:lang w:val="en-GB"/>
              </w:rPr>
            </w:pPr>
            <w:r w:rsidRPr="00277328">
              <w:rPr>
                <w:rFonts w:cstheme="minorHAnsi"/>
                <w:szCs w:val="24"/>
                <w:lang w:val="en-GB"/>
              </w:rPr>
              <w:t>14</w:t>
            </w:r>
          </w:p>
          <w:p w:rsidR="003C33CC" w:rsidRPr="00277328" w:rsidRDefault="003C33CC" w:rsidP="00A42699">
            <w:pPr>
              <w:cnfStyle w:val="000000100000"/>
              <w:rPr>
                <w:rFonts w:cstheme="minorHAnsi"/>
                <w:szCs w:val="24"/>
                <w:lang w:val="en-GB"/>
              </w:rPr>
            </w:pPr>
            <w:r w:rsidRPr="00277328">
              <w:rPr>
                <w:rFonts w:cstheme="minorHAnsi"/>
                <w:szCs w:val="24"/>
                <w:lang w:val="en-GB"/>
              </w:rPr>
              <w:t>40</w:t>
            </w:r>
          </w:p>
          <w:p w:rsidR="003C33CC" w:rsidRPr="00277328" w:rsidRDefault="003C33CC" w:rsidP="00A42699">
            <w:pPr>
              <w:cnfStyle w:val="000000100000"/>
              <w:rPr>
                <w:rFonts w:cstheme="minorHAnsi"/>
                <w:szCs w:val="24"/>
                <w:lang w:val="en-GB"/>
              </w:rPr>
            </w:pPr>
            <w:r w:rsidRPr="00277328">
              <w:rPr>
                <w:rFonts w:cstheme="minorHAnsi"/>
                <w:szCs w:val="24"/>
                <w:lang w:val="en-GB"/>
              </w:rPr>
              <w:t>15</w:t>
            </w:r>
          </w:p>
        </w:tc>
        <w:tc>
          <w:tcPr>
            <w:tcW w:w="2841" w:type="dxa"/>
          </w:tcPr>
          <w:p w:rsidR="00F64887" w:rsidRPr="00277328" w:rsidRDefault="00F64887" w:rsidP="00A42699">
            <w:pPr>
              <w:cnfStyle w:val="000000100000"/>
              <w:rPr>
                <w:rFonts w:cstheme="minorHAnsi"/>
                <w:szCs w:val="24"/>
                <w:lang w:val="en-GB"/>
              </w:rPr>
            </w:pPr>
          </w:p>
          <w:p w:rsidR="003C33CC" w:rsidRPr="00277328" w:rsidRDefault="003C33CC" w:rsidP="00A42699">
            <w:pPr>
              <w:cnfStyle w:val="000000100000"/>
              <w:rPr>
                <w:rFonts w:cstheme="minorHAnsi"/>
                <w:szCs w:val="24"/>
                <w:lang w:val="en-GB"/>
              </w:rPr>
            </w:pPr>
            <w:r w:rsidRPr="00277328">
              <w:rPr>
                <w:rFonts w:cstheme="minorHAnsi"/>
                <w:szCs w:val="24"/>
                <w:lang w:val="en-GB"/>
              </w:rPr>
              <w:t>24%</w:t>
            </w:r>
          </w:p>
          <w:p w:rsidR="003C33CC" w:rsidRPr="00277328" w:rsidRDefault="003C33CC" w:rsidP="00A42699">
            <w:pPr>
              <w:cnfStyle w:val="000000100000"/>
              <w:rPr>
                <w:rFonts w:cstheme="minorHAnsi"/>
                <w:szCs w:val="24"/>
                <w:lang w:val="en-GB"/>
              </w:rPr>
            </w:pPr>
            <w:r w:rsidRPr="00277328">
              <w:rPr>
                <w:rFonts w:cstheme="minorHAnsi"/>
                <w:szCs w:val="24"/>
                <w:lang w:val="en-GB"/>
              </w:rPr>
              <w:t>49%</w:t>
            </w:r>
          </w:p>
          <w:p w:rsidR="003C33CC" w:rsidRPr="00277328" w:rsidRDefault="003C33CC" w:rsidP="00A42699">
            <w:pPr>
              <w:cnfStyle w:val="000000100000"/>
              <w:rPr>
                <w:rFonts w:cstheme="minorHAnsi"/>
                <w:szCs w:val="24"/>
                <w:lang w:val="en-GB"/>
              </w:rPr>
            </w:pPr>
            <w:r w:rsidRPr="00277328">
              <w:rPr>
                <w:rFonts w:cstheme="minorHAnsi"/>
                <w:szCs w:val="24"/>
                <w:lang w:val="en-GB"/>
              </w:rPr>
              <w:t>27%</w:t>
            </w:r>
          </w:p>
        </w:tc>
      </w:tr>
      <w:tr w:rsidR="00F64887" w:rsidRPr="00277328" w:rsidTr="00F64887">
        <w:trPr>
          <w:cnfStyle w:val="000000010000"/>
        </w:trPr>
        <w:tc>
          <w:tcPr>
            <w:cnfStyle w:val="001000000000"/>
            <w:tcW w:w="2840" w:type="dxa"/>
          </w:tcPr>
          <w:p w:rsidR="00F64887" w:rsidRPr="00277328" w:rsidRDefault="003C33CC" w:rsidP="00A42699">
            <w:pPr>
              <w:rPr>
                <w:rFonts w:asciiTheme="minorHAnsi" w:hAnsiTheme="minorHAnsi" w:cstheme="minorHAnsi"/>
                <w:szCs w:val="24"/>
                <w:lang w:val="en-GB"/>
              </w:rPr>
            </w:pPr>
            <w:r w:rsidRPr="00277328">
              <w:rPr>
                <w:rFonts w:asciiTheme="minorHAnsi" w:hAnsiTheme="minorHAnsi" w:cstheme="minorHAnsi"/>
                <w:szCs w:val="24"/>
                <w:lang w:val="en-GB"/>
              </w:rPr>
              <w:t>Region</w:t>
            </w:r>
          </w:p>
          <w:p w:rsidR="003C33CC" w:rsidRPr="00277328" w:rsidRDefault="003C33CC" w:rsidP="00A42699">
            <w:pPr>
              <w:rPr>
                <w:rFonts w:asciiTheme="minorHAnsi" w:hAnsiTheme="minorHAnsi" w:cstheme="minorHAnsi"/>
                <w:b w:val="0"/>
                <w:i/>
                <w:szCs w:val="24"/>
                <w:lang w:val="en-GB"/>
              </w:rPr>
            </w:pPr>
            <w:r w:rsidRPr="00277328">
              <w:rPr>
                <w:rFonts w:asciiTheme="minorHAnsi" w:hAnsiTheme="minorHAnsi" w:cstheme="minorHAnsi"/>
                <w:b w:val="0"/>
                <w:i/>
                <w:szCs w:val="24"/>
                <w:lang w:val="en-GB"/>
              </w:rPr>
              <w:t>Catalonia/Basque country</w:t>
            </w:r>
          </w:p>
          <w:p w:rsidR="003C33CC" w:rsidRPr="00277328" w:rsidRDefault="003C33CC" w:rsidP="00A42699">
            <w:pPr>
              <w:rPr>
                <w:rFonts w:asciiTheme="minorHAnsi" w:hAnsiTheme="minorHAnsi" w:cstheme="minorHAnsi"/>
                <w:b w:val="0"/>
                <w:i/>
                <w:szCs w:val="24"/>
                <w:lang w:val="en-GB"/>
              </w:rPr>
            </w:pPr>
            <w:r w:rsidRPr="00277328">
              <w:rPr>
                <w:rFonts w:asciiTheme="minorHAnsi" w:hAnsiTheme="minorHAnsi" w:cstheme="minorHAnsi"/>
                <w:b w:val="0"/>
                <w:i/>
                <w:szCs w:val="24"/>
                <w:lang w:val="en-GB"/>
              </w:rPr>
              <w:t>Cantabria/Valencia</w:t>
            </w:r>
          </w:p>
          <w:p w:rsidR="003C33CC" w:rsidRPr="00277328" w:rsidRDefault="003C33CC" w:rsidP="00A42699">
            <w:pPr>
              <w:rPr>
                <w:rFonts w:asciiTheme="minorHAnsi" w:hAnsiTheme="minorHAnsi" w:cstheme="minorHAnsi"/>
                <w:szCs w:val="24"/>
                <w:lang w:val="en-GB"/>
              </w:rPr>
            </w:pPr>
            <w:r w:rsidRPr="00277328">
              <w:rPr>
                <w:rFonts w:asciiTheme="minorHAnsi" w:hAnsiTheme="minorHAnsi" w:cstheme="minorHAnsi"/>
                <w:b w:val="0"/>
                <w:i/>
                <w:szCs w:val="24"/>
                <w:lang w:val="en-GB"/>
              </w:rPr>
              <w:t>Madrid</w:t>
            </w:r>
          </w:p>
        </w:tc>
        <w:tc>
          <w:tcPr>
            <w:tcW w:w="2841" w:type="dxa"/>
          </w:tcPr>
          <w:p w:rsidR="00F64887" w:rsidRPr="00277328" w:rsidRDefault="00F64887" w:rsidP="00A42699">
            <w:pPr>
              <w:cnfStyle w:val="000000010000"/>
              <w:rPr>
                <w:rFonts w:cstheme="minorHAnsi"/>
                <w:szCs w:val="24"/>
                <w:lang w:val="en-GB"/>
              </w:rPr>
            </w:pPr>
          </w:p>
          <w:p w:rsidR="003C33CC" w:rsidRPr="00277328" w:rsidRDefault="003C33CC" w:rsidP="00A42699">
            <w:pPr>
              <w:cnfStyle w:val="000000010000"/>
              <w:rPr>
                <w:rFonts w:cstheme="minorHAnsi"/>
                <w:szCs w:val="24"/>
                <w:lang w:val="en-GB"/>
              </w:rPr>
            </w:pPr>
            <w:r w:rsidRPr="00277328">
              <w:rPr>
                <w:rFonts w:cstheme="minorHAnsi"/>
                <w:szCs w:val="24"/>
                <w:lang w:val="en-GB"/>
              </w:rPr>
              <w:t>18</w:t>
            </w:r>
          </w:p>
          <w:p w:rsidR="003C33CC" w:rsidRPr="00277328" w:rsidRDefault="003C33CC" w:rsidP="00A42699">
            <w:pPr>
              <w:cnfStyle w:val="000000010000"/>
              <w:rPr>
                <w:rFonts w:cstheme="minorHAnsi"/>
                <w:szCs w:val="24"/>
                <w:lang w:val="en-GB"/>
              </w:rPr>
            </w:pPr>
            <w:r w:rsidRPr="00277328">
              <w:rPr>
                <w:rFonts w:cstheme="minorHAnsi"/>
                <w:szCs w:val="24"/>
                <w:lang w:val="en-GB"/>
              </w:rPr>
              <w:t>22</w:t>
            </w:r>
          </w:p>
          <w:p w:rsidR="003C33CC" w:rsidRPr="00277328" w:rsidRDefault="003C33CC" w:rsidP="00A42699">
            <w:pPr>
              <w:cnfStyle w:val="000000010000"/>
              <w:rPr>
                <w:rFonts w:cstheme="minorHAnsi"/>
                <w:szCs w:val="24"/>
                <w:lang w:val="en-GB"/>
              </w:rPr>
            </w:pPr>
            <w:r w:rsidRPr="00277328">
              <w:rPr>
                <w:rFonts w:cstheme="minorHAnsi"/>
                <w:szCs w:val="24"/>
                <w:lang w:val="en-GB"/>
              </w:rPr>
              <w:t>24</w:t>
            </w:r>
          </w:p>
        </w:tc>
        <w:tc>
          <w:tcPr>
            <w:tcW w:w="2841" w:type="dxa"/>
          </w:tcPr>
          <w:p w:rsidR="00F64887" w:rsidRPr="00277328" w:rsidRDefault="00F64887" w:rsidP="00A42699">
            <w:pPr>
              <w:cnfStyle w:val="000000010000"/>
              <w:rPr>
                <w:rFonts w:cstheme="minorHAnsi"/>
                <w:szCs w:val="24"/>
                <w:lang w:val="en-GB"/>
              </w:rPr>
            </w:pPr>
          </w:p>
          <w:p w:rsidR="003C33CC" w:rsidRPr="00277328" w:rsidRDefault="003C33CC" w:rsidP="00A42699">
            <w:pPr>
              <w:cnfStyle w:val="000000010000"/>
              <w:rPr>
                <w:rFonts w:cstheme="minorHAnsi"/>
                <w:szCs w:val="24"/>
                <w:lang w:val="en-GB"/>
              </w:rPr>
            </w:pPr>
            <w:r w:rsidRPr="00277328">
              <w:rPr>
                <w:rFonts w:cstheme="minorHAnsi"/>
                <w:szCs w:val="24"/>
                <w:lang w:val="en-GB"/>
              </w:rPr>
              <w:t>27%</w:t>
            </w:r>
          </w:p>
          <w:p w:rsidR="003C33CC" w:rsidRPr="00277328" w:rsidRDefault="003C33CC" w:rsidP="00A42699">
            <w:pPr>
              <w:cnfStyle w:val="000000010000"/>
              <w:rPr>
                <w:rFonts w:cstheme="minorHAnsi"/>
                <w:szCs w:val="24"/>
                <w:lang w:val="en-GB"/>
              </w:rPr>
            </w:pPr>
            <w:r w:rsidRPr="00277328">
              <w:rPr>
                <w:rFonts w:cstheme="minorHAnsi"/>
                <w:szCs w:val="24"/>
                <w:lang w:val="en-GB"/>
              </w:rPr>
              <w:t>32%</w:t>
            </w:r>
          </w:p>
          <w:p w:rsidR="003C33CC" w:rsidRPr="00277328" w:rsidRDefault="003C33CC" w:rsidP="00A42699">
            <w:pPr>
              <w:cnfStyle w:val="000000010000"/>
              <w:rPr>
                <w:rFonts w:cstheme="minorHAnsi"/>
                <w:szCs w:val="24"/>
                <w:lang w:val="en-GB"/>
              </w:rPr>
            </w:pPr>
            <w:r w:rsidRPr="00277328">
              <w:rPr>
                <w:rFonts w:cstheme="minorHAnsi"/>
                <w:szCs w:val="24"/>
                <w:lang w:val="en-GB"/>
              </w:rPr>
              <w:t>41%</w:t>
            </w:r>
          </w:p>
        </w:tc>
      </w:tr>
    </w:tbl>
    <w:p w:rsidR="00A42699" w:rsidRPr="00277328" w:rsidRDefault="00A42699" w:rsidP="00A42699">
      <w:pPr>
        <w:rPr>
          <w:b/>
          <w:sz w:val="28"/>
          <w:szCs w:val="28"/>
          <w:lang w:val="en-GB"/>
        </w:rPr>
      </w:pPr>
    </w:p>
    <w:p w:rsidR="00A42699" w:rsidRPr="005B5C82" w:rsidRDefault="00A42699" w:rsidP="005B5C82">
      <w:pPr>
        <w:pStyle w:val="Heading2"/>
        <w:rPr>
          <w:lang w:val="en-GB"/>
        </w:rPr>
      </w:pPr>
      <w:bookmarkStart w:id="28" w:name="_Toc367791020"/>
      <w:r w:rsidRPr="00277328">
        <w:rPr>
          <w:lang w:val="en-GB"/>
        </w:rPr>
        <w:t>Regression results</w:t>
      </w:r>
      <w:bookmarkEnd w:id="28"/>
      <w:r w:rsidRPr="00277328">
        <w:rPr>
          <w:lang w:val="en-GB"/>
        </w:rPr>
        <w:t xml:space="preserve">  </w:t>
      </w:r>
    </w:p>
    <w:p w:rsidR="00A42699" w:rsidRPr="00277328" w:rsidRDefault="00A42699" w:rsidP="00950BD7">
      <w:pPr>
        <w:pStyle w:val="Heading3"/>
        <w:rPr>
          <w:lang w:val="en-GB"/>
        </w:rPr>
      </w:pPr>
      <w:bookmarkStart w:id="29" w:name="_Toc367791021"/>
      <w:r w:rsidRPr="00277328">
        <w:rPr>
          <w:lang w:val="en-GB"/>
        </w:rPr>
        <w:t>Final model specification</w:t>
      </w:r>
      <w:bookmarkEnd w:id="29"/>
    </w:p>
    <w:p w:rsidR="00A42699" w:rsidRPr="00277328" w:rsidRDefault="00A42699" w:rsidP="00A42699">
      <w:pPr>
        <w:rPr>
          <w:rFonts w:cstheme="minorHAnsi"/>
          <w:color w:val="000000"/>
          <w:lang w:val="en-GB"/>
        </w:rPr>
      </w:pPr>
      <w:r w:rsidRPr="00277328">
        <w:rPr>
          <w:rFonts w:cstheme="minorHAnsi"/>
          <w:color w:val="000000"/>
          <w:lang w:val="en-GB"/>
        </w:rPr>
        <w:t xml:space="preserve">As mentioned in the previous chapter, in order to reach a final model the performance of different model specifications has been compared. First, a main- effects only conditional logit (CL) model was estimated (i.e. a model including only the six attributes). Subsequently, </w:t>
      </w:r>
      <w:r w:rsidRPr="00277328">
        <w:rPr>
          <w:rFonts w:cstheme="minorHAnsi"/>
          <w:color w:val="000000"/>
          <w:lang w:val="en-GB"/>
        </w:rPr>
        <w:lastRenderedPageBreak/>
        <w:t xml:space="preserve">several interaction terms between the attributes and socio-economic characteristics were created and tested. Based on a backward selection (i.e. using stepwise commands at the 0.10 significance level) most interaction terms have been removed, due to their insignificance. </w:t>
      </w:r>
    </w:p>
    <w:p w:rsidR="00A42699" w:rsidRPr="00277328" w:rsidRDefault="00A42699" w:rsidP="00A42699">
      <w:pPr>
        <w:rPr>
          <w:rFonts w:cstheme="minorHAnsi"/>
          <w:color w:val="000000"/>
          <w:lang w:val="en-GB"/>
        </w:rPr>
      </w:pPr>
      <w:r w:rsidRPr="00277328">
        <w:rPr>
          <w:rFonts w:cstheme="minorHAnsi"/>
          <w:color w:val="000000"/>
          <w:lang w:val="en-GB"/>
        </w:rPr>
        <w:t>Those remai</w:t>
      </w:r>
      <w:r w:rsidR="003A3FDB">
        <w:rPr>
          <w:rFonts w:cstheme="minorHAnsi"/>
          <w:color w:val="000000"/>
          <w:lang w:val="en-GB"/>
        </w:rPr>
        <w:t>ned (i.e. cost-effectiveness*djobtype2, high age group</w:t>
      </w:r>
      <w:r w:rsidRPr="00277328">
        <w:rPr>
          <w:rFonts w:cstheme="minorHAnsi"/>
          <w:color w:val="000000"/>
          <w:lang w:val="en-GB"/>
        </w:rPr>
        <w:t>*male and ind</w:t>
      </w:r>
      <w:r w:rsidR="003A3FDB">
        <w:rPr>
          <w:rFonts w:cstheme="minorHAnsi"/>
          <w:color w:val="000000"/>
          <w:lang w:val="en-GB"/>
        </w:rPr>
        <w:t xml:space="preserve">ividual </w:t>
      </w:r>
      <w:r w:rsidRPr="00277328">
        <w:rPr>
          <w:rFonts w:cstheme="minorHAnsi"/>
          <w:color w:val="000000"/>
          <w:lang w:val="en-GB"/>
        </w:rPr>
        <w:t>ben</w:t>
      </w:r>
      <w:r w:rsidR="003A3FDB">
        <w:rPr>
          <w:rFonts w:cstheme="minorHAnsi"/>
          <w:color w:val="000000"/>
          <w:lang w:val="en-GB"/>
        </w:rPr>
        <w:t>efits</w:t>
      </w:r>
      <w:r w:rsidRPr="00277328">
        <w:rPr>
          <w:rFonts w:cstheme="minorHAnsi"/>
          <w:color w:val="000000"/>
          <w:lang w:val="en-GB"/>
        </w:rPr>
        <w:t>*male) have been included in the final specification. Various measures for the goodness of fit were calculated in order to compare the fit of the main effects (null) model with the one derived from backward selection (alternative model). These measures included a Wald test as well as likelihood-ratio tests (LR test). Results provided strong support for the a</w:t>
      </w:r>
      <w:r w:rsidR="003A3FDB">
        <w:rPr>
          <w:rFonts w:cstheme="minorHAnsi"/>
          <w:color w:val="000000"/>
          <w:lang w:val="en-GB"/>
        </w:rPr>
        <w:t>lternative model. T</w:t>
      </w:r>
      <w:r w:rsidRPr="00277328">
        <w:rPr>
          <w:rFonts w:cstheme="minorHAnsi"/>
          <w:color w:val="000000"/>
          <w:lang w:val="en-GB"/>
        </w:rPr>
        <w:t xml:space="preserve">hree separated CL models were estimated, one for each set of regions included in the study. </w:t>
      </w:r>
    </w:p>
    <w:p w:rsidR="00A42699" w:rsidRPr="00277328" w:rsidRDefault="00A42699" w:rsidP="00A42699">
      <w:pPr>
        <w:rPr>
          <w:rFonts w:cstheme="minorHAnsi"/>
          <w:color w:val="000000"/>
          <w:lang w:val="en-GB"/>
        </w:rPr>
      </w:pPr>
      <w:r w:rsidRPr="00277328">
        <w:rPr>
          <w:rFonts w:cstheme="minorHAnsi"/>
          <w:color w:val="000000"/>
          <w:lang w:val="en-GB"/>
        </w:rPr>
        <w:t xml:space="preserve">Furthermore, it has been tested whether alternative-specific constants (ASCs) should be included in the model. In discrete choice </w:t>
      </w:r>
      <w:r w:rsidR="00173A00" w:rsidRPr="00277328">
        <w:rPr>
          <w:rFonts w:cstheme="minorHAnsi"/>
          <w:color w:val="000000"/>
          <w:lang w:val="en-GB"/>
        </w:rPr>
        <w:t>modelling</w:t>
      </w:r>
      <w:r w:rsidRPr="00277328">
        <w:rPr>
          <w:rFonts w:cstheme="minorHAnsi"/>
          <w:color w:val="000000"/>
          <w:lang w:val="en-GB"/>
        </w:rPr>
        <w:t>, the ASC of an alternative reflects the average effect of all non-included factors on utility levels (A review of DCEs). However, when generic (unlabelled) alternatives are being used, differences in their utilities are caused only by the attributes. This effect is already incorporated in the model and thus, the ASC is assumed to be zero. As expected, the inclusion of an ASC in this generic model gave a statistically insignificant parameter (p-value</w:t>
      </w:r>
      <w:r w:rsidRPr="00277328">
        <w:rPr>
          <w:rFonts w:cstheme="minorHAnsi"/>
          <w:color w:val="000000"/>
          <w:vertAlign w:val="subscript"/>
          <w:lang w:val="en-GB"/>
        </w:rPr>
        <w:t>ASC1</w:t>
      </w:r>
      <w:r w:rsidRPr="00277328">
        <w:rPr>
          <w:rFonts w:cstheme="minorHAnsi"/>
          <w:color w:val="000000"/>
          <w:lang w:val="en-GB"/>
        </w:rPr>
        <w:t xml:space="preserve">=0.18) and it has therefore been dropped from the estimation. </w:t>
      </w:r>
    </w:p>
    <w:p w:rsidR="00A42699" w:rsidRPr="00277328" w:rsidRDefault="00A42699" w:rsidP="00A42699">
      <w:pPr>
        <w:pStyle w:val="Default"/>
        <w:spacing w:line="276" w:lineRule="auto"/>
        <w:rPr>
          <w:rFonts w:asciiTheme="minorHAnsi" w:hAnsiTheme="minorHAnsi" w:cstheme="minorHAnsi"/>
          <w:sz w:val="22"/>
          <w:szCs w:val="22"/>
          <w:lang w:val="en-GB"/>
        </w:rPr>
      </w:pPr>
      <w:r w:rsidRPr="00277328">
        <w:rPr>
          <w:rFonts w:asciiTheme="minorHAnsi" w:hAnsiTheme="minorHAnsi" w:cstheme="minorHAnsi"/>
          <w:sz w:val="22"/>
          <w:szCs w:val="22"/>
          <w:lang w:val="en-GB"/>
        </w:rPr>
        <w:t>Comparisons between the CL and MXL model were based on the values of Bayesian Information Criterion (BIC). BIC is a model selection criterion which introduces penalty terms for the model when it is over-fitted</w:t>
      </w:r>
      <w:r w:rsidR="008831D6" w:rsidRPr="008831D6">
        <w:rPr>
          <w:rFonts w:asciiTheme="minorHAnsi" w:hAnsiTheme="minorHAnsi" w:cstheme="minorHAnsi"/>
          <w:sz w:val="22"/>
          <w:szCs w:val="22"/>
        </w:rPr>
        <w:t xml:space="preserve"> </w:t>
      </w:r>
      <w:sdt>
        <w:sdtPr>
          <w:rPr>
            <w:rFonts w:asciiTheme="minorHAnsi" w:hAnsiTheme="minorHAnsi" w:cstheme="minorHAnsi"/>
            <w:sz w:val="22"/>
            <w:szCs w:val="22"/>
          </w:rPr>
          <w:id w:val="10962394"/>
          <w:citation/>
        </w:sdtPr>
        <w:sdtContent>
          <w:r w:rsidR="00E93150">
            <w:rPr>
              <w:rFonts w:asciiTheme="minorHAnsi" w:hAnsiTheme="minorHAnsi" w:cstheme="minorHAnsi"/>
              <w:sz w:val="22"/>
              <w:szCs w:val="22"/>
            </w:rPr>
            <w:fldChar w:fldCharType="begin"/>
          </w:r>
          <w:r w:rsidR="008831D6">
            <w:rPr>
              <w:rFonts w:asciiTheme="minorHAnsi" w:hAnsiTheme="minorHAnsi" w:cstheme="minorHAnsi"/>
              <w:sz w:val="22"/>
              <w:szCs w:val="22"/>
            </w:rPr>
            <w:instrText xml:space="preserve"> CITATION Che08 \l 1033 </w:instrText>
          </w:r>
          <w:r w:rsidR="00E93150">
            <w:rPr>
              <w:rFonts w:asciiTheme="minorHAnsi" w:hAnsiTheme="minorHAnsi" w:cstheme="minorHAnsi"/>
              <w:sz w:val="22"/>
              <w:szCs w:val="22"/>
            </w:rPr>
            <w:fldChar w:fldCharType="separate"/>
          </w:r>
          <w:r w:rsidR="008831D6" w:rsidRPr="008831D6">
            <w:rPr>
              <w:rFonts w:asciiTheme="minorHAnsi" w:hAnsiTheme="minorHAnsi" w:cstheme="minorHAnsi"/>
              <w:noProof/>
              <w:sz w:val="22"/>
              <w:szCs w:val="22"/>
            </w:rPr>
            <w:t>(Chen 2008)</w:t>
          </w:r>
          <w:r w:rsidR="00E93150">
            <w:rPr>
              <w:rFonts w:asciiTheme="minorHAnsi" w:hAnsiTheme="minorHAnsi" w:cstheme="minorHAnsi"/>
              <w:sz w:val="22"/>
              <w:szCs w:val="22"/>
            </w:rPr>
            <w:fldChar w:fldCharType="end"/>
          </w:r>
        </w:sdtContent>
      </w:sdt>
      <w:r w:rsidRPr="00277328">
        <w:rPr>
          <w:rFonts w:asciiTheme="minorHAnsi" w:hAnsiTheme="minorHAnsi" w:cstheme="minorHAnsi"/>
          <w:sz w:val="22"/>
          <w:szCs w:val="22"/>
          <w:lang w:val="en-GB"/>
        </w:rPr>
        <w:t>. Given any two estimated models, the one with the lower BIC value should be preferred. Based on these values, the CL model outperformed the MXL specification, both in the case where only main effects were considered random (BIC</w:t>
      </w:r>
      <w:r w:rsidRPr="00277328">
        <w:rPr>
          <w:rFonts w:asciiTheme="minorHAnsi" w:hAnsiTheme="minorHAnsi" w:cstheme="minorHAnsi"/>
          <w:sz w:val="22"/>
          <w:szCs w:val="22"/>
          <w:vertAlign w:val="subscript"/>
          <w:lang w:val="en-GB"/>
        </w:rPr>
        <w:t>CL</w:t>
      </w:r>
      <w:r w:rsidRPr="00277328">
        <w:rPr>
          <w:rFonts w:asciiTheme="minorHAnsi" w:hAnsiTheme="minorHAnsi" w:cstheme="minorHAnsi"/>
          <w:sz w:val="22"/>
          <w:szCs w:val="22"/>
          <w:lang w:val="en-GB"/>
        </w:rPr>
        <w:t>=1.11 and BIC</w:t>
      </w:r>
      <w:r w:rsidRPr="00277328">
        <w:rPr>
          <w:rFonts w:asciiTheme="minorHAnsi" w:hAnsiTheme="minorHAnsi" w:cstheme="minorHAnsi"/>
          <w:sz w:val="22"/>
          <w:szCs w:val="22"/>
          <w:vertAlign w:val="subscript"/>
          <w:lang w:val="en-GB"/>
        </w:rPr>
        <w:t>MXL</w:t>
      </w:r>
      <w:r w:rsidRPr="00277328">
        <w:rPr>
          <w:rFonts w:asciiTheme="minorHAnsi" w:hAnsiTheme="minorHAnsi" w:cstheme="minorHAnsi"/>
          <w:sz w:val="22"/>
          <w:szCs w:val="22"/>
          <w:lang w:val="en-GB"/>
        </w:rPr>
        <w:t>=1.21); and when also interaction terms were included in the random variables list (BIC</w:t>
      </w:r>
      <w:r w:rsidRPr="00277328">
        <w:rPr>
          <w:rFonts w:asciiTheme="minorHAnsi" w:hAnsiTheme="minorHAnsi" w:cstheme="minorHAnsi"/>
          <w:sz w:val="22"/>
          <w:szCs w:val="22"/>
          <w:vertAlign w:val="subscript"/>
          <w:lang w:val="en-GB"/>
        </w:rPr>
        <w:t>CL</w:t>
      </w:r>
      <w:r w:rsidRPr="00277328">
        <w:rPr>
          <w:rFonts w:asciiTheme="minorHAnsi" w:hAnsiTheme="minorHAnsi" w:cstheme="minorHAnsi"/>
          <w:sz w:val="22"/>
          <w:szCs w:val="22"/>
          <w:lang w:val="en-GB"/>
        </w:rPr>
        <w:t>=1.11 and BIC</w:t>
      </w:r>
      <w:r w:rsidRPr="00277328">
        <w:rPr>
          <w:rFonts w:asciiTheme="minorHAnsi" w:hAnsiTheme="minorHAnsi" w:cstheme="minorHAnsi"/>
          <w:sz w:val="22"/>
          <w:szCs w:val="22"/>
          <w:vertAlign w:val="subscript"/>
          <w:lang w:val="en-GB"/>
        </w:rPr>
        <w:t>MXL</w:t>
      </w:r>
      <w:r w:rsidRPr="00277328">
        <w:rPr>
          <w:rFonts w:asciiTheme="minorHAnsi" w:hAnsiTheme="minorHAnsi" w:cstheme="minorHAnsi"/>
          <w:sz w:val="22"/>
          <w:szCs w:val="22"/>
          <w:lang w:val="en-GB"/>
        </w:rPr>
        <w:t xml:space="preserve">=1.12). </w:t>
      </w:r>
    </w:p>
    <w:p w:rsidR="001A1A7A" w:rsidRPr="00277328" w:rsidRDefault="001A1A7A" w:rsidP="00A42699">
      <w:pPr>
        <w:pStyle w:val="Default"/>
        <w:spacing w:line="276" w:lineRule="auto"/>
        <w:rPr>
          <w:rFonts w:asciiTheme="minorHAnsi" w:hAnsiTheme="minorHAnsi" w:cstheme="minorHAnsi"/>
          <w:lang w:val="en-GB"/>
        </w:rPr>
      </w:pPr>
    </w:p>
    <w:p w:rsidR="00A42699" w:rsidRPr="00277328" w:rsidRDefault="00A42699" w:rsidP="00950BD7">
      <w:pPr>
        <w:pStyle w:val="Heading3"/>
        <w:rPr>
          <w:lang w:val="en-GB"/>
        </w:rPr>
      </w:pPr>
      <w:bookmarkStart w:id="30" w:name="_Toc367791022"/>
      <w:r w:rsidRPr="00277328">
        <w:rPr>
          <w:lang w:val="en-GB"/>
        </w:rPr>
        <w:t>Estimation results</w:t>
      </w:r>
      <w:bookmarkEnd w:id="30"/>
    </w:p>
    <w:p w:rsidR="00A42699" w:rsidRPr="00277328" w:rsidRDefault="00BD09A6" w:rsidP="00A42699">
      <w:pPr>
        <w:rPr>
          <w:rFonts w:cstheme="minorHAnsi"/>
          <w:szCs w:val="24"/>
          <w:lang w:val="en-GB"/>
        </w:rPr>
      </w:pPr>
      <w:r>
        <w:rPr>
          <w:rFonts w:cstheme="minorHAnsi"/>
          <w:szCs w:val="24"/>
          <w:lang w:val="en-GB"/>
        </w:rPr>
        <w:t xml:space="preserve">Table 8 </w:t>
      </w:r>
      <w:r w:rsidR="00A42699" w:rsidRPr="00277328">
        <w:rPr>
          <w:rFonts w:cstheme="minorHAnsi"/>
          <w:szCs w:val="24"/>
          <w:lang w:val="en-GB"/>
        </w:rPr>
        <w:t xml:space="preserve">illustrates the results of the four different conditional models. In the context of logistic regression, the size (magnitude) of the coefficients does not provide any relevant information for the interpretation of results. In CL models, it is rather the sign and significance of the coefficients that indicate the effect of each attribute on respondents’ preferences.  </w:t>
      </w:r>
    </w:p>
    <w:p w:rsidR="00741164" w:rsidRPr="00277328" w:rsidRDefault="00741164">
      <w:pPr>
        <w:rPr>
          <w:rFonts w:cstheme="minorHAnsi"/>
          <w:szCs w:val="24"/>
          <w:lang w:val="en-GB"/>
        </w:rPr>
      </w:pPr>
      <w:r w:rsidRPr="00277328">
        <w:rPr>
          <w:rFonts w:cstheme="minorHAnsi"/>
          <w:szCs w:val="24"/>
          <w:lang w:val="en-GB"/>
        </w:rPr>
        <w:br w:type="page"/>
      </w:r>
    </w:p>
    <w:p w:rsidR="00A42699" w:rsidRPr="00277328" w:rsidRDefault="00A42699" w:rsidP="00A42699">
      <w:pPr>
        <w:rPr>
          <w:rFonts w:cstheme="minorHAnsi"/>
          <w:i/>
          <w:szCs w:val="24"/>
          <w:lang w:val="en-GB"/>
        </w:rPr>
      </w:pPr>
      <w:r w:rsidRPr="00277328">
        <w:rPr>
          <w:rFonts w:cstheme="minorHAnsi"/>
          <w:i/>
          <w:szCs w:val="24"/>
          <w:lang w:val="en-GB"/>
        </w:rPr>
        <w:lastRenderedPageBreak/>
        <w:t>General model</w:t>
      </w:r>
    </w:p>
    <w:p w:rsidR="00A42699" w:rsidRPr="00277328" w:rsidRDefault="00A42699" w:rsidP="00A42699">
      <w:pPr>
        <w:rPr>
          <w:rFonts w:cstheme="minorHAnsi"/>
          <w:szCs w:val="24"/>
          <w:lang w:val="en-GB"/>
        </w:rPr>
      </w:pPr>
      <w:r w:rsidRPr="00277328">
        <w:rPr>
          <w:rFonts w:cstheme="minorHAnsi"/>
          <w:szCs w:val="24"/>
          <w:lang w:val="en-GB"/>
        </w:rPr>
        <w:t>Regarding the m</w:t>
      </w:r>
      <w:r w:rsidR="00F16517">
        <w:rPr>
          <w:rFonts w:cstheme="minorHAnsi"/>
          <w:szCs w:val="24"/>
          <w:lang w:val="en-GB"/>
        </w:rPr>
        <w:t>ain effects, respondents penalis</w:t>
      </w:r>
      <w:r w:rsidRPr="00277328">
        <w:rPr>
          <w:rFonts w:cstheme="minorHAnsi"/>
          <w:szCs w:val="24"/>
          <w:lang w:val="en-GB"/>
        </w:rPr>
        <w:t>e the interventions targeting middle and high age groups, as compared to those targeting young age groups (baseline category). They also condemn those interventions that require public support (</w:t>
      </w:r>
      <w:r w:rsidR="00F16517">
        <w:rPr>
          <w:rFonts w:cstheme="minorHAnsi"/>
          <w:szCs w:val="24"/>
          <w:lang w:val="en-GB"/>
        </w:rPr>
        <w:t>or willingness to subsidis</w:t>
      </w:r>
      <w:r w:rsidRPr="00277328">
        <w:rPr>
          <w:rFonts w:cstheme="minorHAnsi"/>
          <w:szCs w:val="24"/>
          <w:lang w:val="en-GB"/>
        </w:rPr>
        <w:t>e). On the other hand, they show greater preference for interventions that benefit a larger share of the population; interventions that offer substantial health benefits for those treated; and those that target the severely-ill. Even more, they favo</w:t>
      </w:r>
      <w:r w:rsidR="00F16517">
        <w:rPr>
          <w:rFonts w:cstheme="minorHAnsi"/>
          <w:szCs w:val="24"/>
          <w:lang w:val="en-GB"/>
        </w:rPr>
        <w:t>u</w:t>
      </w:r>
      <w:r w:rsidRPr="00277328">
        <w:rPr>
          <w:rFonts w:cstheme="minorHAnsi"/>
          <w:szCs w:val="24"/>
          <w:lang w:val="en-GB"/>
        </w:rPr>
        <w:t xml:space="preserve">r interventions that are proved to be cost-effective. </w:t>
      </w:r>
    </w:p>
    <w:p w:rsidR="00A42699" w:rsidRPr="00277328" w:rsidRDefault="00A42699" w:rsidP="00A42699">
      <w:pPr>
        <w:rPr>
          <w:rFonts w:cstheme="minorHAnsi"/>
          <w:szCs w:val="24"/>
          <w:lang w:val="en-GB"/>
        </w:rPr>
      </w:pPr>
      <w:r w:rsidRPr="00277328">
        <w:rPr>
          <w:rFonts w:cstheme="minorHAnsi"/>
          <w:szCs w:val="24"/>
          <w:lang w:val="en-GB"/>
        </w:rPr>
        <w:t>Concerning interaction effects, it appears that male respondents are more likely to choose interventions that mark the elderly, as compared to young age groups. Conversely, male participants put lower weight on interventions that increase individual health benefits. Finally, it seems that health managers and directors in the p</w:t>
      </w:r>
      <w:r w:rsidR="009C7662">
        <w:rPr>
          <w:rFonts w:cstheme="minorHAnsi"/>
          <w:szCs w:val="24"/>
          <w:lang w:val="en-GB"/>
        </w:rPr>
        <w:t>harmaceutical industry prioritis</w:t>
      </w:r>
      <w:r w:rsidRPr="00277328">
        <w:rPr>
          <w:rFonts w:cstheme="minorHAnsi"/>
          <w:szCs w:val="24"/>
          <w:lang w:val="en-GB"/>
        </w:rPr>
        <w:t xml:space="preserve">e interventions that give a positive balance between benefits and costs, thus they are cost-effective. </w:t>
      </w:r>
    </w:p>
    <w:p w:rsidR="004E50E6" w:rsidRPr="00181826" w:rsidRDefault="00A42699" w:rsidP="00A42699">
      <w:pPr>
        <w:rPr>
          <w:rFonts w:cstheme="minorHAnsi"/>
          <w:szCs w:val="24"/>
          <w:lang w:val="en-GB"/>
        </w:rPr>
      </w:pPr>
      <w:r w:rsidRPr="00277328">
        <w:rPr>
          <w:rFonts w:cstheme="minorHAnsi"/>
          <w:szCs w:val="24"/>
          <w:lang w:val="en-GB"/>
        </w:rPr>
        <w:t xml:space="preserve">All main effects coefficients, with the exception of middle age group attribute, appear to be statistically significant. That is, their p-values are essentially zero, rejecting the null hypothesis that  </w:t>
      </w:r>
      <m:oMath>
        <m:acc>
          <m:accPr>
            <m:ctrlPr>
              <w:rPr>
                <w:rFonts w:ascii="Cambria Math" w:hAnsi="Cambria Math" w:cstheme="minorHAnsi"/>
                <w:i/>
                <w:szCs w:val="24"/>
                <w:lang w:val="en-GB"/>
              </w:rPr>
            </m:ctrlPr>
          </m:accPr>
          <m:e>
            <m:r>
              <w:rPr>
                <w:rFonts w:ascii="Cambria Math" w:hAnsi="Cambria Math" w:cstheme="minorHAnsi"/>
                <w:szCs w:val="24"/>
                <w:lang w:val="en-GB"/>
              </w:rPr>
              <m:t>β</m:t>
            </m:r>
          </m:e>
        </m:acc>
      </m:oMath>
      <w:r w:rsidRPr="00277328">
        <w:rPr>
          <w:rFonts w:cstheme="minorHAnsi"/>
          <w:szCs w:val="24"/>
          <w:lang w:val="en-GB"/>
        </w:rPr>
        <w:t xml:space="preserve"> = 0. Regarding interaction effects, indben*male and cea*jobtype2 terms appear to be significant at 5% significance level. The interaction term agehigh*male however, is sta</w:t>
      </w:r>
      <w:r w:rsidR="00181826">
        <w:rPr>
          <w:rFonts w:cstheme="minorHAnsi"/>
          <w:szCs w:val="24"/>
          <w:lang w:val="en-GB"/>
        </w:rPr>
        <w:t xml:space="preserve">tistically significant at 10%. </w:t>
      </w:r>
    </w:p>
    <w:p w:rsidR="006A5A0D" w:rsidRDefault="006A5A0D" w:rsidP="00A42699">
      <w:pPr>
        <w:rPr>
          <w:b/>
          <w:u w:val="single"/>
          <w:lang w:val="en-GB"/>
        </w:rPr>
      </w:pPr>
    </w:p>
    <w:p w:rsidR="00A42699" w:rsidRPr="00277328" w:rsidRDefault="00DF210F" w:rsidP="00A42699">
      <w:pPr>
        <w:rPr>
          <w:b/>
          <w:u w:val="single"/>
          <w:lang w:val="en-GB"/>
        </w:rPr>
      </w:pPr>
      <w:r w:rsidRPr="00277328">
        <w:rPr>
          <w:b/>
          <w:u w:val="single"/>
          <w:lang w:val="en-GB"/>
        </w:rPr>
        <w:t>Table 8</w:t>
      </w:r>
      <w:r w:rsidR="00372C59" w:rsidRPr="00277328">
        <w:rPr>
          <w:b/>
          <w:u w:val="single"/>
          <w:lang w:val="en-GB"/>
        </w:rPr>
        <w:t>: Conditional logit estimation results with individual characteristics interactions</w:t>
      </w:r>
    </w:p>
    <w:tbl>
      <w:tblPr>
        <w:tblStyle w:val="LightGrid-Accent2"/>
        <w:tblW w:w="8755" w:type="dxa"/>
        <w:tblLook w:val="04A0"/>
      </w:tblPr>
      <w:tblGrid>
        <w:gridCol w:w="2150"/>
        <w:gridCol w:w="1219"/>
        <w:gridCol w:w="1910"/>
        <w:gridCol w:w="2186"/>
        <w:gridCol w:w="1290"/>
      </w:tblGrid>
      <w:tr w:rsidR="001B4778" w:rsidRPr="00277328" w:rsidTr="00B11F31">
        <w:trPr>
          <w:cnfStyle w:val="100000000000"/>
        </w:trPr>
        <w:tc>
          <w:tcPr>
            <w:cnfStyle w:val="001000000000"/>
            <w:tcW w:w="2150" w:type="dxa"/>
          </w:tcPr>
          <w:p w:rsidR="00372C59" w:rsidRPr="00277328" w:rsidRDefault="00372C59" w:rsidP="00A42699">
            <w:pPr>
              <w:rPr>
                <w:lang w:val="en-GB"/>
              </w:rPr>
            </w:pPr>
          </w:p>
        </w:tc>
        <w:tc>
          <w:tcPr>
            <w:tcW w:w="1219" w:type="dxa"/>
          </w:tcPr>
          <w:p w:rsidR="00372C59" w:rsidRPr="00277328" w:rsidRDefault="001B4778" w:rsidP="00A42699">
            <w:pPr>
              <w:cnfStyle w:val="100000000000"/>
              <w:rPr>
                <w:rFonts w:asciiTheme="minorHAnsi" w:hAnsiTheme="minorHAnsi" w:cstheme="minorHAnsi"/>
                <w:lang w:val="en-GB"/>
              </w:rPr>
            </w:pPr>
            <w:r w:rsidRPr="00277328">
              <w:rPr>
                <w:rFonts w:asciiTheme="minorHAnsi" w:hAnsiTheme="minorHAnsi" w:cstheme="minorHAnsi"/>
                <w:lang w:val="en-GB"/>
              </w:rPr>
              <w:t>General Model</w:t>
            </w:r>
          </w:p>
        </w:tc>
        <w:tc>
          <w:tcPr>
            <w:tcW w:w="1910" w:type="dxa"/>
          </w:tcPr>
          <w:p w:rsidR="00372C59" w:rsidRPr="00277328" w:rsidRDefault="001B4778" w:rsidP="00A42699">
            <w:pPr>
              <w:cnfStyle w:val="100000000000"/>
              <w:rPr>
                <w:rFonts w:asciiTheme="minorHAnsi" w:hAnsiTheme="minorHAnsi" w:cstheme="minorHAnsi"/>
                <w:lang w:val="en-GB"/>
              </w:rPr>
            </w:pPr>
            <w:r w:rsidRPr="00277328">
              <w:rPr>
                <w:rFonts w:asciiTheme="minorHAnsi" w:hAnsiTheme="minorHAnsi" w:cstheme="minorHAnsi"/>
                <w:lang w:val="en-GB"/>
              </w:rPr>
              <w:t>Catalonia/Basque</w:t>
            </w:r>
            <w:r w:rsidR="004E50E6" w:rsidRPr="00277328">
              <w:rPr>
                <w:rFonts w:asciiTheme="minorHAnsi" w:hAnsiTheme="minorHAnsi" w:cstheme="minorHAnsi"/>
                <w:lang w:val="en-GB"/>
              </w:rPr>
              <w:t xml:space="preserve"> Model</w:t>
            </w:r>
          </w:p>
        </w:tc>
        <w:tc>
          <w:tcPr>
            <w:tcW w:w="2186" w:type="dxa"/>
          </w:tcPr>
          <w:p w:rsidR="00372C59" w:rsidRPr="00277328" w:rsidRDefault="001B4778" w:rsidP="00A42699">
            <w:pPr>
              <w:cnfStyle w:val="100000000000"/>
              <w:rPr>
                <w:rFonts w:asciiTheme="minorHAnsi" w:hAnsiTheme="minorHAnsi" w:cstheme="minorHAnsi"/>
                <w:lang w:val="en-GB"/>
              </w:rPr>
            </w:pPr>
            <w:r w:rsidRPr="00277328">
              <w:rPr>
                <w:rFonts w:asciiTheme="minorHAnsi" w:hAnsiTheme="minorHAnsi" w:cstheme="minorHAnsi"/>
                <w:lang w:val="en-GB"/>
              </w:rPr>
              <w:t>Cantabria/Valencia</w:t>
            </w:r>
          </w:p>
          <w:p w:rsidR="004E50E6" w:rsidRPr="00277328" w:rsidRDefault="004E50E6" w:rsidP="00A42699">
            <w:pPr>
              <w:cnfStyle w:val="100000000000"/>
              <w:rPr>
                <w:rFonts w:asciiTheme="minorHAnsi" w:hAnsiTheme="minorHAnsi" w:cstheme="minorHAnsi"/>
                <w:lang w:val="en-GB"/>
              </w:rPr>
            </w:pPr>
            <w:r w:rsidRPr="00277328">
              <w:rPr>
                <w:rFonts w:asciiTheme="minorHAnsi" w:hAnsiTheme="minorHAnsi" w:cstheme="minorHAnsi"/>
                <w:lang w:val="en-GB"/>
              </w:rPr>
              <w:t>Model</w:t>
            </w:r>
          </w:p>
        </w:tc>
        <w:tc>
          <w:tcPr>
            <w:tcW w:w="1290" w:type="dxa"/>
          </w:tcPr>
          <w:p w:rsidR="00372C59" w:rsidRPr="00277328" w:rsidRDefault="001B4778" w:rsidP="00A42699">
            <w:pPr>
              <w:cnfStyle w:val="100000000000"/>
              <w:rPr>
                <w:rFonts w:asciiTheme="minorHAnsi" w:hAnsiTheme="minorHAnsi" w:cstheme="minorHAnsi"/>
                <w:lang w:val="en-GB"/>
              </w:rPr>
            </w:pPr>
            <w:r w:rsidRPr="00277328">
              <w:rPr>
                <w:rFonts w:asciiTheme="minorHAnsi" w:hAnsiTheme="minorHAnsi" w:cstheme="minorHAnsi"/>
                <w:lang w:val="en-GB"/>
              </w:rPr>
              <w:t>Madrid</w:t>
            </w:r>
          </w:p>
          <w:p w:rsidR="004E50E6" w:rsidRPr="00277328" w:rsidRDefault="004E50E6" w:rsidP="00A42699">
            <w:pPr>
              <w:cnfStyle w:val="100000000000"/>
              <w:rPr>
                <w:rFonts w:asciiTheme="minorHAnsi" w:hAnsiTheme="minorHAnsi" w:cstheme="minorHAnsi"/>
                <w:lang w:val="en-GB"/>
              </w:rPr>
            </w:pPr>
            <w:r w:rsidRPr="00277328">
              <w:rPr>
                <w:rFonts w:asciiTheme="minorHAnsi" w:hAnsiTheme="minorHAnsi" w:cstheme="minorHAnsi"/>
                <w:lang w:val="en-GB"/>
              </w:rPr>
              <w:t>Model</w:t>
            </w:r>
          </w:p>
        </w:tc>
      </w:tr>
      <w:tr w:rsidR="001B4778" w:rsidRPr="00277328" w:rsidTr="00B11F31">
        <w:trPr>
          <w:cnfStyle w:val="000000100000"/>
        </w:trPr>
        <w:tc>
          <w:tcPr>
            <w:cnfStyle w:val="001000000000"/>
            <w:tcW w:w="2150" w:type="dxa"/>
          </w:tcPr>
          <w:p w:rsidR="00372C59" w:rsidRPr="00277328" w:rsidRDefault="001B4778" w:rsidP="00A42699">
            <w:pPr>
              <w:rPr>
                <w:rFonts w:asciiTheme="minorHAnsi" w:hAnsiTheme="minorHAnsi" w:cstheme="minorHAnsi"/>
                <w:u w:val="single"/>
                <w:lang w:val="en-GB"/>
              </w:rPr>
            </w:pPr>
            <w:r w:rsidRPr="00277328">
              <w:rPr>
                <w:rFonts w:asciiTheme="minorHAnsi" w:hAnsiTheme="minorHAnsi" w:cstheme="minorHAnsi"/>
                <w:u w:val="single"/>
                <w:lang w:val="en-GB"/>
              </w:rPr>
              <w:t>Equity attributes</w:t>
            </w:r>
          </w:p>
          <w:p w:rsidR="001B4778" w:rsidRPr="00277328" w:rsidRDefault="001B4778" w:rsidP="00A42699">
            <w:pPr>
              <w:rPr>
                <w:rFonts w:asciiTheme="minorHAnsi" w:hAnsiTheme="minorHAnsi" w:cstheme="minorHAnsi"/>
                <w:b w:val="0"/>
                <w:lang w:val="en-GB"/>
              </w:rPr>
            </w:pPr>
            <w:r w:rsidRPr="00277328">
              <w:rPr>
                <w:rFonts w:asciiTheme="minorHAnsi" w:hAnsiTheme="minorHAnsi" w:cstheme="minorHAnsi"/>
                <w:b w:val="0"/>
                <w:lang w:val="en-GB"/>
              </w:rPr>
              <w:t>Severity of disease</w:t>
            </w:r>
          </w:p>
          <w:p w:rsidR="001B4778" w:rsidRPr="00277328" w:rsidRDefault="001B4778" w:rsidP="00A42699">
            <w:pPr>
              <w:rPr>
                <w:rFonts w:asciiTheme="minorHAnsi" w:hAnsiTheme="minorHAnsi" w:cstheme="minorHAnsi"/>
                <w:b w:val="0"/>
                <w:lang w:val="en-GB"/>
              </w:rPr>
            </w:pPr>
          </w:p>
          <w:p w:rsidR="004E50E6" w:rsidRPr="00277328" w:rsidRDefault="004E50E6" w:rsidP="00A42699">
            <w:pPr>
              <w:rPr>
                <w:rFonts w:asciiTheme="minorHAnsi" w:hAnsiTheme="minorHAnsi" w:cstheme="minorHAnsi"/>
                <w:b w:val="0"/>
                <w:lang w:val="en-GB"/>
              </w:rPr>
            </w:pPr>
          </w:p>
          <w:p w:rsidR="001B4778" w:rsidRPr="00277328" w:rsidRDefault="001B4778" w:rsidP="00A42699">
            <w:pPr>
              <w:rPr>
                <w:rFonts w:asciiTheme="minorHAnsi" w:hAnsiTheme="minorHAnsi" w:cstheme="minorHAnsi"/>
                <w:b w:val="0"/>
                <w:lang w:val="en-GB"/>
              </w:rPr>
            </w:pPr>
            <w:r w:rsidRPr="00277328">
              <w:rPr>
                <w:rFonts w:asciiTheme="minorHAnsi" w:hAnsiTheme="minorHAnsi" w:cstheme="minorHAnsi"/>
                <w:b w:val="0"/>
                <w:lang w:val="en-GB"/>
              </w:rPr>
              <w:t>Age of target group: Middle</w:t>
            </w:r>
          </w:p>
          <w:p w:rsidR="001B4778" w:rsidRPr="00277328" w:rsidRDefault="001B4778" w:rsidP="00A42699">
            <w:pPr>
              <w:rPr>
                <w:rFonts w:asciiTheme="minorHAnsi" w:hAnsiTheme="minorHAnsi" w:cstheme="minorHAnsi"/>
                <w:b w:val="0"/>
                <w:lang w:val="en-GB"/>
              </w:rPr>
            </w:pPr>
          </w:p>
          <w:p w:rsidR="004E50E6" w:rsidRPr="00277328" w:rsidRDefault="004E50E6" w:rsidP="00A42699">
            <w:pPr>
              <w:rPr>
                <w:rFonts w:asciiTheme="minorHAnsi" w:hAnsiTheme="minorHAnsi" w:cstheme="minorHAnsi"/>
                <w:b w:val="0"/>
                <w:lang w:val="en-GB"/>
              </w:rPr>
            </w:pPr>
          </w:p>
          <w:p w:rsidR="001B4778" w:rsidRPr="00277328" w:rsidRDefault="001B4778" w:rsidP="00A42699">
            <w:pPr>
              <w:rPr>
                <w:rFonts w:asciiTheme="minorHAnsi" w:hAnsiTheme="minorHAnsi" w:cstheme="minorHAnsi"/>
                <w:b w:val="0"/>
                <w:lang w:val="en-GB"/>
              </w:rPr>
            </w:pPr>
            <w:r w:rsidRPr="00277328">
              <w:rPr>
                <w:rFonts w:asciiTheme="minorHAnsi" w:hAnsiTheme="minorHAnsi" w:cstheme="minorHAnsi"/>
                <w:b w:val="0"/>
                <w:lang w:val="en-GB"/>
              </w:rPr>
              <w:t>Age of target group: High</w:t>
            </w:r>
          </w:p>
          <w:p w:rsidR="001B4778" w:rsidRPr="00277328" w:rsidRDefault="001B4778" w:rsidP="00A42699">
            <w:pPr>
              <w:rPr>
                <w:rFonts w:asciiTheme="minorHAnsi" w:hAnsiTheme="minorHAnsi" w:cstheme="minorHAnsi"/>
                <w:b w:val="0"/>
                <w:lang w:val="en-GB"/>
              </w:rPr>
            </w:pPr>
          </w:p>
          <w:p w:rsidR="004E50E6" w:rsidRPr="00277328" w:rsidRDefault="004E50E6" w:rsidP="00A42699">
            <w:pPr>
              <w:rPr>
                <w:rFonts w:asciiTheme="minorHAnsi" w:hAnsiTheme="minorHAnsi" w:cstheme="minorHAnsi"/>
                <w:b w:val="0"/>
                <w:lang w:val="en-GB"/>
              </w:rPr>
            </w:pPr>
          </w:p>
          <w:p w:rsidR="001B4778" w:rsidRPr="00277328" w:rsidRDefault="00F16517" w:rsidP="00A42699">
            <w:pPr>
              <w:rPr>
                <w:rFonts w:asciiTheme="minorHAnsi" w:hAnsiTheme="minorHAnsi" w:cstheme="minorHAnsi"/>
                <w:b w:val="0"/>
                <w:lang w:val="en-GB"/>
              </w:rPr>
            </w:pPr>
            <w:r>
              <w:rPr>
                <w:rFonts w:asciiTheme="minorHAnsi" w:hAnsiTheme="minorHAnsi" w:cstheme="minorHAnsi"/>
                <w:b w:val="0"/>
                <w:lang w:val="en-GB"/>
              </w:rPr>
              <w:t>Willingness to subsidis</w:t>
            </w:r>
            <w:r w:rsidR="001B4778" w:rsidRPr="00277328">
              <w:rPr>
                <w:rFonts w:asciiTheme="minorHAnsi" w:hAnsiTheme="minorHAnsi" w:cstheme="minorHAnsi"/>
                <w:b w:val="0"/>
                <w:lang w:val="en-GB"/>
              </w:rPr>
              <w:t>e others</w:t>
            </w:r>
          </w:p>
          <w:p w:rsidR="001B4778" w:rsidRPr="00277328" w:rsidRDefault="001B4778" w:rsidP="00A42699">
            <w:pPr>
              <w:rPr>
                <w:rFonts w:asciiTheme="minorHAnsi" w:hAnsiTheme="minorHAnsi" w:cstheme="minorHAnsi"/>
                <w:b w:val="0"/>
                <w:lang w:val="en-GB"/>
              </w:rPr>
            </w:pPr>
          </w:p>
        </w:tc>
        <w:tc>
          <w:tcPr>
            <w:tcW w:w="1219" w:type="dxa"/>
          </w:tcPr>
          <w:p w:rsidR="00372C59" w:rsidRPr="00277328" w:rsidRDefault="00372C59" w:rsidP="00A42699">
            <w:pPr>
              <w:cnfStyle w:val="000000100000"/>
              <w:rPr>
                <w:rFonts w:cstheme="minorHAnsi"/>
                <w:lang w:val="en-GB"/>
              </w:rPr>
            </w:pPr>
          </w:p>
          <w:p w:rsidR="001B4778" w:rsidRPr="00277328" w:rsidRDefault="001B4778" w:rsidP="00A42699">
            <w:pPr>
              <w:cnfStyle w:val="000000100000"/>
              <w:rPr>
                <w:rFonts w:cstheme="minorHAnsi"/>
                <w:lang w:val="en-GB"/>
              </w:rPr>
            </w:pPr>
            <w:r w:rsidRPr="00277328">
              <w:rPr>
                <w:rFonts w:cstheme="minorHAnsi"/>
                <w:lang w:val="en-GB"/>
              </w:rPr>
              <w:t>0.650</w:t>
            </w:r>
            <w:r w:rsidR="008C193B" w:rsidRPr="00277328">
              <w:rPr>
                <w:rFonts w:cstheme="minorHAnsi"/>
                <w:lang w:val="en-GB"/>
              </w:rPr>
              <w:t>*</w:t>
            </w:r>
            <w:r w:rsidR="00F35709" w:rsidRPr="00277328">
              <w:rPr>
                <w:rFonts w:cstheme="minorHAnsi"/>
                <w:lang w:val="en-GB"/>
              </w:rPr>
              <w:t>**</w:t>
            </w:r>
          </w:p>
          <w:p w:rsidR="001B4778" w:rsidRPr="00277328" w:rsidRDefault="001B4778" w:rsidP="00A42699">
            <w:pPr>
              <w:cnfStyle w:val="000000100000"/>
              <w:rPr>
                <w:rFonts w:cstheme="minorHAnsi"/>
                <w:lang w:val="en-GB"/>
              </w:rPr>
            </w:pPr>
            <w:r w:rsidRPr="00277328">
              <w:rPr>
                <w:rFonts w:cstheme="minorHAnsi"/>
                <w:lang w:val="en-GB"/>
              </w:rPr>
              <w:t>(0.110)</w:t>
            </w:r>
          </w:p>
          <w:p w:rsidR="001B4778" w:rsidRPr="00277328" w:rsidRDefault="001B4778" w:rsidP="00A42699">
            <w:pPr>
              <w:cnfStyle w:val="000000100000"/>
              <w:rPr>
                <w:rFonts w:cstheme="minorHAnsi"/>
                <w:lang w:val="en-GB"/>
              </w:rPr>
            </w:pPr>
          </w:p>
          <w:p w:rsidR="004E50E6" w:rsidRPr="00277328" w:rsidRDefault="004E50E6" w:rsidP="00A42699">
            <w:pPr>
              <w:cnfStyle w:val="000000100000"/>
              <w:rPr>
                <w:rFonts w:cstheme="minorHAnsi"/>
                <w:lang w:val="en-GB"/>
              </w:rPr>
            </w:pPr>
            <w:r w:rsidRPr="00277328">
              <w:rPr>
                <w:rFonts w:cstheme="minorHAnsi"/>
                <w:lang w:val="en-GB"/>
              </w:rPr>
              <w:t>-0.093</w:t>
            </w:r>
          </w:p>
          <w:p w:rsidR="004E50E6" w:rsidRPr="00277328" w:rsidRDefault="004E50E6" w:rsidP="00A42699">
            <w:pPr>
              <w:cnfStyle w:val="000000100000"/>
              <w:rPr>
                <w:rFonts w:cstheme="minorHAnsi"/>
                <w:lang w:val="en-GB"/>
              </w:rPr>
            </w:pPr>
            <w:r w:rsidRPr="00277328">
              <w:rPr>
                <w:rFonts w:cstheme="minorHAnsi"/>
                <w:lang w:val="en-GB"/>
              </w:rPr>
              <w:t>(0.111)</w:t>
            </w:r>
          </w:p>
          <w:p w:rsidR="004E50E6" w:rsidRPr="00277328" w:rsidRDefault="004E50E6" w:rsidP="00A42699">
            <w:pPr>
              <w:cnfStyle w:val="000000100000"/>
              <w:rPr>
                <w:rFonts w:cstheme="minorHAnsi"/>
                <w:lang w:val="en-GB"/>
              </w:rPr>
            </w:pPr>
          </w:p>
          <w:p w:rsidR="004E50E6" w:rsidRPr="00277328" w:rsidRDefault="004E50E6" w:rsidP="00A42699">
            <w:pPr>
              <w:cnfStyle w:val="000000100000"/>
              <w:rPr>
                <w:rFonts w:cstheme="minorHAnsi"/>
                <w:lang w:val="en-GB"/>
              </w:rPr>
            </w:pPr>
          </w:p>
          <w:p w:rsidR="004E50E6" w:rsidRPr="00277328" w:rsidRDefault="00F35709" w:rsidP="00A42699">
            <w:pPr>
              <w:cnfStyle w:val="000000100000"/>
              <w:rPr>
                <w:rFonts w:cstheme="minorHAnsi"/>
                <w:lang w:val="en-GB"/>
              </w:rPr>
            </w:pPr>
            <w:r w:rsidRPr="00277328">
              <w:rPr>
                <w:rFonts w:cstheme="minorHAnsi"/>
                <w:lang w:val="en-GB"/>
              </w:rPr>
              <w:t>-</w:t>
            </w:r>
            <w:r w:rsidR="004E50E6" w:rsidRPr="00277328">
              <w:rPr>
                <w:rFonts w:cstheme="minorHAnsi"/>
                <w:lang w:val="en-GB"/>
              </w:rPr>
              <w:t>1.257</w:t>
            </w:r>
            <w:r w:rsidR="008C193B" w:rsidRPr="00277328">
              <w:rPr>
                <w:rFonts w:cstheme="minorHAnsi"/>
                <w:lang w:val="en-GB"/>
              </w:rPr>
              <w:t>*</w:t>
            </w:r>
            <w:r w:rsidRPr="00277328">
              <w:rPr>
                <w:rFonts w:cstheme="minorHAnsi"/>
                <w:lang w:val="en-GB"/>
              </w:rPr>
              <w:t>**</w:t>
            </w:r>
          </w:p>
          <w:p w:rsidR="004E50E6" w:rsidRPr="00277328" w:rsidRDefault="004E50E6" w:rsidP="00A42699">
            <w:pPr>
              <w:cnfStyle w:val="000000100000"/>
              <w:rPr>
                <w:rFonts w:cstheme="minorHAnsi"/>
                <w:lang w:val="en-GB"/>
              </w:rPr>
            </w:pPr>
            <w:r w:rsidRPr="00277328">
              <w:rPr>
                <w:rFonts w:cstheme="minorHAnsi"/>
                <w:lang w:val="en-GB"/>
              </w:rPr>
              <w:t>(0.193)</w:t>
            </w:r>
          </w:p>
          <w:p w:rsidR="004E50E6" w:rsidRPr="00277328" w:rsidRDefault="004E50E6" w:rsidP="00A42699">
            <w:pPr>
              <w:cnfStyle w:val="000000100000"/>
              <w:rPr>
                <w:rFonts w:cstheme="minorHAnsi"/>
                <w:lang w:val="en-GB"/>
              </w:rPr>
            </w:pPr>
          </w:p>
          <w:p w:rsidR="004E50E6" w:rsidRPr="00277328" w:rsidRDefault="004E50E6" w:rsidP="00A42699">
            <w:pPr>
              <w:cnfStyle w:val="000000100000"/>
              <w:rPr>
                <w:rFonts w:cstheme="minorHAnsi"/>
                <w:lang w:val="en-GB"/>
              </w:rPr>
            </w:pPr>
          </w:p>
          <w:p w:rsidR="004E50E6" w:rsidRPr="00277328" w:rsidRDefault="004E50E6" w:rsidP="00A42699">
            <w:pPr>
              <w:cnfStyle w:val="000000100000"/>
              <w:rPr>
                <w:rFonts w:cstheme="minorHAnsi"/>
                <w:lang w:val="en-GB"/>
              </w:rPr>
            </w:pPr>
            <w:r w:rsidRPr="00277328">
              <w:rPr>
                <w:rFonts w:cstheme="minorHAnsi"/>
                <w:lang w:val="en-GB"/>
              </w:rPr>
              <w:t>-0.236</w:t>
            </w:r>
            <w:r w:rsidR="008C193B" w:rsidRPr="00277328">
              <w:rPr>
                <w:rFonts w:cstheme="minorHAnsi"/>
                <w:lang w:val="en-GB"/>
              </w:rPr>
              <w:t>*</w:t>
            </w:r>
            <w:r w:rsidR="00F35709" w:rsidRPr="00277328">
              <w:rPr>
                <w:rFonts w:cstheme="minorHAnsi"/>
                <w:lang w:val="en-GB"/>
              </w:rPr>
              <w:t>**</w:t>
            </w:r>
          </w:p>
          <w:p w:rsidR="004E50E6" w:rsidRPr="00277328" w:rsidRDefault="004E50E6" w:rsidP="00A42699">
            <w:pPr>
              <w:cnfStyle w:val="000000100000"/>
              <w:rPr>
                <w:rFonts w:cstheme="minorHAnsi"/>
                <w:lang w:val="en-GB"/>
              </w:rPr>
            </w:pPr>
            <w:r w:rsidRPr="00277328">
              <w:rPr>
                <w:rFonts w:cstheme="minorHAnsi"/>
                <w:lang w:val="en-GB"/>
              </w:rPr>
              <w:t>(0.090)</w:t>
            </w:r>
          </w:p>
        </w:tc>
        <w:tc>
          <w:tcPr>
            <w:tcW w:w="1910" w:type="dxa"/>
          </w:tcPr>
          <w:p w:rsidR="00372C59" w:rsidRPr="00277328" w:rsidRDefault="00372C59" w:rsidP="00A42699">
            <w:pPr>
              <w:cnfStyle w:val="000000100000"/>
              <w:rPr>
                <w:rFonts w:cstheme="minorHAnsi"/>
                <w:lang w:val="en-GB"/>
              </w:rPr>
            </w:pPr>
          </w:p>
          <w:p w:rsidR="004E50E6" w:rsidRPr="00277328" w:rsidRDefault="004E50E6" w:rsidP="00A42699">
            <w:pPr>
              <w:cnfStyle w:val="000000100000"/>
              <w:rPr>
                <w:rFonts w:cstheme="minorHAnsi"/>
                <w:lang w:val="en-GB"/>
              </w:rPr>
            </w:pPr>
            <w:r w:rsidRPr="00277328">
              <w:rPr>
                <w:rFonts w:cstheme="minorHAnsi"/>
                <w:lang w:val="en-GB"/>
              </w:rPr>
              <w:t>0.641</w:t>
            </w:r>
            <w:r w:rsidR="002B49B8" w:rsidRPr="00277328">
              <w:rPr>
                <w:rFonts w:cstheme="minorHAnsi"/>
                <w:lang w:val="en-GB"/>
              </w:rPr>
              <w:t>*</w:t>
            </w:r>
            <w:r w:rsidR="00F35709" w:rsidRPr="00277328">
              <w:rPr>
                <w:rFonts w:cstheme="minorHAnsi"/>
                <w:lang w:val="en-GB"/>
              </w:rPr>
              <w:t>**</w:t>
            </w:r>
          </w:p>
          <w:p w:rsidR="004E50E6" w:rsidRPr="00277328" w:rsidRDefault="004E50E6" w:rsidP="00A42699">
            <w:pPr>
              <w:cnfStyle w:val="000000100000"/>
              <w:rPr>
                <w:rFonts w:cstheme="minorHAnsi"/>
                <w:lang w:val="en-GB"/>
              </w:rPr>
            </w:pPr>
            <w:r w:rsidRPr="00277328">
              <w:rPr>
                <w:rFonts w:cstheme="minorHAnsi"/>
                <w:lang w:val="en-GB"/>
              </w:rPr>
              <w:t>(0.219)</w:t>
            </w:r>
          </w:p>
          <w:p w:rsidR="004E50E6" w:rsidRPr="00277328" w:rsidRDefault="004E50E6" w:rsidP="00A42699">
            <w:pPr>
              <w:cnfStyle w:val="000000100000"/>
              <w:rPr>
                <w:rFonts w:cstheme="minorHAnsi"/>
                <w:lang w:val="en-GB"/>
              </w:rPr>
            </w:pPr>
          </w:p>
          <w:p w:rsidR="004E50E6" w:rsidRPr="00277328" w:rsidRDefault="004E50E6" w:rsidP="00A42699">
            <w:pPr>
              <w:cnfStyle w:val="000000100000"/>
              <w:rPr>
                <w:rFonts w:cstheme="minorHAnsi"/>
                <w:lang w:val="en-GB"/>
              </w:rPr>
            </w:pPr>
            <w:r w:rsidRPr="00277328">
              <w:rPr>
                <w:rFonts w:cstheme="minorHAnsi"/>
                <w:lang w:val="en-GB"/>
              </w:rPr>
              <w:t>-0.034</w:t>
            </w:r>
          </w:p>
          <w:p w:rsidR="004E50E6" w:rsidRPr="00277328" w:rsidRDefault="004E50E6" w:rsidP="00A42699">
            <w:pPr>
              <w:cnfStyle w:val="000000100000"/>
              <w:rPr>
                <w:rFonts w:cstheme="minorHAnsi"/>
                <w:lang w:val="en-GB"/>
              </w:rPr>
            </w:pPr>
            <w:r w:rsidRPr="00277328">
              <w:rPr>
                <w:rFonts w:cstheme="minorHAnsi"/>
                <w:lang w:val="en-GB"/>
              </w:rPr>
              <w:t>(0.253)</w:t>
            </w:r>
          </w:p>
          <w:p w:rsidR="004E50E6" w:rsidRPr="00277328" w:rsidRDefault="004E50E6" w:rsidP="00A42699">
            <w:pPr>
              <w:cnfStyle w:val="000000100000"/>
              <w:rPr>
                <w:rFonts w:cstheme="minorHAnsi"/>
                <w:lang w:val="en-GB"/>
              </w:rPr>
            </w:pPr>
          </w:p>
          <w:p w:rsidR="004E50E6" w:rsidRPr="00277328" w:rsidRDefault="004E50E6" w:rsidP="00A42699">
            <w:pPr>
              <w:cnfStyle w:val="000000100000"/>
              <w:rPr>
                <w:rFonts w:cstheme="minorHAnsi"/>
                <w:lang w:val="en-GB"/>
              </w:rPr>
            </w:pPr>
          </w:p>
          <w:p w:rsidR="004E50E6" w:rsidRPr="00277328" w:rsidRDefault="004E50E6" w:rsidP="00A42699">
            <w:pPr>
              <w:cnfStyle w:val="000000100000"/>
              <w:rPr>
                <w:rFonts w:cstheme="minorHAnsi"/>
                <w:lang w:val="en-GB"/>
              </w:rPr>
            </w:pPr>
            <w:r w:rsidRPr="00277328">
              <w:rPr>
                <w:rFonts w:cstheme="minorHAnsi"/>
                <w:lang w:val="en-GB"/>
              </w:rPr>
              <w:t>-1.031</w:t>
            </w:r>
            <w:r w:rsidR="002B49B8" w:rsidRPr="00277328">
              <w:rPr>
                <w:rFonts w:cstheme="minorHAnsi"/>
                <w:lang w:val="en-GB"/>
              </w:rPr>
              <w:t>*</w:t>
            </w:r>
            <w:r w:rsidR="00F35709" w:rsidRPr="00277328">
              <w:rPr>
                <w:rFonts w:cstheme="minorHAnsi"/>
                <w:lang w:val="en-GB"/>
              </w:rPr>
              <w:t>**</w:t>
            </w:r>
          </w:p>
          <w:p w:rsidR="004E50E6" w:rsidRPr="00277328" w:rsidRDefault="004E50E6" w:rsidP="00A42699">
            <w:pPr>
              <w:cnfStyle w:val="000000100000"/>
              <w:rPr>
                <w:rFonts w:cstheme="minorHAnsi"/>
                <w:lang w:val="en-GB"/>
              </w:rPr>
            </w:pPr>
            <w:r w:rsidRPr="00277328">
              <w:rPr>
                <w:rFonts w:cstheme="minorHAnsi"/>
                <w:lang w:val="en-GB"/>
              </w:rPr>
              <w:t>(0.308)</w:t>
            </w:r>
          </w:p>
          <w:p w:rsidR="004E50E6" w:rsidRPr="00277328" w:rsidRDefault="004E50E6" w:rsidP="00A42699">
            <w:pPr>
              <w:cnfStyle w:val="000000100000"/>
              <w:rPr>
                <w:rFonts w:cstheme="minorHAnsi"/>
                <w:lang w:val="en-GB"/>
              </w:rPr>
            </w:pPr>
          </w:p>
          <w:p w:rsidR="004E50E6" w:rsidRPr="00277328" w:rsidRDefault="004E50E6" w:rsidP="00A42699">
            <w:pPr>
              <w:cnfStyle w:val="000000100000"/>
              <w:rPr>
                <w:rFonts w:cstheme="minorHAnsi"/>
                <w:lang w:val="en-GB"/>
              </w:rPr>
            </w:pPr>
          </w:p>
          <w:p w:rsidR="004E50E6" w:rsidRPr="00277328" w:rsidRDefault="004E50E6" w:rsidP="00A42699">
            <w:pPr>
              <w:cnfStyle w:val="000000100000"/>
              <w:rPr>
                <w:rFonts w:cstheme="minorHAnsi"/>
                <w:lang w:val="en-GB"/>
              </w:rPr>
            </w:pPr>
            <w:r w:rsidRPr="00277328">
              <w:rPr>
                <w:rFonts w:cstheme="minorHAnsi"/>
                <w:lang w:val="en-GB"/>
              </w:rPr>
              <w:t>-0.289</w:t>
            </w:r>
          </w:p>
          <w:p w:rsidR="004E50E6" w:rsidRPr="00277328" w:rsidRDefault="004E50E6" w:rsidP="00A42699">
            <w:pPr>
              <w:cnfStyle w:val="000000100000"/>
              <w:rPr>
                <w:rFonts w:cstheme="minorHAnsi"/>
                <w:lang w:val="en-GB"/>
              </w:rPr>
            </w:pPr>
            <w:r w:rsidRPr="00277328">
              <w:rPr>
                <w:rFonts w:cstheme="minorHAnsi"/>
                <w:lang w:val="en-GB"/>
              </w:rPr>
              <w:t>(0.227)</w:t>
            </w:r>
          </w:p>
        </w:tc>
        <w:tc>
          <w:tcPr>
            <w:tcW w:w="2186" w:type="dxa"/>
          </w:tcPr>
          <w:p w:rsidR="00372C59" w:rsidRPr="00277328" w:rsidRDefault="00372C59" w:rsidP="00A42699">
            <w:pPr>
              <w:cnfStyle w:val="000000100000"/>
              <w:rPr>
                <w:rFonts w:cstheme="minorHAnsi"/>
                <w:lang w:val="en-GB"/>
              </w:rPr>
            </w:pPr>
          </w:p>
          <w:p w:rsidR="004E50E6" w:rsidRPr="00277328" w:rsidRDefault="005D5DCE" w:rsidP="00A42699">
            <w:pPr>
              <w:cnfStyle w:val="000000100000"/>
              <w:rPr>
                <w:rFonts w:cstheme="minorHAnsi"/>
                <w:lang w:val="en-GB"/>
              </w:rPr>
            </w:pPr>
            <w:r w:rsidRPr="00277328">
              <w:rPr>
                <w:rFonts w:cstheme="minorHAnsi"/>
                <w:lang w:val="en-GB"/>
              </w:rPr>
              <w:t>0.488</w:t>
            </w:r>
            <w:r w:rsidR="002B49B8" w:rsidRPr="00277328">
              <w:rPr>
                <w:rFonts w:cstheme="minorHAnsi"/>
                <w:lang w:val="en-GB"/>
              </w:rPr>
              <w:t>*</w:t>
            </w:r>
            <w:r w:rsidR="00F35709" w:rsidRPr="00277328">
              <w:rPr>
                <w:rFonts w:cstheme="minorHAnsi"/>
                <w:lang w:val="en-GB"/>
              </w:rPr>
              <w:t>**</w:t>
            </w:r>
          </w:p>
          <w:p w:rsidR="005D5DCE" w:rsidRPr="00277328" w:rsidRDefault="005D5DCE" w:rsidP="00A42699">
            <w:pPr>
              <w:cnfStyle w:val="000000100000"/>
              <w:rPr>
                <w:rFonts w:cstheme="minorHAnsi"/>
                <w:lang w:val="en-GB"/>
              </w:rPr>
            </w:pPr>
            <w:r w:rsidRPr="00277328">
              <w:rPr>
                <w:rFonts w:cstheme="minorHAnsi"/>
                <w:lang w:val="en-GB"/>
              </w:rPr>
              <w:t>(0.166)</w:t>
            </w:r>
          </w:p>
          <w:p w:rsidR="005D5DCE" w:rsidRPr="00277328" w:rsidRDefault="005D5DCE" w:rsidP="00A42699">
            <w:pPr>
              <w:cnfStyle w:val="000000100000"/>
              <w:rPr>
                <w:rFonts w:cstheme="minorHAnsi"/>
                <w:lang w:val="en-GB"/>
              </w:rPr>
            </w:pPr>
          </w:p>
          <w:p w:rsidR="005D5DCE" w:rsidRPr="00277328" w:rsidRDefault="005D5DCE" w:rsidP="00A42699">
            <w:pPr>
              <w:cnfStyle w:val="000000100000"/>
              <w:rPr>
                <w:rFonts w:cstheme="minorHAnsi"/>
                <w:lang w:val="en-GB"/>
              </w:rPr>
            </w:pPr>
            <w:r w:rsidRPr="00277328">
              <w:rPr>
                <w:rFonts w:cstheme="minorHAnsi"/>
                <w:lang w:val="en-GB"/>
              </w:rPr>
              <w:t>-0.049</w:t>
            </w:r>
          </w:p>
          <w:p w:rsidR="005D5DCE" w:rsidRPr="00277328" w:rsidRDefault="005D5DCE" w:rsidP="00A42699">
            <w:pPr>
              <w:cnfStyle w:val="000000100000"/>
              <w:rPr>
                <w:rFonts w:cstheme="minorHAnsi"/>
                <w:lang w:val="en-GB"/>
              </w:rPr>
            </w:pPr>
            <w:r w:rsidRPr="00277328">
              <w:rPr>
                <w:rFonts w:cstheme="minorHAnsi"/>
                <w:lang w:val="en-GB"/>
              </w:rPr>
              <w:t>(0.175)</w:t>
            </w:r>
          </w:p>
          <w:p w:rsidR="005D5DCE" w:rsidRPr="00277328" w:rsidRDefault="005D5DCE" w:rsidP="00A42699">
            <w:pPr>
              <w:cnfStyle w:val="000000100000"/>
              <w:rPr>
                <w:rFonts w:cstheme="minorHAnsi"/>
                <w:lang w:val="en-GB"/>
              </w:rPr>
            </w:pPr>
          </w:p>
          <w:p w:rsidR="005D5DCE" w:rsidRPr="00277328" w:rsidRDefault="005D5DCE" w:rsidP="00A42699">
            <w:pPr>
              <w:cnfStyle w:val="000000100000"/>
              <w:rPr>
                <w:rFonts w:cstheme="minorHAnsi"/>
                <w:lang w:val="en-GB"/>
              </w:rPr>
            </w:pPr>
          </w:p>
          <w:p w:rsidR="005D5DCE" w:rsidRPr="00277328" w:rsidRDefault="005D5DCE" w:rsidP="00A42699">
            <w:pPr>
              <w:cnfStyle w:val="000000100000"/>
              <w:rPr>
                <w:rFonts w:cstheme="minorHAnsi"/>
                <w:lang w:val="en-GB"/>
              </w:rPr>
            </w:pPr>
            <w:r w:rsidRPr="00277328">
              <w:rPr>
                <w:rFonts w:cstheme="minorHAnsi"/>
                <w:lang w:val="en-GB"/>
              </w:rPr>
              <w:t>-2.254</w:t>
            </w:r>
            <w:r w:rsidR="002B49B8" w:rsidRPr="00277328">
              <w:rPr>
                <w:rFonts w:cstheme="minorHAnsi"/>
                <w:lang w:val="en-GB"/>
              </w:rPr>
              <w:t>*</w:t>
            </w:r>
            <w:r w:rsidR="00F35709" w:rsidRPr="00277328">
              <w:rPr>
                <w:rFonts w:cstheme="minorHAnsi"/>
                <w:lang w:val="en-GB"/>
              </w:rPr>
              <w:t>**</w:t>
            </w:r>
          </w:p>
          <w:p w:rsidR="005D5DCE" w:rsidRPr="00277328" w:rsidRDefault="005D5DCE" w:rsidP="00A42699">
            <w:pPr>
              <w:cnfStyle w:val="000000100000"/>
              <w:rPr>
                <w:rFonts w:cstheme="minorHAnsi"/>
                <w:lang w:val="en-GB"/>
              </w:rPr>
            </w:pPr>
            <w:r w:rsidRPr="00277328">
              <w:rPr>
                <w:rFonts w:cstheme="minorHAnsi"/>
                <w:lang w:val="en-GB"/>
              </w:rPr>
              <w:t>(0.468)</w:t>
            </w:r>
          </w:p>
          <w:p w:rsidR="005D5DCE" w:rsidRPr="00277328" w:rsidRDefault="005D5DCE" w:rsidP="00A42699">
            <w:pPr>
              <w:cnfStyle w:val="000000100000"/>
              <w:rPr>
                <w:rFonts w:cstheme="minorHAnsi"/>
                <w:lang w:val="en-GB"/>
              </w:rPr>
            </w:pPr>
          </w:p>
          <w:p w:rsidR="005D5DCE" w:rsidRPr="00277328" w:rsidRDefault="005D5DCE" w:rsidP="00A42699">
            <w:pPr>
              <w:cnfStyle w:val="000000100000"/>
              <w:rPr>
                <w:rFonts w:cstheme="minorHAnsi"/>
                <w:lang w:val="en-GB"/>
              </w:rPr>
            </w:pPr>
          </w:p>
          <w:p w:rsidR="005D5DCE" w:rsidRPr="00277328" w:rsidRDefault="005D5DCE" w:rsidP="00A42699">
            <w:pPr>
              <w:cnfStyle w:val="000000100000"/>
              <w:rPr>
                <w:rFonts w:cstheme="minorHAnsi"/>
                <w:lang w:val="en-GB"/>
              </w:rPr>
            </w:pPr>
            <w:r w:rsidRPr="00277328">
              <w:rPr>
                <w:rFonts w:cstheme="minorHAnsi"/>
                <w:lang w:val="en-GB"/>
              </w:rPr>
              <w:t>-0.072</w:t>
            </w:r>
          </w:p>
          <w:p w:rsidR="005D5DCE" w:rsidRPr="00277328" w:rsidRDefault="005D5DCE" w:rsidP="00A42699">
            <w:pPr>
              <w:cnfStyle w:val="000000100000"/>
              <w:rPr>
                <w:rFonts w:cstheme="minorHAnsi"/>
                <w:lang w:val="en-GB"/>
              </w:rPr>
            </w:pPr>
            <w:r w:rsidRPr="00277328">
              <w:rPr>
                <w:rFonts w:cstheme="minorHAnsi"/>
                <w:lang w:val="en-GB"/>
              </w:rPr>
              <w:t>(0.145)</w:t>
            </w:r>
          </w:p>
        </w:tc>
        <w:tc>
          <w:tcPr>
            <w:tcW w:w="1290" w:type="dxa"/>
          </w:tcPr>
          <w:p w:rsidR="00372C59" w:rsidRPr="00277328" w:rsidRDefault="00372C59" w:rsidP="00A42699">
            <w:pPr>
              <w:cnfStyle w:val="000000100000"/>
              <w:rPr>
                <w:rFonts w:cstheme="minorHAnsi"/>
                <w:lang w:val="en-GB"/>
              </w:rPr>
            </w:pPr>
          </w:p>
          <w:p w:rsidR="005D5DCE" w:rsidRPr="00277328" w:rsidRDefault="005D5DCE" w:rsidP="00A42699">
            <w:pPr>
              <w:cnfStyle w:val="000000100000"/>
              <w:rPr>
                <w:rFonts w:cstheme="minorHAnsi"/>
                <w:lang w:val="en-GB"/>
              </w:rPr>
            </w:pPr>
            <w:r w:rsidRPr="00277328">
              <w:rPr>
                <w:rFonts w:cstheme="minorHAnsi"/>
                <w:lang w:val="en-GB"/>
              </w:rPr>
              <w:t>0.796</w:t>
            </w:r>
            <w:r w:rsidR="002B49B8" w:rsidRPr="00277328">
              <w:rPr>
                <w:rFonts w:cstheme="minorHAnsi"/>
                <w:lang w:val="en-GB"/>
              </w:rPr>
              <w:t>*</w:t>
            </w:r>
            <w:r w:rsidR="00F35709" w:rsidRPr="00277328">
              <w:rPr>
                <w:rFonts w:cstheme="minorHAnsi"/>
                <w:lang w:val="en-GB"/>
              </w:rPr>
              <w:t>**</w:t>
            </w:r>
          </w:p>
          <w:p w:rsidR="005D5DCE" w:rsidRPr="00277328" w:rsidRDefault="005D5DCE" w:rsidP="00A42699">
            <w:pPr>
              <w:cnfStyle w:val="000000100000"/>
              <w:rPr>
                <w:rFonts w:cstheme="minorHAnsi"/>
                <w:lang w:val="en-GB"/>
              </w:rPr>
            </w:pPr>
            <w:r w:rsidRPr="00277328">
              <w:rPr>
                <w:rFonts w:cstheme="minorHAnsi"/>
                <w:lang w:val="en-GB"/>
              </w:rPr>
              <w:t>(0.193)</w:t>
            </w:r>
          </w:p>
          <w:p w:rsidR="005D5DCE" w:rsidRPr="00277328" w:rsidRDefault="005D5DCE" w:rsidP="00A42699">
            <w:pPr>
              <w:cnfStyle w:val="000000100000"/>
              <w:rPr>
                <w:rFonts w:cstheme="minorHAnsi"/>
                <w:lang w:val="en-GB"/>
              </w:rPr>
            </w:pPr>
          </w:p>
          <w:p w:rsidR="005D5DCE" w:rsidRPr="00277328" w:rsidRDefault="005D5DCE" w:rsidP="00A42699">
            <w:pPr>
              <w:cnfStyle w:val="000000100000"/>
              <w:rPr>
                <w:rFonts w:cstheme="minorHAnsi"/>
                <w:lang w:val="en-GB"/>
              </w:rPr>
            </w:pPr>
            <w:r w:rsidRPr="00277328">
              <w:rPr>
                <w:rFonts w:cstheme="minorHAnsi"/>
                <w:lang w:val="en-GB"/>
              </w:rPr>
              <w:t>-0.110</w:t>
            </w:r>
          </w:p>
          <w:p w:rsidR="005D5DCE" w:rsidRPr="00277328" w:rsidRDefault="005D5DCE" w:rsidP="00A42699">
            <w:pPr>
              <w:cnfStyle w:val="000000100000"/>
              <w:rPr>
                <w:rFonts w:cstheme="minorHAnsi"/>
                <w:lang w:val="en-GB"/>
              </w:rPr>
            </w:pPr>
            <w:r w:rsidRPr="00277328">
              <w:rPr>
                <w:rFonts w:cstheme="minorHAnsi"/>
                <w:lang w:val="en-GB"/>
              </w:rPr>
              <w:t>(0.169)</w:t>
            </w:r>
          </w:p>
          <w:p w:rsidR="005D5DCE" w:rsidRPr="00277328" w:rsidRDefault="005D5DCE" w:rsidP="00A42699">
            <w:pPr>
              <w:cnfStyle w:val="000000100000"/>
              <w:rPr>
                <w:rFonts w:cstheme="minorHAnsi"/>
                <w:lang w:val="en-GB"/>
              </w:rPr>
            </w:pPr>
          </w:p>
          <w:p w:rsidR="005D5DCE" w:rsidRPr="00277328" w:rsidRDefault="005D5DCE" w:rsidP="00A42699">
            <w:pPr>
              <w:cnfStyle w:val="000000100000"/>
              <w:rPr>
                <w:rFonts w:cstheme="minorHAnsi"/>
                <w:lang w:val="en-GB"/>
              </w:rPr>
            </w:pPr>
          </w:p>
          <w:p w:rsidR="005D5DCE" w:rsidRPr="00277328" w:rsidRDefault="005D5DCE" w:rsidP="00A42699">
            <w:pPr>
              <w:cnfStyle w:val="000000100000"/>
              <w:rPr>
                <w:rFonts w:cstheme="minorHAnsi"/>
                <w:lang w:val="en-GB"/>
              </w:rPr>
            </w:pPr>
            <w:r w:rsidRPr="00277328">
              <w:rPr>
                <w:rFonts w:cstheme="minorHAnsi"/>
                <w:lang w:val="en-GB"/>
              </w:rPr>
              <w:t>-0.744</w:t>
            </w:r>
            <w:r w:rsidR="002B49B8" w:rsidRPr="00277328">
              <w:rPr>
                <w:rFonts w:cstheme="minorHAnsi"/>
                <w:lang w:val="en-GB"/>
              </w:rPr>
              <w:t>*</w:t>
            </w:r>
            <w:r w:rsidR="00F35709" w:rsidRPr="00277328">
              <w:rPr>
                <w:rFonts w:cstheme="minorHAnsi"/>
                <w:lang w:val="en-GB"/>
              </w:rPr>
              <w:t>**</w:t>
            </w:r>
          </w:p>
          <w:p w:rsidR="005D5DCE" w:rsidRPr="00277328" w:rsidRDefault="005D5DCE" w:rsidP="00A42699">
            <w:pPr>
              <w:cnfStyle w:val="000000100000"/>
              <w:rPr>
                <w:rFonts w:cstheme="minorHAnsi"/>
                <w:lang w:val="en-GB"/>
              </w:rPr>
            </w:pPr>
            <w:r w:rsidRPr="00277328">
              <w:rPr>
                <w:rFonts w:cstheme="minorHAnsi"/>
                <w:lang w:val="en-GB"/>
              </w:rPr>
              <w:t>(0.244)</w:t>
            </w:r>
          </w:p>
          <w:p w:rsidR="005D5DCE" w:rsidRPr="00277328" w:rsidRDefault="005D5DCE" w:rsidP="00A42699">
            <w:pPr>
              <w:cnfStyle w:val="000000100000"/>
              <w:rPr>
                <w:rFonts w:cstheme="minorHAnsi"/>
                <w:lang w:val="en-GB"/>
              </w:rPr>
            </w:pPr>
          </w:p>
          <w:p w:rsidR="005D5DCE" w:rsidRPr="00277328" w:rsidRDefault="005D5DCE" w:rsidP="00A42699">
            <w:pPr>
              <w:cnfStyle w:val="000000100000"/>
              <w:rPr>
                <w:rFonts w:cstheme="minorHAnsi"/>
                <w:lang w:val="en-GB"/>
              </w:rPr>
            </w:pPr>
          </w:p>
          <w:p w:rsidR="005D5DCE" w:rsidRPr="00277328" w:rsidRDefault="005D5DCE" w:rsidP="00A42699">
            <w:pPr>
              <w:cnfStyle w:val="000000100000"/>
              <w:rPr>
                <w:rFonts w:cstheme="minorHAnsi"/>
                <w:lang w:val="en-GB"/>
              </w:rPr>
            </w:pPr>
            <w:r w:rsidRPr="00277328">
              <w:rPr>
                <w:rFonts w:cstheme="minorHAnsi"/>
                <w:lang w:val="en-GB"/>
              </w:rPr>
              <w:t>-0.297</w:t>
            </w:r>
            <w:r w:rsidR="002B49B8" w:rsidRPr="00277328">
              <w:rPr>
                <w:rFonts w:cstheme="minorHAnsi"/>
                <w:lang w:val="en-GB"/>
              </w:rPr>
              <w:t>**</w:t>
            </w:r>
          </w:p>
          <w:p w:rsidR="005D5DCE" w:rsidRPr="00277328" w:rsidRDefault="005D5DCE" w:rsidP="00A42699">
            <w:pPr>
              <w:cnfStyle w:val="000000100000"/>
              <w:rPr>
                <w:rFonts w:cstheme="minorHAnsi"/>
                <w:lang w:val="en-GB"/>
              </w:rPr>
            </w:pPr>
            <w:r w:rsidRPr="00277328">
              <w:rPr>
                <w:rFonts w:cstheme="minorHAnsi"/>
                <w:lang w:val="en-GB"/>
              </w:rPr>
              <w:t>(0.140)</w:t>
            </w:r>
          </w:p>
        </w:tc>
      </w:tr>
      <w:tr w:rsidR="001B4778" w:rsidRPr="00277328" w:rsidTr="00B11F31">
        <w:trPr>
          <w:cnfStyle w:val="000000010000"/>
        </w:trPr>
        <w:tc>
          <w:tcPr>
            <w:cnfStyle w:val="001000000000"/>
            <w:tcW w:w="2150" w:type="dxa"/>
          </w:tcPr>
          <w:p w:rsidR="00372C59" w:rsidRPr="00277328" w:rsidRDefault="001B4778" w:rsidP="00A42699">
            <w:pPr>
              <w:rPr>
                <w:rFonts w:asciiTheme="minorHAnsi" w:hAnsiTheme="minorHAnsi" w:cstheme="minorHAnsi"/>
                <w:u w:val="single"/>
                <w:lang w:val="en-GB"/>
              </w:rPr>
            </w:pPr>
            <w:r w:rsidRPr="00277328">
              <w:rPr>
                <w:rFonts w:asciiTheme="minorHAnsi" w:hAnsiTheme="minorHAnsi" w:cstheme="minorHAnsi"/>
                <w:u w:val="single"/>
                <w:lang w:val="en-GB"/>
              </w:rPr>
              <w:t>Efficiency attributes</w:t>
            </w:r>
          </w:p>
          <w:p w:rsidR="001B4778" w:rsidRPr="00277328" w:rsidRDefault="001B4778" w:rsidP="00A42699">
            <w:pPr>
              <w:rPr>
                <w:rFonts w:asciiTheme="minorHAnsi" w:hAnsiTheme="minorHAnsi" w:cstheme="minorHAnsi"/>
                <w:b w:val="0"/>
                <w:lang w:val="en-GB"/>
              </w:rPr>
            </w:pPr>
            <w:r w:rsidRPr="00277328">
              <w:rPr>
                <w:rFonts w:asciiTheme="minorHAnsi" w:hAnsiTheme="minorHAnsi" w:cstheme="minorHAnsi"/>
                <w:b w:val="0"/>
                <w:lang w:val="en-GB"/>
              </w:rPr>
              <w:t>Number of potential beneficiaries</w:t>
            </w:r>
          </w:p>
          <w:p w:rsidR="001B4778" w:rsidRPr="00277328" w:rsidRDefault="001B4778" w:rsidP="00A42699">
            <w:pPr>
              <w:rPr>
                <w:rFonts w:asciiTheme="minorHAnsi" w:hAnsiTheme="minorHAnsi" w:cstheme="minorHAnsi"/>
                <w:b w:val="0"/>
                <w:lang w:val="en-GB"/>
              </w:rPr>
            </w:pPr>
          </w:p>
          <w:p w:rsidR="004E50E6" w:rsidRPr="00277328" w:rsidRDefault="004E50E6" w:rsidP="00A42699">
            <w:pPr>
              <w:rPr>
                <w:rFonts w:asciiTheme="minorHAnsi" w:hAnsiTheme="minorHAnsi" w:cstheme="minorHAnsi"/>
                <w:b w:val="0"/>
                <w:lang w:val="en-GB"/>
              </w:rPr>
            </w:pPr>
          </w:p>
          <w:p w:rsidR="001B4778" w:rsidRPr="00277328" w:rsidRDefault="001B4778" w:rsidP="00A42699">
            <w:pPr>
              <w:rPr>
                <w:rFonts w:asciiTheme="minorHAnsi" w:hAnsiTheme="minorHAnsi" w:cstheme="minorHAnsi"/>
                <w:b w:val="0"/>
                <w:lang w:val="en-GB"/>
              </w:rPr>
            </w:pPr>
            <w:r w:rsidRPr="00277328">
              <w:rPr>
                <w:rFonts w:asciiTheme="minorHAnsi" w:hAnsiTheme="minorHAnsi" w:cstheme="minorHAnsi"/>
                <w:b w:val="0"/>
                <w:lang w:val="en-GB"/>
              </w:rPr>
              <w:lastRenderedPageBreak/>
              <w:t>Individual health benefits</w:t>
            </w:r>
          </w:p>
          <w:p w:rsidR="001B4778" w:rsidRPr="00277328" w:rsidRDefault="001B4778" w:rsidP="00A42699">
            <w:pPr>
              <w:rPr>
                <w:rFonts w:asciiTheme="minorHAnsi" w:hAnsiTheme="minorHAnsi" w:cstheme="minorHAnsi"/>
                <w:b w:val="0"/>
                <w:lang w:val="en-GB"/>
              </w:rPr>
            </w:pPr>
          </w:p>
          <w:p w:rsidR="004E50E6" w:rsidRPr="00277328" w:rsidRDefault="004E50E6" w:rsidP="00A42699">
            <w:pPr>
              <w:rPr>
                <w:rFonts w:asciiTheme="minorHAnsi" w:hAnsiTheme="minorHAnsi" w:cstheme="minorHAnsi"/>
                <w:b w:val="0"/>
                <w:lang w:val="en-GB"/>
              </w:rPr>
            </w:pPr>
          </w:p>
          <w:p w:rsidR="001B4778" w:rsidRPr="00277328" w:rsidRDefault="001B4778" w:rsidP="00A42699">
            <w:pPr>
              <w:rPr>
                <w:rFonts w:asciiTheme="minorHAnsi" w:hAnsiTheme="minorHAnsi" w:cstheme="minorHAnsi"/>
                <w:b w:val="0"/>
                <w:lang w:val="en-GB"/>
              </w:rPr>
            </w:pPr>
            <w:r w:rsidRPr="00277328">
              <w:rPr>
                <w:rFonts w:asciiTheme="minorHAnsi" w:hAnsiTheme="minorHAnsi" w:cstheme="minorHAnsi"/>
                <w:b w:val="0"/>
                <w:lang w:val="en-GB"/>
              </w:rPr>
              <w:t>Cost-effectiveness</w:t>
            </w:r>
          </w:p>
        </w:tc>
        <w:tc>
          <w:tcPr>
            <w:tcW w:w="1219" w:type="dxa"/>
          </w:tcPr>
          <w:p w:rsidR="00372C59" w:rsidRPr="00277328" w:rsidRDefault="00372C59" w:rsidP="00A42699">
            <w:pPr>
              <w:cnfStyle w:val="000000010000"/>
              <w:rPr>
                <w:rFonts w:cstheme="minorHAnsi"/>
                <w:lang w:val="en-GB"/>
              </w:rPr>
            </w:pPr>
          </w:p>
          <w:p w:rsidR="004E50E6" w:rsidRPr="00277328" w:rsidRDefault="004E50E6" w:rsidP="00A42699">
            <w:pPr>
              <w:cnfStyle w:val="000000010000"/>
              <w:rPr>
                <w:rFonts w:cstheme="minorHAnsi"/>
                <w:lang w:val="en-GB"/>
              </w:rPr>
            </w:pPr>
          </w:p>
          <w:p w:rsidR="004E50E6" w:rsidRPr="00277328" w:rsidRDefault="004E50E6" w:rsidP="00A42699">
            <w:pPr>
              <w:cnfStyle w:val="000000010000"/>
              <w:rPr>
                <w:rFonts w:cstheme="minorHAnsi"/>
                <w:lang w:val="en-GB"/>
              </w:rPr>
            </w:pPr>
            <w:r w:rsidRPr="00277328">
              <w:rPr>
                <w:rFonts w:cstheme="minorHAnsi"/>
                <w:lang w:val="en-GB"/>
              </w:rPr>
              <w:t>0.906</w:t>
            </w:r>
            <w:r w:rsidR="008C193B" w:rsidRPr="00277328">
              <w:rPr>
                <w:rFonts w:cstheme="minorHAnsi"/>
                <w:lang w:val="en-GB"/>
              </w:rPr>
              <w:t>*</w:t>
            </w:r>
            <w:r w:rsidR="00F35709" w:rsidRPr="00277328">
              <w:rPr>
                <w:rFonts w:cstheme="minorHAnsi"/>
                <w:lang w:val="en-GB"/>
              </w:rPr>
              <w:t>**</w:t>
            </w:r>
          </w:p>
          <w:p w:rsidR="004E50E6" w:rsidRPr="00277328" w:rsidRDefault="004E50E6" w:rsidP="00A42699">
            <w:pPr>
              <w:cnfStyle w:val="000000010000"/>
              <w:rPr>
                <w:rFonts w:cstheme="minorHAnsi"/>
                <w:lang w:val="en-GB"/>
              </w:rPr>
            </w:pPr>
            <w:r w:rsidRPr="00277328">
              <w:rPr>
                <w:rFonts w:cstheme="minorHAnsi"/>
                <w:lang w:val="en-GB"/>
              </w:rPr>
              <w:t>(0.097)</w:t>
            </w:r>
          </w:p>
          <w:p w:rsidR="004E50E6" w:rsidRPr="00277328" w:rsidRDefault="004E50E6" w:rsidP="00A42699">
            <w:pPr>
              <w:cnfStyle w:val="000000010000"/>
              <w:rPr>
                <w:rFonts w:cstheme="minorHAnsi"/>
                <w:lang w:val="en-GB"/>
              </w:rPr>
            </w:pPr>
          </w:p>
          <w:p w:rsidR="004E50E6" w:rsidRPr="00277328" w:rsidRDefault="004E50E6" w:rsidP="00A42699">
            <w:pPr>
              <w:cnfStyle w:val="000000010000"/>
              <w:rPr>
                <w:rFonts w:cstheme="minorHAnsi"/>
                <w:lang w:val="en-GB"/>
              </w:rPr>
            </w:pPr>
          </w:p>
          <w:p w:rsidR="004E50E6" w:rsidRPr="00277328" w:rsidRDefault="004E50E6" w:rsidP="00A42699">
            <w:pPr>
              <w:cnfStyle w:val="000000010000"/>
              <w:rPr>
                <w:rFonts w:cstheme="minorHAnsi"/>
                <w:lang w:val="en-GB"/>
              </w:rPr>
            </w:pPr>
            <w:r w:rsidRPr="00277328">
              <w:rPr>
                <w:rFonts w:cstheme="minorHAnsi"/>
                <w:lang w:val="en-GB"/>
              </w:rPr>
              <w:t>1.263</w:t>
            </w:r>
            <w:r w:rsidR="008C193B" w:rsidRPr="00277328">
              <w:rPr>
                <w:rFonts w:cstheme="minorHAnsi"/>
                <w:lang w:val="en-GB"/>
              </w:rPr>
              <w:t>*</w:t>
            </w:r>
            <w:r w:rsidR="00F35709" w:rsidRPr="00277328">
              <w:rPr>
                <w:rFonts w:cstheme="minorHAnsi"/>
                <w:lang w:val="en-GB"/>
              </w:rPr>
              <w:t>**</w:t>
            </w:r>
          </w:p>
          <w:p w:rsidR="004E50E6" w:rsidRPr="00277328" w:rsidRDefault="004E50E6" w:rsidP="00A42699">
            <w:pPr>
              <w:cnfStyle w:val="000000010000"/>
              <w:rPr>
                <w:rFonts w:cstheme="minorHAnsi"/>
                <w:lang w:val="en-GB"/>
              </w:rPr>
            </w:pPr>
            <w:r w:rsidRPr="00277328">
              <w:rPr>
                <w:rFonts w:cstheme="minorHAnsi"/>
                <w:lang w:val="en-GB"/>
              </w:rPr>
              <w:t>(0.170)</w:t>
            </w:r>
          </w:p>
          <w:p w:rsidR="004E50E6" w:rsidRPr="00277328" w:rsidRDefault="004E50E6" w:rsidP="00A42699">
            <w:pPr>
              <w:cnfStyle w:val="000000010000"/>
              <w:rPr>
                <w:rFonts w:cstheme="minorHAnsi"/>
                <w:lang w:val="en-GB"/>
              </w:rPr>
            </w:pPr>
          </w:p>
          <w:p w:rsidR="004E50E6" w:rsidRPr="00277328" w:rsidRDefault="004E50E6" w:rsidP="00A42699">
            <w:pPr>
              <w:cnfStyle w:val="000000010000"/>
              <w:rPr>
                <w:rFonts w:cstheme="minorHAnsi"/>
                <w:lang w:val="en-GB"/>
              </w:rPr>
            </w:pPr>
            <w:r w:rsidRPr="00277328">
              <w:rPr>
                <w:rFonts w:cstheme="minorHAnsi"/>
                <w:lang w:val="en-GB"/>
              </w:rPr>
              <w:t>0.900</w:t>
            </w:r>
            <w:r w:rsidR="008C193B" w:rsidRPr="00277328">
              <w:rPr>
                <w:rFonts w:cstheme="minorHAnsi"/>
                <w:lang w:val="en-GB"/>
              </w:rPr>
              <w:t>*</w:t>
            </w:r>
            <w:r w:rsidR="00F35709" w:rsidRPr="00277328">
              <w:rPr>
                <w:rFonts w:cstheme="minorHAnsi"/>
                <w:lang w:val="en-GB"/>
              </w:rPr>
              <w:t>**</w:t>
            </w:r>
          </w:p>
          <w:p w:rsidR="004E50E6" w:rsidRPr="00277328" w:rsidRDefault="004E50E6" w:rsidP="00A42699">
            <w:pPr>
              <w:cnfStyle w:val="000000010000"/>
              <w:rPr>
                <w:rFonts w:cstheme="minorHAnsi"/>
                <w:lang w:val="en-GB"/>
              </w:rPr>
            </w:pPr>
            <w:r w:rsidRPr="00277328">
              <w:rPr>
                <w:rFonts w:cstheme="minorHAnsi"/>
                <w:lang w:val="en-GB"/>
              </w:rPr>
              <w:t>(0.153)</w:t>
            </w:r>
          </w:p>
        </w:tc>
        <w:tc>
          <w:tcPr>
            <w:tcW w:w="1910" w:type="dxa"/>
          </w:tcPr>
          <w:p w:rsidR="00372C59" w:rsidRPr="00277328" w:rsidRDefault="00372C59" w:rsidP="00A42699">
            <w:pPr>
              <w:cnfStyle w:val="000000010000"/>
              <w:rPr>
                <w:rFonts w:cstheme="minorHAnsi"/>
                <w:lang w:val="en-GB"/>
              </w:rPr>
            </w:pPr>
          </w:p>
          <w:p w:rsidR="004E50E6" w:rsidRPr="00277328" w:rsidRDefault="004E50E6" w:rsidP="00A42699">
            <w:pPr>
              <w:cnfStyle w:val="000000010000"/>
              <w:rPr>
                <w:rFonts w:cstheme="minorHAnsi"/>
                <w:lang w:val="en-GB"/>
              </w:rPr>
            </w:pPr>
          </w:p>
          <w:p w:rsidR="004E50E6" w:rsidRPr="00277328" w:rsidRDefault="004E50E6" w:rsidP="00A42699">
            <w:pPr>
              <w:cnfStyle w:val="000000010000"/>
              <w:rPr>
                <w:rFonts w:cstheme="minorHAnsi"/>
                <w:lang w:val="en-GB"/>
              </w:rPr>
            </w:pPr>
            <w:r w:rsidRPr="00277328">
              <w:rPr>
                <w:rFonts w:cstheme="minorHAnsi"/>
                <w:lang w:val="en-GB"/>
              </w:rPr>
              <w:t>0.856</w:t>
            </w:r>
            <w:r w:rsidR="002B49B8" w:rsidRPr="00277328">
              <w:rPr>
                <w:rFonts w:cstheme="minorHAnsi"/>
                <w:lang w:val="en-GB"/>
              </w:rPr>
              <w:t>*</w:t>
            </w:r>
            <w:r w:rsidR="00F35709" w:rsidRPr="00277328">
              <w:rPr>
                <w:rFonts w:cstheme="minorHAnsi"/>
                <w:lang w:val="en-GB"/>
              </w:rPr>
              <w:t>**</w:t>
            </w:r>
          </w:p>
          <w:p w:rsidR="004E50E6" w:rsidRPr="00277328" w:rsidRDefault="004E50E6" w:rsidP="00A42699">
            <w:pPr>
              <w:cnfStyle w:val="000000010000"/>
              <w:rPr>
                <w:rFonts w:cstheme="minorHAnsi"/>
                <w:lang w:val="en-GB"/>
              </w:rPr>
            </w:pPr>
            <w:r w:rsidRPr="00277328">
              <w:rPr>
                <w:rFonts w:cstheme="minorHAnsi"/>
                <w:lang w:val="en-GB"/>
              </w:rPr>
              <w:t>(0.204)</w:t>
            </w:r>
          </w:p>
          <w:p w:rsidR="004E50E6" w:rsidRPr="00277328" w:rsidRDefault="004E50E6" w:rsidP="00A42699">
            <w:pPr>
              <w:cnfStyle w:val="000000010000"/>
              <w:rPr>
                <w:rFonts w:cstheme="minorHAnsi"/>
                <w:lang w:val="en-GB"/>
              </w:rPr>
            </w:pPr>
          </w:p>
          <w:p w:rsidR="004E50E6" w:rsidRPr="00277328" w:rsidRDefault="004E50E6" w:rsidP="00A42699">
            <w:pPr>
              <w:cnfStyle w:val="000000010000"/>
              <w:rPr>
                <w:rFonts w:cstheme="minorHAnsi"/>
                <w:lang w:val="en-GB"/>
              </w:rPr>
            </w:pPr>
          </w:p>
          <w:p w:rsidR="004E50E6" w:rsidRPr="00277328" w:rsidRDefault="004E50E6" w:rsidP="00A42699">
            <w:pPr>
              <w:cnfStyle w:val="000000010000"/>
              <w:rPr>
                <w:rFonts w:cstheme="minorHAnsi"/>
                <w:lang w:val="en-GB"/>
              </w:rPr>
            </w:pPr>
            <w:r w:rsidRPr="00277328">
              <w:rPr>
                <w:rFonts w:cstheme="minorHAnsi"/>
                <w:lang w:val="en-GB"/>
              </w:rPr>
              <w:t>1.054</w:t>
            </w:r>
            <w:r w:rsidR="00F35709" w:rsidRPr="00277328">
              <w:rPr>
                <w:rFonts w:cstheme="minorHAnsi"/>
                <w:lang w:val="en-GB"/>
              </w:rPr>
              <w:t>*</w:t>
            </w:r>
          </w:p>
          <w:p w:rsidR="004E50E6" w:rsidRPr="00277328" w:rsidRDefault="004E50E6" w:rsidP="00A42699">
            <w:pPr>
              <w:cnfStyle w:val="000000010000"/>
              <w:rPr>
                <w:rFonts w:cstheme="minorHAnsi"/>
                <w:lang w:val="en-GB"/>
              </w:rPr>
            </w:pPr>
            <w:r w:rsidRPr="00277328">
              <w:rPr>
                <w:rFonts w:cstheme="minorHAnsi"/>
                <w:lang w:val="en-GB"/>
              </w:rPr>
              <w:t>(0.556)</w:t>
            </w:r>
          </w:p>
          <w:p w:rsidR="004E50E6" w:rsidRPr="00277328" w:rsidRDefault="004E50E6" w:rsidP="00A42699">
            <w:pPr>
              <w:cnfStyle w:val="000000010000"/>
              <w:rPr>
                <w:rFonts w:cstheme="minorHAnsi"/>
                <w:lang w:val="en-GB"/>
              </w:rPr>
            </w:pPr>
          </w:p>
          <w:p w:rsidR="004E50E6" w:rsidRPr="00277328" w:rsidRDefault="004E50E6" w:rsidP="00A42699">
            <w:pPr>
              <w:cnfStyle w:val="000000010000"/>
              <w:rPr>
                <w:rFonts w:cstheme="minorHAnsi"/>
                <w:lang w:val="en-GB"/>
              </w:rPr>
            </w:pPr>
            <w:r w:rsidRPr="00277328">
              <w:rPr>
                <w:rFonts w:cstheme="minorHAnsi"/>
                <w:lang w:val="en-GB"/>
              </w:rPr>
              <w:t>0.983</w:t>
            </w:r>
            <w:r w:rsidR="002B49B8" w:rsidRPr="00277328">
              <w:rPr>
                <w:rFonts w:cstheme="minorHAnsi"/>
                <w:lang w:val="en-GB"/>
              </w:rPr>
              <w:t>**</w:t>
            </w:r>
          </w:p>
          <w:p w:rsidR="004E50E6" w:rsidRPr="00277328" w:rsidRDefault="004E50E6" w:rsidP="00A42699">
            <w:pPr>
              <w:cnfStyle w:val="000000010000"/>
              <w:rPr>
                <w:rFonts w:cstheme="minorHAnsi"/>
                <w:lang w:val="en-GB"/>
              </w:rPr>
            </w:pPr>
            <w:r w:rsidRPr="00277328">
              <w:rPr>
                <w:rFonts w:cstheme="minorHAnsi"/>
                <w:lang w:val="en-GB"/>
              </w:rPr>
              <w:t>(0.391)</w:t>
            </w:r>
          </w:p>
        </w:tc>
        <w:tc>
          <w:tcPr>
            <w:tcW w:w="2186" w:type="dxa"/>
          </w:tcPr>
          <w:p w:rsidR="00372C59" w:rsidRPr="00277328" w:rsidRDefault="00372C59" w:rsidP="00A42699">
            <w:pPr>
              <w:cnfStyle w:val="000000010000"/>
              <w:rPr>
                <w:rFonts w:cstheme="minorHAnsi"/>
                <w:lang w:val="en-GB"/>
              </w:rPr>
            </w:pPr>
          </w:p>
          <w:p w:rsidR="005D5DCE" w:rsidRPr="00277328" w:rsidRDefault="005D5DCE" w:rsidP="00A42699">
            <w:pPr>
              <w:cnfStyle w:val="000000010000"/>
              <w:rPr>
                <w:rFonts w:cstheme="minorHAnsi"/>
                <w:lang w:val="en-GB"/>
              </w:rPr>
            </w:pPr>
          </w:p>
          <w:p w:rsidR="005D5DCE" w:rsidRPr="00277328" w:rsidRDefault="005D5DCE" w:rsidP="00A42699">
            <w:pPr>
              <w:cnfStyle w:val="000000010000"/>
              <w:rPr>
                <w:rFonts w:cstheme="minorHAnsi"/>
                <w:lang w:val="en-GB"/>
              </w:rPr>
            </w:pPr>
            <w:r w:rsidRPr="00277328">
              <w:rPr>
                <w:rFonts w:cstheme="minorHAnsi"/>
                <w:lang w:val="en-GB"/>
              </w:rPr>
              <w:t>1.121</w:t>
            </w:r>
            <w:r w:rsidR="002B49B8" w:rsidRPr="00277328">
              <w:rPr>
                <w:rFonts w:cstheme="minorHAnsi"/>
                <w:lang w:val="en-GB"/>
              </w:rPr>
              <w:t>*</w:t>
            </w:r>
            <w:r w:rsidR="00F35709" w:rsidRPr="00277328">
              <w:rPr>
                <w:rFonts w:cstheme="minorHAnsi"/>
                <w:lang w:val="en-GB"/>
              </w:rPr>
              <w:t>**</w:t>
            </w:r>
          </w:p>
          <w:p w:rsidR="005D5DCE" w:rsidRPr="00277328" w:rsidRDefault="005D5DCE" w:rsidP="00A42699">
            <w:pPr>
              <w:cnfStyle w:val="000000010000"/>
              <w:rPr>
                <w:rFonts w:cstheme="minorHAnsi"/>
                <w:lang w:val="en-GB"/>
              </w:rPr>
            </w:pPr>
            <w:r w:rsidRPr="00277328">
              <w:rPr>
                <w:rFonts w:cstheme="minorHAnsi"/>
                <w:lang w:val="en-GB"/>
              </w:rPr>
              <w:t>(0.178)</w:t>
            </w:r>
          </w:p>
          <w:p w:rsidR="005D5DCE" w:rsidRPr="00277328" w:rsidRDefault="005D5DCE" w:rsidP="00A42699">
            <w:pPr>
              <w:cnfStyle w:val="000000010000"/>
              <w:rPr>
                <w:rFonts w:cstheme="minorHAnsi"/>
                <w:lang w:val="en-GB"/>
              </w:rPr>
            </w:pPr>
          </w:p>
          <w:p w:rsidR="005D5DCE" w:rsidRPr="00277328" w:rsidRDefault="005D5DCE" w:rsidP="00A42699">
            <w:pPr>
              <w:cnfStyle w:val="000000010000"/>
              <w:rPr>
                <w:rFonts w:cstheme="minorHAnsi"/>
                <w:lang w:val="en-GB"/>
              </w:rPr>
            </w:pPr>
          </w:p>
          <w:p w:rsidR="005D5DCE" w:rsidRPr="00277328" w:rsidRDefault="005D5DCE" w:rsidP="00A42699">
            <w:pPr>
              <w:cnfStyle w:val="000000010000"/>
              <w:rPr>
                <w:rFonts w:cstheme="minorHAnsi"/>
                <w:lang w:val="en-GB"/>
              </w:rPr>
            </w:pPr>
            <w:r w:rsidRPr="00277328">
              <w:rPr>
                <w:rFonts w:cstheme="minorHAnsi"/>
                <w:lang w:val="en-GB"/>
              </w:rPr>
              <w:t>1.562</w:t>
            </w:r>
            <w:r w:rsidR="002B49B8" w:rsidRPr="00277328">
              <w:rPr>
                <w:rFonts w:cstheme="minorHAnsi"/>
                <w:lang w:val="en-GB"/>
              </w:rPr>
              <w:t>*</w:t>
            </w:r>
            <w:r w:rsidR="00F35709" w:rsidRPr="00277328">
              <w:rPr>
                <w:rFonts w:cstheme="minorHAnsi"/>
                <w:lang w:val="en-GB"/>
              </w:rPr>
              <w:t>**</w:t>
            </w:r>
          </w:p>
          <w:p w:rsidR="005D5DCE" w:rsidRPr="00277328" w:rsidRDefault="005D5DCE" w:rsidP="00A42699">
            <w:pPr>
              <w:cnfStyle w:val="000000010000"/>
              <w:rPr>
                <w:rFonts w:cstheme="minorHAnsi"/>
                <w:lang w:val="en-GB"/>
              </w:rPr>
            </w:pPr>
            <w:r w:rsidRPr="00277328">
              <w:rPr>
                <w:rFonts w:cstheme="minorHAnsi"/>
                <w:lang w:val="en-GB"/>
              </w:rPr>
              <w:t>(0.297)</w:t>
            </w:r>
          </w:p>
          <w:p w:rsidR="005D5DCE" w:rsidRPr="00277328" w:rsidRDefault="005D5DCE" w:rsidP="00A42699">
            <w:pPr>
              <w:cnfStyle w:val="000000010000"/>
              <w:rPr>
                <w:rFonts w:cstheme="minorHAnsi"/>
                <w:lang w:val="en-GB"/>
              </w:rPr>
            </w:pPr>
          </w:p>
          <w:p w:rsidR="005D5DCE" w:rsidRPr="00277328" w:rsidRDefault="005D5DCE" w:rsidP="00A42699">
            <w:pPr>
              <w:cnfStyle w:val="000000010000"/>
              <w:rPr>
                <w:rFonts w:cstheme="minorHAnsi"/>
                <w:lang w:val="en-GB"/>
              </w:rPr>
            </w:pPr>
            <w:r w:rsidRPr="00277328">
              <w:rPr>
                <w:rFonts w:cstheme="minorHAnsi"/>
                <w:lang w:val="en-GB"/>
              </w:rPr>
              <w:t>1.289</w:t>
            </w:r>
            <w:r w:rsidR="002B49B8" w:rsidRPr="00277328">
              <w:rPr>
                <w:rFonts w:cstheme="minorHAnsi"/>
                <w:lang w:val="en-GB"/>
              </w:rPr>
              <w:t>*</w:t>
            </w:r>
            <w:r w:rsidR="00F35709" w:rsidRPr="00277328">
              <w:rPr>
                <w:rFonts w:cstheme="minorHAnsi"/>
                <w:lang w:val="en-GB"/>
              </w:rPr>
              <w:t>**</w:t>
            </w:r>
          </w:p>
          <w:p w:rsidR="005D5DCE" w:rsidRPr="00277328" w:rsidRDefault="005D5DCE" w:rsidP="00A42699">
            <w:pPr>
              <w:cnfStyle w:val="000000010000"/>
              <w:rPr>
                <w:rFonts w:cstheme="minorHAnsi"/>
                <w:lang w:val="en-GB"/>
              </w:rPr>
            </w:pPr>
            <w:r w:rsidRPr="00277328">
              <w:rPr>
                <w:rFonts w:cstheme="minorHAnsi"/>
                <w:lang w:val="en-GB"/>
              </w:rPr>
              <w:t>(0.307)</w:t>
            </w:r>
          </w:p>
        </w:tc>
        <w:tc>
          <w:tcPr>
            <w:tcW w:w="1290" w:type="dxa"/>
          </w:tcPr>
          <w:p w:rsidR="00372C59" w:rsidRPr="00277328" w:rsidRDefault="00372C59" w:rsidP="00A42699">
            <w:pPr>
              <w:cnfStyle w:val="000000010000"/>
              <w:rPr>
                <w:rFonts w:cstheme="minorHAnsi"/>
                <w:lang w:val="en-GB"/>
              </w:rPr>
            </w:pPr>
          </w:p>
          <w:p w:rsidR="005D5DCE" w:rsidRPr="00277328" w:rsidRDefault="005D5DCE" w:rsidP="00A42699">
            <w:pPr>
              <w:cnfStyle w:val="000000010000"/>
              <w:rPr>
                <w:rFonts w:cstheme="minorHAnsi"/>
                <w:lang w:val="en-GB"/>
              </w:rPr>
            </w:pPr>
          </w:p>
          <w:p w:rsidR="005D5DCE" w:rsidRPr="00277328" w:rsidRDefault="005D5DCE" w:rsidP="00A42699">
            <w:pPr>
              <w:cnfStyle w:val="000000010000"/>
              <w:rPr>
                <w:rFonts w:cstheme="minorHAnsi"/>
                <w:lang w:val="en-GB"/>
              </w:rPr>
            </w:pPr>
            <w:r w:rsidRPr="00277328">
              <w:rPr>
                <w:rFonts w:cstheme="minorHAnsi"/>
                <w:lang w:val="en-GB"/>
              </w:rPr>
              <w:t>0.881</w:t>
            </w:r>
            <w:r w:rsidR="002B49B8" w:rsidRPr="00277328">
              <w:rPr>
                <w:rFonts w:cstheme="minorHAnsi"/>
                <w:lang w:val="en-GB"/>
              </w:rPr>
              <w:t>*</w:t>
            </w:r>
            <w:r w:rsidR="00B11F31" w:rsidRPr="00277328">
              <w:rPr>
                <w:rFonts w:cstheme="minorHAnsi"/>
                <w:lang w:val="en-GB"/>
              </w:rPr>
              <w:t>**</w:t>
            </w:r>
          </w:p>
          <w:p w:rsidR="005D5DCE" w:rsidRPr="00277328" w:rsidRDefault="005D5DCE" w:rsidP="00A42699">
            <w:pPr>
              <w:cnfStyle w:val="000000010000"/>
              <w:rPr>
                <w:rFonts w:cstheme="minorHAnsi"/>
                <w:lang w:val="en-GB"/>
              </w:rPr>
            </w:pPr>
            <w:r w:rsidRPr="00277328">
              <w:rPr>
                <w:rFonts w:cstheme="minorHAnsi"/>
                <w:lang w:val="en-GB"/>
              </w:rPr>
              <w:t>(0.162)</w:t>
            </w:r>
          </w:p>
          <w:p w:rsidR="005D5DCE" w:rsidRPr="00277328" w:rsidRDefault="005D5DCE" w:rsidP="00A42699">
            <w:pPr>
              <w:cnfStyle w:val="000000010000"/>
              <w:rPr>
                <w:rFonts w:cstheme="minorHAnsi"/>
                <w:lang w:val="en-GB"/>
              </w:rPr>
            </w:pPr>
          </w:p>
          <w:p w:rsidR="005D5DCE" w:rsidRPr="00277328" w:rsidRDefault="005D5DCE" w:rsidP="00A42699">
            <w:pPr>
              <w:cnfStyle w:val="000000010000"/>
              <w:rPr>
                <w:rFonts w:cstheme="minorHAnsi"/>
                <w:lang w:val="en-GB"/>
              </w:rPr>
            </w:pPr>
          </w:p>
          <w:p w:rsidR="005D5DCE" w:rsidRPr="00277328" w:rsidRDefault="005D5DCE" w:rsidP="00A42699">
            <w:pPr>
              <w:cnfStyle w:val="000000010000"/>
              <w:rPr>
                <w:rFonts w:cstheme="minorHAnsi"/>
                <w:lang w:val="en-GB"/>
              </w:rPr>
            </w:pPr>
            <w:r w:rsidRPr="00277328">
              <w:rPr>
                <w:rFonts w:cstheme="minorHAnsi"/>
                <w:lang w:val="en-GB"/>
              </w:rPr>
              <w:t>1.392</w:t>
            </w:r>
            <w:r w:rsidR="002B49B8" w:rsidRPr="00277328">
              <w:rPr>
                <w:rFonts w:cstheme="minorHAnsi"/>
                <w:lang w:val="en-GB"/>
              </w:rPr>
              <w:t>*</w:t>
            </w:r>
            <w:r w:rsidR="00B11F31" w:rsidRPr="00277328">
              <w:rPr>
                <w:rFonts w:cstheme="minorHAnsi"/>
                <w:lang w:val="en-GB"/>
              </w:rPr>
              <w:t>**</w:t>
            </w:r>
          </w:p>
          <w:p w:rsidR="005D5DCE" w:rsidRPr="00277328" w:rsidRDefault="005D5DCE" w:rsidP="00A42699">
            <w:pPr>
              <w:cnfStyle w:val="000000010000"/>
              <w:rPr>
                <w:rFonts w:cstheme="minorHAnsi"/>
                <w:lang w:val="en-GB"/>
              </w:rPr>
            </w:pPr>
            <w:r w:rsidRPr="00277328">
              <w:rPr>
                <w:rFonts w:cstheme="minorHAnsi"/>
                <w:lang w:val="en-GB"/>
              </w:rPr>
              <w:t>(0.180)</w:t>
            </w:r>
          </w:p>
          <w:p w:rsidR="005D5DCE" w:rsidRPr="00277328" w:rsidRDefault="005D5DCE" w:rsidP="00A42699">
            <w:pPr>
              <w:cnfStyle w:val="000000010000"/>
              <w:rPr>
                <w:rFonts w:cstheme="minorHAnsi"/>
                <w:lang w:val="en-GB"/>
              </w:rPr>
            </w:pPr>
          </w:p>
          <w:p w:rsidR="005D5DCE" w:rsidRPr="00277328" w:rsidRDefault="005D5DCE" w:rsidP="00A42699">
            <w:pPr>
              <w:cnfStyle w:val="000000010000"/>
              <w:rPr>
                <w:rFonts w:cstheme="minorHAnsi"/>
                <w:lang w:val="en-GB"/>
              </w:rPr>
            </w:pPr>
            <w:r w:rsidRPr="00277328">
              <w:rPr>
                <w:rFonts w:cstheme="minorHAnsi"/>
                <w:lang w:val="en-GB"/>
              </w:rPr>
              <w:t>0.612</w:t>
            </w:r>
            <w:r w:rsidR="002B49B8" w:rsidRPr="00277328">
              <w:rPr>
                <w:rFonts w:cstheme="minorHAnsi"/>
                <w:lang w:val="en-GB"/>
              </w:rPr>
              <w:t>*</w:t>
            </w:r>
            <w:r w:rsidR="00B11F31" w:rsidRPr="00277328">
              <w:rPr>
                <w:rFonts w:cstheme="minorHAnsi"/>
                <w:lang w:val="en-GB"/>
              </w:rPr>
              <w:t>**</w:t>
            </w:r>
          </w:p>
          <w:p w:rsidR="005D5DCE" w:rsidRPr="00277328" w:rsidRDefault="005D5DCE" w:rsidP="00A42699">
            <w:pPr>
              <w:cnfStyle w:val="000000010000"/>
              <w:rPr>
                <w:rFonts w:cstheme="minorHAnsi"/>
                <w:lang w:val="en-GB"/>
              </w:rPr>
            </w:pPr>
            <w:r w:rsidRPr="00277328">
              <w:rPr>
                <w:rFonts w:cstheme="minorHAnsi"/>
                <w:lang w:val="en-GB"/>
              </w:rPr>
              <w:t>(0.183)</w:t>
            </w:r>
          </w:p>
        </w:tc>
      </w:tr>
      <w:tr w:rsidR="002B49B8" w:rsidRPr="00277328" w:rsidTr="00B11F31">
        <w:trPr>
          <w:cnfStyle w:val="000000100000"/>
        </w:trPr>
        <w:tc>
          <w:tcPr>
            <w:cnfStyle w:val="001000000000"/>
            <w:tcW w:w="2150" w:type="dxa"/>
          </w:tcPr>
          <w:p w:rsidR="00372C59" w:rsidRPr="00277328" w:rsidRDefault="001B4778" w:rsidP="00A42699">
            <w:pPr>
              <w:rPr>
                <w:rFonts w:asciiTheme="minorHAnsi" w:hAnsiTheme="minorHAnsi" w:cstheme="minorHAnsi"/>
                <w:u w:val="single"/>
                <w:lang w:val="en-GB"/>
              </w:rPr>
            </w:pPr>
            <w:r w:rsidRPr="00277328">
              <w:rPr>
                <w:rFonts w:asciiTheme="minorHAnsi" w:hAnsiTheme="minorHAnsi" w:cstheme="minorHAnsi"/>
                <w:u w:val="single"/>
                <w:lang w:val="en-GB"/>
              </w:rPr>
              <w:lastRenderedPageBreak/>
              <w:t>Interactions</w:t>
            </w:r>
          </w:p>
          <w:p w:rsidR="001B4778" w:rsidRPr="00277328" w:rsidRDefault="001B4778" w:rsidP="00A42699">
            <w:pPr>
              <w:rPr>
                <w:rFonts w:asciiTheme="minorHAnsi" w:hAnsiTheme="minorHAnsi" w:cstheme="minorHAnsi"/>
                <w:b w:val="0"/>
                <w:lang w:val="en-GB"/>
              </w:rPr>
            </w:pPr>
            <w:r w:rsidRPr="00277328">
              <w:rPr>
                <w:rFonts w:asciiTheme="minorHAnsi" w:hAnsiTheme="minorHAnsi" w:cstheme="minorHAnsi"/>
                <w:b w:val="0"/>
                <w:lang w:val="en-GB"/>
              </w:rPr>
              <w:t>Age of target group: High * Male</w:t>
            </w:r>
          </w:p>
          <w:p w:rsidR="001B4778" w:rsidRPr="00277328" w:rsidRDefault="001B4778" w:rsidP="00A42699">
            <w:pPr>
              <w:rPr>
                <w:rFonts w:asciiTheme="minorHAnsi" w:hAnsiTheme="minorHAnsi" w:cstheme="minorHAnsi"/>
                <w:b w:val="0"/>
                <w:lang w:val="en-GB"/>
              </w:rPr>
            </w:pPr>
          </w:p>
          <w:p w:rsidR="004E50E6" w:rsidRPr="00277328" w:rsidRDefault="004E50E6" w:rsidP="00A42699">
            <w:pPr>
              <w:rPr>
                <w:rFonts w:asciiTheme="minorHAnsi" w:hAnsiTheme="minorHAnsi" w:cstheme="minorHAnsi"/>
                <w:b w:val="0"/>
                <w:lang w:val="en-GB"/>
              </w:rPr>
            </w:pPr>
          </w:p>
          <w:p w:rsidR="008C193B" w:rsidRPr="00277328" w:rsidRDefault="008C193B" w:rsidP="00A42699">
            <w:pPr>
              <w:rPr>
                <w:rFonts w:asciiTheme="minorHAnsi" w:hAnsiTheme="minorHAnsi" w:cstheme="minorHAnsi"/>
                <w:b w:val="0"/>
                <w:lang w:val="en-GB"/>
              </w:rPr>
            </w:pPr>
          </w:p>
          <w:p w:rsidR="001B4778" w:rsidRPr="00277328" w:rsidRDefault="001B4778" w:rsidP="00A42699">
            <w:pPr>
              <w:rPr>
                <w:rFonts w:asciiTheme="minorHAnsi" w:hAnsiTheme="minorHAnsi" w:cstheme="minorHAnsi"/>
                <w:b w:val="0"/>
                <w:lang w:val="en-GB"/>
              </w:rPr>
            </w:pPr>
            <w:r w:rsidRPr="00277328">
              <w:rPr>
                <w:rFonts w:asciiTheme="minorHAnsi" w:hAnsiTheme="minorHAnsi" w:cstheme="minorHAnsi"/>
                <w:b w:val="0"/>
                <w:lang w:val="en-GB"/>
              </w:rPr>
              <w:t xml:space="preserve">Individual </w:t>
            </w:r>
            <w:r w:rsidR="008C193B" w:rsidRPr="00277328">
              <w:rPr>
                <w:rFonts w:asciiTheme="minorHAnsi" w:hAnsiTheme="minorHAnsi" w:cstheme="minorHAnsi"/>
                <w:b w:val="0"/>
                <w:lang w:val="en-GB"/>
              </w:rPr>
              <w:t xml:space="preserve"> </w:t>
            </w:r>
            <w:r w:rsidRPr="00277328">
              <w:rPr>
                <w:rFonts w:asciiTheme="minorHAnsi" w:hAnsiTheme="minorHAnsi" w:cstheme="minorHAnsi"/>
                <w:b w:val="0"/>
                <w:lang w:val="en-GB"/>
              </w:rPr>
              <w:t>health benefits* male</w:t>
            </w:r>
          </w:p>
          <w:p w:rsidR="001B4778" w:rsidRPr="00277328" w:rsidRDefault="001B4778" w:rsidP="00A42699">
            <w:pPr>
              <w:rPr>
                <w:rFonts w:asciiTheme="minorHAnsi" w:hAnsiTheme="minorHAnsi" w:cstheme="minorHAnsi"/>
                <w:b w:val="0"/>
                <w:lang w:val="en-GB"/>
              </w:rPr>
            </w:pPr>
          </w:p>
          <w:p w:rsidR="004E50E6" w:rsidRPr="00277328" w:rsidRDefault="004E50E6" w:rsidP="00A42699">
            <w:pPr>
              <w:rPr>
                <w:rFonts w:asciiTheme="minorHAnsi" w:hAnsiTheme="minorHAnsi" w:cstheme="minorHAnsi"/>
                <w:b w:val="0"/>
                <w:lang w:val="en-GB"/>
              </w:rPr>
            </w:pPr>
          </w:p>
          <w:p w:rsidR="004E50E6" w:rsidRPr="00277328" w:rsidRDefault="004E50E6" w:rsidP="00A42699">
            <w:pPr>
              <w:rPr>
                <w:rFonts w:asciiTheme="minorHAnsi" w:hAnsiTheme="minorHAnsi" w:cstheme="minorHAnsi"/>
                <w:b w:val="0"/>
                <w:lang w:val="en-GB"/>
              </w:rPr>
            </w:pPr>
          </w:p>
          <w:p w:rsidR="004E50E6" w:rsidRPr="00277328" w:rsidRDefault="004E50E6" w:rsidP="00A42699">
            <w:pPr>
              <w:rPr>
                <w:rFonts w:asciiTheme="minorHAnsi" w:hAnsiTheme="minorHAnsi" w:cstheme="minorHAnsi"/>
                <w:b w:val="0"/>
                <w:lang w:val="en-GB"/>
              </w:rPr>
            </w:pPr>
          </w:p>
          <w:p w:rsidR="004E50E6" w:rsidRPr="00277328" w:rsidRDefault="001B4778" w:rsidP="00A42699">
            <w:pPr>
              <w:rPr>
                <w:rFonts w:asciiTheme="minorHAnsi" w:hAnsiTheme="minorHAnsi" w:cstheme="minorHAnsi"/>
                <w:b w:val="0"/>
                <w:lang w:val="en-GB"/>
              </w:rPr>
            </w:pPr>
            <w:r w:rsidRPr="00277328">
              <w:rPr>
                <w:rFonts w:asciiTheme="minorHAnsi" w:hAnsiTheme="minorHAnsi" w:cstheme="minorHAnsi"/>
                <w:b w:val="0"/>
                <w:lang w:val="en-GB"/>
              </w:rPr>
              <w:t>Cost-effectiveness*Health</w:t>
            </w:r>
          </w:p>
          <w:p w:rsidR="001B4778" w:rsidRPr="00277328" w:rsidRDefault="001B4778" w:rsidP="00A42699">
            <w:pPr>
              <w:rPr>
                <w:rFonts w:asciiTheme="minorHAnsi" w:hAnsiTheme="minorHAnsi" w:cstheme="minorHAnsi"/>
                <w:b w:val="0"/>
                <w:lang w:val="en-GB"/>
              </w:rPr>
            </w:pPr>
            <w:r w:rsidRPr="00277328">
              <w:rPr>
                <w:rFonts w:asciiTheme="minorHAnsi" w:hAnsiTheme="minorHAnsi" w:cstheme="minorHAnsi"/>
                <w:b w:val="0"/>
                <w:lang w:val="en-GB"/>
              </w:rPr>
              <w:t>Manager</w:t>
            </w:r>
          </w:p>
        </w:tc>
        <w:tc>
          <w:tcPr>
            <w:tcW w:w="1219" w:type="dxa"/>
          </w:tcPr>
          <w:p w:rsidR="00372C59" w:rsidRPr="00277328" w:rsidRDefault="00372C59" w:rsidP="00A42699">
            <w:pPr>
              <w:cnfStyle w:val="000000100000"/>
              <w:rPr>
                <w:rFonts w:cstheme="minorHAnsi"/>
                <w:lang w:val="en-GB"/>
              </w:rPr>
            </w:pPr>
          </w:p>
          <w:p w:rsidR="004E50E6" w:rsidRPr="00277328" w:rsidRDefault="004E50E6" w:rsidP="00A42699">
            <w:pPr>
              <w:cnfStyle w:val="000000100000"/>
              <w:rPr>
                <w:rFonts w:cstheme="minorHAnsi"/>
                <w:lang w:val="en-GB"/>
              </w:rPr>
            </w:pPr>
            <w:r w:rsidRPr="00277328">
              <w:rPr>
                <w:rFonts w:cstheme="minorHAnsi"/>
                <w:lang w:val="en-GB"/>
              </w:rPr>
              <w:t>0.437</w:t>
            </w:r>
            <w:r w:rsidR="00F35709" w:rsidRPr="00277328">
              <w:rPr>
                <w:rFonts w:cstheme="minorHAnsi"/>
                <w:lang w:val="en-GB"/>
              </w:rPr>
              <w:t>*</w:t>
            </w:r>
          </w:p>
          <w:p w:rsidR="004E50E6" w:rsidRPr="00277328" w:rsidRDefault="004E50E6" w:rsidP="00A42699">
            <w:pPr>
              <w:cnfStyle w:val="000000100000"/>
              <w:rPr>
                <w:rFonts w:cstheme="minorHAnsi"/>
                <w:lang w:val="en-GB"/>
              </w:rPr>
            </w:pPr>
            <w:r w:rsidRPr="00277328">
              <w:rPr>
                <w:rFonts w:cstheme="minorHAnsi"/>
                <w:lang w:val="en-GB"/>
              </w:rPr>
              <w:t>(0.256)</w:t>
            </w:r>
          </w:p>
          <w:p w:rsidR="004E50E6" w:rsidRPr="00277328" w:rsidRDefault="004E50E6" w:rsidP="00A42699">
            <w:pPr>
              <w:cnfStyle w:val="000000100000"/>
              <w:rPr>
                <w:rFonts w:cstheme="minorHAnsi"/>
                <w:lang w:val="en-GB"/>
              </w:rPr>
            </w:pPr>
          </w:p>
          <w:p w:rsidR="008C193B" w:rsidRPr="00277328" w:rsidRDefault="008C193B" w:rsidP="00A42699">
            <w:pPr>
              <w:cnfStyle w:val="000000100000"/>
              <w:rPr>
                <w:rFonts w:cstheme="minorHAnsi"/>
                <w:lang w:val="en-GB"/>
              </w:rPr>
            </w:pPr>
          </w:p>
          <w:p w:rsidR="008C193B" w:rsidRPr="00277328" w:rsidRDefault="008C193B" w:rsidP="00A42699">
            <w:pPr>
              <w:cnfStyle w:val="000000100000"/>
              <w:rPr>
                <w:rFonts w:cstheme="minorHAnsi"/>
                <w:lang w:val="en-GB"/>
              </w:rPr>
            </w:pPr>
          </w:p>
          <w:p w:rsidR="004E50E6" w:rsidRPr="00277328" w:rsidRDefault="004E50E6" w:rsidP="00A42699">
            <w:pPr>
              <w:cnfStyle w:val="000000100000"/>
              <w:rPr>
                <w:rFonts w:cstheme="minorHAnsi"/>
                <w:lang w:val="en-GB"/>
              </w:rPr>
            </w:pPr>
            <w:r w:rsidRPr="00277328">
              <w:rPr>
                <w:rFonts w:cstheme="minorHAnsi"/>
                <w:lang w:val="en-GB"/>
              </w:rPr>
              <w:t>-0.389</w:t>
            </w:r>
            <w:r w:rsidR="008C193B" w:rsidRPr="00277328">
              <w:rPr>
                <w:rFonts w:cstheme="minorHAnsi"/>
                <w:lang w:val="en-GB"/>
              </w:rPr>
              <w:t>**</w:t>
            </w:r>
          </w:p>
          <w:p w:rsidR="004E50E6" w:rsidRPr="00277328" w:rsidRDefault="004E50E6" w:rsidP="00A42699">
            <w:pPr>
              <w:cnfStyle w:val="000000100000"/>
              <w:rPr>
                <w:rFonts w:cstheme="minorHAnsi"/>
                <w:lang w:val="en-GB"/>
              </w:rPr>
            </w:pPr>
            <w:r w:rsidRPr="00277328">
              <w:rPr>
                <w:rFonts w:cstheme="minorHAnsi"/>
                <w:lang w:val="en-GB"/>
              </w:rPr>
              <w:t>(0.191)</w:t>
            </w:r>
          </w:p>
          <w:p w:rsidR="004E50E6" w:rsidRPr="00277328" w:rsidRDefault="004E50E6" w:rsidP="00A42699">
            <w:pPr>
              <w:cnfStyle w:val="000000100000"/>
              <w:rPr>
                <w:rFonts w:cstheme="minorHAnsi"/>
                <w:lang w:val="en-GB"/>
              </w:rPr>
            </w:pPr>
          </w:p>
          <w:p w:rsidR="004E50E6" w:rsidRPr="00277328" w:rsidRDefault="004E50E6" w:rsidP="00A42699">
            <w:pPr>
              <w:cnfStyle w:val="000000100000"/>
              <w:rPr>
                <w:rFonts w:cstheme="minorHAnsi"/>
                <w:lang w:val="en-GB"/>
              </w:rPr>
            </w:pPr>
          </w:p>
          <w:p w:rsidR="004E50E6" w:rsidRPr="00277328" w:rsidRDefault="004E50E6" w:rsidP="00A42699">
            <w:pPr>
              <w:cnfStyle w:val="000000100000"/>
              <w:rPr>
                <w:rFonts w:cstheme="minorHAnsi"/>
                <w:lang w:val="en-GB"/>
              </w:rPr>
            </w:pPr>
          </w:p>
          <w:p w:rsidR="005D5DCE" w:rsidRPr="00277328" w:rsidRDefault="005D5DCE" w:rsidP="00A42699">
            <w:pPr>
              <w:cnfStyle w:val="000000100000"/>
              <w:rPr>
                <w:rFonts w:cstheme="minorHAnsi"/>
                <w:lang w:val="en-GB"/>
              </w:rPr>
            </w:pPr>
          </w:p>
          <w:p w:rsidR="008C193B" w:rsidRPr="00277328" w:rsidRDefault="008C193B" w:rsidP="00A42699">
            <w:pPr>
              <w:cnfStyle w:val="000000100000"/>
              <w:rPr>
                <w:rFonts w:cstheme="minorHAnsi"/>
                <w:lang w:val="en-GB"/>
              </w:rPr>
            </w:pPr>
          </w:p>
          <w:p w:rsidR="004E50E6" w:rsidRPr="00277328" w:rsidRDefault="004E50E6" w:rsidP="00A42699">
            <w:pPr>
              <w:cnfStyle w:val="000000100000"/>
              <w:rPr>
                <w:rFonts w:cstheme="minorHAnsi"/>
                <w:lang w:val="en-GB"/>
              </w:rPr>
            </w:pPr>
            <w:r w:rsidRPr="00277328">
              <w:rPr>
                <w:rFonts w:cstheme="minorHAnsi"/>
                <w:lang w:val="en-GB"/>
              </w:rPr>
              <w:t>0.392</w:t>
            </w:r>
            <w:r w:rsidR="008C193B" w:rsidRPr="00277328">
              <w:rPr>
                <w:rFonts w:cstheme="minorHAnsi"/>
                <w:lang w:val="en-GB"/>
              </w:rPr>
              <w:t>**</w:t>
            </w:r>
          </w:p>
          <w:p w:rsidR="004E50E6" w:rsidRPr="00277328" w:rsidRDefault="004E50E6" w:rsidP="00A42699">
            <w:pPr>
              <w:cnfStyle w:val="000000100000"/>
              <w:rPr>
                <w:rFonts w:cstheme="minorHAnsi"/>
                <w:lang w:val="en-GB"/>
              </w:rPr>
            </w:pPr>
            <w:r w:rsidRPr="00277328">
              <w:rPr>
                <w:rFonts w:cstheme="minorHAnsi"/>
                <w:lang w:val="en-GB"/>
              </w:rPr>
              <w:t>(0.186)</w:t>
            </w:r>
          </w:p>
        </w:tc>
        <w:tc>
          <w:tcPr>
            <w:tcW w:w="1910" w:type="dxa"/>
          </w:tcPr>
          <w:p w:rsidR="00372C59" w:rsidRPr="00277328" w:rsidRDefault="00372C59" w:rsidP="00A42699">
            <w:pPr>
              <w:cnfStyle w:val="000000100000"/>
              <w:rPr>
                <w:rFonts w:cstheme="minorHAnsi"/>
                <w:lang w:val="en-GB"/>
              </w:rPr>
            </w:pPr>
          </w:p>
          <w:p w:rsidR="004E50E6" w:rsidRPr="00277328" w:rsidRDefault="004E50E6" w:rsidP="00A42699">
            <w:pPr>
              <w:cnfStyle w:val="000000100000"/>
              <w:rPr>
                <w:rFonts w:cstheme="minorHAnsi"/>
                <w:lang w:val="en-GB"/>
              </w:rPr>
            </w:pPr>
            <w:r w:rsidRPr="00277328">
              <w:rPr>
                <w:rFonts w:cstheme="minorHAnsi"/>
                <w:lang w:val="en-GB"/>
              </w:rPr>
              <w:t>0.344</w:t>
            </w:r>
          </w:p>
          <w:p w:rsidR="004E50E6" w:rsidRPr="00277328" w:rsidRDefault="004E50E6" w:rsidP="00A42699">
            <w:pPr>
              <w:cnfStyle w:val="000000100000"/>
              <w:rPr>
                <w:rFonts w:cstheme="minorHAnsi"/>
                <w:lang w:val="en-GB"/>
              </w:rPr>
            </w:pPr>
            <w:r w:rsidRPr="00277328">
              <w:rPr>
                <w:rFonts w:cstheme="minorHAnsi"/>
                <w:lang w:val="en-GB"/>
              </w:rPr>
              <w:t>(0.363)</w:t>
            </w:r>
          </w:p>
          <w:p w:rsidR="004E50E6" w:rsidRPr="00277328" w:rsidRDefault="004E50E6" w:rsidP="00A42699">
            <w:pPr>
              <w:cnfStyle w:val="000000100000"/>
              <w:rPr>
                <w:rFonts w:cstheme="minorHAnsi"/>
                <w:lang w:val="en-GB"/>
              </w:rPr>
            </w:pPr>
          </w:p>
          <w:p w:rsidR="004E50E6" w:rsidRPr="00277328" w:rsidRDefault="004E50E6" w:rsidP="00A42699">
            <w:pPr>
              <w:cnfStyle w:val="000000100000"/>
              <w:rPr>
                <w:rFonts w:cstheme="minorHAnsi"/>
                <w:lang w:val="en-GB"/>
              </w:rPr>
            </w:pPr>
          </w:p>
          <w:p w:rsidR="008C193B" w:rsidRPr="00277328" w:rsidRDefault="008C193B" w:rsidP="00A42699">
            <w:pPr>
              <w:cnfStyle w:val="000000100000"/>
              <w:rPr>
                <w:rFonts w:cstheme="minorHAnsi"/>
                <w:lang w:val="en-GB"/>
              </w:rPr>
            </w:pPr>
          </w:p>
          <w:p w:rsidR="004E50E6" w:rsidRPr="00277328" w:rsidRDefault="004E50E6" w:rsidP="00A42699">
            <w:pPr>
              <w:cnfStyle w:val="000000100000"/>
              <w:rPr>
                <w:rFonts w:cstheme="minorHAnsi"/>
                <w:lang w:val="en-GB"/>
              </w:rPr>
            </w:pPr>
            <w:r w:rsidRPr="00277328">
              <w:rPr>
                <w:rFonts w:cstheme="minorHAnsi"/>
                <w:lang w:val="en-GB"/>
              </w:rPr>
              <w:t>0.069</w:t>
            </w:r>
          </w:p>
          <w:p w:rsidR="004E50E6" w:rsidRPr="00277328" w:rsidRDefault="004E50E6" w:rsidP="00A42699">
            <w:pPr>
              <w:cnfStyle w:val="000000100000"/>
              <w:rPr>
                <w:rFonts w:cstheme="minorHAnsi"/>
                <w:lang w:val="en-GB"/>
              </w:rPr>
            </w:pPr>
            <w:r w:rsidRPr="00277328">
              <w:rPr>
                <w:rFonts w:cstheme="minorHAnsi"/>
                <w:lang w:val="en-GB"/>
              </w:rPr>
              <w:t>(0.516)</w:t>
            </w:r>
          </w:p>
          <w:p w:rsidR="004E50E6" w:rsidRPr="00277328" w:rsidRDefault="004E50E6" w:rsidP="00A42699">
            <w:pPr>
              <w:cnfStyle w:val="000000100000"/>
              <w:rPr>
                <w:rFonts w:cstheme="minorHAnsi"/>
                <w:lang w:val="en-GB"/>
              </w:rPr>
            </w:pPr>
          </w:p>
          <w:p w:rsidR="004E50E6" w:rsidRPr="00277328" w:rsidRDefault="004E50E6" w:rsidP="00A42699">
            <w:pPr>
              <w:cnfStyle w:val="000000100000"/>
              <w:rPr>
                <w:rFonts w:cstheme="minorHAnsi"/>
                <w:lang w:val="en-GB"/>
              </w:rPr>
            </w:pPr>
          </w:p>
          <w:p w:rsidR="004E50E6" w:rsidRPr="00277328" w:rsidRDefault="004E50E6" w:rsidP="00A42699">
            <w:pPr>
              <w:cnfStyle w:val="000000100000"/>
              <w:rPr>
                <w:rFonts w:cstheme="minorHAnsi"/>
                <w:lang w:val="en-GB"/>
              </w:rPr>
            </w:pPr>
          </w:p>
          <w:p w:rsidR="005D5DCE" w:rsidRPr="00277328" w:rsidRDefault="005D5DCE" w:rsidP="00A42699">
            <w:pPr>
              <w:cnfStyle w:val="000000100000"/>
              <w:rPr>
                <w:rFonts w:cstheme="minorHAnsi"/>
                <w:lang w:val="en-GB"/>
              </w:rPr>
            </w:pPr>
          </w:p>
          <w:p w:rsidR="008C193B" w:rsidRPr="00277328" w:rsidRDefault="008C193B" w:rsidP="00A42699">
            <w:pPr>
              <w:cnfStyle w:val="000000100000"/>
              <w:rPr>
                <w:rFonts w:cstheme="minorHAnsi"/>
                <w:lang w:val="en-GB"/>
              </w:rPr>
            </w:pPr>
          </w:p>
          <w:p w:rsidR="004E50E6" w:rsidRPr="00277328" w:rsidRDefault="004E50E6" w:rsidP="00A42699">
            <w:pPr>
              <w:cnfStyle w:val="000000100000"/>
              <w:rPr>
                <w:rFonts w:cstheme="minorHAnsi"/>
                <w:lang w:val="en-GB"/>
              </w:rPr>
            </w:pPr>
            <w:r w:rsidRPr="00277328">
              <w:rPr>
                <w:rFonts w:cstheme="minorHAnsi"/>
                <w:lang w:val="en-GB"/>
              </w:rPr>
              <w:t>0.499</w:t>
            </w:r>
          </w:p>
          <w:p w:rsidR="004E50E6" w:rsidRPr="00277328" w:rsidRDefault="004E50E6" w:rsidP="00A42699">
            <w:pPr>
              <w:cnfStyle w:val="000000100000"/>
              <w:rPr>
                <w:rFonts w:cstheme="minorHAnsi"/>
                <w:lang w:val="en-GB"/>
              </w:rPr>
            </w:pPr>
            <w:r w:rsidRPr="00277328">
              <w:rPr>
                <w:rFonts w:cstheme="minorHAnsi"/>
                <w:lang w:val="en-GB"/>
              </w:rPr>
              <w:t>(0.361)</w:t>
            </w:r>
          </w:p>
        </w:tc>
        <w:tc>
          <w:tcPr>
            <w:tcW w:w="2186" w:type="dxa"/>
          </w:tcPr>
          <w:p w:rsidR="00372C59" w:rsidRPr="00277328" w:rsidRDefault="00372C59" w:rsidP="00A42699">
            <w:pPr>
              <w:cnfStyle w:val="000000100000"/>
              <w:rPr>
                <w:rFonts w:cstheme="minorHAnsi"/>
                <w:lang w:val="en-GB"/>
              </w:rPr>
            </w:pPr>
          </w:p>
          <w:p w:rsidR="005D5DCE" w:rsidRPr="00277328" w:rsidRDefault="005D5DCE" w:rsidP="00A42699">
            <w:pPr>
              <w:cnfStyle w:val="000000100000"/>
              <w:rPr>
                <w:rFonts w:cstheme="minorHAnsi"/>
                <w:lang w:val="en-GB"/>
              </w:rPr>
            </w:pPr>
            <w:r w:rsidRPr="00277328">
              <w:rPr>
                <w:rFonts w:cstheme="minorHAnsi"/>
                <w:lang w:val="en-GB"/>
              </w:rPr>
              <w:t>1.011</w:t>
            </w:r>
          </w:p>
          <w:p w:rsidR="005D5DCE" w:rsidRPr="00277328" w:rsidRDefault="005D5DCE" w:rsidP="00A42699">
            <w:pPr>
              <w:cnfStyle w:val="000000100000"/>
              <w:rPr>
                <w:rFonts w:cstheme="minorHAnsi"/>
                <w:lang w:val="en-GB"/>
              </w:rPr>
            </w:pPr>
            <w:r w:rsidRPr="00277328">
              <w:rPr>
                <w:rFonts w:cstheme="minorHAnsi"/>
                <w:lang w:val="en-GB"/>
              </w:rPr>
              <w:t>(0.689)</w:t>
            </w:r>
          </w:p>
          <w:p w:rsidR="005D5DCE" w:rsidRPr="00277328" w:rsidRDefault="005D5DCE" w:rsidP="00A42699">
            <w:pPr>
              <w:cnfStyle w:val="000000100000"/>
              <w:rPr>
                <w:rFonts w:cstheme="minorHAnsi"/>
                <w:lang w:val="en-GB"/>
              </w:rPr>
            </w:pPr>
          </w:p>
          <w:p w:rsidR="005D5DCE" w:rsidRPr="00277328" w:rsidRDefault="005D5DCE" w:rsidP="00A42699">
            <w:pPr>
              <w:cnfStyle w:val="000000100000"/>
              <w:rPr>
                <w:rFonts w:cstheme="minorHAnsi"/>
                <w:lang w:val="en-GB"/>
              </w:rPr>
            </w:pPr>
          </w:p>
          <w:p w:rsidR="008C193B" w:rsidRPr="00277328" w:rsidRDefault="008C193B" w:rsidP="00A42699">
            <w:pPr>
              <w:cnfStyle w:val="000000100000"/>
              <w:rPr>
                <w:rFonts w:cstheme="minorHAnsi"/>
                <w:lang w:val="en-GB"/>
              </w:rPr>
            </w:pPr>
          </w:p>
          <w:p w:rsidR="005D5DCE" w:rsidRPr="00277328" w:rsidRDefault="005D5DCE" w:rsidP="00A42699">
            <w:pPr>
              <w:cnfStyle w:val="000000100000"/>
              <w:rPr>
                <w:rFonts w:cstheme="minorHAnsi"/>
                <w:lang w:val="en-GB"/>
              </w:rPr>
            </w:pPr>
            <w:r w:rsidRPr="00277328">
              <w:rPr>
                <w:rFonts w:cstheme="minorHAnsi"/>
                <w:lang w:val="en-GB"/>
              </w:rPr>
              <w:t>-0.649</w:t>
            </w:r>
            <w:r w:rsidR="00F35709" w:rsidRPr="00277328">
              <w:rPr>
                <w:rFonts w:cstheme="minorHAnsi"/>
                <w:lang w:val="en-GB"/>
              </w:rPr>
              <w:t>*</w:t>
            </w:r>
          </w:p>
          <w:p w:rsidR="005D5DCE" w:rsidRPr="00277328" w:rsidRDefault="005D5DCE" w:rsidP="00A42699">
            <w:pPr>
              <w:cnfStyle w:val="000000100000"/>
              <w:rPr>
                <w:rFonts w:cstheme="minorHAnsi"/>
                <w:lang w:val="en-GB"/>
              </w:rPr>
            </w:pPr>
            <w:r w:rsidRPr="00277328">
              <w:rPr>
                <w:rFonts w:cstheme="minorHAnsi"/>
                <w:lang w:val="en-GB"/>
              </w:rPr>
              <w:t>(0.393)</w:t>
            </w:r>
          </w:p>
          <w:p w:rsidR="005D5DCE" w:rsidRPr="00277328" w:rsidRDefault="005D5DCE" w:rsidP="00A42699">
            <w:pPr>
              <w:cnfStyle w:val="000000100000"/>
              <w:rPr>
                <w:rFonts w:cstheme="minorHAnsi"/>
                <w:lang w:val="en-GB"/>
              </w:rPr>
            </w:pPr>
          </w:p>
          <w:p w:rsidR="005D5DCE" w:rsidRPr="00277328" w:rsidRDefault="005D5DCE" w:rsidP="00A42699">
            <w:pPr>
              <w:cnfStyle w:val="000000100000"/>
              <w:rPr>
                <w:rFonts w:cstheme="minorHAnsi"/>
                <w:lang w:val="en-GB"/>
              </w:rPr>
            </w:pPr>
          </w:p>
          <w:p w:rsidR="005D5DCE" w:rsidRPr="00277328" w:rsidRDefault="005D5DCE" w:rsidP="00A42699">
            <w:pPr>
              <w:cnfStyle w:val="000000100000"/>
              <w:rPr>
                <w:rFonts w:cstheme="minorHAnsi"/>
                <w:lang w:val="en-GB"/>
              </w:rPr>
            </w:pPr>
          </w:p>
          <w:p w:rsidR="005D5DCE" w:rsidRPr="00277328" w:rsidRDefault="005D5DCE" w:rsidP="00A42699">
            <w:pPr>
              <w:cnfStyle w:val="000000100000"/>
              <w:rPr>
                <w:rFonts w:cstheme="minorHAnsi"/>
                <w:lang w:val="en-GB"/>
              </w:rPr>
            </w:pPr>
          </w:p>
          <w:p w:rsidR="008C193B" w:rsidRPr="00277328" w:rsidRDefault="008C193B" w:rsidP="00A42699">
            <w:pPr>
              <w:cnfStyle w:val="000000100000"/>
              <w:rPr>
                <w:rFonts w:cstheme="minorHAnsi"/>
                <w:lang w:val="en-GB"/>
              </w:rPr>
            </w:pPr>
          </w:p>
          <w:p w:rsidR="005D5DCE" w:rsidRPr="00277328" w:rsidRDefault="005D5DCE" w:rsidP="00A42699">
            <w:pPr>
              <w:cnfStyle w:val="000000100000"/>
              <w:rPr>
                <w:rFonts w:cstheme="minorHAnsi"/>
                <w:lang w:val="en-GB"/>
              </w:rPr>
            </w:pPr>
            <w:r w:rsidRPr="00277328">
              <w:rPr>
                <w:rFonts w:cstheme="minorHAnsi"/>
                <w:lang w:val="en-GB"/>
              </w:rPr>
              <w:t>-0.079</w:t>
            </w:r>
          </w:p>
          <w:p w:rsidR="005D5DCE" w:rsidRPr="00277328" w:rsidRDefault="005D5DCE" w:rsidP="00A42699">
            <w:pPr>
              <w:cnfStyle w:val="000000100000"/>
              <w:rPr>
                <w:rFonts w:cstheme="minorHAnsi"/>
                <w:lang w:val="en-GB"/>
              </w:rPr>
            </w:pPr>
            <w:r w:rsidRPr="00277328">
              <w:rPr>
                <w:rFonts w:cstheme="minorHAnsi"/>
                <w:lang w:val="en-GB"/>
              </w:rPr>
              <w:t>(0.406)</w:t>
            </w:r>
          </w:p>
        </w:tc>
        <w:tc>
          <w:tcPr>
            <w:tcW w:w="1290" w:type="dxa"/>
          </w:tcPr>
          <w:p w:rsidR="00372C59" w:rsidRPr="00277328" w:rsidRDefault="00372C59" w:rsidP="00A42699">
            <w:pPr>
              <w:cnfStyle w:val="000000100000"/>
              <w:rPr>
                <w:rFonts w:cstheme="minorHAnsi"/>
                <w:lang w:val="en-GB"/>
              </w:rPr>
            </w:pPr>
          </w:p>
          <w:p w:rsidR="005D5DCE" w:rsidRPr="00277328" w:rsidRDefault="005D5DCE" w:rsidP="00A42699">
            <w:pPr>
              <w:cnfStyle w:val="000000100000"/>
              <w:rPr>
                <w:rFonts w:cstheme="minorHAnsi"/>
                <w:lang w:val="en-GB"/>
              </w:rPr>
            </w:pPr>
            <w:r w:rsidRPr="00277328">
              <w:rPr>
                <w:rFonts w:cstheme="minorHAnsi"/>
                <w:lang w:val="en-GB"/>
              </w:rPr>
              <w:t>0.076</w:t>
            </w:r>
          </w:p>
          <w:p w:rsidR="005D5DCE" w:rsidRPr="00277328" w:rsidRDefault="005D5DCE" w:rsidP="00A42699">
            <w:pPr>
              <w:cnfStyle w:val="000000100000"/>
              <w:rPr>
                <w:rFonts w:cstheme="minorHAnsi"/>
                <w:lang w:val="en-GB"/>
              </w:rPr>
            </w:pPr>
            <w:r w:rsidRPr="00277328">
              <w:rPr>
                <w:rFonts w:cstheme="minorHAnsi"/>
                <w:lang w:val="en-GB"/>
              </w:rPr>
              <w:t>(0.362)</w:t>
            </w:r>
          </w:p>
          <w:p w:rsidR="005D5DCE" w:rsidRPr="00277328" w:rsidRDefault="005D5DCE" w:rsidP="00A42699">
            <w:pPr>
              <w:cnfStyle w:val="000000100000"/>
              <w:rPr>
                <w:rFonts w:cstheme="minorHAnsi"/>
                <w:lang w:val="en-GB"/>
              </w:rPr>
            </w:pPr>
          </w:p>
          <w:p w:rsidR="005D5DCE" w:rsidRPr="00277328" w:rsidRDefault="005D5DCE" w:rsidP="00A42699">
            <w:pPr>
              <w:cnfStyle w:val="000000100000"/>
              <w:rPr>
                <w:rFonts w:cstheme="minorHAnsi"/>
                <w:lang w:val="en-GB"/>
              </w:rPr>
            </w:pPr>
          </w:p>
          <w:p w:rsidR="008C193B" w:rsidRPr="00277328" w:rsidRDefault="008C193B" w:rsidP="00A42699">
            <w:pPr>
              <w:cnfStyle w:val="000000100000"/>
              <w:rPr>
                <w:rFonts w:cstheme="minorHAnsi"/>
                <w:lang w:val="en-GB"/>
              </w:rPr>
            </w:pPr>
          </w:p>
          <w:p w:rsidR="005D5DCE" w:rsidRPr="00277328" w:rsidRDefault="005D5DCE" w:rsidP="00A42699">
            <w:pPr>
              <w:cnfStyle w:val="000000100000"/>
              <w:rPr>
                <w:rFonts w:cstheme="minorHAnsi"/>
                <w:lang w:val="en-GB"/>
              </w:rPr>
            </w:pPr>
            <w:r w:rsidRPr="00277328">
              <w:rPr>
                <w:rFonts w:cstheme="minorHAnsi"/>
                <w:lang w:val="en-GB"/>
              </w:rPr>
              <w:t>-0.685</w:t>
            </w:r>
            <w:r w:rsidR="002B49B8" w:rsidRPr="00277328">
              <w:rPr>
                <w:rFonts w:cstheme="minorHAnsi"/>
                <w:lang w:val="en-GB"/>
              </w:rPr>
              <w:t>*</w:t>
            </w:r>
            <w:r w:rsidR="00B11F31" w:rsidRPr="00277328">
              <w:rPr>
                <w:rFonts w:cstheme="minorHAnsi"/>
                <w:lang w:val="en-GB"/>
              </w:rPr>
              <w:t>**</w:t>
            </w:r>
          </w:p>
          <w:p w:rsidR="005D5DCE" w:rsidRPr="00277328" w:rsidRDefault="005D5DCE" w:rsidP="00A42699">
            <w:pPr>
              <w:cnfStyle w:val="000000100000"/>
              <w:rPr>
                <w:rFonts w:cstheme="minorHAnsi"/>
                <w:lang w:val="en-GB"/>
              </w:rPr>
            </w:pPr>
            <w:r w:rsidRPr="00277328">
              <w:rPr>
                <w:rFonts w:cstheme="minorHAnsi"/>
                <w:lang w:val="en-GB"/>
              </w:rPr>
              <w:t>(0.221)</w:t>
            </w:r>
          </w:p>
          <w:p w:rsidR="005D5DCE" w:rsidRPr="00277328" w:rsidRDefault="005D5DCE" w:rsidP="00A42699">
            <w:pPr>
              <w:cnfStyle w:val="000000100000"/>
              <w:rPr>
                <w:rFonts w:cstheme="minorHAnsi"/>
                <w:lang w:val="en-GB"/>
              </w:rPr>
            </w:pPr>
          </w:p>
          <w:p w:rsidR="005D5DCE" w:rsidRPr="00277328" w:rsidRDefault="005D5DCE" w:rsidP="00A42699">
            <w:pPr>
              <w:cnfStyle w:val="000000100000"/>
              <w:rPr>
                <w:rFonts w:cstheme="minorHAnsi"/>
                <w:lang w:val="en-GB"/>
              </w:rPr>
            </w:pPr>
          </w:p>
          <w:p w:rsidR="005D5DCE" w:rsidRPr="00277328" w:rsidRDefault="005D5DCE" w:rsidP="00A42699">
            <w:pPr>
              <w:cnfStyle w:val="000000100000"/>
              <w:rPr>
                <w:rFonts w:cstheme="minorHAnsi"/>
                <w:lang w:val="en-GB"/>
              </w:rPr>
            </w:pPr>
          </w:p>
          <w:p w:rsidR="005D5DCE" w:rsidRPr="00277328" w:rsidRDefault="005D5DCE" w:rsidP="00A42699">
            <w:pPr>
              <w:cnfStyle w:val="000000100000"/>
              <w:rPr>
                <w:rFonts w:cstheme="minorHAnsi"/>
                <w:lang w:val="en-GB"/>
              </w:rPr>
            </w:pPr>
          </w:p>
          <w:p w:rsidR="008C193B" w:rsidRPr="00277328" w:rsidRDefault="008C193B" w:rsidP="00A42699">
            <w:pPr>
              <w:cnfStyle w:val="000000100000"/>
              <w:rPr>
                <w:rFonts w:cstheme="minorHAnsi"/>
                <w:lang w:val="en-GB"/>
              </w:rPr>
            </w:pPr>
          </w:p>
          <w:p w:rsidR="005D5DCE" w:rsidRPr="00277328" w:rsidRDefault="005D5DCE" w:rsidP="00A42699">
            <w:pPr>
              <w:cnfStyle w:val="000000100000"/>
              <w:rPr>
                <w:rFonts w:cstheme="minorHAnsi"/>
                <w:lang w:val="en-GB"/>
              </w:rPr>
            </w:pPr>
            <w:r w:rsidRPr="00277328">
              <w:rPr>
                <w:rFonts w:cstheme="minorHAnsi"/>
                <w:lang w:val="en-GB"/>
              </w:rPr>
              <w:t>0.634</w:t>
            </w:r>
            <w:r w:rsidR="002B49B8" w:rsidRPr="00277328">
              <w:rPr>
                <w:rFonts w:cstheme="minorHAnsi"/>
                <w:lang w:val="en-GB"/>
              </w:rPr>
              <w:t>**</w:t>
            </w:r>
          </w:p>
          <w:p w:rsidR="005D5DCE" w:rsidRPr="00277328" w:rsidRDefault="005D5DCE" w:rsidP="00A42699">
            <w:pPr>
              <w:cnfStyle w:val="000000100000"/>
              <w:rPr>
                <w:rFonts w:cstheme="minorHAnsi"/>
                <w:lang w:val="en-GB"/>
              </w:rPr>
            </w:pPr>
            <w:r w:rsidRPr="00277328">
              <w:rPr>
                <w:rFonts w:cstheme="minorHAnsi"/>
                <w:lang w:val="en-GB"/>
              </w:rPr>
              <w:t>(0.263)</w:t>
            </w:r>
          </w:p>
        </w:tc>
      </w:tr>
      <w:tr w:rsidR="002B49B8" w:rsidRPr="00277328" w:rsidTr="00B11F31">
        <w:trPr>
          <w:cnfStyle w:val="000000010000"/>
        </w:trPr>
        <w:tc>
          <w:tcPr>
            <w:cnfStyle w:val="001000000000"/>
            <w:tcW w:w="2150" w:type="dxa"/>
          </w:tcPr>
          <w:p w:rsidR="002B49B8" w:rsidRPr="00277328" w:rsidRDefault="002B49B8" w:rsidP="00A42699">
            <w:pPr>
              <w:rPr>
                <w:rFonts w:asciiTheme="minorHAnsi" w:hAnsiTheme="minorHAnsi" w:cstheme="minorHAnsi"/>
                <w:b w:val="0"/>
                <w:lang w:val="en-GB"/>
              </w:rPr>
            </w:pPr>
            <w:r w:rsidRPr="00277328">
              <w:rPr>
                <w:rFonts w:asciiTheme="minorHAnsi" w:hAnsiTheme="minorHAnsi" w:cstheme="minorHAnsi"/>
                <w:b w:val="0"/>
                <w:lang w:val="en-GB"/>
              </w:rPr>
              <w:t># Individuals</w:t>
            </w:r>
          </w:p>
          <w:p w:rsidR="002B49B8" w:rsidRPr="00277328" w:rsidRDefault="002B49B8" w:rsidP="00A42699">
            <w:pPr>
              <w:rPr>
                <w:rFonts w:asciiTheme="minorHAnsi" w:hAnsiTheme="minorHAnsi" w:cstheme="minorHAnsi"/>
                <w:b w:val="0"/>
                <w:lang w:val="en-GB"/>
              </w:rPr>
            </w:pPr>
          </w:p>
          <w:p w:rsidR="002B49B8" w:rsidRPr="00277328" w:rsidRDefault="002B49B8" w:rsidP="00A42699">
            <w:pPr>
              <w:rPr>
                <w:rFonts w:asciiTheme="minorHAnsi" w:hAnsiTheme="minorHAnsi" w:cstheme="minorHAnsi"/>
                <w:b w:val="0"/>
                <w:lang w:val="en-GB"/>
              </w:rPr>
            </w:pPr>
            <w:r w:rsidRPr="00277328">
              <w:rPr>
                <w:rFonts w:asciiTheme="minorHAnsi" w:hAnsiTheme="minorHAnsi" w:cstheme="minorHAnsi"/>
                <w:b w:val="0"/>
                <w:lang w:val="en-GB"/>
              </w:rPr>
              <w:t>Observations</w:t>
            </w:r>
          </w:p>
          <w:p w:rsidR="002B49B8" w:rsidRPr="00277328" w:rsidRDefault="002B49B8" w:rsidP="00A42699">
            <w:pPr>
              <w:rPr>
                <w:rFonts w:asciiTheme="minorHAnsi" w:hAnsiTheme="minorHAnsi" w:cstheme="minorHAnsi"/>
                <w:b w:val="0"/>
                <w:lang w:val="en-GB"/>
              </w:rPr>
            </w:pPr>
          </w:p>
          <w:p w:rsidR="002B49B8" w:rsidRPr="00277328" w:rsidRDefault="002B49B8" w:rsidP="00A42699">
            <w:pPr>
              <w:rPr>
                <w:rFonts w:asciiTheme="minorHAnsi" w:hAnsiTheme="minorHAnsi" w:cstheme="minorHAnsi"/>
                <w:b w:val="0"/>
                <w:lang w:val="en-GB"/>
              </w:rPr>
            </w:pPr>
            <w:proofErr w:type="spellStart"/>
            <w:r w:rsidRPr="00277328">
              <w:rPr>
                <w:rFonts w:asciiTheme="minorHAnsi" w:hAnsiTheme="minorHAnsi" w:cstheme="minorHAnsi"/>
                <w:b w:val="0"/>
                <w:lang w:val="en-GB"/>
              </w:rPr>
              <w:t>LogL</w:t>
            </w:r>
            <w:proofErr w:type="spellEnd"/>
          </w:p>
          <w:p w:rsidR="002B49B8" w:rsidRPr="00277328" w:rsidRDefault="002B49B8" w:rsidP="00A42699">
            <w:pPr>
              <w:rPr>
                <w:rFonts w:asciiTheme="minorHAnsi" w:hAnsiTheme="minorHAnsi" w:cstheme="minorHAnsi"/>
                <w:b w:val="0"/>
                <w:lang w:val="en-GB"/>
              </w:rPr>
            </w:pPr>
          </w:p>
          <w:p w:rsidR="002B49B8" w:rsidRPr="00277328" w:rsidRDefault="002B49B8" w:rsidP="00A42699">
            <w:pPr>
              <w:rPr>
                <w:rFonts w:asciiTheme="minorHAnsi" w:hAnsiTheme="minorHAnsi" w:cstheme="minorHAnsi"/>
                <w:b w:val="0"/>
                <w:lang w:val="en-GB"/>
              </w:rPr>
            </w:pPr>
            <w:r w:rsidRPr="00277328">
              <w:rPr>
                <w:rFonts w:asciiTheme="minorHAnsi" w:hAnsiTheme="minorHAnsi" w:cstheme="minorHAnsi"/>
                <w:b w:val="0"/>
                <w:lang w:val="en-GB"/>
              </w:rPr>
              <w:t>Pseudo-R</w:t>
            </w:r>
            <w:r w:rsidRPr="00277328">
              <w:rPr>
                <w:rFonts w:asciiTheme="minorHAnsi" w:hAnsiTheme="minorHAnsi" w:cstheme="minorHAnsi"/>
                <w:b w:val="0"/>
                <w:vertAlign w:val="superscript"/>
                <w:lang w:val="en-GB"/>
              </w:rPr>
              <w:t>2</w:t>
            </w:r>
          </w:p>
        </w:tc>
        <w:tc>
          <w:tcPr>
            <w:tcW w:w="1219" w:type="dxa"/>
          </w:tcPr>
          <w:p w:rsidR="002B49B8" w:rsidRPr="00277328" w:rsidRDefault="002B49B8" w:rsidP="00A42699">
            <w:pPr>
              <w:cnfStyle w:val="000000010000"/>
              <w:rPr>
                <w:rFonts w:cstheme="minorHAnsi"/>
                <w:lang w:val="en-GB"/>
              </w:rPr>
            </w:pPr>
            <w:r w:rsidRPr="00277328">
              <w:rPr>
                <w:rFonts w:cstheme="minorHAnsi"/>
                <w:lang w:val="en-GB"/>
              </w:rPr>
              <w:t>69</w:t>
            </w:r>
          </w:p>
          <w:p w:rsidR="002B49B8" w:rsidRPr="00277328" w:rsidRDefault="002B49B8" w:rsidP="00A42699">
            <w:pPr>
              <w:cnfStyle w:val="000000010000"/>
              <w:rPr>
                <w:rFonts w:cstheme="minorHAnsi"/>
                <w:lang w:val="en-GB"/>
              </w:rPr>
            </w:pPr>
          </w:p>
          <w:p w:rsidR="002B49B8" w:rsidRPr="00277328" w:rsidRDefault="002B49B8" w:rsidP="00A42699">
            <w:pPr>
              <w:cnfStyle w:val="000000010000"/>
              <w:rPr>
                <w:rFonts w:cstheme="minorHAnsi"/>
                <w:lang w:val="en-GB"/>
              </w:rPr>
            </w:pPr>
            <w:r w:rsidRPr="00277328">
              <w:rPr>
                <w:rFonts w:cstheme="minorHAnsi"/>
                <w:lang w:val="en-GB"/>
              </w:rPr>
              <w:t>2210</w:t>
            </w:r>
          </w:p>
          <w:p w:rsidR="002B49B8" w:rsidRPr="00277328" w:rsidRDefault="002B49B8" w:rsidP="00A42699">
            <w:pPr>
              <w:cnfStyle w:val="000000010000"/>
              <w:rPr>
                <w:rFonts w:cstheme="minorHAnsi"/>
                <w:lang w:val="en-GB"/>
              </w:rPr>
            </w:pPr>
          </w:p>
          <w:p w:rsidR="002B49B8" w:rsidRPr="00277328" w:rsidRDefault="002B49B8" w:rsidP="00A42699">
            <w:pPr>
              <w:cnfStyle w:val="000000010000"/>
              <w:rPr>
                <w:rFonts w:cstheme="minorHAnsi"/>
                <w:lang w:val="en-GB"/>
              </w:rPr>
            </w:pPr>
            <w:r w:rsidRPr="00277328">
              <w:rPr>
                <w:rFonts w:cstheme="minorHAnsi"/>
                <w:lang w:val="en-GB"/>
              </w:rPr>
              <w:t>-516.8</w:t>
            </w:r>
          </w:p>
          <w:p w:rsidR="002B49B8" w:rsidRPr="00277328" w:rsidRDefault="002B49B8" w:rsidP="00A42699">
            <w:pPr>
              <w:cnfStyle w:val="000000010000"/>
              <w:rPr>
                <w:rFonts w:cstheme="minorHAnsi"/>
                <w:lang w:val="en-GB"/>
              </w:rPr>
            </w:pPr>
          </w:p>
          <w:p w:rsidR="002B49B8" w:rsidRPr="00277328" w:rsidRDefault="002B49B8" w:rsidP="00A42699">
            <w:pPr>
              <w:cnfStyle w:val="000000010000"/>
              <w:rPr>
                <w:rFonts w:cstheme="minorHAnsi"/>
                <w:lang w:val="en-GB"/>
              </w:rPr>
            </w:pPr>
            <w:r w:rsidRPr="00277328">
              <w:rPr>
                <w:rFonts w:cstheme="minorHAnsi"/>
                <w:lang w:val="en-GB"/>
              </w:rPr>
              <w:t>0.325</w:t>
            </w:r>
          </w:p>
        </w:tc>
        <w:tc>
          <w:tcPr>
            <w:tcW w:w="1910" w:type="dxa"/>
          </w:tcPr>
          <w:p w:rsidR="002B49B8" w:rsidRPr="00277328" w:rsidRDefault="00F35709" w:rsidP="00A42699">
            <w:pPr>
              <w:cnfStyle w:val="000000010000"/>
              <w:rPr>
                <w:rFonts w:cstheme="minorHAnsi"/>
                <w:lang w:val="en-GB"/>
              </w:rPr>
            </w:pPr>
            <w:r w:rsidRPr="00277328">
              <w:rPr>
                <w:rFonts w:cstheme="minorHAnsi"/>
                <w:lang w:val="en-GB"/>
              </w:rPr>
              <w:t>18</w:t>
            </w:r>
          </w:p>
          <w:p w:rsidR="00F35709" w:rsidRPr="00277328" w:rsidRDefault="00F35709" w:rsidP="00A42699">
            <w:pPr>
              <w:cnfStyle w:val="000000010000"/>
              <w:rPr>
                <w:rFonts w:cstheme="minorHAnsi"/>
                <w:lang w:val="en-GB"/>
              </w:rPr>
            </w:pPr>
          </w:p>
          <w:p w:rsidR="00F35709" w:rsidRPr="00277328" w:rsidRDefault="00F35709" w:rsidP="00A42699">
            <w:pPr>
              <w:cnfStyle w:val="000000010000"/>
              <w:rPr>
                <w:rFonts w:cstheme="minorHAnsi"/>
                <w:lang w:val="en-GB"/>
              </w:rPr>
            </w:pPr>
            <w:r w:rsidRPr="00277328">
              <w:rPr>
                <w:rFonts w:cstheme="minorHAnsi"/>
                <w:lang w:val="en-GB"/>
              </w:rPr>
              <w:t>608</w:t>
            </w:r>
          </w:p>
          <w:p w:rsidR="00F35709" w:rsidRPr="00277328" w:rsidRDefault="00F35709" w:rsidP="00A42699">
            <w:pPr>
              <w:cnfStyle w:val="000000010000"/>
              <w:rPr>
                <w:rFonts w:cstheme="minorHAnsi"/>
                <w:lang w:val="en-GB"/>
              </w:rPr>
            </w:pPr>
          </w:p>
          <w:p w:rsidR="00F35709" w:rsidRPr="00277328" w:rsidRDefault="00F35709" w:rsidP="00A42699">
            <w:pPr>
              <w:cnfStyle w:val="000000010000"/>
              <w:rPr>
                <w:rFonts w:cstheme="minorHAnsi"/>
                <w:lang w:val="en-GB"/>
              </w:rPr>
            </w:pPr>
            <w:r w:rsidRPr="00277328">
              <w:rPr>
                <w:rFonts w:cstheme="minorHAnsi"/>
                <w:lang w:val="en-GB"/>
              </w:rPr>
              <w:t>-142.2</w:t>
            </w:r>
          </w:p>
          <w:p w:rsidR="00F35709" w:rsidRPr="00277328" w:rsidRDefault="00F35709" w:rsidP="00A42699">
            <w:pPr>
              <w:cnfStyle w:val="000000010000"/>
              <w:rPr>
                <w:rFonts w:cstheme="minorHAnsi"/>
                <w:lang w:val="en-GB"/>
              </w:rPr>
            </w:pPr>
          </w:p>
          <w:p w:rsidR="00F35709" w:rsidRPr="00277328" w:rsidRDefault="00F35709" w:rsidP="00A42699">
            <w:pPr>
              <w:cnfStyle w:val="000000010000"/>
              <w:rPr>
                <w:rFonts w:cstheme="minorHAnsi"/>
                <w:lang w:val="en-GB"/>
              </w:rPr>
            </w:pPr>
            <w:r w:rsidRPr="00277328">
              <w:rPr>
                <w:rFonts w:cstheme="minorHAnsi"/>
                <w:lang w:val="en-GB"/>
              </w:rPr>
              <w:t>0.324</w:t>
            </w:r>
          </w:p>
        </w:tc>
        <w:tc>
          <w:tcPr>
            <w:tcW w:w="2186" w:type="dxa"/>
          </w:tcPr>
          <w:p w:rsidR="002B49B8" w:rsidRPr="00277328" w:rsidRDefault="00F35709" w:rsidP="00A42699">
            <w:pPr>
              <w:cnfStyle w:val="000000010000"/>
              <w:rPr>
                <w:rFonts w:cstheme="minorHAnsi"/>
                <w:lang w:val="en-GB"/>
              </w:rPr>
            </w:pPr>
            <w:r w:rsidRPr="00277328">
              <w:rPr>
                <w:rFonts w:cstheme="minorHAnsi"/>
                <w:lang w:val="en-GB"/>
              </w:rPr>
              <w:t>22</w:t>
            </w:r>
          </w:p>
          <w:p w:rsidR="00F35709" w:rsidRPr="00277328" w:rsidRDefault="00F35709" w:rsidP="00A42699">
            <w:pPr>
              <w:cnfStyle w:val="000000010000"/>
              <w:rPr>
                <w:rFonts w:cstheme="minorHAnsi"/>
                <w:lang w:val="en-GB"/>
              </w:rPr>
            </w:pPr>
          </w:p>
          <w:p w:rsidR="00F35709" w:rsidRPr="00277328" w:rsidRDefault="00F35709" w:rsidP="00A42699">
            <w:pPr>
              <w:cnfStyle w:val="000000010000"/>
              <w:rPr>
                <w:rFonts w:cstheme="minorHAnsi"/>
                <w:lang w:val="en-GB"/>
              </w:rPr>
            </w:pPr>
            <w:r w:rsidRPr="00277328">
              <w:rPr>
                <w:rFonts w:cstheme="minorHAnsi"/>
                <w:lang w:val="en-GB"/>
              </w:rPr>
              <w:t>734</w:t>
            </w:r>
          </w:p>
          <w:p w:rsidR="00F35709" w:rsidRPr="00277328" w:rsidRDefault="00F35709" w:rsidP="00A42699">
            <w:pPr>
              <w:cnfStyle w:val="000000010000"/>
              <w:rPr>
                <w:rFonts w:cstheme="minorHAnsi"/>
                <w:lang w:val="en-GB"/>
              </w:rPr>
            </w:pPr>
          </w:p>
          <w:p w:rsidR="00F35709" w:rsidRPr="00277328" w:rsidRDefault="00F35709" w:rsidP="00A42699">
            <w:pPr>
              <w:cnfStyle w:val="000000010000"/>
              <w:rPr>
                <w:rFonts w:cstheme="minorHAnsi"/>
                <w:lang w:val="en-GB"/>
              </w:rPr>
            </w:pPr>
            <w:r w:rsidRPr="00277328">
              <w:rPr>
                <w:rFonts w:cstheme="minorHAnsi"/>
                <w:lang w:val="en-GB"/>
              </w:rPr>
              <w:t>-153.2</w:t>
            </w:r>
          </w:p>
          <w:p w:rsidR="00F35709" w:rsidRPr="00277328" w:rsidRDefault="00F35709" w:rsidP="00A42699">
            <w:pPr>
              <w:cnfStyle w:val="000000010000"/>
              <w:rPr>
                <w:rFonts w:cstheme="minorHAnsi"/>
                <w:lang w:val="en-GB"/>
              </w:rPr>
            </w:pPr>
          </w:p>
          <w:p w:rsidR="00F35709" w:rsidRPr="00277328" w:rsidRDefault="00F35709" w:rsidP="00A42699">
            <w:pPr>
              <w:cnfStyle w:val="000000010000"/>
              <w:rPr>
                <w:rFonts w:cstheme="minorHAnsi"/>
                <w:lang w:val="en-GB"/>
              </w:rPr>
            </w:pPr>
            <w:r w:rsidRPr="00277328">
              <w:rPr>
                <w:rFonts w:cstheme="minorHAnsi"/>
                <w:lang w:val="en-GB"/>
              </w:rPr>
              <w:t>0.398</w:t>
            </w:r>
          </w:p>
        </w:tc>
        <w:tc>
          <w:tcPr>
            <w:tcW w:w="1290" w:type="dxa"/>
          </w:tcPr>
          <w:p w:rsidR="002B49B8" w:rsidRPr="00277328" w:rsidRDefault="00F35709" w:rsidP="00A42699">
            <w:pPr>
              <w:cnfStyle w:val="000000010000"/>
              <w:rPr>
                <w:rFonts w:cstheme="minorHAnsi"/>
                <w:lang w:val="en-GB"/>
              </w:rPr>
            </w:pPr>
            <w:r w:rsidRPr="00277328">
              <w:rPr>
                <w:rFonts w:cstheme="minorHAnsi"/>
                <w:lang w:val="en-GB"/>
              </w:rPr>
              <w:t>24</w:t>
            </w:r>
          </w:p>
          <w:p w:rsidR="00F35709" w:rsidRPr="00277328" w:rsidRDefault="00F35709" w:rsidP="00A42699">
            <w:pPr>
              <w:cnfStyle w:val="000000010000"/>
              <w:rPr>
                <w:rFonts w:cstheme="minorHAnsi"/>
                <w:lang w:val="en-GB"/>
              </w:rPr>
            </w:pPr>
          </w:p>
          <w:p w:rsidR="00F35709" w:rsidRPr="00277328" w:rsidRDefault="00F35709" w:rsidP="00A42699">
            <w:pPr>
              <w:cnfStyle w:val="000000010000"/>
              <w:rPr>
                <w:rFonts w:cstheme="minorHAnsi"/>
                <w:lang w:val="en-GB"/>
              </w:rPr>
            </w:pPr>
            <w:r w:rsidRPr="00277328">
              <w:rPr>
                <w:rFonts w:cstheme="minorHAnsi"/>
                <w:lang w:val="en-GB"/>
              </w:rPr>
              <w:t>868</w:t>
            </w:r>
          </w:p>
          <w:p w:rsidR="00F35709" w:rsidRPr="00277328" w:rsidRDefault="00F35709" w:rsidP="00A42699">
            <w:pPr>
              <w:cnfStyle w:val="000000010000"/>
              <w:rPr>
                <w:rFonts w:cstheme="minorHAnsi"/>
                <w:lang w:val="en-GB"/>
              </w:rPr>
            </w:pPr>
          </w:p>
          <w:p w:rsidR="00F35709" w:rsidRPr="00277328" w:rsidRDefault="00F35709" w:rsidP="00A42699">
            <w:pPr>
              <w:cnfStyle w:val="000000010000"/>
              <w:rPr>
                <w:rFonts w:cstheme="minorHAnsi"/>
                <w:lang w:val="en-GB"/>
              </w:rPr>
            </w:pPr>
            <w:r w:rsidRPr="00277328">
              <w:rPr>
                <w:rFonts w:cstheme="minorHAnsi"/>
                <w:lang w:val="en-GB"/>
              </w:rPr>
              <w:t>-205.1</w:t>
            </w:r>
          </w:p>
          <w:p w:rsidR="00F35709" w:rsidRPr="00277328" w:rsidRDefault="00F35709" w:rsidP="00A42699">
            <w:pPr>
              <w:cnfStyle w:val="000000010000"/>
              <w:rPr>
                <w:rFonts w:cstheme="minorHAnsi"/>
                <w:lang w:val="en-GB"/>
              </w:rPr>
            </w:pPr>
          </w:p>
          <w:p w:rsidR="00F35709" w:rsidRPr="00277328" w:rsidRDefault="00F35709" w:rsidP="00A42699">
            <w:pPr>
              <w:cnfStyle w:val="000000010000"/>
              <w:rPr>
                <w:rFonts w:cstheme="minorHAnsi"/>
                <w:lang w:val="en-GB"/>
              </w:rPr>
            </w:pPr>
            <w:r w:rsidRPr="00277328">
              <w:rPr>
                <w:rFonts w:cstheme="minorHAnsi"/>
                <w:lang w:val="en-GB"/>
              </w:rPr>
              <w:t>0.318</w:t>
            </w:r>
          </w:p>
        </w:tc>
      </w:tr>
    </w:tbl>
    <w:p w:rsidR="00F35709" w:rsidRPr="00277328" w:rsidRDefault="00F35709" w:rsidP="00F35709">
      <w:pPr>
        <w:spacing w:line="360" w:lineRule="auto"/>
        <w:rPr>
          <w:rFonts w:cstheme="minorHAnsi"/>
          <w:i/>
          <w:sz w:val="20"/>
          <w:szCs w:val="20"/>
          <w:lang w:val="en-GB"/>
        </w:rPr>
      </w:pPr>
      <w:r w:rsidRPr="00277328">
        <w:rPr>
          <w:rFonts w:cstheme="minorHAnsi"/>
          <w:i/>
          <w:sz w:val="20"/>
          <w:szCs w:val="20"/>
          <w:lang w:val="en-GB"/>
        </w:rPr>
        <w:t>Notes: Numbers in parenthesis are t-values. The (*),</w:t>
      </w:r>
      <w:r w:rsidR="00181826">
        <w:rPr>
          <w:rFonts w:cstheme="minorHAnsi"/>
          <w:i/>
          <w:sz w:val="20"/>
          <w:szCs w:val="20"/>
          <w:lang w:val="en-GB"/>
        </w:rPr>
        <w:t xml:space="preserve"> </w:t>
      </w:r>
      <w:r w:rsidRPr="00277328">
        <w:rPr>
          <w:rFonts w:cstheme="minorHAnsi"/>
          <w:i/>
          <w:sz w:val="20"/>
          <w:szCs w:val="20"/>
          <w:lang w:val="en-GB"/>
        </w:rPr>
        <w:t>(**) (***) indicate that the estimated coeff</w:t>
      </w:r>
      <w:r w:rsidR="00181826">
        <w:rPr>
          <w:rFonts w:cstheme="minorHAnsi"/>
          <w:i/>
          <w:sz w:val="20"/>
          <w:szCs w:val="20"/>
          <w:lang w:val="en-GB"/>
        </w:rPr>
        <w:t xml:space="preserve">icients are significant at 10%, </w:t>
      </w:r>
      <w:r w:rsidRPr="00277328">
        <w:rPr>
          <w:rFonts w:cstheme="minorHAnsi"/>
          <w:i/>
          <w:sz w:val="20"/>
          <w:szCs w:val="20"/>
          <w:lang w:val="en-GB"/>
        </w:rPr>
        <w:t xml:space="preserve">5% and 1% significant level, respectively. </w:t>
      </w:r>
    </w:p>
    <w:p w:rsidR="00F35709" w:rsidRPr="00277328" w:rsidRDefault="00F35709" w:rsidP="00F35709">
      <w:pPr>
        <w:spacing w:line="360" w:lineRule="auto"/>
        <w:rPr>
          <w:rFonts w:cstheme="minorHAnsi"/>
          <w:i/>
          <w:sz w:val="20"/>
          <w:szCs w:val="20"/>
          <w:lang w:val="en-GB"/>
        </w:rPr>
      </w:pPr>
    </w:p>
    <w:p w:rsidR="00A42699" w:rsidRPr="00277328" w:rsidRDefault="00A42699" w:rsidP="00A42699">
      <w:pPr>
        <w:rPr>
          <w:i/>
          <w:szCs w:val="24"/>
          <w:lang w:val="en-GB"/>
        </w:rPr>
      </w:pPr>
      <w:r w:rsidRPr="00277328">
        <w:rPr>
          <w:i/>
          <w:szCs w:val="24"/>
          <w:lang w:val="en-GB"/>
        </w:rPr>
        <w:t>Sub-models for each region</w:t>
      </w:r>
    </w:p>
    <w:p w:rsidR="00A42699" w:rsidRPr="00277328" w:rsidRDefault="00A42699" w:rsidP="00A42699">
      <w:pPr>
        <w:rPr>
          <w:szCs w:val="24"/>
          <w:lang w:val="en-GB"/>
        </w:rPr>
      </w:pPr>
      <w:r w:rsidRPr="00277328">
        <w:rPr>
          <w:szCs w:val="24"/>
          <w:lang w:val="en-GB"/>
        </w:rPr>
        <w:t>As mentioned before, a fitted heteroskedastic model has been estimated in order to establish whether the main model is separable. The results show that the region coefficients are not statistically significant (p-value</w:t>
      </w:r>
      <w:r w:rsidRPr="00277328">
        <w:rPr>
          <w:szCs w:val="24"/>
          <w:vertAlign w:val="subscript"/>
          <w:lang w:val="en-GB"/>
        </w:rPr>
        <w:t>region1</w:t>
      </w:r>
      <w:r w:rsidRPr="00277328">
        <w:rPr>
          <w:szCs w:val="24"/>
          <w:lang w:val="en-GB"/>
        </w:rPr>
        <w:t>=0.37 and p-value</w:t>
      </w:r>
      <w:r w:rsidRPr="00277328">
        <w:rPr>
          <w:szCs w:val="24"/>
          <w:vertAlign w:val="subscript"/>
          <w:lang w:val="en-GB"/>
        </w:rPr>
        <w:t>region2</w:t>
      </w:r>
      <w:r w:rsidRPr="00277328">
        <w:rPr>
          <w:szCs w:val="24"/>
          <w:lang w:val="en-GB"/>
        </w:rPr>
        <w:t>=0.62). The estimation results for the three sub-models are quite similar to those of the general model. However, some important differences are being observed. In particular, all main effects coefficients have the same signs as in the main model. In other words, respondents from all regions favo</w:t>
      </w:r>
      <w:r w:rsidR="00F16517">
        <w:rPr>
          <w:szCs w:val="24"/>
          <w:lang w:val="en-GB"/>
        </w:rPr>
        <w:t>u</w:t>
      </w:r>
      <w:r w:rsidRPr="00277328">
        <w:rPr>
          <w:szCs w:val="24"/>
          <w:lang w:val="en-GB"/>
        </w:rPr>
        <w:t>r interventions that target the severely-ill, that offer greater total and individual benefits and are cost-eff</w:t>
      </w:r>
      <w:r w:rsidR="00F16517">
        <w:rPr>
          <w:szCs w:val="24"/>
          <w:lang w:val="en-GB"/>
        </w:rPr>
        <w:t>ective. Conversely, they penalis</w:t>
      </w:r>
      <w:r w:rsidRPr="00277328">
        <w:rPr>
          <w:szCs w:val="24"/>
          <w:lang w:val="en-GB"/>
        </w:rPr>
        <w:t xml:space="preserve">e interventions targeting middle and high age groups as well as those that demand public support. </w:t>
      </w:r>
    </w:p>
    <w:p w:rsidR="00A42699" w:rsidRPr="00277328" w:rsidRDefault="00181826" w:rsidP="00A42699">
      <w:pPr>
        <w:rPr>
          <w:szCs w:val="24"/>
          <w:lang w:val="en-GB"/>
        </w:rPr>
      </w:pPr>
      <w:r>
        <w:rPr>
          <w:szCs w:val="24"/>
          <w:lang w:val="en-GB"/>
        </w:rPr>
        <w:t>S</w:t>
      </w:r>
      <w:r w:rsidR="00A42699" w:rsidRPr="00277328">
        <w:rPr>
          <w:szCs w:val="24"/>
          <w:lang w:val="en-GB"/>
        </w:rPr>
        <w:t>ome discrepancies are being noticed regarding the interaction terms. For instance, male respondents from all three regions put an “extra” weight on interventions targeting the elderly. Nevertheless, male participants from Catalonia and the Basque Country appear to favo</w:t>
      </w:r>
      <w:r w:rsidR="00F16517">
        <w:rPr>
          <w:szCs w:val="24"/>
          <w:lang w:val="en-GB"/>
        </w:rPr>
        <w:t>u</w:t>
      </w:r>
      <w:r w:rsidR="00A42699" w:rsidRPr="00277328">
        <w:rPr>
          <w:szCs w:val="24"/>
          <w:lang w:val="en-GB"/>
        </w:rPr>
        <w:t xml:space="preserve">r interventions that offer substantial health benefits to individual patients (as </w:t>
      </w:r>
      <w:r w:rsidR="00A42699" w:rsidRPr="00277328">
        <w:rPr>
          <w:szCs w:val="24"/>
          <w:lang w:val="en-GB"/>
        </w:rPr>
        <w:lastRenderedPageBreak/>
        <w:t>compared to the main and the sub models). Even more, managers and pharmaceutical executives from Cantabria and Valencia condemn those interventions that are proven to be cost-effective. Overall, the estimated coefficients for the three sub-models show similar patterns of statistical significance for all main effects ap</w:t>
      </w:r>
      <w:r w:rsidR="00F16517">
        <w:rPr>
          <w:szCs w:val="24"/>
          <w:lang w:val="en-GB"/>
        </w:rPr>
        <w:t>art from willingness to subsidis</w:t>
      </w:r>
      <w:r w:rsidR="00A42699" w:rsidRPr="00277328">
        <w:rPr>
          <w:szCs w:val="24"/>
          <w:lang w:val="en-GB"/>
        </w:rPr>
        <w:t>e. Moreover, the interaction effects coefficients appear to be non-significant in Catalonia/Basque, while the indben*male term seems to be the most significant coefficient in the other two regions.</w:t>
      </w:r>
    </w:p>
    <w:p w:rsidR="00A42699" w:rsidRPr="00277328" w:rsidRDefault="00A42699" w:rsidP="00A42699">
      <w:pPr>
        <w:rPr>
          <w:sz w:val="24"/>
          <w:szCs w:val="24"/>
          <w:lang w:val="en-GB"/>
        </w:rPr>
      </w:pPr>
    </w:p>
    <w:p w:rsidR="00A42699" w:rsidRPr="00277328" w:rsidRDefault="00A42699" w:rsidP="00950BD7">
      <w:pPr>
        <w:pStyle w:val="Heading2"/>
        <w:rPr>
          <w:lang w:val="en-GB"/>
        </w:rPr>
      </w:pPr>
      <w:bookmarkStart w:id="31" w:name="_Toc367791023"/>
      <w:r w:rsidRPr="00277328">
        <w:rPr>
          <w:lang w:val="en-GB"/>
        </w:rPr>
        <w:t>Predicted probabilities</w:t>
      </w:r>
      <w:bookmarkEnd w:id="31"/>
    </w:p>
    <w:p w:rsidR="00A42699" w:rsidRPr="00277328" w:rsidRDefault="00A42699" w:rsidP="00A42699">
      <w:pPr>
        <w:rPr>
          <w:sz w:val="24"/>
          <w:szCs w:val="24"/>
          <w:lang w:val="en-GB"/>
        </w:rPr>
      </w:pPr>
      <w:r w:rsidRPr="00277328">
        <w:rPr>
          <w:szCs w:val="24"/>
          <w:lang w:val="en-GB"/>
        </w:rPr>
        <w:t>As mentioned in Chapter 2, in such models it is the percentage differences in predicted probabilities that are relevant for statistical inference. That is, the differences in predicted probabilities for each attribute, as compared to a base alternative. The r</w:t>
      </w:r>
      <w:r w:rsidR="00BD09A6">
        <w:rPr>
          <w:szCs w:val="24"/>
          <w:lang w:val="en-GB"/>
        </w:rPr>
        <w:t>esults are presented in Table 9</w:t>
      </w:r>
      <w:r w:rsidRPr="00277328">
        <w:rPr>
          <w:szCs w:val="24"/>
          <w:lang w:val="en-GB"/>
        </w:rPr>
        <w:t xml:space="preserve">. The probabilities for the aggregated criteria are measured separately for each age group. Again, calculations are based on the general as well as the three sub-models. </w:t>
      </w:r>
    </w:p>
    <w:p w:rsidR="00A42699" w:rsidRPr="00277328" w:rsidRDefault="00A42699" w:rsidP="00A42699">
      <w:pPr>
        <w:rPr>
          <w:i/>
          <w:szCs w:val="24"/>
          <w:lang w:val="en-GB"/>
        </w:rPr>
      </w:pPr>
      <w:r w:rsidRPr="00277328">
        <w:rPr>
          <w:i/>
          <w:szCs w:val="24"/>
          <w:lang w:val="en-GB"/>
        </w:rPr>
        <w:t>Equity criteria</w:t>
      </w:r>
    </w:p>
    <w:p w:rsidR="00A42699" w:rsidRPr="00277328" w:rsidRDefault="00A42699" w:rsidP="00A42699">
      <w:pPr>
        <w:rPr>
          <w:szCs w:val="24"/>
          <w:lang w:val="en-GB"/>
        </w:rPr>
      </w:pPr>
      <w:r w:rsidRPr="00277328">
        <w:rPr>
          <w:szCs w:val="24"/>
          <w:lang w:val="en-GB"/>
        </w:rPr>
        <w:t>With regard to the general model, severity of dis</w:t>
      </w:r>
      <w:r w:rsidR="00F16517">
        <w:rPr>
          <w:szCs w:val="24"/>
          <w:lang w:val="en-GB"/>
        </w:rPr>
        <w:t>ease and willingness to subsidis</w:t>
      </w:r>
      <w:r w:rsidRPr="00277328">
        <w:rPr>
          <w:szCs w:val="24"/>
          <w:lang w:val="en-GB"/>
        </w:rPr>
        <w:t>e increase the probability of selection for the intervention by 4.5% and 1.7% respectively, as compared to the base alternative. On the other hand, interventions that benefit middle and high age groups display a decrease in their chance of selection, by 1% and around 11% respectively. However, the effect of the middle age attribute is considered insignificant, in the view of its insignificant coefficient. In the regions of Catalonia and the Basque Country, results are similar for all attributes apart from willingne</w:t>
      </w:r>
      <w:r w:rsidR="00F16517">
        <w:rPr>
          <w:szCs w:val="24"/>
          <w:lang w:val="en-GB"/>
        </w:rPr>
        <w:t>ss to subsidis</w:t>
      </w:r>
      <w:r w:rsidRPr="00277328">
        <w:rPr>
          <w:szCs w:val="24"/>
          <w:lang w:val="en-GB"/>
        </w:rPr>
        <w:t xml:space="preserve">e. That is, severity is the only criterion that increases the selection probability (by 4.5%), while the criterion reflecting public support has a negative effect up to 2.4%. Even more, the effects of the age groups attributes are lower in this case (0.4% and 8.6%). </w:t>
      </w:r>
    </w:p>
    <w:p w:rsidR="00A42699" w:rsidRPr="00277328" w:rsidRDefault="00A42699" w:rsidP="00A42699">
      <w:pPr>
        <w:rPr>
          <w:szCs w:val="24"/>
          <w:lang w:val="en-GB"/>
        </w:rPr>
      </w:pPr>
      <w:r w:rsidRPr="00277328">
        <w:rPr>
          <w:szCs w:val="24"/>
          <w:lang w:val="en-GB"/>
        </w:rPr>
        <w:t>The regions of Valencia and Cantabria display similar results in terms of their sign. Nonetheless, the negative e</w:t>
      </w:r>
      <w:r w:rsidR="00F16517">
        <w:rPr>
          <w:szCs w:val="24"/>
          <w:lang w:val="en-GB"/>
        </w:rPr>
        <w:t>ffect of willingness to subsidis</w:t>
      </w:r>
      <w:r w:rsidRPr="00277328">
        <w:rPr>
          <w:szCs w:val="24"/>
          <w:lang w:val="en-GB"/>
        </w:rPr>
        <w:t>e on the pro</w:t>
      </w:r>
      <w:r w:rsidR="00F16517">
        <w:rPr>
          <w:szCs w:val="24"/>
          <w:lang w:val="en-GB"/>
        </w:rPr>
        <w:t>bability of selection is minimis</w:t>
      </w:r>
      <w:r w:rsidRPr="00277328">
        <w:rPr>
          <w:szCs w:val="24"/>
          <w:lang w:val="en-GB"/>
        </w:rPr>
        <w:t>ed to 0.7%, while the interventions targeting the elderly decrease the choice probability for the intervention by almost 21%. Finally, in Madrid the severity of disease has the largest effect on the chance of selection (6.3%). The remaining equity attributes follow analogous patterns, with interventions benefiting the elderly having the largest negative effect (9.5%). It should again be mentioned that the magnitudes of these effects are associated with the insignificance of the attributes’ coefficients. That is, the estimated parameters for willin</w:t>
      </w:r>
      <w:r w:rsidR="00F16517">
        <w:rPr>
          <w:szCs w:val="24"/>
          <w:lang w:val="en-GB"/>
        </w:rPr>
        <w:t>gness to subsidis</w:t>
      </w:r>
      <w:r w:rsidRPr="00277328">
        <w:rPr>
          <w:szCs w:val="24"/>
          <w:lang w:val="en-GB"/>
        </w:rPr>
        <w:t xml:space="preserve">e criterion are non-significant for both sets of Catalonia/Basque and Valencia/Cantabria regions. Therefore, their relative effect on the probability of selection for the intervention is also considered insignificant. </w:t>
      </w:r>
    </w:p>
    <w:p w:rsidR="00A42699" w:rsidRPr="00277328" w:rsidRDefault="00950BD7" w:rsidP="00A42699">
      <w:pPr>
        <w:rPr>
          <w:szCs w:val="24"/>
          <w:lang w:val="en-GB"/>
        </w:rPr>
      </w:pPr>
      <w:r w:rsidRPr="00277328">
        <w:rPr>
          <w:szCs w:val="24"/>
          <w:lang w:val="en-GB"/>
        </w:rPr>
        <w:br w:type="page"/>
      </w:r>
    </w:p>
    <w:p w:rsidR="00A42699" w:rsidRPr="00277328" w:rsidRDefault="00A42699" w:rsidP="00A42699">
      <w:pPr>
        <w:rPr>
          <w:i/>
          <w:szCs w:val="24"/>
          <w:lang w:val="en-GB"/>
        </w:rPr>
      </w:pPr>
      <w:r w:rsidRPr="00277328">
        <w:rPr>
          <w:i/>
          <w:szCs w:val="24"/>
          <w:lang w:val="en-GB"/>
        </w:rPr>
        <w:lastRenderedPageBreak/>
        <w:t>Efficiency criteria</w:t>
      </w:r>
    </w:p>
    <w:p w:rsidR="00A42699" w:rsidRPr="00277328" w:rsidRDefault="00A42699" w:rsidP="00A42699">
      <w:pPr>
        <w:rPr>
          <w:szCs w:val="24"/>
          <w:lang w:val="en-GB"/>
        </w:rPr>
      </w:pPr>
      <w:r w:rsidRPr="00277328">
        <w:rPr>
          <w:szCs w:val="24"/>
          <w:lang w:val="en-GB"/>
        </w:rPr>
        <w:t xml:space="preserve">Turning to efficiency attributes, all three criteria exhibit great positive effects for the general model. For instance, high individual benefits increase the probability of selection by 5.8% as compared to the baseline value. Interventions benefitting a large share of the population and that are cost-effective display a rise in their chance of selection by 6% and 8% respectively. These results are in line with the significant estimated parameters for these attributes. Similar outputs are obtained for the regions of Basque Country and Catalonia, although the number of beneficiaries increases the chance of selection for the intervention by a higher percent (9%). The other two attributes also increase the selection probability, by 7% for the individual benefits and around 9% for the cost-effectiveness of the intervention. For the regions of Valencia and Cantabria the results are almost equivalent to those for Basque/Catalonia in terms of their sign and magnitude. Small differences are being observed in the positive effects of cost-effectiveness and individual benefits attributes, which reach 10% and 8%, respectively. Finally, in Madrid the effects remain positive but they are slightly lower for interventions targeting high numbers of beneficiaries and individual benefits (6% and 5.7% respectively). </w:t>
      </w:r>
    </w:p>
    <w:p w:rsidR="00224F54" w:rsidRPr="00277328" w:rsidRDefault="00224F54" w:rsidP="00A42699">
      <w:pPr>
        <w:rPr>
          <w:sz w:val="24"/>
          <w:szCs w:val="24"/>
          <w:lang w:val="en-GB"/>
        </w:rPr>
      </w:pPr>
    </w:p>
    <w:p w:rsidR="00673C05" w:rsidRPr="00277328" w:rsidRDefault="00DF210F" w:rsidP="00673C05">
      <w:pPr>
        <w:rPr>
          <w:b/>
          <w:u w:val="single"/>
          <w:lang w:val="en-GB"/>
        </w:rPr>
      </w:pPr>
      <w:r w:rsidRPr="00277328">
        <w:rPr>
          <w:b/>
          <w:u w:val="single"/>
          <w:lang w:val="en-GB"/>
        </w:rPr>
        <w:t>Table 9</w:t>
      </w:r>
      <w:r w:rsidR="00673C05" w:rsidRPr="00277328">
        <w:rPr>
          <w:b/>
          <w:u w:val="single"/>
          <w:lang w:val="en-GB"/>
        </w:rPr>
        <w:t xml:space="preserve">: </w:t>
      </w:r>
      <w:r w:rsidR="00224F54" w:rsidRPr="00277328">
        <w:rPr>
          <w:b/>
          <w:u w:val="single"/>
          <w:lang w:val="en-GB"/>
        </w:rPr>
        <w:t xml:space="preserve">(Unconditional) </w:t>
      </w:r>
      <w:r w:rsidR="00673C05" w:rsidRPr="00277328">
        <w:rPr>
          <w:b/>
          <w:u w:val="single"/>
          <w:lang w:val="en-GB"/>
        </w:rPr>
        <w:t>Predicted probabilities and % changes as compared to base alternative</w:t>
      </w:r>
    </w:p>
    <w:tbl>
      <w:tblPr>
        <w:tblStyle w:val="LightGrid-Accent2"/>
        <w:tblW w:w="8527" w:type="dxa"/>
        <w:tblLayout w:type="fixed"/>
        <w:tblLook w:val="04A0"/>
      </w:tblPr>
      <w:tblGrid>
        <w:gridCol w:w="1384"/>
        <w:gridCol w:w="709"/>
        <w:gridCol w:w="997"/>
        <w:gridCol w:w="855"/>
        <w:gridCol w:w="21"/>
        <w:gridCol w:w="877"/>
        <w:gridCol w:w="921"/>
        <w:gridCol w:w="23"/>
        <w:gridCol w:w="898"/>
        <w:gridCol w:w="921"/>
        <w:gridCol w:w="23"/>
        <w:gridCol w:w="898"/>
      </w:tblGrid>
      <w:tr w:rsidR="00673C05" w:rsidRPr="00277328" w:rsidTr="004701E0">
        <w:trPr>
          <w:cnfStyle w:val="100000000000"/>
          <w:trHeight w:val="732"/>
        </w:trPr>
        <w:tc>
          <w:tcPr>
            <w:cnfStyle w:val="001000000000"/>
            <w:tcW w:w="1384" w:type="dxa"/>
          </w:tcPr>
          <w:p w:rsidR="00673C05" w:rsidRPr="00277328" w:rsidRDefault="00673C05" w:rsidP="00673C05">
            <w:pPr>
              <w:rPr>
                <w:lang w:val="en-GB"/>
              </w:rPr>
            </w:pPr>
          </w:p>
        </w:tc>
        <w:tc>
          <w:tcPr>
            <w:tcW w:w="1706" w:type="dxa"/>
            <w:gridSpan w:val="2"/>
          </w:tcPr>
          <w:p w:rsidR="00673C05" w:rsidRPr="00277328" w:rsidRDefault="00673C05" w:rsidP="005C610F">
            <w:pPr>
              <w:cnfStyle w:val="100000000000"/>
              <w:rPr>
                <w:rFonts w:asciiTheme="minorHAnsi" w:hAnsiTheme="minorHAnsi" w:cstheme="minorHAnsi"/>
                <w:lang w:val="en-GB"/>
              </w:rPr>
            </w:pPr>
            <w:r w:rsidRPr="00277328">
              <w:rPr>
                <w:rFonts w:asciiTheme="minorHAnsi" w:hAnsiTheme="minorHAnsi" w:cstheme="minorHAnsi"/>
                <w:lang w:val="en-GB"/>
              </w:rPr>
              <w:t>General Model</w:t>
            </w:r>
          </w:p>
        </w:tc>
        <w:tc>
          <w:tcPr>
            <w:tcW w:w="1753" w:type="dxa"/>
            <w:gridSpan w:val="3"/>
          </w:tcPr>
          <w:p w:rsidR="00673C05" w:rsidRPr="00277328" w:rsidRDefault="00673C05" w:rsidP="005C610F">
            <w:pPr>
              <w:cnfStyle w:val="100000000000"/>
              <w:rPr>
                <w:rFonts w:asciiTheme="minorHAnsi" w:hAnsiTheme="minorHAnsi" w:cstheme="minorHAnsi"/>
                <w:lang w:val="en-GB"/>
              </w:rPr>
            </w:pPr>
            <w:r w:rsidRPr="00277328">
              <w:rPr>
                <w:rFonts w:asciiTheme="minorHAnsi" w:hAnsiTheme="minorHAnsi" w:cstheme="minorHAnsi"/>
                <w:lang w:val="en-GB"/>
              </w:rPr>
              <w:t>Catalonia/Basque Model</w:t>
            </w:r>
          </w:p>
        </w:tc>
        <w:tc>
          <w:tcPr>
            <w:tcW w:w="1842" w:type="dxa"/>
            <w:gridSpan w:val="3"/>
          </w:tcPr>
          <w:p w:rsidR="00673C05" w:rsidRPr="00277328" w:rsidRDefault="00673C05" w:rsidP="005C610F">
            <w:pPr>
              <w:cnfStyle w:val="100000000000"/>
              <w:rPr>
                <w:rFonts w:asciiTheme="minorHAnsi" w:hAnsiTheme="minorHAnsi" w:cstheme="minorHAnsi"/>
                <w:lang w:val="en-GB"/>
              </w:rPr>
            </w:pPr>
            <w:r w:rsidRPr="00277328">
              <w:rPr>
                <w:rFonts w:asciiTheme="minorHAnsi" w:hAnsiTheme="minorHAnsi" w:cstheme="minorHAnsi"/>
                <w:lang w:val="en-GB"/>
              </w:rPr>
              <w:t>Cantabria/Valencia</w:t>
            </w:r>
          </w:p>
          <w:p w:rsidR="00673C05" w:rsidRPr="00277328" w:rsidRDefault="00673C05" w:rsidP="005C610F">
            <w:pPr>
              <w:cnfStyle w:val="100000000000"/>
              <w:rPr>
                <w:rFonts w:asciiTheme="minorHAnsi" w:hAnsiTheme="minorHAnsi" w:cstheme="minorHAnsi"/>
                <w:lang w:val="en-GB"/>
              </w:rPr>
            </w:pPr>
            <w:r w:rsidRPr="00277328">
              <w:rPr>
                <w:rFonts w:asciiTheme="minorHAnsi" w:hAnsiTheme="minorHAnsi" w:cstheme="minorHAnsi"/>
                <w:lang w:val="en-GB"/>
              </w:rPr>
              <w:t>Model</w:t>
            </w:r>
          </w:p>
        </w:tc>
        <w:tc>
          <w:tcPr>
            <w:tcW w:w="1842" w:type="dxa"/>
            <w:gridSpan w:val="3"/>
          </w:tcPr>
          <w:p w:rsidR="00673C05" w:rsidRPr="00277328" w:rsidRDefault="00673C05" w:rsidP="005C610F">
            <w:pPr>
              <w:cnfStyle w:val="100000000000"/>
              <w:rPr>
                <w:rFonts w:asciiTheme="minorHAnsi" w:hAnsiTheme="minorHAnsi" w:cstheme="minorHAnsi"/>
                <w:lang w:val="en-GB"/>
              </w:rPr>
            </w:pPr>
            <w:r w:rsidRPr="00277328">
              <w:rPr>
                <w:rFonts w:asciiTheme="minorHAnsi" w:hAnsiTheme="minorHAnsi" w:cstheme="minorHAnsi"/>
                <w:lang w:val="en-GB"/>
              </w:rPr>
              <w:t>Madrid</w:t>
            </w:r>
          </w:p>
          <w:p w:rsidR="00673C05" w:rsidRPr="00277328" w:rsidRDefault="00673C05" w:rsidP="005C610F">
            <w:pPr>
              <w:cnfStyle w:val="100000000000"/>
              <w:rPr>
                <w:rFonts w:asciiTheme="minorHAnsi" w:hAnsiTheme="minorHAnsi" w:cstheme="minorHAnsi"/>
                <w:lang w:val="en-GB"/>
              </w:rPr>
            </w:pPr>
            <w:r w:rsidRPr="00277328">
              <w:rPr>
                <w:rFonts w:asciiTheme="minorHAnsi" w:hAnsiTheme="minorHAnsi" w:cstheme="minorHAnsi"/>
                <w:lang w:val="en-GB"/>
              </w:rPr>
              <w:t>Model</w:t>
            </w:r>
          </w:p>
        </w:tc>
      </w:tr>
      <w:tr w:rsidR="00673C05" w:rsidRPr="00277328" w:rsidTr="004701E0">
        <w:trPr>
          <w:cnfStyle w:val="000000100000"/>
        </w:trPr>
        <w:tc>
          <w:tcPr>
            <w:cnfStyle w:val="001000000000"/>
            <w:tcW w:w="1384" w:type="dxa"/>
          </w:tcPr>
          <w:p w:rsidR="00673C05" w:rsidRPr="00277328" w:rsidRDefault="00673C05" w:rsidP="00673C05">
            <w:pPr>
              <w:rPr>
                <w:lang w:val="en-GB"/>
              </w:rPr>
            </w:pPr>
          </w:p>
        </w:tc>
        <w:tc>
          <w:tcPr>
            <w:tcW w:w="709" w:type="dxa"/>
          </w:tcPr>
          <w:p w:rsidR="00673C05" w:rsidRPr="00277328" w:rsidRDefault="00673C05" w:rsidP="00673C05">
            <w:pPr>
              <w:cnfStyle w:val="000000100000"/>
              <w:rPr>
                <w:lang w:val="en-GB"/>
              </w:rPr>
            </w:pPr>
          </w:p>
          <w:p w:rsidR="00673C05" w:rsidRPr="00277328" w:rsidRDefault="00673C05" w:rsidP="00673C05">
            <w:pPr>
              <w:cnfStyle w:val="000000100000"/>
              <w:rPr>
                <w:lang w:val="en-GB"/>
              </w:rPr>
            </w:pPr>
            <w:r w:rsidRPr="00277328">
              <w:rPr>
                <w:lang w:val="en-GB"/>
              </w:rPr>
              <w:t>Predicted Probability</w:t>
            </w:r>
            <w:r w:rsidR="004701E0" w:rsidRPr="00277328">
              <w:rPr>
                <w:lang w:val="en-GB"/>
              </w:rPr>
              <w:t xml:space="preserve"> </w:t>
            </w:r>
            <w:r w:rsidR="004701E0" w:rsidRPr="00277328">
              <w:rPr>
                <w:vertAlign w:val="superscript"/>
                <w:lang w:val="en-GB"/>
              </w:rPr>
              <w:t>b</w:t>
            </w:r>
          </w:p>
        </w:tc>
        <w:tc>
          <w:tcPr>
            <w:tcW w:w="997" w:type="dxa"/>
          </w:tcPr>
          <w:p w:rsidR="00673C05" w:rsidRPr="00277328" w:rsidRDefault="00673C05" w:rsidP="00673C05">
            <w:pPr>
              <w:cnfStyle w:val="000000100000"/>
              <w:rPr>
                <w:lang w:val="en-GB"/>
              </w:rPr>
            </w:pPr>
            <w:r w:rsidRPr="00277328">
              <w:rPr>
                <w:lang w:val="en-GB"/>
              </w:rPr>
              <w:t>%Δ compared to base</w:t>
            </w:r>
          </w:p>
        </w:tc>
        <w:tc>
          <w:tcPr>
            <w:tcW w:w="855" w:type="dxa"/>
          </w:tcPr>
          <w:p w:rsidR="00673C05" w:rsidRPr="00277328" w:rsidRDefault="00673C05" w:rsidP="005C610F">
            <w:pPr>
              <w:cnfStyle w:val="000000100000"/>
              <w:rPr>
                <w:lang w:val="en-GB"/>
              </w:rPr>
            </w:pPr>
          </w:p>
          <w:p w:rsidR="00673C05" w:rsidRPr="00277328" w:rsidRDefault="00673C05" w:rsidP="005C610F">
            <w:pPr>
              <w:cnfStyle w:val="000000100000"/>
              <w:rPr>
                <w:lang w:val="en-GB"/>
              </w:rPr>
            </w:pPr>
            <w:r w:rsidRPr="00277328">
              <w:rPr>
                <w:lang w:val="en-GB"/>
              </w:rPr>
              <w:t>Predicted Probability</w:t>
            </w:r>
          </w:p>
        </w:tc>
        <w:tc>
          <w:tcPr>
            <w:tcW w:w="898" w:type="dxa"/>
            <w:gridSpan w:val="2"/>
          </w:tcPr>
          <w:p w:rsidR="00673C05" w:rsidRPr="00277328" w:rsidRDefault="00673C05" w:rsidP="005C610F">
            <w:pPr>
              <w:cnfStyle w:val="000000100000"/>
              <w:rPr>
                <w:lang w:val="en-GB"/>
              </w:rPr>
            </w:pPr>
            <w:r w:rsidRPr="00277328">
              <w:rPr>
                <w:lang w:val="en-GB"/>
              </w:rPr>
              <w:t>%Δ compared to base</w:t>
            </w:r>
          </w:p>
        </w:tc>
        <w:tc>
          <w:tcPr>
            <w:tcW w:w="944" w:type="dxa"/>
            <w:gridSpan w:val="2"/>
          </w:tcPr>
          <w:p w:rsidR="00673C05" w:rsidRPr="00277328" w:rsidRDefault="00673C05" w:rsidP="005C610F">
            <w:pPr>
              <w:cnfStyle w:val="000000100000"/>
              <w:rPr>
                <w:lang w:val="en-GB"/>
              </w:rPr>
            </w:pPr>
          </w:p>
          <w:p w:rsidR="00673C05" w:rsidRPr="00277328" w:rsidRDefault="00673C05" w:rsidP="005C610F">
            <w:pPr>
              <w:cnfStyle w:val="000000100000"/>
              <w:rPr>
                <w:lang w:val="en-GB"/>
              </w:rPr>
            </w:pPr>
            <w:r w:rsidRPr="00277328">
              <w:rPr>
                <w:lang w:val="en-GB"/>
              </w:rPr>
              <w:t>Predicted Probability</w:t>
            </w:r>
          </w:p>
        </w:tc>
        <w:tc>
          <w:tcPr>
            <w:tcW w:w="898" w:type="dxa"/>
          </w:tcPr>
          <w:p w:rsidR="00673C05" w:rsidRPr="00277328" w:rsidRDefault="00673C05" w:rsidP="005C610F">
            <w:pPr>
              <w:cnfStyle w:val="000000100000"/>
              <w:rPr>
                <w:lang w:val="en-GB"/>
              </w:rPr>
            </w:pPr>
            <w:r w:rsidRPr="00277328">
              <w:rPr>
                <w:lang w:val="en-GB"/>
              </w:rPr>
              <w:t>%Δ compared to base</w:t>
            </w:r>
          </w:p>
        </w:tc>
        <w:tc>
          <w:tcPr>
            <w:tcW w:w="944" w:type="dxa"/>
            <w:gridSpan w:val="2"/>
          </w:tcPr>
          <w:p w:rsidR="00673C05" w:rsidRPr="00277328" w:rsidRDefault="00673C05" w:rsidP="005C610F">
            <w:pPr>
              <w:cnfStyle w:val="000000100000"/>
              <w:rPr>
                <w:lang w:val="en-GB"/>
              </w:rPr>
            </w:pPr>
          </w:p>
          <w:p w:rsidR="00673C05" w:rsidRPr="00277328" w:rsidRDefault="00673C05" w:rsidP="005C610F">
            <w:pPr>
              <w:cnfStyle w:val="000000100000"/>
              <w:rPr>
                <w:lang w:val="en-GB"/>
              </w:rPr>
            </w:pPr>
            <w:r w:rsidRPr="00277328">
              <w:rPr>
                <w:lang w:val="en-GB"/>
              </w:rPr>
              <w:t>Predicted Probability</w:t>
            </w:r>
          </w:p>
        </w:tc>
        <w:tc>
          <w:tcPr>
            <w:tcW w:w="898" w:type="dxa"/>
          </w:tcPr>
          <w:p w:rsidR="00673C05" w:rsidRPr="00277328" w:rsidRDefault="00673C05" w:rsidP="005C610F">
            <w:pPr>
              <w:cnfStyle w:val="000000100000"/>
              <w:rPr>
                <w:lang w:val="en-GB"/>
              </w:rPr>
            </w:pPr>
            <w:r w:rsidRPr="00277328">
              <w:rPr>
                <w:lang w:val="en-GB"/>
              </w:rPr>
              <w:t>%Δ compared to base</w:t>
            </w:r>
          </w:p>
        </w:tc>
      </w:tr>
      <w:tr w:rsidR="006C7005" w:rsidRPr="00277328" w:rsidTr="004701E0">
        <w:trPr>
          <w:cnfStyle w:val="000000010000"/>
        </w:trPr>
        <w:tc>
          <w:tcPr>
            <w:cnfStyle w:val="001000000000"/>
            <w:tcW w:w="1384" w:type="dxa"/>
          </w:tcPr>
          <w:p w:rsidR="006C7005" w:rsidRPr="00277328" w:rsidRDefault="006C7005" w:rsidP="006C7005">
            <w:pPr>
              <w:rPr>
                <w:rFonts w:asciiTheme="minorHAnsi" w:hAnsiTheme="minorHAnsi" w:cstheme="minorHAnsi"/>
                <w:lang w:val="en-GB"/>
              </w:rPr>
            </w:pPr>
            <w:r w:rsidRPr="00277328">
              <w:rPr>
                <w:rFonts w:asciiTheme="minorHAnsi" w:hAnsiTheme="minorHAnsi" w:cstheme="minorHAnsi"/>
                <w:lang w:val="en-GB"/>
              </w:rPr>
              <w:t>Base alternative</w:t>
            </w:r>
            <w:r w:rsidR="004701E0" w:rsidRPr="00277328">
              <w:rPr>
                <w:rFonts w:asciiTheme="minorHAnsi" w:hAnsiTheme="minorHAnsi" w:cstheme="minorHAnsi"/>
                <w:lang w:val="en-GB"/>
              </w:rPr>
              <w:t xml:space="preserve"> </w:t>
            </w:r>
            <w:r w:rsidRPr="00277328">
              <w:rPr>
                <w:rFonts w:asciiTheme="minorHAnsi" w:hAnsiTheme="minorHAnsi" w:cstheme="minorHAnsi"/>
                <w:vertAlign w:val="superscript"/>
                <w:lang w:val="en-GB"/>
              </w:rPr>
              <w:t>a</w:t>
            </w:r>
          </w:p>
        </w:tc>
        <w:tc>
          <w:tcPr>
            <w:tcW w:w="709" w:type="dxa"/>
          </w:tcPr>
          <w:p w:rsidR="006C7005" w:rsidRPr="00277328" w:rsidRDefault="006C7005" w:rsidP="00673C05">
            <w:pPr>
              <w:cnfStyle w:val="000000010000"/>
              <w:rPr>
                <w:lang w:val="en-GB"/>
              </w:rPr>
            </w:pPr>
          </w:p>
          <w:p w:rsidR="006C7005" w:rsidRPr="00277328" w:rsidRDefault="006C7005" w:rsidP="00673C05">
            <w:pPr>
              <w:cnfStyle w:val="000000010000"/>
              <w:rPr>
                <w:lang w:val="en-GB"/>
              </w:rPr>
            </w:pPr>
            <w:r w:rsidRPr="00277328">
              <w:rPr>
                <w:lang w:val="en-GB"/>
              </w:rPr>
              <w:t>0.84</w:t>
            </w:r>
          </w:p>
        </w:tc>
        <w:tc>
          <w:tcPr>
            <w:tcW w:w="997" w:type="dxa"/>
          </w:tcPr>
          <w:p w:rsidR="006C7005" w:rsidRPr="00277328" w:rsidRDefault="006C7005" w:rsidP="00673C05">
            <w:pPr>
              <w:cnfStyle w:val="000000010000"/>
              <w:rPr>
                <w:lang w:val="en-GB"/>
              </w:rPr>
            </w:pPr>
          </w:p>
        </w:tc>
        <w:tc>
          <w:tcPr>
            <w:tcW w:w="876" w:type="dxa"/>
            <w:gridSpan w:val="2"/>
          </w:tcPr>
          <w:p w:rsidR="006C7005" w:rsidRPr="00277328" w:rsidRDefault="006C7005" w:rsidP="00673C05">
            <w:pPr>
              <w:cnfStyle w:val="000000010000"/>
              <w:rPr>
                <w:lang w:val="en-GB"/>
              </w:rPr>
            </w:pPr>
          </w:p>
          <w:p w:rsidR="006C7005" w:rsidRPr="00277328" w:rsidRDefault="006C7005" w:rsidP="00673C05">
            <w:pPr>
              <w:cnfStyle w:val="000000010000"/>
              <w:rPr>
                <w:lang w:val="en-GB"/>
              </w:rPr>
            </w:pPr>
            <w:r w:rsidRPr="00277328">
              <w:rPr>
                <w:lang w:val="en-GB"/>
              </w:rPr>
              <w:t>0.84</w:t>
            </w:r>
          </w:p>
        </w:tc>
        <w:tc>
          <w:tcPr>
            <w:tcW w:w="877" w:type="dxa"/>
          </w:tcPr>
          <w:p w:rsidR="006C7005" w:rsidRPr="00277328" w:rsidRDefault="006C7005" w:rsidP="00673C05">
            <w:pPr>
              <w:cnfStyle w:val="000000010000"/>
              <w:rPr>
                <w:lang w:val="en-GB"/>
              </w:rPr>
            </w:pPr>
          </w:p>
        </w:tc>
        <w:tc>
          <w:tcPr>
            <w:tcW w:w="921" w:type="dxa"/>
          </w:tcPr>
          <w:p w:rsidR="006C7005" w:rsidRPr="00277328" w:rsidRDefault="006C7005" w:rsidP="00673C05">
            <w:pPr>
              <w:cnfStyle w:val="000000010000"/>
              <w:rPr>
                <w:lang w:val="en-GB"/>
              </w:rPr>
            </w:pPr>
            <w:r w:rsidRPr="00277328">
              <w:rPr>
                <w:lang w:val="en-GB"/>
              </w:rPr>
              <w:t>0.81</w:t>
            </w:r>
          </w:p>
        </w:tc>
        <w:tc>
          <w:tcPr>
            <w:tcW w:w="921" w:type="dxa"/>
            <w:gridSpan w:val="2"/>
          </w:tcPr>
          <w:p w:rsidR="006C7005" w:rsidRPr="00277328" w:rsidRDefault="006C7005" w:rsidP="00673C05">
            <w:pPr>
              <w:cnfStyle w:val="000000010000"/>
              <w:rPr>
                <w:lang w:val="en-GB"/>
              </w:rPr>
            </w:pPr>
          </w:p>
        </w:tc>
        <w:tc>
          <w:tcPr>
            <w:tcW w:w="921" w:type="dxa"/>
          </w:tcPr>
          <w:p w:rsidR="006C7005" w:rsidRPr="00277328" w:rsidRDefault="006C7005" w:rsidP="00673C05">
            <w:pPr>
              <w:cnfStyle w:val="000000010000"/>
              <w:rPr>
                <w:lang w:val="en-GB"/>
              </w:rPr>
            </w:pPr>
            <w:r w:rsidRPr="00277328">
              <w:rPr>
                <w:lang w:val="en-GB"/>
              </w:rPr>
              <w:t>0.80</w:t>
            </w:r>
          </w:p>
        </w:tc>
        <w:tc>
          <w:tcPr>
            <w:tcW w:w="921" w:type="dxa"/>
            <w:gridSpan w:val="2"/>
          </w:tcPr>
          <w:p w:rsidR="006C7005" w:rsidRPr="00277328" w:rsidRDefault="006C7005" w:rsidP="00673C05">
            <w:pPr>
              <w:cnfStyle w:val="000000010000"/>
              <w:rPr>
                <w:lang w:val="en-GB"/>
              </w:rPr>
            </w:pPr>
          </w:p>
        </w:tc>
      </w:tr>
      <w:tr w:rsidR="00673C05" w:rsidRPr="00277328" w:rsidTr="004701E0">
        <w:trPr>
          <w:cnfStyle w:val="000000100000"/>
        </w:trPr>
        <w:tc>
          <w:tcPr>
            <w:cnfStyle w:val="001000000000"/>
            <w:tcW w:w="1384" w:type="dxa"/>
          </w:tcPr>
          <w:p w:rsidR="00673C05" w:rsidRPr="00277328" w:rsidRDefault="00673C05" w:rsidP="005C610F">
            <w:pPr>
              <w:rPr>
                <w:rFonts w:asciiTheme="minorHAnsi" w:hAnsiTheme="minorHAnsi" w:cstheme="minorHAnsi"/>
                <w:u w:val="single"/>
                <w:lang w:val="en-GB"/>
              </w:rPr>
            </w:pPr>
            <w:r w:rsidRPr="00277328">
              <w:rPr>
                <w:rFonts w:asciiTheme="minorHAnsi" w:hAnsiTheme="minorHAnsi" w:cstheme="minorHAnsi"/>
                <w:u w:val="single"/>
                <w:lang w:val="en-GB"/>
              </w:rPr>
              <w:t>Equity attributes</w:t>
            </w:r>
          </w:p>
          <w:p w:rsidR="00673C05" w:rsidRPr="00277328" w:rsidRDefault="00673C05" w:rsidP="005C610F">
            <w:pPr>
              <w:rPr>
                <w:rFonts w:asciiTheme="minorHAnsi" w:hAnsiTheme="minorHAnsi" w:cstheme="minorHAnsi"/>
                <w:b w:val="0"/>
                <w:lang w:val="en-GB"/>
              </w:rPr>
            </w:pPr>
            <w:r w:rsidRPr="00277328">
              <w:rPr>
                <w:rFonts w:asciiTheme="minorHAnsi" w:hAnsiTheme="minorHAnsi" w:cstheme="minorHAnsi"/>
                <w:b w:val="0"/>
                <w:lang w:val="en-GB"/>
              </w:rPr>
              <w:t>Severity of disease</w:t>
            </w:r>
          </w:p>
          <w:p w:rsidR="00673C05" w:rsidRPr="00277328" w:rsidRDefault="00673C05" w:rsidP="005C610F">
            <w:pPr>
              <w:rPr>
                <w:rFonts w:asciiTheme="minorHAnsi" w:hAnsiTheme="minorHAnsi" w:cstheme="minorHAnsi"/>
                <w:b w:val="0"/>
                <w:lang w:val="en-GB"/>
              </w:rPr>
            </w:pPr>
          </w:p>
          <w:p w:rsidR="00673C05" w:rsidRPr="00277328" w:rsidRDefault="00673C05" w:rsidP="005C610F">
            <w:pPr>
              <w:rPr>
                <w:rFonts w:asciiTheme="minorHAnsi" w:hAnsiTheme="minorHAnsi" w:cstheme="minorHAnsi"/>
                <w:b w:val="0"/>
                <w:lang w:val="en-GB"/>
              </w:rPr>
            </w:pPr>
            <w:r w:rsidRPr="00277328">
              <w:rPr>
                <w:rFonts w:asciiTheme="minorHAnsi" w:hAnsiTheme="minorHAnsi" w:cstheme="minorHAnsi"/>
                <w:b w:val="0"/>
                <w:lang w:val="en-GB"/>
              </w:rPr>
              <w:t>Middl</w:t>
            </w:r>
            <w:r w:rsidR="00224F54" w:rsidRPr="00277328">
              <w:rPr>
                <w:rFonts w:asciiTheme="minorHAnsi" w:hAnsiTheme="minorHAnsi" w:cstheme="minorHAnsi"/>
                <w:b w:val="0"/>
                <w:lang w:val="en-GB"/>
              </w:rPr>
              <w:t>e age group</w:t>
            </w:r>
          </w:p>
          <w:p w:rsidR="00224F54" w:rsidRPr="00277328" w:rsidRDefault="00224F54" w:rsidP="005C610F">
            <w:pPr>
              <w:rPr>
                <w:rFonts w:asciiTheme="minorHAnsi" w:hAnsiTheme="minorHAnsi" w:cstheme="minorHAnsi"/>
                <w:b w:val="0"/>
                <w:lang w:val="en-GB"/>
              </w:rPr>
            </w:pPr>
          </w:p>
          <w:p w:rsidR="00673C05" w:rsidRPr="00277328" w:rsidRDefault="00224F54" w:rsidP="005C610F">
            <w:pPr>
              <w:rPr>
                <w:rFonts w:asciiTheme="minorHAnsi" w:hAnsiTheme="minorHAnsi" w:cstheme="minorHAnsi"/>
                <w:b w:val="0"/>
                <w:lang w:val="en-GB"/>
              </w:rPr>
            </w:pPr>
            <w:r w:rsidRPr="00277328">
              <w:rPr>
                <w:rFonts w:asciiTheme="minorHAnsi" w:hAnsiTheme="minorHAnsi" w:cstheme="minorHAnsi"/>
                <w:b w:val="0"/>
                <w:lang w:val="en-GB"/>
              </w:rPr>
              <w:t xml:space="preserve">High age group </w:t>
            </w:r>
          </w:p>
          <w:p w:rsidR="00224F54" w:rsidRPr="00277328" w:rsidRDefault="00224F54" w:rsidP="005C610F">
            <w:pPr>
              <w:rPr>
                <w:rFonts w:asciiTheme="minorHAnsi" w:hAnsiTheme="minorHAnsi" w:cstheme="minorHAnsi"/>
                <w:b w:val="0"/>
                <w:lang w:val="en-GB"/>
              </w:rPr>
            </w:pPr>
          </w:p>
          <w:p w:rsidR="00224F54" w:rsidRPr="00277328" w:rsidRDefault="00224F54" w:rsidP="005C610F">
            <w:pPr>
              <w:rPr>
                <w:rFonts w:asciiTheme="minorHAnsi" w:hAnsiTheme="minorHAnsi" w:cstheme="minorHAnsi"/>
                <w:b w:val="0"/>
                <w:lang w:val="en-GB"/>
              </w:rPr>
            </w:pPr>
          </w:p>
          <w:p w:rsidR="00673C05" w:rsidRPr="00277328" w:rsidRDefault="00F16517" w:rsidP="005C610F">
            <w:pPr>
              <w:rPr>
                <w:rFonts w:asciiTheme="minorHAnsi" w:hAnsiTheme="minorHAnsi" w:cstheme="minorHAnsi"/>
                <w:b w:val="0"/>
                <w:lang w:val="en-GB"/>
              </w:rPr>
            </w:pPr>
            <w:r>
              <w:rPr>
                <w:rFonts w:asciiTheme="minorHAnsi" w:hAnsiTheme="minorHAnsi" w:cstheme="minorHAnsi"/>
                <w:b w:val="0"/>
                <w:lang w:val="en-GB"/>
              </w:rPr>
              <w:t>Willingness to subsidis</w:t>
            </w:r>
            <w:r w:rsidR="00673C05" w:rsidRPr="00277328">
              <w:rPr>
                <w:rFonts w:asciiTheme="minorHAnsi" w:hAnsiTheme="minorHAnsi" w:cstheme="minorHAnsi"/>
                <w:b w:val="0"/>
                <w:lang w:val="en-GB"/>
              </w:rPr>
              <w:t>e others</w:t>
            </w:r>
          </w:p>
          <w:p w:rsidR="00673C05" w:rsidRPr="00277328" w:rsidRDefault="00673C05" w:rsidP="005C610F">
            <w:pPr>
              <w:rPr>
                <w:rFonts w:asciiTheme="minorHAnsi" w:hAnsiTheme="minorHAnsi" w:cstheme="minorHAnsi"/>
                <w:b w:val="0"/>
                <w:lang w:val="en-GB"/>
              </w:rPr>
            </w:pPr>
          </w:p>
        </w:tc>
        <w:tc>
          <w:tcPr>
            <w:tcW w:w="709" w:type="dxa"/>
          </w:tcPr>
          <w:p w:rsidR="00673C05" w:rsidRPr="00277328" w:rsidRDefault="00673C05" w:rsidP="00673C05">
            <w:pPr>
              <w:cnfStyle w:val="000000100000"/>
              <w:rPr>
                <w:lang w:val="en-GB"/>
              </w:rPr>
            </w:pPr>
          </w:p>
          <w:p w:rsidR="00224F54" w:rsidRPr="00277328" w:rsidRDefault="00224F54" w:rsidP="00673C05">
            <w:pPr>
              <w:cnfStyle w:val="000000100000"/>
              <w:rPr>
                <w:lang w:val="en-GB"/>
              </w:rPr>
            </w:pPr>
          </w:p>
          <w:p w:rsidR="00224F54" w:rsidRPr="00277328" w:rsidRDefault="00224F54" w:rsidP="00673C05">
            <w:pPr>
              <w:cnfStyle w:val="000000100000"/>
              <w:rPr>
                <w:lang w:val="en-GB"/>
              </w:rPr>
            </w:pPr>
            <w:r w:rsidRPr="00277328">
              <w:rPr>
                <w:lang w:val="en-GB"/>
              </w:rPr>
              <w:t>0.88</w:t>
            </w:r>
          </w:p>
          <w:p w:rsidR="00224F54" w:rsidRPr="00277328" w:rsidRDefault="00224F54" w:rsidP="00673C05">
            <w:pPr>
              <w:cnfStyle w:val="000000100000"/>
              <w:rPr>
                <w:lang w:val="en-GB"/>
              </w:rPr>
            </w:pPr>
          </w:p>
          <w:p w:rsidR="00224F54" w:rsidRPr="00277328" w:rsidRDefault="00224F54" w:rsidP="00673C05">
            <w:pPr>
              <w:cnfStyle w:val="000000100000"/>
              <w:rPr>
                <w:lang w:val="en-GB"/>
              </w:rPr>
            </w:pPr>
          </w:p>
          <w:p w:rsidR="00224F54" w:rsidRPr="00277328" w:rsidRDefault="00224F54" w:rsidP="00673C05">
            <w:pPr>
              <w:cnfStyle w:val="000000100000"/>
              <w:rPr>
                <w:lang w:val="en-GB"/>
              </w:rPr>
            </w:pPr>
          </w:p>
          <w:p w:rsidR="00224F54" w:rsidRPr="00277328" w:rsidRDefault="00224F54" w:rsidP="00673C05">
            <w:pPr>
              <w:cnfStyle w:val="000000100000"/>
              <w:rPr>
                <w:lang w:val="en-GB"/>
              </w:rPr>
            </w:pPr>
            <w:r w:rsidRPr="00277328">
              <w:rPr>
                <w:lang w:val="en-GB"/>
              </w:rPr>
              <w:t>0.83</w:t>
            </w:r>
          </w:p>
          <w:p w:rsidR="00224F54" w:rsidRPr="00277328" w:rsidRDefault="00224F54" w:rsidP="00673C05">
            <w:pPr>
              <w:cnfStyle w:val="000000100000"/>
              <w:rPr>
                <w:lang w:val="en-GB"/>
              </w:rPr>
            </w:pPr>
          </w:p>
          <w:p w:rsidR="00224F54" w:rsidRPr="00277328" w:rsidRDefault="00224F54" w:rsidP="00673C05">
            <w:pPr>
              <w:cnfStyle w:val="000000100000"/>
              <w:rPr>
                <w:lang w:val="en-GB"/>
              </w:rPr>
            </w:pPr>
          </w:p>
          <w:p w:rsidR="00224F54" w:rsidRPr="00277328" w:rsidRDefault="00224F54" w:rsidP="00673C05">
            <w:pPr>
              <w:cnfStyle w:val="000000100000"/>
              <w:rPr>
                <w:lang w:val="en-GB"/>
              </w:rPr>
            </w:pPr>
            <w:r w:rsidRPr="00277328">
              <w:rPr>
                <w:lang w:val="en-GB"/>
              </w:rPr>
              <w:t>0.75</w:t>
            </w:r>
          </w:p>
          <w:p w:rsidR="00224F54" w:rsidRPr="00277328" w:rsidRDefault="00224F54" w:rsidP="00673C05">
            <w:pPr>
              <w:cnfStyle w:val="000000100000"/>
              <w:rPr>
                <w:lang w:val="en-GB"/>
              </w:rPr>
            </w:pPr>
          </w:p>
          <w:p w:rsidR="00224F54" w:rsidRPr="00277328" w:rsidRDefault="00224F54" w:rsidP="00673C05">
            <w:pPr>
              <w:cnfStyle w:val="000000100000"/>
              <w:rPr>
                <w:lang w:val="en-GB"/>
              </w:rPr>
            </w:pPr>
          </w:p>
          <w:p w:rsidR="00224F54" w:rsidRPr="00277328" w:rsidRDefault="00224F54" w:rsidP="00673C05">
            <w:pPr>
              <w:cnfStyle w:val="000000100000"/>
              <w:rPr>
                <w:lang w:val="en-GB"/>
              </w:rPr>
            </w:pPr>
          </w:p>
          <w:p w:rsidR="00224F54" w:rsidRPr="00277328" w:rsidRDefault="00224F54" w:rsidP="00673C05">
            <w:pPr>
              <w:cnfStyle w:val="000000100000"/>
              <w:rPr>
                <w:lang w:val="en-GB"/>
              </w:rPr>
            </w:pPr>
            <w:r w:rsidRPr="00277328">
              <w:rPr>
                <w:lang w:val="en-GB"/>
              </w:rPr>
              <w:t>0.86</w:t>
            </w:r>
          </w:p>
        </w:tc>
        <w:tc>
          <w:tcPr>
            <w:tcW w:w="997" w:type="dxa"/>
          </w:tcPr>
          <w:p w:rsidR="00673C05" w:rsidRPr="00277328" w:rsidRDefault="00673C05" w:rsidP="00673C05">
            <w:pPr>
              <w:cnfStyle w:val="000000100000"/>
              <w:rPr>
                <w:lang w:val="en-GB"/>
              </w:rPr>
            </w:pPr>
          </w:p>
          <w:p w:rsidR="00224F54" w:rsidRPr="00277328" w:rsidRDefault="00224F54" w:rsidP="00673C05">
            <w:pPr>
              <w:cnfStyle w:val="000000100000"/>
              <w:rPr>
                <w:lang w:val="en-GB"/>
              </w:rPr>
            </w:pPr>
          </w:p>
          <w:p w:rsidR="00224F54" w:rsidRPr="00277328" w:rsidRDefault="00224F54" w:rsidP="00673C05">
            <w:pPr>
              <w:cnfStyle w:val="000000100000"/>
              <w:rPr>
                <w:lang w:val="en-GB"/>
              </w:rPr>
            </w:pPr>
            <w:r w:rsidRPr="00277328">
              <w:rPr>
                <w:lang w:val="en-GB"/>
              </w:rPr>
              <w:t>4.5</w:t>
            </w:r>
          </w:p>
          <w:p w:rsidR="00224F54" w:rsidRPr="00277328" w:rsidRDefault="00224F54" w:rsidP="00673C05">
            <w:pPr>
              <w:cnfStyle w:val="000000100000"/>
              <w:rPr>
                <w:lang w:val="en-GB"/>
              </w:rPr>
            </w:pPr>
          </w:p>
          <w:p w:rsidR="00224F54" w:rsidRPr="00277328" w:rsidRDefault="00224F54" w:rsidP="00673C05">
            <w:pPr>
              <w:cnfStyle w:val="000000100000"/>
              <w:rPr>
                <w:lang w:val="en-GB"/>
              </w:rPr>
            </w:pPr>
          </w:p>
          <w:p w:rsidR="00224F54" w:rsidRPr="00277328" w:rsidRDefault="00224F54" w:rsidP="00673C05">
            <w:pPr>
              <w:cnfStyle w:val="000000100000"/>
              <w:rPr>
                <w:lang w:val="en-GB"/>
              </w:rPr>
            </w:pPr>
          </w:p>
          <w:p w:rsidR="00224F54" w:rsidRPr="00277328" w:rsidRDefault="00224F54" w:rsidP="00673C05">
            <w:pPr>
              <w:cnfStyle w:val="000000100000"/>
              <w:rPr>
                <w:lang w:val="en-GB"/>
              </w:rPr>
            </w:pPr>
            <w:r w:rsidRPr="00277328">
              <w:rPr>
                <w:lang w:val="en-GB"/>
              </w:rPr>
              <w:t>-0.97</w:t>
            </w:r>
          </w:p>
          <w:p w:rsidR="00224F54" w:rsidRPr="00277328" w:rsidRDefault="00224F54" w:rsidP="00673C05">
            <w:pPr>
              <w:cnfStyle w:val="000000100000"/>
              <w:rPr>
                <w:lang w:val="en-GB"/>
              </w:rPr>
            </w:pPr>
          </w:p>
          <w:p w:rsidR="00224F54" w:rsidRPr="00277328" w:rsidRDefault="00224F54" w:rsidP="00673C05">
            <w:pPr>
              <w:cnfStyle w:val="000000100000"/>
              <w:rPr>
                <w:lang w:val="en-GB"/>
              </w:rPr>
            </w:pPr>
          </w:p>
          <w:p w:rsidR="00224F54" w:rsidRPr="00277328" w:rsidRDefault="00224F54" w:rsidP="00673C05">
            <w:pPr>
              <w:cnfStyle w:val="000000100000"/>
              <w:rPr>
                <w:lang w:val="en-GB"/>
              </w:rPr>
            </w:pPr>
            <w:r w:rsidRPr="00277328">
              <w:rPr>
                <w:lang w:val="en-GB"/>
              </w:rPr>
              <w:t>-10.54</w:t>
            </w:r>
          </w:p>
          <w:p w:rsidR="00224F54" w:rsidRPr="00277328" w:rsidRDefault="00224F54" w:rsidP="00673C05">
            <w:pPr>
              <w:cnfStyle w:val="000000100000"/>
              <w:rPr>
                <w:lang w:val="en-GB"/>
              </w:rPr>
            </w:pPr>
          </w:p>
          <w:p w:rsidR="00224F54" w:rsidRPr="00277328" w:rsidRDefault="00224F54" w:rsidP="00673C05">
            <w:pPr>
              <w:cnfStyle w:val="000000100000"/>
              <w:rPr>
                <w:lang w:val="en-GB"/>
              </w:rPr>
            </w:pPr>
          </w:p>
          <w:p w:rsidR="00224F54" w:rsidRPr="00277328" w:rsidRDefault="00224F54" w:rsidP="00673C05">
            <w:pPr>
              <w:cnfStyle w:val="000000100000"/>
              <w:rPr>
                <w:lang w:val="en-GB"/>
              </w:rPr>
            </w:pPr>
          </w:p>
          <w:p w:rsidR="00224F54" w:rsidRPr="00277328" w:rsidRDefault="00224F54" w:rsidP="00673C05">
            <w:pPr>
              <w:cnfStyle w:val="000000100000"/>
              <w:rPr>
                <w:lang w:val="en-GB"/>
              </w:rPr>
            </w:pPr>
            <w:r w:rsidRPr="00277328">
              <w:rPr>
                <w:lang w:val="en-GB"/>
              </w:rPr>
              <w:t>1.76</w:t>
            </w:r>
          </w:p>
        </w:tc>
        <w:tc>
          <w:tcPr>
            <w:tcW w:w="855" w:type="dxa"/>
          </w:tcPr>
          <w:p w:rsidR="006C7005" w:rsidRPr="00277328" w:rsidRDefault="006C7005" w:rsidP="00224F54">
            <w:pPr>
              <w:cnfStyle w:val="000000100000"/>
              <w:rPr>
                <w:rFonts w:ascii="Calibri" w:hAnsi="Calibri" w:cs="Calibri"/>
                <w:color w:val="000000"/>
                <w:lang w:val="en-GB"/>
              </w:rPr>
            </w:pPr>
          </w:p>
          <w:p w:rsidR="006C7005" w:rsidRPr="00277328" w:rsidRDefault="006C7005" w:rsidP="00224F54">
            <w:pPr>
              <w:cnfStyle w:val="000000100000"/>
              <w:rPr>
                <w:rFonts w:ascii="Calibri" w:hAnsi="Calibri" w:cs="Calibri"/>
                <w:color w:val="000000"/>
                <w:lang w:val="en-GB"/>
              </w:rPr>
            </w:pPr>
          </w:p>
          <w:p w:rsidR="00224F54" w:rsidRPr="00277328" w:rsidRDefault="00224F54" w:rsidP="00224F54">
            <w:pPr>
              <w:cnfStyle w:val="000000100000"/>
              <w:rPr>
                <w:rFonts w:ascii="Calibri" w:hAnsi="Calibri" w:cs="Calibri"/>
                <w:color w:val="000000"/>
                <w:lang w:val="en-GB"/>
              </w:rPr>
            </w:pPr>
            <w:r w:rsidRPr="00277328">
              <w:rPr>
                <w:rFonts w:ascii="Calibri" w:hAnsi="Calibri" w:cs="Calibri"/>
                <w:color w:val="000000"/>
                <w:lang w:val="en-GB"/>
              </w:rPr>
              <w:t>0.88</w:t>
            </w:r>
          </w:p>
          <w:p w:rsidR="006C7005" w:rsidRPr="00277328" w:rsidRDefault="006C7005" w:rsidP="00224F54">
            <w:pPr>
              <w:cnfStyle w:val="000000100000"/>
              <w:rPr>
                <w:rFonts w:ascii="Calibri" w:hAnsi="Calibri" w:cs="Calibri"/>
                <w:color w:val="000000"/>
                <w:lang w:val="en-GB"/>
              </w:rPr>
            </w:pPr>
          </w:p>
          <w:p w:rsidR="006C7005" w:rsidRPr="00277328" w:rsidRDefault="006C7005" w:rsidP="00224F54">
            <w:pPr>
              <w:cnfStyle w:val="000000100000"/>
              <w:rPr>
                <w:rFonts w:ascii="Calibri" w:hAnsi="Calibri" w:cs="Calibri"/>
                <w:color w:val="000000"/>
                <w:lang w:val="en-GB"/>
              </w:rPr>
            </w:pPr>
          </w:p>
          <w:p w:rsidR="006C7005" w:rsidRPr="00277328" w:rsidRDefault="006C7005" w:rsidP="00224F54">
            <w:pPr>
              <w:cnfStyle w:val="000000100000"/>
              <w:rPr>
                <w:rFonts w:ascii="Calibri" w:hAnsi="Calibri" w:cs="Calibri"/>
                <w:color w:val="000000"/>
                <w:lang w:val="en-GB"/>
              </w:rPr>
            </w:pPr>
          </w:p>
          <w:p w:rsidR="00224F54" w:rsidRPr="00277328" w:rsidRDefault="00224F54" w:rsidP="00224F54">
            <w:pPr>
              <w:cnfStyle w:val="000000100000"/>
              <w:rPr>
                <w:rFonts w:ascii="Calibri" w:hAnsi="Calibri" w:cs="Calibri"/>
                <w:color w:val="000000"/>
                <w:lang w:val="en-GB"/>
              </w:rPr>
            </w:pPr>
            <w:r w:rsidRPr="00277328">
              <w:rPr>
                <w:rFonts w:ascii="Calibri" w:hAnsi="Calibri" w:cs="Calibri"/>
                <w:color w:val="000000"/>
                <w:lang w:val="en-GB"/>
              </w:rPr>
              <w:t>0.84</w:t>
            </w:r>
          </w:p>
          <w:p w:rsidR="006C7005" w:rsidRPr="00277328" w:rsidRDefault="006C7005" w:rsidP="00224F54">
            <w:pPr>
              <w:cnfStyle w:val="000000100000"/>
              <w:rPr>
                <w:rFonts w:ascii="Calibri" w:hAnsi="Calibri" w:cs="Calibri"/>
                <w:color w:val="000000"/>
                <w:lang w:val="en-GB"/>
              </w:rPr>
            </w:pPr>
          </w:p>
          <w:p w:rsidR="006C7005" w:rsidRPr="00277328" w:rsidRDefault="006C7005" w:rsidP="00224F54">
            <w:pPr>
              <w:cnfStyle w:val="000000100000"/>
              <w:rPr>
                <w:rFonts w:ascii="Calibri" w:hAnsi="Calibri" w:cs="Calibri"/>
                <w:color w:val="000000"/>
                <w:lang w:val="en-GB"/>
              </w:rPr>
            </w:pPr>
          </w:p>
          <w:p w:rsidR="00224F54" w:rsidRPr="00277328" w:rsidRDefault="00224F54" w:rsidP="00224F54">
            <w:pPr>
              <w:cnfStyle w:val="000000100000"/>
              <w:rPr>
                <w:rFonts w:ascii="Calibri" w:hAnsi="Calibri" w:cs="Calibri"/>
                <w:color w:val="000000"/>
                <w:lang w:val="en-GB"/>
              </w:rPr>
            </w:pPr>
            <w:r w:rsidRPr="00277328">
              <w:rPr>
                <w:rFonts w:ascii="Calibri" w:hAnsi="Calibri" w:cs="Calibri"/>
                <w:color w:val="000000"/>
                <w:lang w:val="en-GB"/>
              </w:rPr>
              <w:t>0.77</w:t>
            </w:r>
          </w:p>
          <w:p w:rsidR="006C7005" w:rsidRPr="00277328" w:rsidRDefault="006C7005" w:rsidP="00224F54">
            <w:pPr>
              <w:cnfStyle w:val="000000100000"/>
              <w:rPr>
                <w:rFonts w:ascii="Calibri" w:hAnsi="Calibri" w:cs="Calibri"/>
                <w:color w:val="000000"/>
                <w:lang w:val="en-GB"/>
              </w:rPr>
            </w:pPr>
          </w:p>
          <w:p w:rsidR="006C7005" w:rsidRPr="00277328" w:rsidRDefault="006C7005" w:rsidP="00224F54">
            <w:pPr>
              <w:cnfStyle w:val="000000100000"/>
              <w:rPr>
                <w:rFonts w:ascii="Calibri" w:hAnsi="Calibri" w:cs="Calibri"/>
                <w:color w:val="000000"/>
                <w:lang w:val="en-GB"/>
              </w:rPr>
            </w:pPr>
          </w:p>
          <w:p w:rsidR="006C7005" w:rsidRPr="00277328" w:rsidRDefault="006C7005" w:rsidP="00224F54">
            <w:pPr>
              <w:cnfStyle w:val="000000100000"/>
              <w:rPr>
                <w:rFonts w:ascii="Calibri" w:hAnsi="Calibri" w:cs="Calibri"/>
                <w:color w:val="000000"/>
                <w:lang w:val="en-GB"/>
              </w:rPr>
            </w:pPr>
          </w:p>
          <w:p w:rsidR="00224F54" w:rsidRPr="00277328" w:rsidRDefault="00224F54" w:rsidP="00224F54">
            <w:pPr>
              <w:cnfStyle w:val="000000100000"/>
              <w:rPr>
                <w:rFonts w:ascii="Calibri" w:hAnsi="Calibri" w:cs="Calibri"/>
                <w:color w:val="000000"/>
                <w:lang w:val="en-GB"/>
              </w:rPr>
            </w:pPr>
            <w:r w:rsidRPr="00277328">
              <w:rPr>
                <w:rFonts w:ascii="Calibri" w:hAnsi="Calibri" w:cs="Calibri"/>
                <w:color w:val="000000"/>
                <w:lang w:val="en-GB"/>
              </w:rPr>
              <w:t>0.82</w:t>
            </w:r>
          </w:p>
          <w:p w:rsidR="00673C05" w:rsidRPr="00277328" w:rsidRDefault="00673C05" w:rsidP="00673C05">
            <w:pPr>
              <w:cnfStyle w:val="000000100000"/>
              <w:rPr>
                <w:lang w:val="en-GB"/>
              </w:rPr>
            </w:pPr>
          </w:p>
          <w:p w:rsidR="00224F54" w:rsidRPr="00277328" w:rsidRDefault="00224F54" w:rsidP="006C7005">
            <w:pPr>
              <w:cnfStyle w:val="000000100000"/>
              <w:rPr>
                <w:lang w:val="en-GB"/>
              </w:rPr>
            </w:pPr>
          </w:p>
        </w:tc>
        <w:tc>
          <w:tcPr>
            <w:tcW w:w="898" w:type="dxa"/>
            <w:gridSpan w:val="2"/>
          </w:tcPr>
          <w:p w:rsidR="00673C05" w:rsidRPr="00277328" w:rsidRDefault="00673C05" w:rsidP="00673C05">
            <w:pPr>
              <w:cnfStyle w:val="000000100000"/>
              <w:rPr>
                <w:lang w:val="en-GB"/>
              </w:rPr>
            </w:pPr>
          </w:p>
          <w:p w:rsidR="006C7005" w:rsidRPr="00277328" w:rsidRDefault="006C7005" w:rsidP="00673C05">
            <w:pPr>
              <w:cnfStyle w:val="000000100000"/>
              <w:rPr>
                <w:lang w:val="en-GB"/>
              </w:rPr>
            </w:pPr>
          </w:p>
          <w:p w:rsidR="006C7005" w:rsidRPr="00277328" w:rsidRDefault="006C7005" w:rsidP="00673C05">
            <w:pPr>
              <w:cnfStyle w:val="000000100000"/>
              <w:rPr>
                <w:lang w:val="en-GB"/>
              </w:rPr>
            </w:pPr>
            <w:r w:rsidRPr="00277328">
              <w:rPr>
                <w:lang w:val="en-GB"/>
              </w:rPr>
              <w:t>4.5</w:t>
            </w:r>
          </w:p>
          <w:p w:rsidR="006C7005" w:rsidRPr="00277328" w:rsidRDefault="006C7005" w:rsidP="00673C05">
            <w:pPr>
              <w:cnfStyle w:val="000000100000"/>
              <w:rPr>
                <w:lang w:val="en-GB"/>
              </w:rPr>
            </w:pPr>
          </w:p>
          <w:p w:rsidR="006C7005" w:rsidRPr="00277328" w:rsidRDefault="006C7005" w:rsidP="00673C05">
            <w:pPr>
              <w:cnfStyle w:val="000000100000"/>
              <w:rPr>
                <w:lang w:val="en-GB"/>
              </w:rPr>
            </w:pPr>
          </w:p>
          <w:p w:rsidR="006C7005" w:rsidRPr="00277328" w:rsidRDefault="006C7005" w:rsidP="00673C05">
            <w:pPr>
              <w:cnfStyle w:val="000000100000"/>
              <w:rPr>
                <w:lang w:val="en-GB"/>
              </w:rPr>
            </w:pPr>
          </w:p>
          <w:p w:rsidR="006C7005" w:rsidRPr="00277328" w:rsidRDefault="006C7005" w:rsidP="00673C05">
            <w:pPr>
              <w:cnfStyle w:val="000000100000"/>
              <w:rPr>
                <w:lang w:val="en-GB"/>
              </w:rPr>
            </w:pPr>
            <w:r w:rsidRPr="00277328">
              <w:rPr>
                <w:lang w:val="en-GB"/>
              </w:rPr>
              <w:t>-0.36</w:t>
            </w:r>
          </w:p>
          <w:p w:rsidR="006C7005" w:rsidRPr="00277328" w:rsidRDefault="006C7005" w:rsidP="00673C05">
            <w:pPr>
              <w:cnfStyle w:val="000000100000"/>
              <w:rPr>
                <w:lang w:val="en-GB"/>
              </w:rPr>
            </w:pPr>
          </w:p>
          <w:p w:rsidR="006C7005" w:rsidRPr="00277328" w:rsidRDefault="006C7005" w:rsidP="00673C05">
            <w:pPr>
              <w:cnfStyle w:val="000000100000"/>
              <w:rPr>
                <w:lang w:val="en-GB"/>
              </w:rPr>
            </w:pPr>
          </w:p>
          <w:p w:rsidR="006C7005" w:rsidRPr="00277328" w:rsidRDefault="006C7005" w:rsidP="00673C05">
            <w:pPr>
              <w:cnfStyle w:val="000000100000"/>
              <w:rPr>
                <w:lang w:val="en-GB"/>
              </w:rPr>
            </w:pPr>
            <w:r w:rsidRPr="00277328">
              <w:rPr>
                <w:lang w:val="en-GB"/>
              </w:rPr>
              <w:t>-8.66</w:t>
            </w:r>
          </w:p>
          <w:p w:rsidR="006C7005" w:rsidRPr="00277328" w:rsidRDefault="006C7005" w:rsidP="00673C05">
            <w:pPr>
              <w:cnfStyle w:val="000000100000"/>
              <w:rPr>
                <w:lang w:val="en-GB"/>
              </w:rPr>
            </w:pPr>
          </w:p>
          <w:p w:rsidR="006C7005" w:rsidRPr="00277328" w:rsidRDefault="006C7005" w:rsidP="00673C05">
            <w:pPr>
              <w:cnfStyle w:val="000000100000"/>
              <w:rPr>
                <w:lang w:val="en-GB"/>
              </w:rPr>
            </w:pPr>
          </w:p>
          <w:p w:rsidR="006C7005" w:rsidRPr="00277328" w:rsidRDefault="006C7005" w:rsidP="00673C05">
            <w:pPr>
              <w:cnfStyle w:val="000000100000"/>
              <w:rPr>
                <w:lang w:val="en-GB"/>
              </w:rPr>
            </w:pPr>
          </w:p>
          <w:p w:rsidR="006C7005" w:rsidRPr="00277328" w:rsidRDefault="006C7005" w:rsidP="00673C05">
            <w:pPr>
              <w:cnfStyle w:val="000000100000"/>
              <w:rPr>
                <w:lang w:val="en-GB"/>
              </w:rPr>
            </w:pPr>
            <w:r w:rsidRPr="00277328">
              <w:rPr>
                <w:lang w:val="en-GB"/>
              </w:rPr>
              <w:t>-2.38</w:t>
            </w:r>
          </w:p>
        </w:tc>
        <w:tc>
          <w:tcPr>
            <w:tcW w:w="944" w:type="dxa"/>
            <w:gridSpan w:val="2"/>
          </w:tcPr>
          <w:p w:rsidR="00673C05" w:rsidRPr="00277328" w:rsidRDefault="00673C05" w:rsidP="00673C05">
            <w:pPr>
              <w:cnfStyle w:val="000000100000"/>
              <w:rPr>
                <w:lang w:val="en-GB"/>
              </w:rPr>
            </w:pPr>
          </w:p>
          <w:p w:rsidR="006C7005" w:rsidRPr="00277328" w:rsidRDefault="006C7005" w:rsidP="00673C05">
            <w:pPr>
              <w:cnfStyle w:val="000000100000"/>
              <w:rPr>
                <w:lang w:val="en-GB"/>
              </w:rPr>
            </w:pPr>
          </w:p>
          <w:p w:rsidR="006C7005" w:rsidRPr="00277328" w:rsidRDefault="006C7005" w:rsidP="00673C05">
            <w:pPr>
              <w:cnfStyle w:val="000000100000"/>
              <w:rPr>
                <w:lang w:val="en-GB"/>
              </w:rPr>
            </w:pPr>
            <w:r w:rsidRPr="00277328">
              <w:rPr>
                <w:lang w:val="en-GB"/>
              </w:rPr>
              <w:t>0.84</w:t>
            </w:r>
          </w:p>
          <w:p w:rsidR="006C7005" w:rsidRPr="00277328" w:rsidRDefault="006C7005" w:rsidP="00673C05">
            <w:pPr>
              <w:cnfStyle w:val="000000100000"/>
              <w:rPr>
                <w:lang w:val="en-GB"/>
              </w:rPr>
            </w:pPr>
          </w:p>
          <w:p w:rsidR="006C7005" w:rsidRPr="00277328" w:rsidRDefault="006C7005" w:rsidP="00673C05">
            <w:pPr>
              <w:cnfStyle w:val="000000100000"/>
              <w:rPr>
                <w:lang w:val="en-GB"/>
              </w:rPr>
            </w:pPr>
          </w:p>
          <w:p w:rsidR="006C7005" w:rsidRPr="00277328" w:rsidRDefault="006C7005" w:rsidP="00673C05">
            <w:pPr>
              <w:cnfStyle w:val="000000100000"/>
              <w:rPr>
                <w:lang w:val="en-GB"/>
              </w:rPr>
            </w:pPr>
          </w:p>
          <w:p w:rsidR="006C7005" w:rsidRPr="00277328" w:rsidRDefault="006C7005" w:rsidP="00673C05">
            <w:pPr>
              <w:cnfStyle w:val="000000100000"/>
              <w:rPr>
                <w:lang w:val="en-GB"/>
              </w:rPr>
            </w:pPr>
            <w:r w:rsidRPr="00277328">
              <w:rPr>
                <w:lang w:val="en-GB"/>
              </w:rPr>
              <w:t>0.80</w:t>
            </w:r>
          </w:p>
          <w:p w:rsidR="006C7005" w:rsidRPr="00277328" w:rsidRDefault="006C7005" w:rsidP="00673C05">
            <w:pPr>
              <w:cnfStyle w:val="000000100000"/>
              <w:rPr>
                <w:lang w:val="en-GB"/>
              </w:rPr>
            </w:pPr>
          </w:p>
          <w:p w:rsidR="006C7005" w:rsidRPr="00277328" w:rsidRDefault="006C7005" w:rsidP="00673C05">
            <w:pPr>
              <w:cnfStyle w:val="000000100000"/>
              <w:rPr>
                <w:lang w:val="en-GB"/>
              </w:rPr>
            </w:pPr>
          </w:p>
          <w:p w:rsidR="006C7005" w:rsidRPr="00277328" w:rsidRDefault="006C7005" w:rsidP="00673C05">
            <w:pPr>
              <w:cnfStyle w:val="000000100000"/>
              <w:rPr>
                <w:lang w:val="en-GB"/>
              </w:rPr>
            </w:pPr>
            <w:r w:rsidRPr="00277328">
              <w:rPr>
                <w:lang w:val="en-GB"/>
              </w:rPr>
              <w:t>0.64</w:t>
            </w:r>
          </w:p>
          <w:p w:rsidR="006C7005" w:rsidRPr="00277328" w:rsidRDefault="006C7005" w:rsidP="00673C05">
            <w:pPr>
              <w:cnfStyle w:val="000000100000"/>
              <w:rPr>
                <w:lang w:val="en-GB"/>
              </w:rPr>
            </w:pPr>
          </w:p>
          <w:p w:rsidR="006C7005" w:rsidRPr="00277328" w:rsidRDefault="006C7005" w:rsidP="00673C05">
            <w:pPr>
              <w:cnfStyle w:val="000000100000"/>
              <w:rPr>
                <w:lang w:val="en-GB"/>
              </w:rPr>
            </w:pPr>
          </w:p>
          <w:p w:rsidR="006C7005" w:rsidRPr="00277328" w:rsidRDefault="006C7005" w:rsidP="00673C05">
            <w:pPr>
              <w:cnfStyle w:val="000000100000"/>
              <w:rPr>
                <w:lang w:val="en-GB"/>
              </w:rPr>
            </w:pPr>
          </w:p>
          <w:p w:rsidR="006C7005" w:rsidRPr="00277328" w:rsidRDefault="006C7005" w:rsidP="00673C05">
            <w:pPr>
              <w:cnfStyle w:val="000000100000"/>
              <w:rPr>
                <w:lang w:val="en-GB"/>
              </w:rPr>
            </w:pPr>
            <w:r w:rsidRPr="00277328">
              <w:rPr>
                <w:lang w:val="en-GB"/>
              </w:rPr>
              <w:t>0.80</w:t>
            </w:r>
          </w:p>
          <w:p w:rsidR="006C7005" w:rsidRPr="00277328" w:rsidRDefault="006C7005" w:rsidP="00673C05">
            <w:pPr>
              <w:cnfStyle w:val="000000100000"/>
              <w:rPr>
                <w:lang w:val="en-GB"/>
              </w:rPr>
            </w:pPr>
          </w:p>
          <w:p w:rsidR="006C7005" w:rsidRPr="00277328" w:rsidRDefault="006C7005" w:rsidP="00673C05">
            <w:pPr>
              <w:cnfStyle w:val="000000100000"/>
              <w:rPr>
                <w:lang w:val="en-GB"/>
              </w:rPr>
            </w:pPr>
          </w:p>
        </w:tc>
        <w:tc>
          <w:tcPr>
            <w:tcW w:w="898" w:type="dxa"/>
          </w:tcPr>
          <w:p w:rsidR="00673C05" w:rsidRPr="00277328" w:rsidRDefault="00673C05" w:rsidP="00673C05">
            <w:pPr>
              <w:cnfStyle w:val="000000100000"/>
              <w:rPr>
                <w:lang w:val="en-GB"/>
              </w:rPr>
            </w:pPr>
          </w:p>
          <w:p w:rsidR="006C7005" w:rsidRPr="00277328" w:rsidRDefault="006C7005" w:rsidP="00673C05">
            <w:pPr>
              <w:cnfStyle w:val="000000100000"/>
              <w:rPr>
                <w:lang w:val="en-GB"/>
              </w:rPr>
            </w:pPr>
          </w:p>
          <w:p w:rsidR="006C7005" w:rsidRPr="00277328" w:rsidRDefault="006C7005" w:rsidP="00673C05">
            <w:pPr>
              <w:cnfStyle w:val="000000100000"/>
              <w:rPr>
                <w:lang w:val="en-GB"/>
              </w:rPr>
            </w:pPr>
            <w:r w:rsidRPr="00277328">
              <w:rPr>
                <w:lang w:val="en-GB"/>
              </w:rPr>
              <w:t>4.38</w:t>
            </w:r>
          </w:p>
          <w:p w:rsidR="006C7005" w:rsidRPr="00277328" w:rsidRDefault="006C7005" w:rsidP="00673C05">
            <w:pPr>
              <w:cnfStyle w:val="000000100000"/>
              <w:rPr>
                <w:lang w:val="en-GB"/>
              </w:rPr>
            </w:pPr>
          </w:p>
          <w:p w:rsidR="006C7005" w:rsidRPr="00277328" w:rsidRDefault="006C7005" w:rsidP="00673C05">
            <w:pPr>
              <w:cnfStyle w:val="000000100000"/>
              <w:rPr>
                <w:lang w:val="en-GB"/>
              </w:rPr>
            </w:pPr>
          </w:p>
          <w:p w:rsidR="006C7005" w:rsidRPr="00277328" w:rsidRDefault="006C7005" w:rsidP="00673C05">
            <w:pPr>
              <w:cnfStyle w:val="000000100000"/>
              <w:rPr>
                <w:lang w:val="en-GB"/>
              </w:rPr>
            </w:pPr>
          </w:p>
          <w:p w:rsidR="006C7005" w:rsidRPr="00277328" w:rsidRDefault="006C7005" w:rsidP="00673C05">
            <w:pPr>
              <w:cnfStyle w:val="000000100000"/>
              <w:rPr>
                <w:lang w:val="en-GB"/>
              </w:rPr>
            </w:pPr>
            <w:r w:rsidRPr="00277328">
              <w:rPr>
                <w:lang w:val="en-GB"/>
              </w:rPr>
              <w:t>-0.63</w:t>
            </w:r>
          </w:p>
          <w:p w:rsidR="006C7005" w:rsidRPr="00277328" w:rsidRDefault="006C7005" w:rsidP="00673C05">
            <w:pPr>
              <w:cnfStyle w:val="000000100000"/>
              <w:rPr>
                <w:lang w:val="en-GB"/>
              </w:rPr>
            </w:pPr>
          </w:p>
          <w:p w:rsidR="006C7005" w:rsidRPr="00277328" w:rsidRDefault="006C7005" w:rsidP="00673C05">
            <w:pPr>
              <w:cnfStyle w:val="000000100000"/>
              <w:rPr>
                <w:lang w:val="en-GB"/>
              </w:rPr>
            </w:pPr>
          </w:p>
          <w:p w:rsidR="006C7005" w:rsidRPr="00277328" w:rsidRDefault="006C7005" w:rsidP="00673C05">
            <w:pPr>
              <w:cnfStyle w:val="000000100000"/>
              <w:rPr>
                <w:lang w:val="en-GB"/>
              </w:rPr>
            </w:pPr>
            <w:r w:rsidRPr="00277328">
              <w:rPr>
                <w:lang w:val="en-GB"/>
              </w:rPr>
              <w:t>-20.75</w:t>
            </w:r>
          </w:p>
          <w:p w:rsidR="006C7005" w:rsidRPr="00277328" w:rsidRDefault="006C7005" w:rsidP="00673C05">
            <w:pPr>
              <w:cnfStyle w:val="000000100000"/>
              <w:rPr>
                <w:lang w:val="en-GB"/>
              </w:rPr>
            </w:pPr>
          </w:p>
          <w:p w:rsidR="006C7005" w:rsidRPr="00277328" w:rsidRDefault="006C7005" w:rsidP="00673C05">
            <w:pPr>
              <w:cnfStyle w:val="000000100000"/>
              <w:rPr>
                <w:lang w:val="en-GB"/>
              </w:rPr>
            </w:pPr>
          </w:p>
          <w:p w:rsidR="006C7005" w:rsidRPr="00277328" w:rsidRDefault="006C7005" w:rsidP="00673C05">
            <w:pPr>
              <w:cnfStyle w:val="000000100000"/>
              <w:rPr>
                <w:lang w:val="en-GB"/>
              </w:rPr>
            </w:pPr>
          </w:p>
          <w:p w:rsidR="006C7005" w:rsidRPr="00277328" w:rsidRDefault="006C7005" w:rsidP="00673C05">
            <w:pPr>
              <w:cnfStyle w:val="000000100000"/>
              <w:rPr>
                <w:lang w:val="en-GB"/>
              </w:rPr>
            </w:pPr>
            <w:r w:rsidRPr="00277328">
              <w:rPr>
                <w:lang w:val="en-GB"/>
              </w:rPr>
              <w:t>-0.71</w:t>
            </w:r>
          </w:p>
        </w:tc>
        <w:tc>
          <w:tcPr>
            <w:tcW w:w="944" w:type="dxa"/>
            <w:gridSpan w:val="2"/>
          </w:tcPr>
          <w:p w:rsidR="00673C05" w:rsidRPr="00277328" w:rsidRDefault="00673C05" w:rsidP="00673C05">
            <w:pPr>
              <w:cnfStyle w:val="000000100000"/>
              <w:rPr>
                <w:lang w:val="en-GB"/>
              </w:rPr>
            </w:pPr>
          </w:p>
          <w:p w:rsidR="006C7005" w:rsidRPr="00277328" w:rsidRDefault="006C7005" w:rsidP="00673C05">
            <w:pPr>
              <w:cnfStyle w:val="000000100000"/>
              <w:rPr>
                <w:lang w:val="en-GB"/>
              </w:rPr>
            </w:pPr>
          </w:p>
          <w:p w:rsidR="006C7005" w:rsidRPr="00277328" w:rsidRDefault="006C7005" w:rsidP="00673C05">
            <w:pPr>
              <w:cnfStyle w:val="000000100000"/>
              <w:rPr>
                <w:lang w:val="en-GB"/>
              </w:rPr>
            </w:pPr>
            <w:r w:rsidRPr="00277328">
              <w:rPr>
                <w:lang w:val="en-GB"/>
              </w:rPr>
              <w:t>0.86</w:t>
            </w:r>
          </w:p>
          <w:p w:rsidR="006C7005" w:rsidRPr="00277328" w:rsidRDefault="006C7005" w:rsidP="00673C05">
            <w:pPr>
              <w:cnfStyle w:val="000000100000"/>
              <w:rPr>
                <w:lang w:val="en-GB"/>
              </w:rPr>
            </w:pPr>
          </w:p>
          <w:p w:rsidR="006C7005" w:rsidRPr="00277328" w:rsidRDefault="006C7005" w:rsidP="00673C05">
            <w:pPr>
              <w:cnfStyle w:val="000000100000"/>
              <w:rPr>
                <w:lang w:val="en-GB"/>
              </w:rPr>
            </w:pPr>
          </w:p>
          <w:p w:rsidR="006C7005" w:rsidRPr="00277328" w:rsidRDefault="006C7005" w:rsidP="00673C05">
            <w:pPr>
              <w:cnfStyle w:val="000000100000"/>
              <w:rPr>
                <w:lang w:val="en-GB"/>
              </w:rPr>
            </w:pPr>
          </w:p>
          <w:p w:rsidR="006C7005" w:rsidRPr="00277328" w:rsidRDefault="006C7005" w:rsidP="00673C05">
            <w:pPr>
              <w:cnfStyle w:val="000000100000"/>
              <w:rPr>
                <w:lang w:val="en-GB"/>
              </w:rPr>
            </w:pPr>
            <w:r w:rsidRPr="00277328">
              <w:rPr>
                <w:lang w:val="en-GB"/>
              </w:rPr>
              <w:t>0.79</w:t>
            </w:r>
          </w:p>
          <w:p w:rsidR="006C7005" w:rsidRPr="00277328" w:rsidRDefault="006C7005" w:rsidP="00673C05">
            <w:pPr>
              <w:cnfStyle w:val="000000100000"/>
              <w:rPr>
                <w:lang w:val="en-GB"/>
              </w:rPr>
            </w:pPr>
          </w:p>
          <w:p w:rsidR="006C7005" w:rsidRPr="00277328" w:rsidRDefault="006C7005" w:rsidP="00673C05">
            <w:pPr>
              <w:cnfStyle w:val="000000100000"/>
              <w:rPr>
                <w:lang w:val="en-GB"/>
              </w:rPr>
            </w:pPr>
          </w:p>
          <w:p w:rsidR="006C7005" w:rsidRPr="00277328" w:rsidRDefault="006C7005" w:rsidP="00673C05">
            <w:pPr>
              <w:cnfStyle w:val="000000100000"/>
              <w:rPr>
                <w:lang w:val="en-GB"/>
              </w:rPr>
            </w:pPr>
            <w:r w:rsidRPr="00277328">
              <w:rPr>
                <w:lang w:val="en-GB"/>
              </w:rPr>
              <w:t>0.72</w:t>
            </w:r>
          </w:p>
          <w:p w:rsidR="006C7005" w:rsidRPr="00277328" w:rsidRDefault="006C7005" w:rsidP="00673C05">
            <w:pPr>
              <w:cnfStyle w:val="000000100000"/>
              <w:rPr>
                <w:lang w:val="en-GB"/>
              </w:rPr>
            </w:pPr>
          </w:p>
          <w:p w:rsidR="006C7005" w:rsidRPr="00277328" w:rsidRDefault="006C7005" w:rsidP="00673C05">
            <w:pPr>
              <w:cnfStyle w:val="000000100000"/>
              <w:rPr>
                <w:lang w:val="en-GB"/>
              </w:rPr>
            </w:pPr>
          </w:p>
          <w:p w:rsidR="006C7005" w:rsidRPr="00277328" w:rsidRDefault="006C7005" w:rsidP="00673C05">
            <w:pPr>
              <w:cnfStyle w:val="000000100000"/>
              <w:rPr>
                <w:lang w:val="en-GB"/>
              </w:rPr>
            </w:pPr>
          </w:p>
          <w:p w:rsidR="006C7005" w:rsidRPr="00277328" w:rsidRDefault="006C7005" w:rsidP="00673C05">
            <w:pPr>
              <w:cnfStyle w:val="000000100000"/>
              <w:rPr>
                <w:lang w:val="en-GB"/>
              </w:rPr>
            </w:pPr>
            <w:r w:rsidRPr="00277328">
              <w:rPr>
                <w:lang w:val="en-GB"/>
              </w:rPr>
              <w:t>0.78</w:t>
            </w:r>
          </w:p>
        </w:tc>
        <w:tc>
          <w:tcPr>
            <w:tcW w:w="898" w:type="dxa"/>
          </w:tcPr>
          <w:p w:rsidR="00673C05" w:rsidRPr="00277328" w:rsidRDefault="00673C05" w:rsidP="00673C05">
            <w:pPr>
              <w:cnfStyle w:val="000000100000"/>
              <w:rPr>
                <w:lang w:val="en-GB"/>
              </w:rPr>
            </w:pPr>
          </w:p>
          <w:p w:rsidR="006C7005" w:rsidRPr="00277328" w:rsidRDefault="006C7005" w:rsidP="00673C05">
            <w:pPr>
              <w:cnfStyle w:val="000000100000"/>
              <w:rPr>
                <w:lang w:val="en-GB"/>
              </w:rPr>
            </w:pPr>
          </w:p>
          <w:p w:rsidR="006C7005" w:rsidRPr="00277328" w:rsidRDefault="006C7005" w:rsidP="00673C05">
            <w:pPr>
              <w:cnfStyle w:val="000000100000"/>
              <w:rPr>
                <w:lang w:val="en-GB"/>
              </w:rPr>
            </w:pPr>
            <w:r w:rsidRPr="00277328">
              <w:rPr>
                <w:lang w:val="en-GB"/>
              </w:rPr>
              <w:t>6.34</w:t>
            </w:r>
          </w:p>
          <w:p w:rsidR="006C7005" w:rsidRPr="00277328" w:rsidRDefault="006C7005" w:rsidP="00673C05">
            <w:pPr>
              <w:cnfStyle w:val="000000100000"/>
              <w:rPr>
                <w:lang w:val="en-GB"/>
              </w:rPr>
            </w:pPr>
          </w:p>
          <w:p w:rsidR="006C7005" w:rsidRPr="00277328" w:rsidRDefault="006C7005" w:rsidP="00673C05">
            <w:pPr>
              <w:cnfStyle w:val="000000100000"/>
              <w:rPr>
                <w:lang w:val="en-GB"/>
              </w:rPr>
            </w:pPr>
          </w:p>
          <w:p w:rsidR="006C7005" w:rsidRPr="00277328" w:rsidRDefault="006C7005" w:rsidP="00673C05">
            <w:pPr>
              <w:cnfStyle w:val="000000100000"/>
              <w:rPr>
                <w:lang w:val="en-GB"/>
              </w:rPr>
            </w:pPr>
          </w:p>
          <w:p w:rsidR="006C7005" w:rsidRPr="00277328" w:rsidRDefault="006C7005" w:rsidP="00673C05">
            <w:pPr>
              <w:cnfStyle w:val="000000100000"/>
              <w:rPr>
                <w:lang w:val="en-GB"/>
              </w:rPr>
            </w:pPr>
            <w:r w:rsidRPr="00277328">
              <w:rPr>
                <w:lang w:val="en-GB"/>
              </w:rPr>
              <w:t>-1.33</w:t>
            </w:r>
          </w:p>
          <w:p w:rsidR="006C7005" w:rsidRPr="00277328" w:rsidRDefault="006C7005" w:rsidP="00673C05">
            <w:pPr>
              <w:cnfStyle w:val="000000100000"/>
              <w:rPr>
                <w:lang w:val="en-GB"/>
              </w:rPr>
            </w:pPr>
          </w:p>
          <w:p w:rsidR="006C7005" w:rsidRPr="00277328" w:rsidRDefault="006C7005" w:rsidP="00673C05">
            <w:pPr>
              <w:cnfStyle w:val="000000100000"/>
              <w:rPr>
                <w:lang w:val="en-GB"/>
              </w:rPr>
            </w:pPr>
          </w:p>
          <w:p w:rsidR="006C7005" w:rsidRPr="00277328" w:rsidRDefault="006C7005" w:rsidP="00673C05">
            <w:pPr>
              <w:cnfStyle w:val="000000100000"/>
              <w:rPr>
                <w:lang w:val="en-GB"/>
              </w:rPr>
            </w:pPr>
            <w:r w:rsidRPr="00277328">
              <w:rPr>
                <w:lang w:val="en-GB"/>
              </w:rPr>
              <w:t>-9.47</w:t>
            </w:r>
          </w:p>
          <w:p w:rsidR="006C7005" w:rsidRPr="00277328" w:rsidRDefault="006C7005" w:rsidP="00673C05">
            <w:pPr>
              <w:cnfStyle w:val="000000100000"/>
              <w:rPr>
                <w:lang w:val="en-GB"/>
              </w:rPr>
            </w:pPr>
          </w:p>
          <w:p w:rsidR="006C7005" w:rsidRPr="00277328" w:rsidRDefault="006C7005" w:rsidP="00673C05">
            <w:pPr>
              <w:cnfStyle w:val="000000100000"/>
              <w:rPr>
                <w:lang w:val="en-GB"/>
              </w:rPr>
            </w:pPr>
          </w:p>
          <w:p w:rsidR="006C7005" w:rsidRPr="00277328" w:rsidRDefault="006C7005" w:rsidP="00673C05">
            <w:pPr>
              <w:cnfStyle w:val="000000100000"/>
              <w:rPr>
                <w:lang w:val="en-GB"/>
              </w:rPr>
            </w:pPr>
          </w:p>
          <w:p w:rsidR="006C7005" w:rsidRPr="00277328" w:rsidRDefault="006C7005" w:rsidP="00673C05">
            <w:pPr>
              <w:cnfStyle w:val="000000100000"/>
              <w:rPr>
                <w:lang w:val="en-GB"/>
              </w:rPr>
            </w:pPr>
            <w:r w:rsidRPr="00277328">
              <w:rPr>
                <w:lang w:val="en-GB"/>
              </w:rPr>
              <w:t>-2.81</w:t>
            </w:r>
          </w:p>
        </w:tc>
      </w:tr>
      <w:tr w:rsidR="00224F54" w:rsidRPr="00277328" w:rsidTr="004701E0">
        <w:trPr>
          <w:cnfStyle w:val="000000010000"/>
        </w:trPr>
        <w:tc>
          <w:tcPr>
            <w:cnfStyle w:val="001000000000"/>
            <w:tcW w:w="1384" w:type="dxa"/>
          </w:tcPr>
          <w:p w:rsidR="00224F54" w:rsidRPr="00277328" w:rsidRDefault="00224F54" w:rsidP="005C610F">
            <w:pPr>
              <w:rPr>
                <w:rFonts w:asciiTheme="minorHAnsi" w:hAnsiTheme="minorHAnsi" w:cstheme="minorHAnsi"/>
                <w:u w:val="single"/>
                <w:lang w:val="en-GB"/>
              </w:rPr>
            </w:pPr>
            <w:r w:rsidRPr="00277328">
              <w:rPr>
                <w:rFonts w:asciiTheme="minorHAnsi" w:hAnsiTheme="minorHAnsi" w:cstheme="minorHAnsi"/>
                <w:u w:val="single"/>
                <w:lang w:val="en-GB"/>
              </w:rPr>
              <w:lastRenderedPageBreak/>
              <w:t>Efficiency attributes</w:t>
            </w:r>
          </w:p>
          <w:p w:rsidR="00224F54" w:rsidRPr="00277328" w:rsidRDefault="00224F54" w:rsidP="005C610F">
            <w:pPr>
              <w:rPr>
                <w:rFonts w:asciiTheme="minorHAnsi" w:hAnsiTheme="minorHAnsi" w:cstheme="minorHAnsi"/>
                <w:b w:val="0"/>
                <w:lang w:val="en-GB"/>
              </w:rPr>
            </w:pPr>
            <w:r w:rsidRPr="00277328">
              <w:rPr>
                <w:rFonts w:asciiTheme="minorHAnsi" w:hAnsiTheme="minorHAnsi" w:cstheme="minorHAnsi"/>
                <w:b w:val="0"/>
                <w:lang w:val="en-GB"/>
              </w:rPr>
              <w:t>Number of potential beneficiaries</w:t>
            </w:r>
          </w:p>
          <w:p w:rsidR="00224F54" w:rsidRPr="00277328" w:rsidRDefault="00224F54" w:rsidP="005C610F">
            <w:pPr>
              <w:rPr>
                <w:rFonts w:asciiTheme="minorHAnsi" w:hAnsiTheme="minorHAnsi" w:cstheme="minorHAnsi"/>
                <w:b w:val="0"/>
                <w:lang w:val="en-GB"/>
              </w:rPr>
            </w:pPr>
          </w:p>
          <w:p w:rsidR="00224F54" w:rsidRPr="00277328" w:rsidRDefault="00224F54" w:rsidP="005C610F">
            <w:pPr>
              <w:rPr>
                <w:rFonts w:asciiTheme="minorHAnsi" w:hAnsiTheme="minorHAnsi" w:cstheme="minorHAnsi"/>
                <w:b w:val="0"/>
                <w:lang w:val="en-GB"/>
              </w:rPr>
            </w:pPr>
            <w:r w:rsidRPr="00277328">
              <w:rPr>
                <w:rFonts w:asciiTheme="minorHAnsi" w:hAnsiTheme="minorHAnsi" w:cstheme="minorHAnsi"/>
                <w:b w:val="0"/>
                <w:lang w:val="en-GB"/>
              </w:rPr>
              <w:t>Individual health benefits</w:t>
            </w:r>
          </w:p>
          <w:p w:rsidR="00224F54" w:rsidRPr="00277328" w:rsidRDefault="00224F54" w:rsidP="005C610F">
            <w:pPr>
              <w:rPr>
                <w:rFonts w:asciiTheme="minorHAnsi" w:hAnsiTheme="minorHAnsi" w:cstheme="minorHAnsi"/>
                <w:b w:val="0"/>
                <w:lang w:val="en-GB"/>
              </w:rPr>
            </w:pPr>
          </w:p>
          <w:p w:rsidR="00224F54" w:rsidRPr="00277328" w:rsidRDefault="00224F54" w:rsidP="005C610F">
            <w:pPr>
              <w:rPr>
                <w:rFonts w:asciiTheme="minorHAnsi" w:hAnsiTheme="minorHAnsi" w:cstheme="minorHAnsi"/>
                <w:b w:val="0"/>
                <w:lang w:val="en-GB"/>
              </w:rPr>
            </w:pPr>
            <w:r w:rsidRPr="00277328">
              <w:rPr>
                <w:rFonts w:asciiTheme="minorHAnsi" w:hAnsiTheme="minorHAnsi" w:cstheme="minorHAnsi"/>
                <w:b w:val="0"/>
                <w:lang w:val="en-GB"/>
              </w:rPr>
              <w:t>Cost-effectiveness</w:t>
            </w:r>
          </w:p>
        </w:tc>
        <w:tc>
          <w:tcPr>
            <w:tcW w:w="709" w:type="dxa"/>
          </w:tcPr>
          <w:p w:rsidR="00224F54" w:rsidRPr="00277328" w:rsidRDefault="00224F54" w:rsidP="00673C05">
            <w:pPr>
              <w:cnfStyle w:val="000000010000"/>
              <w:rPr>
                <w:lang w:val="en-GB"/>
              </w:rPr>
            </w:pPr>
          </w:p>
          <w:p w:rsidR="00224F54" w:rsidRPr="00277328" w:rsidRDefault="00224F54" w:rsidP="00673C05">
            <w:pPr>
              <w:cnfStyle w:val="000000010000"/>
              <w:rPr>
                <w:lang w:val="en-GB"/>
              </w:rPr>
            </w:pPr>
          </w:p>
          <w:p w:rsidR="00224F54" w:rsidRPr="00277328" w:rsidRDefault="00224F54" w:rsidP="00673C05">
            <w:pPr>
              <w:cnfStyle w:val="000000010000"/>
              <w:rPr>
                <w:lang w:val="en-GB"/>
              </w:rPr>
            </w:pPr>
          </w:p>
          <w:p w:rsidR="00224F54" w:rsidRPr="00277328" w:rsidRDefault="00224F54" w:rsidP="00673C05">
            <w:pPr>
              <w:cnfStyle w:val="000000010000"/>
              <w:rPr>
                <w:lang w:val="en-GB"/>
              </w:rPr>
            </w:pPr>
            <w:r w:rsidRPr="00277328">
              <w:rPr>
                <w:lang w:val="en-GB"/>
              </w:rPr>
              <w:t>0.89</w:t>
            </w:r>
          </w:p>
          <w:p w:rsidR="00224F54" w:rsidRPr="00277328" w:rsidRDefault="00224F54" w:rsidP="00673C05">
            <w:pPr>
              <w:cnfStyle w:val="000000010000"/>
              <w:rPr>
                <w:lang w:val="en-GB"/>
              </w:rPr>
            </w:pPr>
          </w:p>
          <w:p w:rsidR="00224F54" w:rsidRPr="00277328" w:rsidRDefault="00224F54" w:rsidP="00673C05">
            <w:pPr>
              <w:cnfStyle w:val="000000010000"/>
              <w:rPr>
                <w:lang w:val="en-GB"/>
              </w:rPr>
            </w:pPr>
          </w:p>
          <w:p w:rsidR="00224F54" w:rsidRPr="00277328" w:rsidRDefault="00224F54" w:rsidP="00673C05">
            <w:pPr>
              <w:cnfStyle w:val="000000010000"/>
              <w:rPr>
                <w:lang w:val="en-GB"/>
              </w:rPr>
            </w:pPr>
          </w:p>
          <w:p w:rsidR="00224F54" w:rsidRPr="00277328" w:rsidRDefault="00224F54" w:rsidP="00673C05">
            <w:pPr>
              <w:cnfStyle w:val="000000010000"/>
              <w:rPr>
                <w:lang w:val="en-GB"/>
              </w:rPr>
            </w:pPr>
          </w:p>
          <w:p w:rsidR="00224F54" w:rsidRPr="00277328" w:rsidRDefault="00224F54" w:rsidP="00673C05">
            <w:pPr>
              <w:cnfStyle w:val="000000010000"/>
              <w:rPr>
                <w:lang w:val="en-GB"/>
              </w:rPr>
            </w:pPr>
            <w:r w:rsidRPr="00277328">
              <w:rPr>
                <w:lang w:val="en-GB"/>
              </w:rPr>
              <w:t>0.89</w:t>
            </w:r>
          </w:p>
          <w:p w:rsidR="00224F54" w:rsidRPr="00277328" w:rsidRDefault="00224F54" w:rsidP="00673C05">
            <w:pPr>
              <w:cnfStyle w:val="000000010000"/>
              <w:rPr>
                <w:lang w:val="en-GB"/>
              </w:rPr>
            </w:pPr>
          </w:p>
          <w:p w:rsidR="00224F54" w:rsidRPr="00277328" w:rsidRDefault="00224F54" w:rsidP="00673C05">
            <w:pPr>
              <w:cnfStyle w:val="000000010000"/>
              <w:rPr>
                <w:lang w:val="en-GB"/>
              </w:rPr>
            </w:pPr>
          </w:p>
          <w:p w:rsidR="00224F54" w:rsidRPr="00277328" w:rsidRDefault="00224F54" w:rsidP="00673C05">
            <w:pPr>
              <w:cnfStyle w:val="000000010000"/>
              <w:rPr>
                <w:lang w:val="en-GB"/>
              </w:rPr>
            </w:pPr>
          </w:p>
          <w:p w:rsidR="00224F54" w:rsidRPr="00277328" w:rsidRDefault="00224F54" w:rsidP="00673C05">
            <w:pPr>
              <w:cnfStyle w:val="000000010000"/>
              <w:rPr>
                <w:lang w:val="en-GB"/>
              </w:rPr>
            </w:pPr>
            <w:r w:rsidRPr="00277328">
              <w:rPr>
                <w:lang w:val="en-GB"/>
              </w:rPr>
              <w:t>0.91</w:t>
            </w:r>
          </w:p>
        </w:tc>
        <w:tc>
          <w:tcPr>
            <w:tcW w:w="997" w:type="dxa"/>
          </w:tcPr>
          <w:p w:rsidR="00224F54" w:rsidRPr="00277328" w:rsidRDefault="00224F54" w:rsidP="00673C05">
            <w:pPr>
              <w:cnfStyle w:val="000000010000"/>
              <w:rPr>
                <w:lang w:val="en-GB"/>
              </w:rPr>
            </w:pPr>
          </w:p>
          <w:p w:rsidR="00224F54" w:rsidRPr="00277328" w:rsidRDefault="00224F54" w:rsidP="00673C05">
            <w:pPr>
              <w:cnfStyle w:val="000000010000"/>
              <w:rPr>
                <w:lang w:val="en-GB"/>
              </w:rPr>
            </w:pPr>
          </w:p>
          <w:p w:rsidR="00224F54" w:rsidRPr="00277328" w:rsidRDefault="00224F54" w:rsidP="00673C05">
            <w:pPr>
              <w:cnfStyle w:val="000000010000"/>
              <w:rPr>
                <w:lang w:val="en-GB"/>
              </w:rPr>
            </w:pPr>
          </w:p>
          <w:p w:rsidR="00224F54" w:rsidRPr="00277328" w:rsidRDefault="00224F54" w:rsidP="00673C05">
            <w:pPr>
              <w:cnfStyle w:val="000000010000"/>
              <w:rPr>
                <w:lang w:val="en-GB"/>
              </w:rPr>
            </w:pPr>
            <w:r w:rsidRPr="00277328">
              <w:rPr>
                <w:lang w:val="en-GB"/>
              </w:rPr>
              <w:t>6.01</w:t>
            </w:r>
          </w:p>
          <w:p w:rsidR="00224F54" w:rsidRPr="00277328" w:rsidRDefault="00224F54" w:rsidP="00673C05">
            <w:pPr>
              <w:cnfStyle w:val="000000010000"/>
              <w:rPr>
                <w:lang w:val="en-GB"/>
              </w:rPr>
            </w:pPr>
          </w:p>
          <w:p w:rsidR="00224F54" w:rsidRPr="00277328" w:rsidRDefault="00224F54" w:rsidP="00673C05">
            <w:pPr>
              <w:cnfStyle w:val="000000010000"/>
              <w:rPr>
                <w:lang w:val="en-GB"/>
              </w:rPr>
            </w:pPr>
          </w:p>
          <w:p w:rsidR="00224F54" w:rsidRPr="00277328" w:rsidRDefault="00224F54" w:rsidP="00673C05">
            <w:pPr>
              <w:cnfStyle w:val="000000010000"/>
              <w:rPr>
                <w:lang w:val="en-GB"/>
              </w:rPr>
            </w:pPr>
          </w:p>
          <w:p w:rsidR="00224F54" w:rsidRPr="00277328" w:rsidRDefault="00224F54" w:rsidP="00673C05">
            <w:pPr>
              <w:cnfStyle w:val="000000010000"/>
              <w:rPr>
                <w:lang w:val="en-GB"/>
              </w:rPr>
            </w:pPr>
          </w:p>
          <w:p w:rsidR="00224F54" w:rsidRPr="00277328" w:rsidRDefault="00224F54" w:rsidP="00673C05">
            <w:pPr>
              <w:cnfStyle w:val="000000010000"/>
              <w:rPr>
                <w:lang w:val="en-GB"/>
              </w:rPr>
            </w:pPr>
            <w:r w:rsidRPr="00277328">
              <w:rPr>
                <w:lang w:val="en-GB"/>
              </w:rPr>
              <w:t>5.83</w:t>
            </w:r>
          </w:p>
          <w:p w:rsidR="00224F54" w:rsidRPr="00277328" w:rsidRDefault="00224F54" w:rsidP="00673C05">
            <w:pPr>
              <w:cnfStyle w:val="000000010000"/>
              <w:rPr>
                <w:lang w:val="en-GB"/>
              </w:rPr>
            </w:pPr>
          </w:p>
          <w:p w:rsidR="00224F54" w:rsidRPr="00277328" w:rsidRDefault="00224F54" w:rsidP="00673C05">
            <w:pPr>
              <w:cnfStyle w:val="000000010000"/>
              <w:rPr>
                <w:lang w:val="en-GB"/>
              </w:rPr>
            </w:pPr>
          </w:p>
          <w:p w:rsidR="00224F54" w:rsidRPr="00277328" w:rsidRDefault="00224F54" w:rsidP="00673C05">
            <w:pPr>
              <w:cnfStyle w:val="000000010000"/>
              <w:rPr>
                <w:lang w:val="en-GB"/>
              </w:rPr>
            </w:pPr>
          </w:p>
          <w:p w:rsidR="00224F54" w:rsidRPr="00277328" w:rsidRDefault="00224F54" w:rsidP="00673C05">
            <w:pPr>
              <w:cnfStyle w:val="000000010000"/>
              <w:rPr>
                <w:lang w:val="en-GB"/>
              </w:rPr>
            </w:pPr>
            <w:r w:rsidRPr="00277328">
              <w:rPr>
                <w:lang w:val="en-GB"/>
              </w:rPr>
              <w:t>7.99</w:t>
            </w:r>
          </w:p>
        </w:tc>
        <w:tc>
          <w:tcPr>
            <w:tcW w:w="876" w:type="dxa"/>
            <w:gridSpan w:val="2"/>
          </w:tcPr>
          <w:p w:rsidR="00224F54" w:rsidRPr="00277328" w:rsidRDefault="00224F54" w:rsidP="00673C05">
            <w:pPr>
              <w:cnfStyle w:val="000000010000"/>
              <w:rPr>
                <w:lang w:val="en-GB"/>
              </w:rPr>
            </w:pPr>
          </w:p>
          <w:p w:rsidR="006C7005" w:rsidRPr="00277328" w:rsidRDefault="006C7005" w:rsidP="00673C05">
            <w:pPr>
              <w:cnfStyle w:val="000000010000"/>
              <w:rPr>
                <w:lang w:val="en-GB"/>
              </w:rPr>
            </w:pPr>
          </w:p>
          <w:p w:rsidR="006C7005" w:rsidRPr="00277328" w:rsidRDefault="006C7005" w:rsidP="00673C05">
            <w:pPr>
              <w:cnfStyle w:val="000000010000"/>
              <w:rPr>
                <w:lang w:val="en-GB"/>
              </w:rPr>
            </w:pPr>
          </w:p>
          <w:p w:rsidR="006C7005" w:rsidRPr="00277328" w:rsidRDefault="006C7005" w:rsidP="006C7005">
            <w:pPr>
              <w:cnfStyle w:val="000000010000"/>
              <w:rPr>
                <w:rFonts w:ascii="Calibri" w:hAnsi="Calibri" w:cs="Calibri"/>
                <w:color w:val="000000"/>
                <w:lang w:val="en-GB"/>
              </w:rPr>
            </w:pPr>
            <w:r w:rsidRPr="00277328">
              <w:rPr>
                <w:rFonts w:ascii="Calibri" w:hAnsi="Calibri" w:cs="Calibri"/>
                <w:color w:val="000000"/>
                <w:lang w:val="en-GB"/>
              </w:rPr>
              <w:t>0.92</w:t>
            </w:r>
          </w:p>
          <w:p w:rsidR="006C7005" w:rsidRPr="00277328" w:rsidRDefault="006C7005" w:rsidP="006C7005">
            <w:pPr>
              <w:cnfStyle w:val="000000010000"/>
              <w:rPr>
                <w:rFonts w:ascii="Calibri" w:hAnsi="Calibri" w:cs="Calibri"/>
                <w:color w:val="000000"/>
                <w:lang w:val="en-GB"/>
              </w:rPr>
            </w:pPr>
          </w:p>
          <w:p w:rsidR="006C7005" w:rsidRPr="00277328" w:rsidRDefault="006C7005" w:rsidP="006C7005">
            <w:pPr>
              <w:cnfStyle w:val="000000010000"/>
              <w:rPr>
                <w:rFonts w:ascii="Calibri" w:hAnsi="Calibri" w:cs="Calibri"/>
                <w:color w:val="000000"/>
                <w:lang w:val="en-GB"/>
              </w:rPr>
            </w:pPr>
          </w:p>
          <w:p w:rsidR="006C7005" w:rsidRPr="00277328" w:rsidRDefault="006C7005" w:rsidP="006C7005">
            <w:pPr>
              <w:cnfStyle w:val="000000010000"/>
              <w:rPr>
                <w:rFonts w:ascii="Calibri" w:hAnsi="Calibri" w:cs="Calibri"/>
                <w:color w:val="000000"/>
                <w:lang w:val="en-GB"/>
              </w:rPr>
            </w:pPr>
          </w:p>
          <w:p w:rsidR="006C7005" w:rsidRPr="00277328" w:rsidRDefault="006C7005" w:rsidP="006C7005">
            <w:pPr>
              <w:cnfStyle w:val="000000010000"/>
              <w:rPr>
                <w:rFonts w:ascii="Calibri" w:hAnsi="Calibri" w:cs="Calibri"/>
                <w:color w:val="000000"/>
                <w:lang w:val="en-GB"/>
              </w:rPr>
            </w:pPr>
          </w:p>
          <w:p w:rsidR="006C7005" w:rsidRPr="00277328" w:rsidRDefault="006C7005" w:rsidP="006C7005">
            <w:pPr>
              <w:cnfStyle w:val="000000010000"/>
              <w:rPr>
                <w:rFonts w:ascii="Calibri" w:hAnsi="Calibri" w:cs="Calibri"/>
                <w:color w:val="000000"/>
                <w:lang w:val="en-GB"/>
              </w:rPr>
            </w:pPr>
            <w:r w:rsidRPr="00277328">
              <w:rPr>
                <w:rFonts w:ascii="Calibri" w:hAnsi="Calibri" w:cs="Calibri"/>
                <w:color w:val="000000"/>
                <w:lang w:val="en-GB"/>
              </w:rPr>
              <w:t>0.90</w:t>
            </w:r>
          </w:p>
          <w:p w:rsidR="006C7005" w:rsidRPr="00277328" w:rsidRDefault="006C7005" w:rsidP="006C7005">
            <w:pPr>
              <w:cnfStyle w:val="000000010000"/>
              <w:rPr>
                <w:rFonts w:ascii="Calibri" w:hAnsi="Calibri" w:cs="Calibri"/>
                <w:color w:val="000000"/>
                <w:lang w:val="en-GB"/>
              </w:rPr>
            </w:pPr>
          </w:p>
          <w:p w:rsidR="006C7005" w:rsidRPr="00277328" w:rsidRDefault="006C7005" w:rsidP="006C7005">
            <w:pPr>
              <w:cnfStyle w:val="000000010000"/>
              <w:rPr>
                <w:rFonts w:ascii="Calibri" w:hAnsi="Calibri" w:cs="Calibri"/>
                <w:color w:val="000000"/>
                <w:lang w:val="en-GB"/>
              </w:rPr>
            </w:pPr>
          </w:p>
          <w:p w:rsidR="006C7005" w:rsidRPr="00277328" w:rsidRDefault="006C7005" w:rsidP="006C7005">
            <w:pPr>
              <w:cnfStyle w:val="000000010000"/>
              <w:rPr>
                <w:rFonts w:ascii="Calibri" w:hAnsi="Calibri" w:cs="Calibri"/>
                <w:color w:val="000000"/>
                <w:lang w:val="en-GB"/>
              </w:rPr>
            </w:pPr>
          </w:p>
          <w:p w:rsidR="006C7005" w:rsidRPr="00277328" w:rsidRDefault="006C7005" w:rsidP="006C7005">
            <w:pPr>
              <w:cnfStyle w:val="000000010000"/>
              <w:rPr>
                <w:rFonts w:ascii="Calibri" w:hAnsi="Calibri" w:cs="Calibri"/>
                <w:color w:val="000000"/>
                <w:lang w:val="en-GB"/>
              </w:rPr>
            </w:pPr>
            <w:r w:rsidRPr="00277328">
              <w:rPr>
                <w:rFonts w:ascii="Calibri" w:hAnsi="Calibri" w:cs="Calibri"/>
                <w:color w:val="000000"/>
                <w:lang w:val="en-GB"/>
              </w:rPr>
              <w:t>0.92</w:t>
            </w:r>
          </w:p>
          <w:p w:rsidR="006C7005" w:rsidRPr="00277328" w:rsidRDefault="006C7005" w:rsidP="00673C05">
            <w:pPr>
              <w:cnfStyle w:val="000000010000"/>
              <w:rPr>
                <w:lang w:val="en-GB"/>
              </w:rPr>
            </w:pPr>
          </w:p>
        </w:tc>
        <w:tc>
          <w:tcPr>
            <w:tcW w:w="877" w:type="dxa"/>
          </w:tcPr>
          <w:p w:rsidR="00224F54" w:rsidRPr="00277328" w:rsidRDefault="00224F54" w:rsidP="00673C05">
            <w:pPr>
              <w:cnfStyle w:val="000000010000"/>
              <w:rPr>
                <w:lang w:val="en-GB"/>
              </w:rPr>
            </w:pPr>
          </w:p>
          <w:p w:rsidR="006C7005" w:rsidRPr="00277328" w:rsidRDefault="006C7005" w:rsidP="00673C05">
            <w:pPr>
              <w:cnfStyle w:val="000000010000"/>
              <w:rPr>
                <w:lang w:val="en-GB"/>
              </w:rPr>
            </w:pPr>
          </w:p>
          <w:p w:rsidR="006C7005" w:rsidRPr="00277328" w:rsidRDefault="006C7005" w:rsidP="00673C05">
            <w:pPr>
              <w:cnfStyle w:val="000000010000"/>
              <w:rPr>
                <w:lang w:val="en-GB"/>
              </w:rPr>
            </w:pPr>
          </w:p>
          <w:p w:rsidR="006C7005" w:rsidRPr="00277328" w:rsidRDefault="006C7005" w:rsidP="00673C05">
            <w:pPr>
              <w:cnfStyle w:val="000000010000"/>
              <w:rPr>
                <w:lang w:val="en-GB"/>
              </w:rPr>
            </w:pPr>
            <w:r w:rsidRPr="00277328">
              <w:rPr>
                <w:lang w:val="en-GB"/>
              </w:rPr>
              <w:t>9.02</w:t>
            </w:r>
          </w:p>
          <w:p w:rsidR="006C7005" w:rsidRPr="00277328" w:rsidRDefault="006C7005" w:rsidP="00673C05">
            <w:pPr>
              <w:cnfStyle w:val="000000010000"/>
              <w:rPr>
                <w:lang w:val="en-GB"/>
              </w:rPr>
            </w:pPr>
          </w:p>
          <w:p w:rsidR="006C7005" w:rsidRPr="00277328" w:rsidRDefault="006C7005" w:rsidP="00673C05">
            <w:pPr>
              <w:cnfStyle w:val="000000010000"/>
              <w:rPr>
                <w:lang w:val="en-GB"/>
              </w:rPr>
            </w:pPr>
          </w:p>
          <w:p w:rsidR="006C7005" w:rsidRPr="00277328" w:rsidRDefault="006C7005" w:rsidP="00673C05">
            <w:pPr>
              <w:cnfStyle w:val="000000010000"/>
              <w:rPr>
                <w:lang w:val="en-GB"/>
              </w:rPr>
            </w:pPr>
          </w:p>
          <w:p w:rsidR="006C7005" w:rsidRPr="00277328" w:rsidRDefault="006C7005" w:rsidP="00673C05">
            <w:pPr>
              <w:cnfStyle w:val="000000010000"/>
              <w:rPr>
                <w:lang w:val="en-GB"/>
              </w:rPr>
            </w:pPr>
          </w:p>
          <w:p w:rsidR="006C7005" w:rsidRPr="00277328" w:rsidRDefault="006C7005" w:rsidP="00673C05">
            <w:pPr>
              <w:cnfStyle w:val="000000010000"/>
              <w:rPr>
                <w:lang w:val="en-GB"/>
              </w:rPr>
            </w:pPr>
            <w:r w:rsidRPr="00277328">
              <w:rPr>
                <w:lang w:val="en-GB"/>
              </w:rPr>
              <w:t>7.24</w:t>
            </w:r>
          </w:p>
          <w:p w:rsidR="006C7005" w:rsidRPr="00277328" w:rsidRDefault="006C7005" w:rsidP="00673C05">
            <w:pPr>
              <w:cnfStyle w:val="000000010000"/>
              <w:rPr>
                <w:lang w:val="en-GB"/>
              </w:rPr>
            </w:pPr>
          </w:p>
          <w:p w:rsidR="006C7005" w:rsidRPr="00277328" w:rsidRDefault="006C7005" w:rsidP="00673C05">
            <w:pPr>
              <w:cnfStyle w:val="000000010000"/>
              <w:rPr>
                <w:lang w:val="en-GB"/>
              </w:rPr>
            </w:pPr>
          </w:p>
          <w:p w:rsidR="006C7005" w:rsidRPr="00277328" w:rsidRDefault="006C7005" w:rsidP="00673C05">
            <w:pPr>
              <w:cnfStyle w:val="000000010000"/>
              <w:rPr>
                <w:lang w:val="en-GB"/>
              </w:rPr>
            </w:pPr>
          </w:p>
          <w:p w:rsidR="006C7005" w:rsidRPr="00277328" w:rsidRDefault="006C7005" w:rsidP="00673C05">
            <w:pPr>
              <w:cnfStyle w:val="000000010000"/>
              <w:rPr>
                <w:lang w:val="en-GB"/>
              </w:rPr>
            </w:pPr>
            <w:r w:rsidRPr="00277328">
              <w:rPr>
                <w:lang w:val="en-GB"/>
              </w:rPr>
              <w:t>8.95</w:t>
            </w:r>
          </w:p>
        </w:tc>
        <w:tc>
          <w:tcPr>
            <w:tcW w:w="921" w:type="dxa"/>
          </w:tcPr>
          <w:p w:rsidR="00224F54" w:rsidRPr="00277328" w:rsidRDefault="00224F54" w:rsidP="00673C05">
            <w:pPr>
              <w:cnfStyle w:val="000000010000"/>
              <w:rPr>
                <w:lang w:val="en-GB"/>
              </w:rPr>
            </w:pPr>
          </w:p>
          <w:p w:rsidR="006C7005" w:rsidRPr="00277328" w:rsidRDefault="006C7005" w:rsidP="00673C05">
            <w:pPr>
              <w:cnfStyle w:val="000000010000"/>
              <w:rPr>
                <w:lang w:val="en-GB"/>
              </w:rPr>
            </w:pPr>
          </w:p>
          <w:p w:rsidR="006C7005" w:rsidRPr="00277328" w:rsidRDefault="006C7005" w:rsidP="00673C05">
            <w:pPr>
              <w:cnfStyle w:val="000000010000"/>
              <w:rPr>
                <w:lang w:val="en-GB"/>
              </w:rPr>
            </w:pPr>
          </w:p>
          <w:p w:rsidR="006C7005" w:rsidRPr="00277328" w:rsidRDefault="006C7005" w:rsidP="00673C05">
            <w:pPr>
              <w:cnfStyle w:val="000000010000"/>
              <w:rPr>
                <w:lang w:val="en-GB"/>
              </w:rPr>
            </w:pPr>
            <w:r w:rsidRPr="00277328">
              <w:rPr>
                <w:lang w:val="en-GB"/>
              </w:rPr>
              <w:t>0.88</w:t>
            </w:r>
          </w:p>
          <w:p w:rsidR="006C7005" w:rsidRPr="00277328" w:rsidRDefault="006C7005" w:rsidP="00673C05">
            <w:pPr>
              <w:cnfStyle w:val="000000010000"/>
              <w:rPr>
                <w:lang w:val="en-GB"/>
              </w:rPr>
            </w:pPr>
          </w:p>
          <w:p w:rsidR="006C7005" w:rsidRPr="00277328" w:rsidRDefault="006C7005" w:rsidP="00673C05">
            <w:pPr>
              <w:cnfStyle w:val="000000010000"/>
              <w:rPr>
                <w:lang w:val="en-GB"/>
              </w:rPr>
            </w:pPr>
          </w:p>
          <w:p w:rsidR="006C7005" w:rsidRPr="00277328" w:rsidRDefault="006C7005" w:rsidP="00673C05">
            <w:pPr>
              <w:cnfStyle w:val="000000010000"/>
              <w:rPr>
                <w:lang w:val="en-GB"/>
              </w:rPr>
            </w:pPr>
          </w:p>
          <w:p w:rsidR="006C7005" w:rsidRPr="00277328" w:rsidRDefault="006C7005" w:rsidP="00673C05">
            <w:pPr>
              <w:cnfStyle w:val="000000010000"/>
              <w:rPr>
                <w:lang w:val="en-GB"/>
              </w:rPr>
            </w:pPr>
          </w:p>
          <w:p w:rsidR="006C7005" w:rsidRPr="00277328" w:rsidRDefault="006C7005" w:rsidP="00673C05">
            <w:pPr>
              <w:cnfStyle w:val="000000010000"/>
              <w:rPr>
                <w:lang w:val="en-GB"/>
              </w:rPr>
            </w:pPr>
            <w:r w:rsidRPr="00277328">
              <w:rPr>
                <w:lang w:val="en-GB"/>
              </w:rPr>
              <w:t>0.87</w:t>
            </w:r>
          </w:p>
          <w:p w:rsidR="006C7005" w:rsidRPr="00277328" w:rsidRDefault="006C7005" w:rsidP="00673C05">
            <w:pPr>
              <w:cnfStyle w:val="000000010000"/>
              <w:rPr>
                <w:lang w:val="en-GB"/>
              </w:rPr>
            </w:pPr>
          </w:p>
          <w:p w:rsidR="006C7005" w:rsidRPr="00277328" w:rsidRDefault="006C7005" w:rsidP="00673C05">
            <w:pPr>
              <w:cnfStyle w:val="000000010000"/>
              <w:rPr>
                <w:lang w:val="en-GB"/>
              </w:rPr>
            </w:pPr>
          </w:p>
          <w:p w:rsidR="006C7005" w:rsidRPr="00277328" w:rsidRDefault="006C7005" w:rsidP="00673C05">
            <w:pPr>
              <w:cnfStyle w:val="000000010000"/>
              <w:rPr>
                <w:lang w:val="en-GB"/>
              </w:rPr>
            </w:pPr>
          </w:p>
          <w:p w:rsidR="006C7005" w:rsidRPr="00277328" w:rsidRDefault="006C7005" w:rsidP="00673C05">
            <w:pPr>
              <w:cnfStyle w:val="000000010000"/>
              <w:rPr>
                <w:lang w:val="en-GB"/>
              </w:rPr>
            </w:pPr>
            <w:r w:rsidRPr="00277328">
              <w:rPr>
                <w:lang w:val="en-GB"/>
              </w:rPr>
              <w:t>0.88</w:t>
            </w:r>
          </w:p>
        </w:tc>
        <w:tc>
          <w:tcPr>
            <w:tcW w:w="921" w:type="dxa"/>
            <w:gridSpan w:val="2"/>
          </w:tcPr>
          <w:p w:rsidR="00224F54" w:rsidRPr="00277328" w:rsidRDefault="00224F54" w:rsidP="00673C05">
            <w:pPr>
              <w:cnfStyle w:val="000000010000"/>
              <w:rPr>
                <w:lang w:val="en-GB"/>
              </w:rPr>
            </w:pPr>
          </w:p>
          <w:p w:rsidR="006C7005" w:rsidRPr="00277328" w:rsidRDefault="006C7005" w:rsidP="00673C05">
            <w:pPr>
              <w:cnfStyle w:val="000000010000"/>
              <w:rPr>
                <w:lang w:val="en-GB"/>
              </w:rPr>
            </w:pPr>
          </w:p>
          <w:p w:rsidR="006C7005" w:rsidRPr="00277328" w:rsidRDefault="006C7005" w:rsidP="00673C05">
            <w:pPr>
              <w:cnfStyle w:val="000000010000"/>
              <w:rPr>
                <w:lang w:val="en-GB"/>
              </w:rPr>
            </w:pPr>
          </w:p>
          <w:p w:rsidR="006C7005" w:rsidRPr="00277328" w:rsidRDefault="006C7005" w:rsidP="00673C05">
            <w:pPr>
              <w:cnfStyle w:val="000000010000"/>
              <w:rPr>
                <w:lang w:val="en-GB"/>
              </w:rPr>
            </w:pPr>
            <w:r w:rsidRPr="00277328">
              <w:rPr>
                <w:lang w:val="en-GB"/>
              </w:rPr>
              <w:t>9.08</w:t>
            </w:r>
          </w:p>
          <w:p w:rsidR="006C7005" w:rsidRPr="00277328" w:rsidRDefault="006C7005" w:rsidP="00673C05">
            <w:pPr>
              <w:cnfStyle w:val="000000010000"/>
              <w:rPr>
                <w:lang w:val="en-GB"/>
              </w:rPr>
            </w:pPr>
          </w:p>
          <w:p w:rsidR="006C7005" w:rsidRPr="00277328" w:rsidRDefault="006C7005" w:rsidP="00673C05">
            <w:pPr>
              <w:cnfStyle w:val="000000010000"/>
              <w:rPr>
                <w:lang w:val="en-GB"/>
              </w:rPr>
            </w:pPr>
          </w:p>
          <w:p w:rsidR="006C7005" w:rsidRPr="00277328" w:rsidRDefault="006C7005" w:rsidP="00673C05">
            <w:pPr>
              <w:cnfStyle w:val="000000010000"/>
              <w:rPr>
                <w:lang w:val="en-GB"/>
              </w:rPr>
            </w:pPr>
          </w:p>
          <w:p w:rsidR="006C7005" w:rsidRPr="00277328" w:rsidRDefault="006C7005" w:rsidP="00673C05">
            <w:pPr>
              <w:cnfStyle w:val="000000010000"/>
              <w:rPr>
                <w:lang w:val="en-GB"/>
              </w:rPr>
            </w:pPr>
          </w:p>
          <w:p w:rsidR="006C7005" w:rsidRPr="00277328" w:rsidRDefault="006C7005" w:rsidP="00673C05">
            <w:pPr>
              <w:cnfStyle w:val="000000010000"/>
              <w:rPr>
                <w:lang w:val="en-GB"/>
              </w:rPr>
            </w:pPr>
            <w:r w:rsidRPr="00277328">
              <w:rPr>
                <w:lang w:val="en-GB"/>
              </w:rPr>
              <w:t>7.65</w:t>
            </w:r>
          </w:p>
          <w:p w:rsidR="006C7005" w:rsidRPr="00277328" w:rsidRDefault="006C7005" w:rsidP="00673C05">
            <w:pPr>
              <w:cnfStyle w:val="000000010000"/>
              <w:rPr>
                <w:lang w:val="en-GB"/>
              </w:rPr>
            </w:pPr>
          </w:p>
          <w:p w:rsidR="006C7005" w:rsidRPr="00277328" w:rsidRDefault="006C7005" w:rsidP="00673C05">
            <w:pPr>
              <w:cnfStyle w:val="000000010000"/>
              <w:rPr>
                <w:lang w:val="en-GB"/>
              </w:rPr>
            </w:pPr>
          </w:p>
          <w:p w:rsidR="006C7005" w:rsidRPr="00277328" w:rsidRDefault="006C7005" w:rsidP="00673C05">
            <w:pPr>
              <w:cnfStyle w:val="000000010000"/>
              <w:rPr>
                <w:lang w:val="en-GB"/>
              </w:rPr>
            </w:pPr>
          </w:p>
          <w:p w:rsidR="006C7005" w:rsidRPr="00277328" w:rsidRDefault="006C7005" w:rsidP="00673C05">
            <w:pPr>
              <w:cnfStyle w:val="000000010000"/>
              <w:rPr>
                <w:lang w:val="en-GB"/>
              </w:rPr>
            </w:pPr>
            <w:r w:rsidRPr="00277328">
              <w:rPr>
                <w:lang w:val="en-GB"/>
              </w:rPr>
              <w:t>9.65</w:t>
            </w:r>
          </w:p>
        </w:tc>
        <w:tc>
          <w:tcPr>
            <w:tcW w:w="921" w:type="dxa"/>
          </w:tcPr>
          <w:p w:rsidR="00224F54" w:rsidRPr="00277328" w:rsidRDefault="00224F54" w:rsidP="00673C05">
            <w:pPr>
              <w:cnfStyle w:val="000000010000"/>
              <w:rPr>
                <w:lang w:val="en-GB"/>
              </w:rPr>
            </w:pPr>
          </w:p>
          <w:p w:rsidR="006C7005" w:rsidRPr="00277328" w:rsidRDefault="006C7005" w:rsidP="00673C05">
            <w:pPr>
              <w:cnfStyle w:val="000000010000"/>
              <w:rPr>
                <w:lang w:val="en-GB"/>
              </w:rPr>
            </w:pPr>
          </w:p>
          <w:p w:rsidR="006C7005" w:rsidRPr="00277328" w:rsidRDefault="006C7005" w:rsidP="00673C05">
            <w:pPr>
              <w:cnfStyle w:val="000000010000"/>
              <w:rPr>
                <w:lang w:val="en-GB"/>
              </w:rPr>
            </w:pPr>
          </w:p>
          <w:p w:rsidR="006C7005" w:rsidRPr="00277328" w:rsidRDefault="006C7005" w:rsidP="00673C05">
            <w:pPr>
              <w:cnfStyle w:val="000000010000"/>
              <w:rPr>
                <w:lang w:val="en-GB"/>
              </w:rPr>
            </w:pPr>
            <w:r w:rsidRPr="00277328">
              <w:rPr>
                <w:lang w:val="en-GB"/>
              </w:rPr>
              <w:t>0.86</w:t>
            </w:r>
          </w:p>
          <w:p w:rsidR="006C7005" w:rsidRPr="00277328" w:rsidRDefault="006C7005" w:rsidP="00673C05">
            <w:pPr>
              <w:cnfStyle w:val="000000010000"/>
              <w:rPr>
                <w:lang w:val="en-GB"/>
              </w:rPr>
            </w:pPr>
          </w:p>
          <w:p w:rsidR="006C7005" w:rsidRPr="00277328" w:rsidRDefault="006C7005" w:rsidP="00673C05">
            <w:pPr>
              <w:cnfStyle w:val="000000010000"/>
              <w:rPr>
                <w:lang w:val="en-GB"/>
              </w:rPr>
            </w:pPr>
          </w:p>
          <w:p w:rsidR="006C7005" w:rsidRPr="00277328" w:rsidRDefault="006C7005" w:rsidP="00673C05">
            <w:pPr>
              <w:cnfStyle w:val="000000010000"/>
              <w:rPr>
                <w:lang w:val="en-GB"/>
              </w:rPr>
            </w:pPr>
          </w:p>
          <w:p w:rsidR="006C7005" w:rsidRPr="00277328" w:rsidRDefault="006C7005" w:rsidP="00673C05">
            <w:pPr>
              <w:cnfStyle w:val="000000010000"/>
              <w:rPr>
                <w:lang w:val="en-GB"/>
              </w:rPr>
            </w:pPr>
          </w:p>
          <w:p w:rsidR="006C7005" w:rsidRPr="00277328" w:rsidRDefault="006C7005" w:rsidP="00673C05">
            <w:pPr>
              <w:cnfStyle w:val="000000010000"/>
              <w:rPr>
                <w:lang w:val="en-GB"/>
              </w:rPr>
            </w:pPr>
            <w:r w:rsidRPr="00277328">
              <w:rPr>
                <w:lang w:val="en-GB"/>
              </w:rPr>
              <w:t>0.85</w:t>
            </w:r>
          </w:p>
          <w:p w:rsidR="006C7005" w:rsidRPr="00277328" w:rsidRDefault="006C7005" w:rsidP="00673C05">
            <w:pPr>
              <w:cnfStyle w:val="000000010000"/>
              <w:rPr>
                <w:lang w:val="en-GB"/>
              </w:rPr>
            </w:pPr>
          </w:p>
          <w:p w:rsidR="006C7005" w:rsidRPr="00277328" w:rsidRDefault="006C7005" w:rsidP="00673C05">
            <w:pPr>
              <w:cnfStyle w:val="000000010000"/>
              <w:rPr>
                <w:lang w:val="en-GB"/>
              </w:rPr>
            </w:pPr>
          </w:p>
          <w:p w:rsidR="006C7005" w:rsidRPr="00277328" w:rsidRDefault="006C7005" w:rsidP="00673C05">
            <w:pPr>
              <w:cnfStyle w:val="000000010000"/>
              <w:rPr>
                <w:lang w:val="en-GB"/>
              </w:rPr>
            </w:pPr>
          </w:p>
          <w:p w:rsidR="006C7005" w:rsidRPr="00277328" w:rsidRDefault="006C7005" w:rsidP="00673C05">
            <w:pPr>
              <w:cnfStyle w:val="000000010000"/>
              <w:rPr>
                <w:lang w:val="en-GB"/>
              </w:rPr>
            </w:pPr>
            <w:r w:rsidRPr="00277328">
              <w:rPr>
                <w:lang w:val="en-GB"/>
              </w:rPr>
              <w:t>0.88</w:t>
            </w:r>
          </w:p>
        </w:tc>
        <w:tc>
          <w:tcPr>
            <w:tcW w:w="921" w:type="dxa"/>
            <w:gridSpan w:val="2"/>
          </w:tcPr>
          <w:p w:rsidR="00224F54" w:rsidRPr="00277328" w:rsidRDefault="00224F54" w:rsidP="00673C05">
            <w:pPr>
              <w:cnfStyle w:val="000000010000"/>
              <w:rPr>
                <w:lang w:val="en-GB"/>
              </w:rPr>
            </w:pPr>
          </w:p>
          <w:p w:rsidR="006C7005" w:rsidRPr="00277328" w:rsidRDefault="006C7005" w:rsidP="00673C05">
            <w:pPr>
              <w:cnfStyle w:val="000000010000"/>
              <w:rPr>
                <w:lang w:val="en-GB"/>
              </w:rPr>
            </w:pPr>
          </w:p>
          <w:p w:rsidR="006C7005" w:rsidRPr="00277328" w:rsidRDefault="006C7005" w:rsidP="00673C05">
            <w:pPr>
              <w:cnfStyle w:val="000000010000"/>
              <w:rPr>
                <w:lang w:val="en-GB"/>
              </w:rPr>
            </w:pPr>
          </w:p>
          <w:p w:rsidR="006C7005" w:rsidRPr="00277328" w:rsidRDefault="006C7005" w:rsidP="00673C05">
            <w:pPr>
              <w:cnfStyle w:val="000000010000"/>
              <w:rPr>
                <w:lang w:val="en-GB"/>
              </w:rPr>
            </w:pPr>
            <w:r w:rsidRPr="00277328">
              <w:rPr>
                <w:lang w:val="en-GB"/>
              </w:rPr>
              <w:t>6.92</w:t>
            </w:r>
          </w:p>
          <w:p w:rsidR="006C7005" w:rsidRPr="00277328" w:rsidRDefault="006C7005" w:rsidP="00673C05">
            <w:pPr>
              <w:cnfStyle w:val="000000010000"/>
              <w:rPr>
                <w:lang w:val="en-GB"/>
              </w:rPr>
            </w:pPr>
          </w:p>
          <w:p w:rsidR="006C7005" w:rsidRPr="00277328" w:rsidRDefault="006C7005" w:rsidP="00673C05">
            <w:pPr>
              <w:cnfStyle w:val="000000010000"/>
              <w:rPr>
                <w:lang w:val="en-GB"/>
              </w:rPr>
            </w:pPr>
          </w:p>
          <w:p w:rsidR="006C7005" w:rsidRPr="00277328" w:rsidRDefault="006C7005" w:rsidP="00673C05">
            <w:pPr>
              <w:cnfStyle w:val="000000010000"/>
              <w:rPr>
                <w:lang w:val="en-GB"/>
              </w:rPr>
            </w:pPr>
          </w:p>
          <w:p w:rsidR="006C7005" w:rsidRPr="00277328" w:rsidRDefault="006C7005" w:rsidP="00673C05">
            <w:pPr>
              <w:cnfStyle w:val="000000010000"/>
              <w:rPr>
                <w:lang w:val="en-GB"/>
              </w:rPr>
            </w:pPr>
          </w:p>
          <w:p w:rsidR="006C7005" w:rsidRPr="00277328" w:rsidRDefault="006C7005" w:rsidP="00673C05">
            <w:pPr>
              <w:cnfStyle w:val="000000010000"/>
              <w:rPr>
                <w:lang w:val="en-GB"/>
              </w:rPr>
            </w:pPr>
            <w:r w:rsidRPr="00277328">
              <w:rPr>
                <w:lang w:val="en-GB"/>
              </w:rPr>
              <w:t>5.71</w:t>
            </w:r>
          </w:p>
          <w:p w:rsidR="006C7005" w:rsidRPr="00277328" w:rsidRDefault="006C7005" w:rsidP="00673C05">
            <w:pPr>
              <w:cnfStyle w:val="000000010000"/>
              <w:rPr>
                <w:lang w:val="en-GB"/>
              </w:rPr>
            </w:pPr>
          </w:p>
          <w:p w:rsidR="006C7005" w:rsidRPr="00277328" w:rsidRDefault="006C7005" w:rsidP="00673C05">
            <w:pPr>
              <w:cnfStyle w:val="000000010000"/>
              <w:rPr>
                <w:lang w:val="en-GB"/>
              </w:rPr>
            </w:pPr>
          </w:p>
          <w:p w:rsidR="006C7005" w:rsidRPr="00277328" w:rsidRDefault="006C7005" w:rsidP="00673C05">
            <w:pPr>
              <w:cnfStyle w:val="000000010000"/>
              <w:rPr>
                <w:lang w:val="en-GB"/>
              </w:rPr>
            </w:pPr>
          </w:p>
          <w:p w:rsidR="006C7005" w:rsidRPr="00277328" w:rsidRDefault="006C7005" w:rsidP="00673C05">
            <w:pPr>
              <w:cnfStyle w:val="000000010000"/>
              <w:rPr>
                <w:lang w:val="en-GB"/>
              </w:rPr>
            </w:pPr>
            <w:r w:rsidRPr="00277328">
              <w:rPr>
                <w:lang w:val="en-GB"/>
              </w:rPr>
              <w:t>9.21</w:t>
            </w:r>
          </w:p>
        </w:tc>
      </w:tr>
    </w:tbl>
    <w:p w:rsidR="00673C05" w:rsidRPr="00277328" w:rsidRDefault="004701E0" w:rsidP="00673C05">
      <w:pPr>
        <w:rPr>
          <w:sz w:val="20"/>
          <w:szCs w:val="20"/>
          <w:lang w:val="en-GB"/>
        </w:rPr>
      </w:pPr>
      <w:proofErr w:type="gramStart"/>
      <w:r w:rsidRPr="00277328">
        <w:rPr>
          <w:sz w:val="20"/>
          <w:szCs w:val="20"/>
          <w:vertAlign w:val="superscript"/>
          <w:lang w:val="en-GB"/>
        </w:rPr>
        <w:t>a</w:t>
      </w:r>
      <w:proofErr w:type="gramEnd"/>
      <w:r w:rsidRPr="00277328">
        <w:rPr>
          <w:sz w:val="20"/>
          <w:szCs w:val="20"/>
          <w:vertAlign w:val="superscript"/>
          <w:lang w:val="en-GB"/>
        </w:rPr>
        <w:t xml:space="preserve"> </w:t>
      </w:r>
      <w:r w:rsidRPr="00277328">
        <w:rPr>
          <w:sz w:val="20"/>
          <w:szCs w:val="20"/>
          <w:lang w:val="en-GB"/>
        </w:rPr>
        <w:t>Based alternative is based on setting all attributes at their mean</w:t>
      </w:r>
    </w:p>
    <w:p w:rsidR="004701E0" w:rsidRPr="00277328" w:rsidRDefault="004701E0" w:rsidP="00673C05">
      <w:pPr>
        <w:rPr>
          <w:sz w:val="20"/>
          <w:szCs w:val="20"/>
          <w:lang w:val="en-GB"/>
        </w:rPr>
      </w:pPr>
      <w:proofErr w:type="gramStart"/>
      <w:r w:rsidRPr="00277328">
        <w:rPr>
          <w:sz w:val="20"/>
          <w:szCs w:val="20"/>
          <w:vertAlign w:val="superscript"/>
          <w:lang w:val="en-GB"/>
        </w:rPr>
        <w:t>b</w:t>
      </w:r>
      <w:proofErr w:type="gramEnd"/>
      <w:r w:rsidR="002353C4" w:rsidRPr="00277328">
        <w:rPr>
          <w:sz w:val="20"/>
          <w:szCs w:val="20"/>
          <w:vertAlign w:val="superscript"/>
          <w:lang w:val="en-GB"/>
        </w:rPr>
        <w:t xml:space="preserve"> </w:t>
      </w:r>
      <w:r w:rsidRPr="00277328">
        <w:rPr>
          <w:sz w:val="20"/>
          <w:szCs w:val="20"/>
          <w:lang w:val="en-GB"/>
        </w:rPr>
        <w:t>Each alternative is identical to the base with the exception of the attribute of interest that is set at one.</w:t>
      </w:r>
    </w:p>
    <w:p w:rsidR="00A42699" w:rsidRPr="00277328" w:rsidRDefault="00A42699" w:rsidP="00A42699">
      <w:pPr>
        <w:rPr>
          <w:sz w:val="24"/>
          <w:szCs w:val="24"/>
          <w:lang w:val="en-GB"/>
        </w:rPr>
      </w:pPr>
    </w:p>
    <w:p w:rsidR="00A42699" w:rsidRPr="00277328" w:rsidRDefault="00A42699" w:rsidP="00A42699">
      <w:pPr>
        <w:rPr>
          <w:i/>
          <w:szCs w:val="24"/>
          <w:lang w:val="en-GB"/>
        </w:rPr>
      </w:pPr>
      <w:r w:rsidRPr="00277328">
        <w:rPr>
          <w:i/>
          <w:szCs w:val="24"/>
          <w:lang w:val="en-GB"/>
        </w:rPr>
        <w:t>Percentage differences for aggregate criteria</w:t>
      </w:r>
    </w:p>
    <w:p w:rsidR="00A42699" w:rsidRPr="00277328" w:rsidRDefault="00A42699" w:rsidP="00A42699">
      <w:pPr>
        <w:rPr>
          <w:szCs w:val="24"/>
          <w:lang w:val="en-GB"/>
        </w:rPr>
      </w:pPr>
      <w:r w:rsidRPr="00277328">
        <w:rPr>
          <w:szCs w:val="24"/>
          <w:lang w:val="en-GB"/>
        </w:rPr>
        <w:t xml:space="preserve">Due to the three categories of the “age of the target group” attribute, calculations were repeated for each group. In this case, only the sub-models according to region were used. </w:t>
      </w:r>
      <w:r w:rsidR="00BD09A6">
        <w:rPr>
          <w:szCs w:val="24"/>
          <w:lang w:val="en-GB"/>
        </w:rPr>
        <w:t xml:space="preserve">Results are presented in Table 10 </w:t>
      </w:r>
      <w:r w:rsidR="004701E0" w:rsidRPr="00277328">
        <w:rPr>
          <w:szCs w:val="24"/>
          <w:lang w:val="en-GB"/>
        </w:rPr>
        <w:t xml:space="preserve">along with the calculated equity-efficiency </w:t>
      </w:r>
      <w:r w:rsidR="002E2589" w:rsidRPr="00277328">
        <w:rPr>
          <w:szCs w:val="24"/>
          <w:lang w:val="en-GB"/>
        </w:rPr>
        <w:t>trade-offs</w:t>
      </w:r>
      <w:r w:rsidR="004701E0" w:rsidRPr="00277328">
        <w:rPr>
          <w:szCs w:val="24"/>
          <w:lang w:val="en-GB"/>
        </w:rPr>
        <w:t xml:space="preserve"> for each age category. </w:t>
      </w:r>
    </w:p>
    <w:p w:rsidR="00A42699" w:rsidRPr="00277328" w:rsidRDefault="00A42699" w:rsidP="00A42699">
      <w:pPr>
        <w:pStyle w:val="ListParagraph"/>
        <w:numPr>
          <w:ilvl w:val="0"/>
          <w:numId w:val="2"/>
        </w:numPr>
        <w:rPr>
          <w:szCs w:val="24"/>
          <w:lang w:val="en-GB"/>
        </w:rPr>
      </w:pPr>
      <w:r w:rsidRPr="00277328">
        <w:rPr>
          <w:i/>
          <w:szCs w:val="24"/>
          <w:lang w:val="en-GB"/>
        </w:rPr>
        <w:t xml:space="preserve">Interventions targeting young age groups: </w:t>
      </w:r>
      <w:r w:rsidRPr="00277328">
        <w:rPr>
          <w:szCs w:val="24"/>
          <w:lang w:val="en-GB"/>
        </w:rPr>
        <w:t>In the regions of Basque Country and Catalonia, fully equitable interventions (as described by the three criteria) are 2.1% more likely to be chosen compared to the baseline value. On the other hand, for a fully efficient intervention this figure increases up to 12%. Concerning the regions of Cantabria and Valencia, the equity aggregate percentage difference in probabilities rises up to 2.7%, while this figure for aggregate efficiency criteria increases only by 0.5% (i.e. 12.5%). Finally in Madrid, for interventions targeting young ages both figures increase, up to 3.6% and 13.7%, respectively.</w:t>
      </w:r>
    </w:p>
    <w:p w:rsidR="00A42699" w:rsidRPr="00277328" w:rsidRDefault="00A42699" w:rsidP="00A42699">
      <w:pPr>
        <w:pStyle w:val="ListParagraph"/>
        <w:rPr>
          <w:szCs w:val="24"/>
          <w:lang w:val="en-GB"/>
        </w:rPr>
      </w:pPr>
    </w:p>
    <w:p w:rsidR="00A42699" w:rsidRPr="00277328" w:rsidRDefault="00A42699" w:rsidP="00A42699">
      <w:pPr>
        <w:pStyle w:val="ListParagraph"/>
        <w:numPr>
          <w:ilvl w:val="0"/>
          <w:numId w:val="2"/>
        </w:numPr>
        <w:rPr>
          <w:szCs w:val="24"/>
          <w:lang w:val="en-GB"/>
        </w:rPr>
      </w:pPr>
      <w:r w:rsidRPr="00277328">
        <w:rPr>
          <w:i/>
          <w:szCs w:val="24"/>
          <w:lang w:val="en-GB"/>
        </w:rPr>
        <w:t xml:space="preserve">Interventions targeting middle age groups: </w:t>
      </w:r>
      <w:r w:rsidRPr="00277328">
        <w:rPr>
          <w:szCs w:val="24"/>
          <w:lang w:val="en-GB"/>
        </w:rPr>
        <w:t>In this sub-group, results are similar for all three regions. In particular, fully equitable interventions are 1.9% more likely to be chosen (as compared to the baseline case) in Catalonia/Basque country; this figure increases up to 2.3% and 2.7% for the regions of Cantabria/Valencia and Madrid respectively. Conversely, efficiency aggregate percentage differences in probabilities are higher in all regions, with figures reaching 12%, 12.7% and 14.2% for Catalonia/Basque, Cantabria/Valencia and Madrid respectively.</w:t>
      </w:r>
    </w:p>
    <w:p w:rsidR="00A42699" w:rsidRPr="00277328" w:rsidRDefault="00A42699" w:rsidP="00A42699">
      <w:pPr>
        <w:pStyle w:val="ListParagraph"/>
        <w:rPr>
          <w:szCs w:val="24"/>
          <w:lang w:val="en-GB"/>
        </w:rPr>
      </w:pPr>
    </w:p>
    <w:p w:rsidR="00A42699" w:rsidRPr="00277328" w:rsidRDefault="00A42699" w:rsidP="00A42699">
      <w:pPr>
        <w:rPr>
          <w:szCs w:val="24"/>
          <w:lang w:val="en-GB"/>
        </w:rPr>
      </w:pPr>
    </w:p>
    <w:p w:rsidR="00A73111" w:rsidRPr="00277328" w:rsidRDefault="00A42699" w:rsidP="00A73111">
      <w:pPr>
        <w:pStyle w:val="ListParagraph"/>
        <w:numPr>
          <w:ilvl w:val="0"/>
          <w:numId w:val="2"/>
        </w:numPr>
        <w:rPr>
          <w:szCs w:val="24"/>
          <w:lang w:val="en-GB"/>
        </w:rPr>
      </w:pPr>
      <w:r w:rsidRPr="00277328">
        <w:rPr>
          <w:i/>
          <w:szCs w:val="24"/>
          <w:lang w:val="en-GB"/>
        </w:rPr>
        <w:lastRenderedPageBreak/>
        <w:t xml:space="preserve">Interventions targeting high-age groups: </w:t>
      </w:r>
      <w:r w:rsidRPr="00277328">
        <w:rPr>
          <w:szCs w:val="24"/>
          <w:lang w:val="en-GB"/>
        </w:rPr>
        <w:t>Results from this groups exhibit some significant differences. For instance, for interventions targeting older ages the equity aggregate difference in probabilities turns negative in Catalonia/Basque country (4.3%). That is, the baseline alternative is being preferred</w:t>
      </w:r>
      <w:r w:rsidR="00AF1E19">
        <w:rPr>
          <w:rStyle w:val="FootnoteReference"/>
          <w:szCs w:val="24"/>
          <w:lang w:val="en-GB"/>
        </w:rPr>
        <w:footnoteReference w:id="1"/>
      </w:r>
      <w:r w:rsidRPr="00277328">
        <w:rPr>
          <w:szCs w:val="24"/>
          <w:lang w:val="en-GB"/>
        </w:rPr>
        <w:t xml:space="preserve">. This figure remains negative in the other regions, with Madrid showing almost equivalent results (4.2%); and Cantabria/Valencia giving the highest percentage observed (15%). On the other hand, fully efficient interventions are more likely to be chosen compared to the base case in all regions. The percentage differences in probabilities are even higher in this case, with figures up to 12.4%, 18.1% and 17% for Catalonia/Basque, Valencia/Cantabria and Madrid, respectively. </w:t>
      </w:r>
    </w:p>
    <w:p w:rsidR="006A5A0D" w:rsidRDefault="006A5A0D" w:rsidP="004701E0">
      <w:pPr>
        <w:rPr>
          <w:b/>
          <w:u w:val="single"/>
          <w:lang w:val="en-GB"/>
        </w:rPr>
      </w:pPr>
    </w:p>
    <w:p w:rsidR="004701E0" w:rsidRPr="00277328" w:rsidRDefault="00DF210F" w:rsidP="004701E0">
      <w:pPr>
        <w:rPr>
          <w:b/>
          <w:u w:val="single"/>
          <w:lang w:val="en-GB"/>
        </w:rPr>
      </w:pPr>
      <w:r w:rsidRPr="00277328">
        <w:rPr>
          <w:b/>
          <w:u w:val="single"/>
          <w:lang w:val="en-GB"/>
        </w:rPr>
        <w:t>Table 10</w:t>
      </w:r>
      <w:r w:rsidR="004701E0" w:rsidRPr="00277328">
        <w:rPr>
          <w:b/>
          <w:u w:val="single"/>
          <w:lang w:val="en-GB"/>
        </w:rPr>
        <w:t>: Aggregate predicted probabilities, % changes and equity-efficiency trade-offs</w:t>
      </w:r>
    </w:p>
    <w:tbl>
      <w:tblPr>
        <w:tblStyle w:val="LightShading-Accent2"/>
        <w:tblW w:w="0" w:type="auto"/>
        <w:tblBorders>
          <w:left w:val="single" w:sz="8" w:space="0" w:color="C0504D" w:themeColor="accent2"/>
          <w:right w:val="single" w:sz="8" w:space="0" w:color="C0504D" w:themeColor="accent2"/>
          <w:insideH w:val="single" w:sz="8" w:space="0" w:color="C0504D" w:themeColor="accent2"/>
          <w:insideV w:val="single" w:sz="8" w:space="0" w:color="C0504D" w:themeColor="accent2"/>
        </w:tblBorders>
        <w:tblLook w:val="04A0"/>
      </w:tblPr>
      <w:tblGrid>
        <w:gridCol w:w="1745"/>
        <w:gridCol w:w="662"/>
        <w:gridCol w:w="718"/>
        <w:gridCol w:w="654"/>
        <w:gridCol w:w="183"/>
        <w:gridCol w:w="662"/>
        <w:gridCol w:w="672"/>
        <w:gridCol w:w="654"/>
        <w:gridCol w:w="662"/>
        <w:gridCol w:w="672"/>
        <w:gridCol w:w="708"/>
      </w:tblGrid>
      <w:tr w:rsidR="004E00AE" w:rsidRPr="00277328" w:rsidTr="004E00AE">
        <w:trPr>
          <w:cnfStyle w:val="100000000000"/>
        </w:trPr>
        <w:tc>
          <w:tcPr>
            <w:cnfStyle w:val="001000000000"/>
            <w:tcW w:w="1745" w:type="dxa"/>
            <w:tcBorders>
              <w:top w:val="none" w:sz="0" w:space="0" w:color="auto"/>
              <w:left w:val="none" w:sz="0" w:space="0" w:color="auto"/>
              <w:bottom w:val="none" w:sz="0" w:space="0" w:color="auto"/>
              <w:right w:val="none" w:sz="0" w:space="0" w:color="auto"/>
            </w:tcBorders>
          </w:tcPr>
          <w:p w:rsidR="004E00AE" w:rsidRPr="00277328" w:rsidRDefault="004E00AE" w:rsidP="004701E0">
            <w:pPr>
              <w:rPr>
                <w:b w:val="0"/>
                <w:color w:val="auto"/>
                <w:lang w:val="en-GB"/>
              </w:rPr>
            </w:pPr>
          </w:p>
        </w:tc>
        <w:tc>
          <w:tcPr>
            <w:tcW w:w="5858" w:type="dxa"/>
            <w:gridSpan w:val="10"/>
            <w:tcBorders>
              <w:top w:val="none" w:sz="0" w:space="0" w:color="auto"/>
              <w:left w:val="none" w:sz="0" w:space="0" w:color="auto"/>
              <w:bottom w:val="none" w:sz="0" w:space="0" w:color="auto"/>
              <w:right w:val="none" w:sz="0" w:space="0" w:color="auto"/>
            </w:tcBorders>
          </w:tcPr>
          <w:p w:rsidR="004E00AE" w:rsidRPr="00277328" w:rsidRDefault="004E00AE" w:rsidP="004E00AE">
            <w:pPr>
              <w:jc w:val="center"/>
              <w:cnfStyle w:val="100000000000"/>
              <w:rPr>
                <w:color w:val="auto"/>
                <w:u w:val="single"/>
                <w:lang w:val="en-GB"/>
              </w:rPr>
            </w:pPr>
            <w:r w:rsidRPr="00277328">
              <w:rPr>
                <w:color w:val="auto"/>
                <w:lang w:val="en-GB"/>
              </w:rPr>
              <w:t>Interventions targeting young age groups</w:t>
            </w:r>
          </w:p>
        </w:tc>
      </w:tr>
      <w:tr w:rsidR="004E00AE" w:rsidRPr="00277328" w:rsidTr="004E00AE">
        <w:trPr>
          <w:cnfStyle w:val="000000100000"/>
        </w:trPr>
        <w:tc>
          <w:tcPr>
            <w:cnfStyle w:val="001000000000"/>
            <w:tcW w:w="1745" w:type="dxa"/>
            <w:tcBorders>
              <w:left w:val="none" w:sz="0" w:space="0" w:color="auto"/>
              <w:right w:val="none" w:sz="0" w:space="0" w:color="auto"/>
            </w:tcBorders>
          </w:tcPr>
          <w:p w:rsidR="004E00AE" w:rsidRPr="00277328" w:rsidRDefault="004E00AE" w:rsidP="004701E0">
            <w:pPr>
              <w:rPr>
                <w:b w:val="0"/>
                <w:color w:val="auto"/>
                <w:u w:val="single"/>
                <w:lang w:val="en-GB"/>
              </w:rPr>
            </w:pPr>
          </w:p>
        </w:tc>
        <w:tc>
          <w:tcPr>
            <w:tcW w:w="2191" w:type="dxa"/>
            <w:gridSpan w:val="4"/>
            <w:tcBorders>
              <w:left w:val="none" w:sz="0" w:space="0" w:color="auto"/>
              <w:right w:val="none" w:sz="0" w:space="0" w:color="auto"/>
            </w:tcBorders>
          </w:tcPr>
          <w:p w:rsidR="004E00AE" w:rsidRPr="00277328" w:rsidRDefault="004E00AE" w:rsidP="008B10A1">
            <w:pPr>
              <w:jc w:val="center"/>
              <w:cnfStyle w:val="000000100000"/>
              <w:rPr>
                <w:b/>
                <w:color w:val="auto"/>
                <w:sz w:val="20"/>
                <w:szCs w:val="20"/>
                <w:lang w:val="en-GB"/>
              </w:rPr>
            </w:pPr>
            <w:r w:rsidRPr="00277328">
              <w:rPr>
                <w:b/>
                <w:color w:val="auto"/>
                <w:sz w:val="20"/>
                <w:szCs w:val="20"/>
                <w:lang w:val="en-GB"/>
              </w:rPr>
              <w:t>Catalonia/Basque country</w:t>
            </w:r>
          </w:p>
        </w:tc>
        <w:tc>
          <w:tcPr>
            <w:tcW w:w="1703" w:type="dxa"/>
            <w:gridSpan w:val="3"/>
            <w:tcBorders>
              <w:left w:val="none" w:sz="0" w:space="0" w:color="auto"/>
              <w:right w:val="none" w:sz="0" w:space="0" w:color="auto"/>
            </w:tcBorders>
          </w:tcPr>
          <w:p w:rsidR="004E00AE" w:rsidRPr="00277328" w:rsidRDefault="004E00AE" w:rsidP="008B10A1">
            <w:pPr>
              <w:jc w:val="center"/>
              <w:cnfStyle w:val="000000100000"/>
              <w:rPr>
                <w:b/>
                <w:color w:val="auto"/>
                <w:sz w:val="20"/>
                <w:szCs w:val="20"/>
                <w:lang w:val="en-GB"/>
              </w:rPr>
            </w:pPr>
            <w:r w:rsidRPr="00277328">
              <w:rPr>
                <w:b/>
                <w:color w:val="auto"/>
                <w:sz w:val="20"/>
                <w:szCs w:val="20"/>
                <w:lang w:val="en-GB"/>
              </w:rPr>
              <w:t>Valencia</w:t>
            </w:r>
          </w:p>
          <w:p w:rsidR="004E00AE" w:rsidRPr="00277328" w:rsidRDefault="004E00AE" w:rsidP="008B10A1">
            <w:pPr>
              <w:jc w:val="center"/>
              <w:cnfStyle w:val="000000100000"/>
              <w:rPr>
                <w:b/>
                <w:color w:val="auto"/>
                <w:sz w:val="20"/>
                <w:szCs w:val="20"/>
                <w:lang w:val="en-GB"/>
              </w:rPr>
            </w:pPr>
            <w:r w:rsidRPr="00277328">
              <w:rPr>
                <w:b/>
                <w:color w:val="auto"/>
                <w:sz w:val="20"/>
                <w:szCs w:val="20"/>
                <w:lang w:val="en-GB"/>
              </w:rPr>
              <w:t>/Cantabria</w:t>
            </w:r>
          </w:p>
        </w:tc>
        <w:tc>
          <w:tcPr>
            <w:tcW w:w="1964" w:type="dxa"/>
            <w:gridSpan w:val="3"/>
            <w:tcBorders>
              <w:left w:val="none" w:sz="0" w:space="0" w:color="auto"/>
              <w:right w:val="none" w:sz="0" w:space="0" w:color="auto"/>
            </w:tcBorders>
          </w:tcPr>
          <w:p w:rsidR="004E00AE" w:rsidRPr="00277328" w:rsidRDefault="004E00AE" w:rsidP="008B10A1">
            <w:pPr>
              <w:jc w:val="center"/>
              <w:cnfStyle w:val="000000100000"/>
              <w:rPr>
                <w:b/>
                <w:color w:val="auto"/>
                <w:sz w:val="20"/>
                <w:szCs w:val="20"/>
                <w:lang w:val="en-GB"/>
              </w:rPr>
            </w:pPr>
            <w:r w:rsidRPr="00277328">
              <w:rPr>
                <w:b/>
                <w:color w:val="auto"/>
                <w:sz w:val="20"/>
                <w:szCs w:val="20"/>
                <w:lang w:val="en-GB"/>
              </w:rPr>
              <w:t>Madrid</w:t>
            </w:r>
          </w:p>
        </w:tc>
      </w:tr>
      <w:tr w:rsidR="004E00AE" w:rsidRPr="00277328" w:rsidTr="004E00AE">
        <w:tc>
          <w:tcPr>
            <w:cnfStyle w:val="001000000000"/>
            <w:tcW w:w="1745" w:type="dxa"/>
          </w:tcPr>
          <w:p w:rsidR="004E00AE" w:rsidRPr="00277328" w:rsidRDefault="004E00AE" w:rsidP="004701E0">
            <w:pPr>
              <w:rPr>
                <w:b w:val="0"/>
                <w:color w:val="auto"/>
                <w:sz w:val="20"/>
                <w:szCs w:val="20"/>
                <w:lang w:val="en-GB"/>
              </w:rPr>
            </w:pPr>
          </w:p>
        </w:tc>
        <w:tc>
          <w:tcPr>
            <w:tcW w:w="651" w:type="dxa"/>
          </w:tcPr>
          <w:p w:rsidR="004E00AE" w:rsidRPr="00277328" w:rsidRDefault="004E00AE" w:rsidP="008B10A1">
            <w:pPr>
              <w:jc w:val="center"/>
              <w:cnfStyle w:val="000000000000"/>
              <w:rPr>
                <w:b/>
                <w:color w:val="auto"/>
                <w:sz w:val="20"/>
                <w:szCs w:val="20"/>
                <w:lang w:val="en-GB"/>
              </w:rPr>
            </w:pPr>
            <w:r w:rsidRPr="00277328">
              <w:rPr>
                <w:b/>
                <w:color w:val="auto"/>
                <w:sz w:val="20"/>
                <w:szCs w:val="20"/>
                <w:lang w:val="en-GB"/>
              </w:rPr>
              <w:t>Agg. Prob.</w:t>
            </w:r>
          </w:p>
        </w:tc>
        <w:tc>
          <w:tcPr>
            <w:tcW w:w="718" w:type="dxa"/>
          </w:tcPr>
          <w:p w:rsidR="004E00AE" w:rsidRPr="00277328" w:rsidRDefault="004E00AE" w:rsidP="008B10A1">
            <w:pPr>
              <w:jc w:val="center"/>
              <w:cnfStyle w:val="000000000000"/>
              <w:rPr>
                <w:b/>
                <w:color w:val="auto"/>
                <w:sz w:val="20"/>
                <w:szCs w:val="20"/>
                <w:lang w:val="en-GB"/>
              </w:rPr>
            </w:pPr>
          </w:p>
          <w:p w:rsidR="004E00AE" w:rsidRPr="00277328" w:rsidRDefault="004E00AE" w:rsidP="008B10A1">
            <w:pPr>
              <w:jc w:val="center"/>
              <w:cnfStyle w:val="000000000000"/>
              <w:rPr>
                <w:b/>
                <w:color w:val="auto"/>
                <w:sz w:val="20"/>
                <w:szCs w:val="20"/>
                <w:lang w:val="en-GB"/>
              </w:rPr>
            </w:pPr>
            <w:r w:rsidRPr="00277328">
              <w:rPr>
                <w:b/>
                <w:color w:val="auto"/>
                <w:sz w:val="20"/>
                <w:szCs w:val="20"/>
                <w:lang w:val="en-GB"/>
              </w:rPr>
              <w:t>% Δ</w:t>
            </w:r>
          </w:p>
        </w:tc>
        <w:tc>
          <w:tcPr>
            <w:tcW w:w="822" w:type="dxa"/>
            <w:gridSpan w:val="2"/>
          </w:tcPr>
          <w:p w:rsidR="004E00AE" w:rsidRPr="00277328" w:rsidRDefault="004E00AE" w:rsidP="008B10A1">
            <w:pPr>
              <w:jc w:val="center"/>
              <w:cnfStyle w:val="000000000000"/>
              <w:rPr>
                <w:b/>
                <w:color w:val="auto"/>
                <w:sz w:val="20"/>
                <w:szCs w:val="20"/>
                <w:lang w:val="en-GB"/>
              </w:rPr>
            </w:pPr>
            <w:r w:rsidRPr="00277328">
              <w:rPr>
                <w:b/>
                <w:color w:val="auto"/>
                <w:sz w:val="20"/>
                <w:szCs w:val="20"/>
                <w:lang w:val="en-GB"/>
              </w:rPr>
              <w:t>EE Ratio</w:t>
            </w:r>
          </w:p>
        </w:tc>
        <w:tc>
          <w:tcPr>
            <w:tcW w:w="470" w:type="dxa"/>
          </w:tcPr>
          <w:p w:rsidR="004E00AE" w:rsidRPr="00277328" w:rsidRDefault="004E00AE" w:rsidP="004701E0">
            <w:pPr>
              <w:cnfStyle w:val="000000000000"/>
              <w:rPr>
                <w:b/>
                <w:color w:val="auto"/>
                <w:sz w:val="20"/>
                <w:szCs w:val="20"/>
                <w:lang w:val="en-GB"/>
              </w:rPr>
            </w:pPr>
            <w:r w:rsidRPr="00277328">
              <w:rPr>
                <w:b/>
                <w:color w:val="auto"/>
                <w:sz w:val="20"/>
                <w:szCs w:val="20"/>
                <w:lang w:val="en-GB"/>
              </w:rPr>
              <w:t>Agg. Prob.</w:t>
            </w:r>
          </w:p>
        </w:tc>
        <w:tc>
          <w:tcPr>
            <w:tcW w:w="583" w:type="dxa"/>
          </w:tcPr>
          <w:p w:rsidR="004E00AE" w:rsidRPr="00277328" w:rsidRDefault="004E00AE" w:rsidP="004701E0">
            <w:pPr>
              <w:cnfStyle w:val="000000000000"/>
              <w:rPr>
                <w:b/>
                <w:color w:val="auto"/>
                <w:sz w:val="20"/>
                <w:szCs w:val="20"/>
                <w:lang w:val="en-GB"/>
              </w:rPr>
            </w:pPr>
          </w:p>
          <w:p w:rsidR="004E00AE" w:rsidRPr="00277328" w:rsidRDefault="004E00AE" w:rsidP="004701E0">
            <w:pPr>
              <w:cnfStyle w:val="000000000000"/>
              <w:rPr>
                <w:b/>
                <w:color w:val="auto"/>
                <w:sz w:val="20"/>
                <w:szCs w:val="20"/>
                <w:lang w:val="en-GB"/>
              </w:rPr>
            </w:pPr>
            <w:r w:rsidRPr="00277328">
              <w:rPr>
                <w:b/>
                <w:color w:val="auto"/>
                <w:sz w:val="20"/>
                <w:szCs w:val="20"/>
                <w:lang w:val="en-GB"/>
              </w:rPr>
              <w:t xml:space="preserve">% Δ </w:t>
            </w:r>
          </w:p>
        </w:tc>
        <w:tc>
          <w:tcPr>
            <w:tcW w:w="650" w:type="dxa"/>
          </w:tcPr>
          <w:p w:rsidR="004E00AE" w:rsidRPr="00277328" w:rsidRDefault="004E00AE" w:rsidP="004701E0">
            <w:pPr>
              <w:cnfStyle w:val="000000000000"/>
              <w:rPr>
                <w:b/>
                <w:color w:val="auto"/>
                <w:sz w:val="20"/>
                <w:szCs w:val="20"/>
                <w:lang w:val="en-GB"/>
              </w:rPr>
            </w:pPr>
            <w:r w:rsidRPr="00277328">
              <w:rPr>
                <w:b/>
                <w:color w:val="auto"/>
                <w:sz w:val="20"/>
                <w:szCs w:val="20"/>
                <w:lang w:val="en-GB"/>
              </w:rPr>
              <w:t>EE Ratio</w:t>
            </w:r>
          </w:p>
        </w:tc>
        <w:tc>
          <w:tcPr>
            <w:tcW w:w="651" w:type="dxa"/>
          </w:tcPr>
          <w:p w:rsidR="004E00AE" w:rsidRPr="00277328" w:rsidRDefault="004E00AE" w:rsidP="004701E0">
            <w:pPr>
              <w:cnfStyle w:val="000000000000"/>
              <w:rPr>
                <w:b/>
                <w:color w:val="auto"/>
                <w:sz w:val="20"/>
                <w:szCs w:val="20"/>
                <w:lang w:val="en-GB"/>
              </w:rPr>
            </w:pPr>
            <w:r w:rsidRPr="00277328">
              <w:rPr>
                <w:b/>
                <w:color w:val="auto"/>
                <w:sz w:val="20"/>
                <w:szCs w:val="20"/>
                <w:lang w:val="en-GB"/>
              </w:rPr>
              <w:t>Agg. Prob.</w:t>
            </w:r>
          </w:p>
        </w:tc>
        <w:tc>
          <w:tcPr>
            <w:tcW w:w="605" w:type="dxa"/>
          </w:tcPr>
          <w:p w:rsidR="004E00AE" w:rsidRPr="00277328" w:rsidRDefault="004E00AE" w:rsidP="004701E0">
            <w:pPr>
              <w:cnfStyle w:val="000000000000"/>
              <w:rPr>
                <w:b/>
                <w:color w:val="auto"/>
                <w:sz w:val="20"/>
                <w:szCs w:val="20"/>
                <w:lang w:val="en-GB"/>
              </w:rPr>
            </w:pPr>
          </w:p>
          <w:p w:rsidR="004E00AE" w:rsidRPr="00277328" w:rsidRDefault="004E00AE" w:rsidP="004701E0">
            <w:pPr>
              <w:cnfStyle w:val="000000000000"/>
              <w:rPr>
                <w:b/>
                <w:color w:val="auto"/>
                <w:sz w:val="20"/>
                <w:szCs w:val="20"/>
                <w:lang w:val="en-GB"/>
              </w:rPr>
            </w:pPr>
            <w:r w:rsidRPr="00277328">
              <w:rPr>
                <w:b/>
                <w:color w:val="auto"/>
                <w:sz w:val="20"/>
                <w:szCs w:val="20"/>
                <w:lang w:val="en-GB"/>
              </w:rPr>
              <w:t>% Δ</w:t>
            </w:r>
          </w:p>
        </w:tc>
        <w:tc>
          <w:tcPr>
            <w:tcW w:w="708" w:type="dxa"/>
          </w:tcPr>
          <w:p w:rsidR="004E00AE" w:rsidRPr="00277328" w:rsidRDefault="004E00AE" w:rsidP="004701E0">
            <w:pPr>
              <w:cnfStyle w:val="000000000000"/>
              <w:rPr>
                <w:b/>
                <w:color w:val="auto"/>
                <w:sz w:val="20"/>
                <w:szCs w:val="20"/>
                <w:lang w:val="en-GB"/>
              </w:rPr>
            </w:pPr>
            <w:r w:rsidRPr="00277328">
              <w:rPr>
                <w:b/>
                <w:color w:val="auto"/>
                <w:sz w:val="20"/>
                <w:szCs w:val="20"/>
                <w:lang w:val="en-GB"/>
              </w:rPr>
              <w:t>EE Ratio</w:t>
            </w:r>
          </w:p>
        </w:tc>
      </w:tr>
      <w:tr w:rsidR="004E00AE" w:rsidRPr="00277328" w:rsidTr="004E00AE">
        <w:trPr>
          <w:cnfStyle w:val="000000100000"/>
        </w:trPr>
        <w:tc>
          <w:tcPr>
            <w:cnfStyle w:val="001000000000"/>
            <w:tcW w:w="1745" w:type="dxa"/>
            <w:tcBorders>
              <w:left w:val="none" w:sz="0" w:space="0" w:color="auto"/>
              <w:right w:val="none" w:sz="0" w:space="0" w:color="auto"/>
            </w:tcBorders>
          </w:tcPr>
          <w:p w:rsidR="004E00AE" w:rsidRPr="00277328" w:rsidRDefault="004E00AE" w:rsidP="004701E0">
            <w:pPr>
              <w:rPr>
                <w:color w:val="auto"/>
                <w:sz w:val="20"/>
                <w:szCs w:val="20"/>
                <w:lang w:val="en-GB"/>
              </w:rPr>
            </w:pPr>
            <w:r w:rsidRPr="00277328">
              <w:rPr>
                <w:color w:val="auto"/>
                <w:sz w:val="20"/>
                <w:szCs w:val="20"/>
                <w:lang w:val="en-GB"/>
              </w:rPr>
              <w:t>Base alternative</w:t>
            </w:r>
          </w:p>
        </w:tc>
        <w:tc>
          <w:tcPr>
            <w:tcW w:w="651" w:type="dxa"/>
            <w:tcBorders>
              <w:left w:val="none" w:sz="0" w:space="0" w:color="auto"/>
              <w:right w:val="none" w:sz="0" w:space="0" w:color="auto"/>
            </w:tcBorders>
          </w:tcPr>
          <w:p w:rsidR="004E00AE" w:rsidRPr="00277328" w:rsidRDefault="004E00AE" w:rsidP="004E00AE">
            <w:pPr>
              <w:cnfStyle w:val="000000100000"/>
              <w:rPr>
                <w:rFonts w:cstheme="minorHAnsi"/>
                <w:color w:val="000000"/>
                <w:sz w:val="20"/>
                <w:szCs w:val="20"/>
                <w:lang w:val="en-GB"/>
              </w:rPr>
            </w:pPr>
            <w:r w:rsidRPr="00277328">
              <w:rPr>
                <w:rFonts w:cstheme="minorHAnsi"/>
                <w:color w:val="000000"/>
                <w:sz w:val="20"/>
                <w:szCs w:val="20"/>
                <w:lang w:val="en-GB"/>
              </w:rPr>
              <w:t>0.87</w:t>
            </w:r>
          </w:p>
          <w:p w:rsidR="004E00AE" w:rsidRPr="00277328" w:rsidRDefault="004E00AE" w:rsidP="004701E0">
            <w:pPr>
              <w:cnfStyle w:val="000000100000"/>
              <w:rPr>
                <w:rFonts w:cstheme="minorHAnsi"/>
                <w:b/>
                <w:color w:val="auto"/>
                <w:sz w:val="20"/>
                <w:szCs w:val="20"/>
                <w:u w:val="single"/>
                <w:lang w:val="en-GB"/>
              </w:rPr>
            </w:pPr>
          </w:p>
        </w:tc>
        <w:tc>
          <w:tcPr>
            <w:tcW w:w="718" w:type="dxa"/>
            <w:tcBorders>
              <w:left w:val="none" w:sz="0" w:space="0" w:color="auto"/>
              <w:right w:val="none" w:sz="0" w:space="0" w:color="auto"/>
            </w:tcBorders>
          </w:tcPr>
          <w:p w:rsidR="004E00AE" w:rsidRPr="00277328" w:rsidRDefault="004E00AE" w:rsidP="004701E0">
            <w:pPr>
              <w:cnfStyle w:val="000000100000"/>
              <w:rPr>
                <w:rFonts w:cstheme="minorHAnsi"/>
                <w:b/>
                <w:color w:val="auto"/>
                <w:sz w:val="20"/>
                <w:szCs w:val="20"/>
                <w:u w:val="single"/>
                <w:lang w:val="en-GB"/>
              </w:rPr>
            </w:pPr>
          </w:p>
        </w:tc>
        <w:tc>
          <w:tcPr>
            <w:tcW w:w="822" w:type="dxa"/>
            <w:gridSpan w:val="2"/>
            <w:tcBorders>
              <w:left w:val="none" w:sz="0" w:space="0" w:color="auto"/>
              <w:right w:val="none" w:sz="0" w:space="0" w:color="auto"/>
            </w:tcBorders>
          </w:tcPr>
          <w:p w:rsidR="004E00AE" w:rsidRPr="00277328" w:rsidRDefault="004E00AE" w:rsidP="004701E0">
            <w:pPr>
              <w:cnfStyle w:val="000000100000"/>
              <w:rPr>
                <w:rFonts w:cstheme="minorHAnsi"/>
                <w:b/>
                <w:color w:val="auto"/>
                <w:sz w:val="20"/>
                <w:szCs w:val="20"/>
                <w:u w:val="single"/>
                <w:lang w:val="en-GB"/>
              </w:rPr>
            </w:pPr>
          </w:p>
        </w:tc>
        <w:tc>
          <w:tcPr>
            <w:tcW w:w="470" w:type="dxa"/>
            <w:tcBorders>
              <w:left w:val="none" w:sz="0" w:space="0" w:color="auto"/>
              <w:right w:val="none" w:sz="0" w:space="0" w:color="auto"/>
            </w:tcBorders>
          </w:tcPr>
          <w:p w:rsidR="004E00AE" w:rsidRPr="00277328" w:rsidRDefault="004E00AE" w:rsidP="004E00AE">
            <w:pPr>
              <w:cnfStyle w:val="000000100000"/>
              <w:rPr>
                <w:rFonts w:cstheme="minorHAnsi"/>
                <w:color w:val="000000"/>
                <w:sz w:val="20"/>
                <w:szCs w:val="20"/>
                <w:lang w:val="en-GB"/>
              </w:rPr>
            </w:pPr>
            <w:r w:rsidRPr="00277328">
              <w:rPr>
                <w:rFonts w:cstheme="minorHAnsi"/>
                <w:color w:val="000000"/>
                <w:sz w:val="20"/>
                <w:szCs w:val="20"/>
                <w:lang w:val="en-GB"/>
              </w:rPr>
              <w:t>0.86</w:t>
            </w:r>
          </w:p>
          <w:p w:rsidR="004E00AE" w:rsidRPr="00277328" w:rsidRDefault="004E00AE" w:rsidP="004701E0">
            <w:pPr>
              <w:cnfStyle w:val="000000100000"/>
              <w:rPr>
                <w:rFonts w:cstheme="minorHAnsi"/>
                <w:b/>
                <w:color w:val="auto"/>
                <w:sz w:val="20"/>
                <w:szCs w:val="20"/>
                <w:u w:val="single"/>
                <w:lang w:val="en-GB"/>
              </w:rPr>
            </w:pPr>
          </w:p>
        </w:tc>
        <w:tc>
          <w:tcPr>
            <w:tcW w:w="583" w:type="dxa"/>
            <w:tcBorders>
              <w:left w:val="none" w:sz="0" w:space="0" w:color="auto"/>
              <w:right w:val="none" w:sz="0" w:space="0" w:color="auto"/>
            </w:tcBorders>
          </w:tcPr>
          <w:p w:rsidR="004E00AE" w:rsidRPr="00277328" w:rsidRDefault="004E00AE" w:rsidP="004701E0">
            <w:pPr>
              <w:cnfStyle w:val="000000100000"/>
              <w:rPr>
                <w:rFonts w:cstheme="minorHAnsi"/>
                <w:b/>
                <w:color w:val="auto"/>
                <w:sz w:val="20"/>
                <w:szCs w:val="20"/>
                <w:u w:val="single"/>
                <w:lang w:val="en-GB"/>
              </w:rPr>
            </w:pPr>
          </w:p>
        </w:tc>
        <w:tc>
          <w:tcPr>
            <w:tcW w:w="650" w:type="dxa"/>
            <w:tcBorders>
              <w:left w:val="none" w:sz="0" w:space="0" w:color="auto"/>
              <w:right w:val="none" w:sz="0" w:space="0" w:color="auto"/>
            </w:tcBorders>
          </w:tcPr>
          <w:p w:rsidR="004E00AE" w:rsidRPr="00277328" w:rsidRDefault="004E00AE" w:rsidP="004701E0">
            <w:pPr>
              <w:cnfStyle w:val="000000100000"/>
              <w:rPr>
                <w:rFonts w:cstheme="minorHAnsi"/>
                <w:b/>
                <w:color w:val="auto"/>
                <w:sz w:val="20"/>
                <w:szCs w:val="20"/>
                <w:u w:val="single"/>
                <w:lang w:val="en-GB"/>
              </w:rPr>
            </w:pPr>
          </w:p>
        </w:tc>
        <w:tc>
          <w:tcPr>
            <w:tcW w:w="651" w:type="dxa"/>
            <w:tcBorders>
              <w:left w:val="none" w:sz="0" w:space="0" w:color="auto"/>
              <w:right w:val="none" w:sz="0" w:space="0" w:color="auto"/>
            </w:tcBorders>
          </w:tcPr>
          <w:p w:rsidR="004E00AE" w:rsidRPr="00277328" w:rsidRDefault="004E00AE" w:rsidP="004E00AE">
            <w:pPr>
              <w:cnfStyle w:val="000000100000"/>
              <w:rPr>
                <w:rFonts w:cstheme="minorHAnsi"/>
                <w:color w:val="000000"/>
                <w:sz w:val="20"/>
                <w:szCs w:val="20"/>
                <w:lang w:val="en-GB"/>
              </w:rPr>
            </w:pPr>
            <w:r w:rsidRPr="00277328">
              <w:rPr>
                <w:rFonts w:cstheme="minorHAnsi"/>
                <w:color w:val="000000"/>
                <w:sz w:val="20"/>
                <w:szCs w:val="20"/>
                <w:lang w:val="en-GB"/>
              </w:rPr>
              <w:t>0.84</w:t>
            </w:r>
          </w:p>
          <w:p w:rsidR="004E00AE" w:rsidRPr="00277328" w:rsidRDefault="004E00AE" w:rsidP="004701E0">
            <w:pPr>
              <w:cnfStyle w:val="000000100000"/>
              <w:rPr>
                <w:rFonts w:cstheme="minorHAnsi"/>
                <w:b/>
                <w:color w:val="auto"/>
                <w:sz w:val="20"/>
                <w:szCs w:val="20"/>
                <w:u w:val="single"/>
                <w:lang w:val="en-GB"/>
              </w:rPr>
            </w:pPr>
          </w:p>
        </w:tc>
        <w:tc>
          <w:tcPr>
            <w:tcW w:w="605" w:type="dxa"/>
            <w:tcBorders>
              <w:left w:val="none" w:sz="0" w:space="0" w:color="auto"/>
              <w:right w:val="none" w:sz="0" w:space="0" w:color="auto"/>
            </w:tcBorders>
          </w:tcPr>
          <w:p w:rsidR="004E00AE" w:rsidRPr="00277328" w:rsidRDefault="004E00AE" w:rsidP="004701E0">
            <w:pPr>
              <w:cnfStyle w:val="000000100000"/>
              <w:rPr>
                <w:rFonts w:cstheme="minorHAnsi"/>
                <w:b/>
                <w:color w:val="auto"/>
                <w:sz w:val="20"/>
                <w:szCs w:val="20"/>
                <w:u w:val="single"/>
                <w:lang w:val="en-GB"/>
              </w:rPr>
            </w:pPr>
          </w:p>
        </w:tc>
        <w:tc>
          <w:tcPr>
            <w:tcW w:w="708" w:type="dxa"/>
            <w:tcBorders>
              <w:left w:val="none" w:sz="0" w:space="0" w:color="auto"/>
              <w:right w:val="none" w:sz="0" w:space="0" w:color="auto"/>
            </w:tcBorders>
          </w:tcPr>
          <w:p w:rsidR="004E00AE" w:rsidRPr="00277328" w:rsidRDefault="004E00AE" w:rsidP="004701E0">
            <w:pPr>
              <w:cnfStyle w:val="000000100000"/>
              <w:rPr>
                <w:rFonts w:cstheme="minorHAnsi"/>
                <w:b/>
                <w:color w:val="auto"/>
                <w:sz w:val="20"/>
                <w:szCs w:val="20"/>
                <w:u w:val="single"/>
                <w:lang w:val="en-GB"/>
              </w:rPr>
            </w:pPr>
          </w:p>
        </w:tc>
      </w:tr>
      <w:tr w:rsidR="004B5860" w:rsidRPr="00277328" w:rsidTr="004E00AE">
        <w:tc>
          <w:tcPr>
            <w:cnfStyle w:val="001000000000"/>
            <w:tcW w:w="1745" w:type="dxa"/>
          </w:tcPr>
          <w:p w:rsidR="004E00AE" w:rsidRPr="00277328" w:rsidRDefault="004E00AE" w:rsidP="004701E0">
            <w:pPr>
              <w:rPr>
                <w:color w:val="auto"/>
                <w:sz w:val="20"/>
                <w:szCs w:val="20"/>
                <w:lang w:val="en-GB"/>
              </w:rPr>
            </w:pPr>
            <w:r w:rsidRPr="00277328">
              <w:rPr>
                <w:color w:val="auto"/>
                <w:sz w:val="20"/>
                <w:szCs w:val="20"/>
                <w:lang w:val="en-GB"/>
              </w:rPr>
              <w:t>Aggregate equity alternative</w:t>
            </w:r>
          </w:p>
        </w:tc>
        <w:tc>
          <w:tcPr>
            <w:tcW w:w="651" w:type="dxa"/>
          </w:tcPr>
          <w:p w:rsidR="004E00AE" w:rsidRPr="00277328" w:rsidRDefault="004E00AE" w:rsidP="004E00AE">
            <w:pPr>
              <w:cnfStyle w:val="000000000000"/>
              <w:rPr>
                <w:rFonts w:cstheme="minorHAnsi"/>
                <w:color w:val="000000"/>
                <w:sz w:val="20"/>
                <w:szCs w:val="20"/>
                <w:lang w:val="en-GB"/>
              </w:rPr>
            </w:pPr>
            <w:r w:rsidRPr="00277328">
              <w:rPr>
                <w:rFonts w:cstheme="minorHAnsi"/>
                <w:color w:val="000000"/>
                <w:sz w:val="20"/>
                <w:szCs w:val="20"/>
                <w:lang w:val="en-GB"/>
              </w:rPr>
              <w:t>0.89</w:t>
            </w:r>
          </w:p>
          <w:p w:rsidR="004E00AE" w:rsidRPr="00277328" w:rsidRDefault="004E00AE" w:rsidP="004701E0">
            <w:pPr>
              <w:cnfStyle w:val="000000000000"/>
              <w:rPr>
                <w:rFonts w:cstheme="minorHAnsi"/>
                <w:b/>
                <w:color w:val="auto"/>
                <w:sz w:val="20"/>
                <w:szCs w:val="20"/>
                <w:u w:val="single"/>
                <w:lang w:val="en-GB"/>
              </w:rPr>
            </w:pPr>
          </w:p>
        </w:tc>
        <w:tc>
          <w:tcPr>
            <w:tcW w:w="718" w:type="dxa"/>
          </w:tcPr>
          <w:p w:rsidR="004E00AE" w:rsidRPr="00277328" w:rsidRDefault="004E00AE" w:rsidP="004E00AE">
            <w:pPr>
              <w:cnfStyle w:val="000000000000"/>
              <w:rPr>
                <w:rFonts w:cstheme="minorHAnsi"/>
                <w:color w:val="000000"/>
                <w:sz w:val="20"/>
                <w:szCs w:val="20"/>
                <w:lang w:val="en-GB"/>
              </w:rPr>
            </w:pPr>
            <w:r w:rsidRPr="00277328">
              <w:rPr>
                <w:rFonts w:cstheme="minorHAnsi"/>
                <w:color w:val="000000"/>
                <w:sz w:val="20"/>
                <w:szCs w:val="20"/>
                <w:lang w:val="en-GB"/>
              </w:rPr>
              <w:t>2.13</w:t>
            </w:r>
          </w:p>
          <w:p w:rsidR="004E00AE" w:rsidRPr="00277328" w:rsidRDefault="004E00AE" w:rsidP="004701E0">
            <w:pPr>
              <w:cnfStyle w:val="000000000000"/>
              <w:rPr>
                <w:rFonts w:cstheme="minorHAnsi"/>
                <w:b/>
                <w:color w:val="auto"/>
                <w:sz w:val="20"/>
                <w:szCs w:val="20"/>
                <w:u w:val="single"/>
                <w:lang w:val="en-GB"/>
              </w:rPr>
            </w:pPr>
          </w:p>
        </w:tc>
        <w:tc>
          <w:tcPr>
            <w:tcW w:w="822" w:type="dxa"/>
            <w:gridSpan w:val="2"/>
          </w:tcPr>
          <w:p w:rsidR="004E00AE" w:rsidRPr="00277328" w:rsidRDefault="004E00AE" w:rsidP="004701E0">
            <w:pPr>
              <w:cnfStyle w:val="000000000000"/>
              <w:rPr>
                <w:rFonts w:cstheme="minorHAnsi"/>
                <w:b/>
                <w:color w:val="auto"/>
                <w:sz w:val="20"/>
                <w:szCs w:val="20"/>
                <w:u w:val="single"/>
                <w:lang w:val="en-GB"/>
              </w:rPr>
            </w:pPr>
          </w:p>
        </w:tc>
        <w:tc>
          <w:tcPr>
            <w:tcW w:w="470" w:type="dxa"/>
          </w:tcPr>
          <w:p w:rsidR="004E00AE" w:rsidRPr="00277328" w:rsidRDefault="004E00AE" w:rsidP="004E00AE">
            <w:pPr>
              <w:cnfStyle w:val="000000000000"/>
              <w:rPr>
                <w:rFonts w:cstheme="minorHAnsi"/>
                <w:color w:val="000000"/>
                <w:sz w:val="20"/>
                <w:szCs w:val="20"/>
                <w:lang w:val="en-GB"/>
              </w:rPr>
            </w:pPr>
            <w:r w:rsidRPr="00277328">
              <w:rPr>
                <w:rFonts w:cstheme="minorHAnsi"/>
                <w:color w:val="000000"/>
                <w:sz w:val="20"/>
                <w:szCs w:val="20"/>
                <w:lang w:val="en-GB"/>
              </w:rPr>
              <w:t>0.88</w:t>
            </w:r>
          </w:p>
          <w:p w:rsidR="004E00AE" w:rsidRPr="00277328" w:rsidRDefault="004E00AE" w:rsidP="004701E0">
            <w:pPr>
              <w:cnfStyle w:val="000000000000"/>
              <w:rPr>
                <w:rFonts w:cstheme="minorHAnsi"/>
                <w:b/>
                <w:color w:val="auto"/>
                <w:sz w:val="20"/>
                <w:szCs w:val="20"/>
                <w:u w:val="single"/>
                <w:lang w:val="en-GB"/>
              </w:rPr>
            </w:pPr>
          </w:p>
        </w:tc>
        <w:tc>
          <w:tcPr>
            <w:tcW w:w="583" w:type="dxa"/>
          </w:tcPr>
          <w:p w:rsidR="004E00AE" w:rsidRPr="00277328" w:rsidRDefault="004E00AE" w:rsidP="004E00AE">
            <w:pPr>
              <w:cnfStyle w:val="000000000000"/>
              <w:rPr>
                <w:rFonts w:cstheme="minorHAnsi"/>
                <w:color w:val="000000"/>
                <w:sz w:val="20"/>
                <w:szCs w:val="20"/>
                <w:lang w:val="en-GB"/>
              </w:rPr>
            </w:pPr>
            <w:r w:rsidRPr="00277328">
              <w:rPr>
                <w:rFonts w:cstheme="minorHAnsi"/>
                <w:color w:val="000000"/>
                <w:sz w:val="20"/>
                <w:szCs w:val="20"/>
                <w:lang w:val="en-GB"/>
              </w:rPr>
              <w:t>2.66</w:t>
            </w:r>
          </w:p>
          <w:p w:rsidR="004E00AE" w:rsidRPr="00277328" w:rsidRDefault="004E00AE" w:rsidP="004701E0">
            <w:pPr>
              <w:cnfStyle w:val="000000000000"/>
              <w:rPr>
                <w:rFonts w:cstheme="minorHAnsi"/>
                <w:b/>
                <w:color w:val="auto"/>
                <w:sz w:val="20"/>
                <w:szCs w:val="20"/>
                <w:u w:val="single"/>
                <w:lang w:val="en-GB"/>
              </w:rPr>
            </w:pPr>
          </w:p>
        </w:tc>
        <w:tc>
          <w:tcPr>
            <w:tcW w:w="650" w:type="dxa"/>
          </w:tcPr>
          <w:p w:rsidR="004E00AE" w:rsidRPr="00277328" w:rsidRDefault="004E00AE" w:rsidP="004701E0">
            <w:pPr>
              <w:cnfStyle w:val="000000000000"/>
              <w:rPr>
                <w:rFonts w:cstheme="minorHAnsi"/>
                <w:b/>
                <w:color w:val="auto"/>
                <w:sz w:val="20"/>
                <w:szCs w:val="20"/>
                <w:u w:val="single"/>
                <w:lang w:val="en-GB"/>
              </w:rPr>
            </w:pPr>
          </w:p>
        </w:tc>
        <w:tc>
          <w:tcPr>
            <w:tcW w:w="651" w:type="dxa"/>
          </w:tcPr>
          <w:p w:rsidR="004E00AE" w:rsidRPr="00277328" w:rsidRDefault="004E00AE" w:rsidP="004E00AE">
            <w:pPr>
              <w:cnfStyle w:val="000000000000"/>
              <w:rPr>
                <w:rFonts w:cstheme="minorHAnsi"/>
                <w:color w:val="000000"/>
                <w:sz w:val="20"/>
                <w:szCs w:val="20"/>
                <w:lang w:val="en-GB"/>
              </w:rPr>
            </w:pPr>
            <w:r w:rsidRPr="00277328">
              <w:rPr>
                <w:rFonts w:cstheme="minorHAnsi"/>
                <w:color w:val="000000"/>
                <w:sz w:val="20"/>
                <w:szCs w:val="20"/>
                <w:lang w:val="en-GB"/>
              </w:rPr>
              <w:t>0.87</w:t>
            </w:r>
          </w:p>
          <w:p w:rsidR="004E00AE" w:rsidRPr="00277328" w:rsidRDefault="004E00AE" w:rsidP="004701E0">
            <w:pPr>
              <w:cnfStyle w:val="000000000000"/>
              <w:rPr>
                <w:rFonts w:cstheme="minorHAnsi"/>
                <w:b/>
                <w:color w:val="auto"/>
                <w:sz w:val="20"/>
                <w:szCs w:val="20"/>
                <w:u w:val="single"/>
                <w:lang w:val="en-GB"/>
              </w:rPr>
            </w:pPr>
          </w:p>
        </w:tc>
        <w:tc>
          <w:tcPr>
            <w:tcW w:w="605" w:type="dxa"/>
          </w:tcPr>
          <w:p w:rsidR="004E00AE" w:rsidRPr="00277328" w:rsidRDefault="004E00AE" w:rsidP="004E00AE">
            <w:pPr>
              <w:cnfStyle w:val="000000000000"/>
              <w:rPr>
                <w:rFonts w:cstheme="minorHAnsi"/>
                <w:color w:val="000000"/>
                <w:sz w:val="20"/>
                <w:szCs w:val="20"/>
                <w:lang w:val="en-GB"/>
              </w:rPr>
            </w:pPr>
            <w:r w:rsidRPr="00277328">
              <w:rPr>
                <w:rFonts w:cstheme="minorHAnsi"/>
                <w:color w:val="000000"/>
                <w:sz w:val="20"/>
                <w:szCs w:val="20"/>
                <w:lang w:val="en-GB"/>
              </w:rPr>
              <w:t>3.63</w:t>
            </w:r>
          </w:p>
          <w:p w:rsidR="004E00AE" w:rsidRPr="00277328" w:rsidRDefault="004E00AE" w:rsidP="004701E0">
            <w:pPr>
              <w:cnfStyle w:val="000000000000"/>
              <w:rPr>
                <w:rFonts w:cstheme="minorHAnsi"/>
                <w:b/>
                <w:color w:val="auto"/>
                <w:sz w:val="20"/>
                <w:szCs w:val="20"/>
                <w:u w:val="single"/>
                <w:lang w:val="en-GB"/>
              </w:rPr>
            </w:pPr>
          </w:p>
        </w:tc>
        <w:tc>
          <w:tcPr>
            <w:tcW w:w="708" w:type="dxa"/>
          </w:tcPr>
          <w:p w:rsidR="004E00AE" w:rsidRPr="00277328" w:rsidRDefault="004E00AE" w:rsidP="004701E0">
            <w:pPr>
              <w:cnfStyle w:val="000000000000"/>
              <w:rPr>
                <w:rFonts w:cstheme="minorHAnsi"/>
                <w:b/>
                <w:color w:val="auto"/>
                <w:sz w:val="20"/>
                <w:szCs w:val="20"/>
                <w:u w:val="single"/>
                <w:lang w:val="en-GB"/>
              </w:rPr>
            </w:pPr>
          </w:p>
        </w:tc>
      </w:tr>
      <w:tr w:rsidR="004E00AE" w:rsidRPr="00277328" w:rsidTr="004B5860">
        <w:trPr>
          <w:cnfStyle w:val="000000100000"/>
        </w:trPr>
        <w:tc>
          <w:tcPr>
            <w:cnfStyle w:val="001000000000"/>
            <w:tcW w:w="1745" w:type="dxa"/>
            <w:tcBorders>
              <w:left w:val="none" w:sz="0" w:space="0" w:color="auto"/>
              <w:right w:val="none" w:sz="0" w:space="0" w:color="auto"/>
            </w:tcBorders>
          </w:tcPr>
          <w:p w:rsidR="004E00AE" w:rsidRPr="00277328" w:rsidRDefault="004E00AE" w:rsidP="004701E0">
            <w:pPr>
              <w:rPr>
                <w:sz w:val="20"/>
                <w:szCs w:val="20"/>
                <w:lang w:val="en-GB"/>
              </w:rPr>
            </w:pPr>
          </w:p>
        </w:tc>
        <w:tc>
          <w:tcPr>
            <w:tcW w:w="651" w:type="dxa"/>
            <w:tcBorders>
              <w:left w:val="none" w:sz="0" w:space="0" w:color="auto"/>
              <w:right w:val="none" w:sz="0" w:space="0" w:color="auto"/>
            </w:tcBorders>
          </w:tcPr>
          <w:p w:rsidR="004E00AE" w:rsidRPr="00277328" w:rsidRDefault="004E00AE" w:rsidP="004E00AE">
            <w:pPr>
              <w:cnfStyle w:val="000000100000"/>
              <w:rPr>
                <w:rFonts w:cstheme="minorHAnsi"/>
                <w:color w:val="000000"/>
                <w:sz w:val="20"/>
                <w:szCs w:val="20"/>
                <w:lang w:val="en-GB"/>
              </w:rPr>
            </w:pPr>
          </w:p>
        </w:tc>
        <w:tc>
          <w:tcPr>
            <w:tcW w:w="718" w:type="dxa"/>
            <w:tcBorders>
              <w:left w:val="none" w:sz="0" w:space="0" w:color="auto"/>
              <w:right w:val="none" w:sz="0" w:space="0" w:color="auto"/>
            </w:tcBorders>
          </w:tcPr>
          <w:p w:rsidR="004E00AE" w:rsidRPr="00277328" w:rsidRDefault="004E00AE" w:rsidP="004E00AE">
            <w:pPr>
              <w:cnfStyle w:val="000000100000"/>
              <w:rPr>
                <w:rFonts w:cstheme="minorHAnsi"/>
                <w:color w:val="000000"/>
                <w:sz w:val="20"/>
                <w:szCs w:val="20"/>
                <w:lang w:val="en-GB"/>
              </w:rPr>
            </w:pPr>
          </w:p>
        </w:tc>
        <w:tc>
          <w:tcPr>
            <w:tcW w:w="822" w:type="dxa"/>
            <w:gridSpan w:val="2"/>
            <w:tcBorders>
              <w:left w:val="none" w:sz="0" w:space="0" w:color="auto"/>
              <w:right w:val="none" w:sz="0" w:space="0" w:color="auto"/>
            </w:tcBorders>
          </w:tcPr>
          <w:p w:rsidR="004E00AE" w:rsidRPr="00277328" w:rsidRDefault="004E00AE" w:rsidP="004E00AE">
            <w:pPr>
              <w:cnfStyle w:val="000000100000"/>
              <w:rPr>
                <w:rFonts w:cstheme="minorHAnsi"/>
                <w:color w:val="000000"/>
                <w:sz w:val="20"/>
                <w:szCs w:val="20"/>
                <w:lang w:val="en-GB"/>
              </w:rPr>
            </w:pPr>
            <w:r w:rsidRPr="00277328">
              <w:rPr>
                <w:rFonts w:cstheme="minorHAnsi"/>
                <w:color w:val="000000"/>
                <w:sz w:val="20"/>
                <w:szCs w:val="20"/>
                <w:lang w:val="en-GB"/>
              </w:rPr>
              <w:t>5.58</w:t>
            </w:r>
          </w:p>
          <w:p w:rsidR="004E00AE" w:rsidRPr="00277328" w:rsidRDefault="004E00AE" w:rsidP="004701E0">
            <w:pPr>
              <w:cnfStyle w:val="000000100000"/>
              <w:rPr>
                <w:rFonts w:cstheme="minorHAnsi"/>
                <w:b/>
                <w:sz w:val="20"/>
                <w:szCs w:val="20"/>
                <w:u w:val="single"/>
                <w:lang w:val="en-GB"/>
              </w:rPr>
            </w:pPr>
          </w:p>
        </w:tc>
        <w:tc>
          <w:tcPr>
            <w:tcW w:w="470" w:type="dxa"/>
            <w:tcBorders>
              <w:left w:val="none" w:sz="0" w:space="0" w:color="auto"/>
              <w:right w:val="none" w:sz="0" w:space="0" w:color="auto"/>
            </w:tcBorders>
          </w:tcPr>
          <w:p w:rsidR="004E00AE" w:rsidRPr="00277328" w:rsidRDefault="004E00AE" w:rsidP="004701E0">
            <w:pPr>
              <w:cnfStyle w:val="000000100000"/>
              <w:rPr>
                <w:rFonts w:cstheme="minorHAnsi"/>
                <w:b/>
                <w:sz w:val="20"/>
                <w:szCs w:val="20"/>
                <w:u w:val="single"/>
                <w:lang w:val="en-GB"/>
              </w:rPr>
            </w:pPr>
          </w:p>
        </w:tc>
        <w:tc>
          <w:tcPr>
            <w:tcW w:w="583" w:type="dxa"/>
            <w:tcBorders>
              <w:left w:val="none" w:sz="0" w:space="0" w:color="auto"/>
              <w:right w:val="none" w:sz="0" w:space="0" w:color="auto"/>
            </w:tcBorders>
          </w:tcPr>
          <w:p w:rsidR="004E00AE" w:rsidRPr="00277328" w:rsidRDefault="004E00AE" w:rsidP="004701E0">
            <w:pPr>
              <w:cnfStyle w:val="000000100000"/>
              <w:rPr>
                <w:rFonts w:cstheme="minorHAnsi"/>
                <w:b/>
                <w:sz w:val="20"/>
                <w:szCs w:val="20"/>
                <w:u w:val="single"/>
                <w:lang w:val="en-GB"/>
              </w:rPr>
            </w:pPr>
          </w:p>
        </w:tc>
        <w:tc>
          <w:tcPr>
            <w:tcW w:w="650" w:type="dxa"/>
            <w:tcBorders>
              <w:left w:val="none" w:sz="0" w:space="0" w:color="auto"/>
              <w:right w:val="none" w:sz="0" w:space="0" w:color="auto"/>
            </w:tcBorders>
          </w:tcPr>
          <w:p w:rsidR="004E00AE" w:rsidRPr="00277328" w:rsidRDefault="004E00AE" w:rsidP="004E00AE">
            <w:pPr>
              <w:cnfStyle w:val="000000100000"/>
              <w:rPr>
                <w:rFonts w:cstheme="minorHAnsi"/>
                <w:color w:val="000000"/>
                <w:sz w:val="20"/>
                <w:szCs w:val="20"/>
                <w:lang w:val="en-GB"/>
              </w:rPr>
            </w:pPr>
            <w:r w:rsidRPr="00277328">
              <w:rPr>
                <w:rFonts w:cstheme="minorHAnsi"/>
                <w:color w:val="000000"/>
                <w:sz w:val="20"/>
                <w:szCs w:val="20"/>
                <w:lang w:val="en-GB"/>
              </w:rPr>
              <w:t>4.68</w:t>
            </w:r>
          </w:p>
          <w:p w:rsidR="004E00AE" w:rsidRPr="00277328" w:rsidRDefault="004E00AE" w:rsidP="004701E0">
            <w:pPr>
              <w:cnfStyle w:val="000000100000"/>
              <w:rPr>
                <w:rFonts w:cstheme="minorHAnsi"/>
                <w:b/>
                <w:sz w:val="20"/>
                <w:szCs w:val="20"/>
                <w:u w:val="single"/>
                <w:lang w:val="en-GB"/>
              </w:rPr>
            </w:pPr>
          </w:p>
        </w:tc>
        <w:tc>
          <w:tcPr>
            <w:tcW w:w="651" w:type="dxa"/>
            <w:tcBorders>
              <w:left w:val="none" w:sz="0" w:space="0" w:color="auto"/>
              <w:right w:val="none" w:sz="0" w:space="0" w:color="auto"/>
            </w:tcBorders>
          </w:tcPr>
          <w:p w:rsidR="004E00AE" w:rsidRPr="00277328" w:rsidRDefault="004E00AE" w:rsidP="004701E0">
            <w:pPr>
              <w:cnfStyle w:val="000000100000"/>
              <w:rPr>
                <w:rFonts w:cstheme="minorHAnsi"/>
                <w:b/>
                <w:sz w:val="20"/>
                <w:szCs w:val="20"/>
                <w:u w:val="single"/>
                <w:lang w:val="en-GB"/>
              </w:rPr>
            </w:pPr>
          </w:p>
        </w:tc>
        <w:tc>
          <w:tcPr>
            <w:tcW w:w="605" w:type="dxa"/>
            <w:tcBorders>
              <w:left w:val="none" w:sz="0" w:space="0" w:color="auto"/>
              <w:right w:val="none" w:sz="0" w:space="0" w:color="auto"/>
            </w:tcBorders>
          </w:tcPr>
          <w:p w:rsidR="004E00AE" w:rsidRPr="00277328" w:rsidRDefault="004E00AE" w:rsidP="004701E0">
            <w:pPr>
              <w:cnfStyle w:val="000000100000"/>
              <w:rPr>
                <w:rFonts w:cstheme="minorHAnsi"/>
                <w:b/>
                <w:sz w:val="20"/>
                <w:szCs w:val="20"/>
                <w:u w:val="single"/>
                <w:lang w:val="en-GB"/>
              </w:rPr>
            </w:pPr>
          </w:p>
        </w:tc>
        <w:tc>
          <w:tcPr>
            <w:tcW w:w="708" w:type="dxa"/>
            <w:tcBorders>
              <w:left w:val="none" w:sz="0" w:space="0" w:color="auto"/>
              <w:right w:val="none" w:sz="0" w:space="0" w:color="auto"/>
            </w:tcBorders>
          </w:tcPr>
          <w:p w:rsidR="004E00AE" w:rsidRPr="00277328" w:rsidRDefault="004E00AE" w:rsidP="004E00AE">
            <w:pPr>
              <w:cnfStyle w:val="000000100000"/>
              <w:rPr>
                <w:rFonts w:cstheme="minorHAnsi"/>
                <w:color w:val="000000"/>
                <w:sz w:val="20"/>
                <w:szCs w:val="20"/>
                <w:lang w:val="en-GB"/>
              </w:rPr>
            </w:pPr>
            <w:r w:rsidRPr="00277328">
              <w:rPr>
                <w:rFonts w:cstheme="minorHAnsi"/>
                <w:color w:val="000000"/>
                <w:sz w:val="20"/>
                <w:szCs w:val="20"/>
                <w:lang w:val="en-GB"/>
              </w:rPr>
              <w:t>3.76</w:t>
            </w:r>
          </w:p>
          <w:p w:rsidR="004E00AE" w:rsidRPr="00277328" w:rsidRDefault="004E00AE" w:rsidP="004701E0">
            <w:pPr>
              <w:cnfStyle w:val="000000100000"/>
              <w:rPr>
                <w:rFonts w:cstheme="minorHAnsi"/>
                <w:b/>
                <w:sz w:val="20"/>
                <w:szCs w:val="20"/>
                <w:u w:val="single"/>
                <w:lang w:val="en-GB"/>
              </w:rPr>
            </w:pPr>
          </w:p>
        </w:tc>
      </w:tr>
      <w:tr w:rsidR="004E00AE" w:rsidRPr="00277328" w:rsidTr="004E00AE">
        <w:tc>
          <w:tcPr>
            <w:cnfStyle w:val="001000000000"/>
            <w:tcW w:w="1745" w:type="dxa"/>
          </w:tcPr>
          <w:p w:rsidR="004E00AE" w:rsidRPr="00277328" w:rsidRDefault="004E00AE" w:rsidP="004701E0">
            <w:pPr>
              <w:rPr>
                <w:color w:val="auto"/>
                <w:sz w:val="20"/>
                <w:szCs w:val="20"/>
                <w:lang w:val="en-GB"/>
              </w:rPr>
            </w:pPr>
            <w:r w:rsidRPr="00277328">
              <w:rPr>
                <w:color w:val="auto"/>
                <w:sz w:val="20"/>
                <w:szCs w:val="20"/>
                <w:lang w:val="en-GB"/>
              </w:rPr>
              <w:t>Aggregate efficiency alternative</w:t>
            </w:r>
          </w:p>
        </w:tc>
        <w:tc>
          <w:tcPr>
            <w:tcW w:w="651" w:type="dxa"/>
          </w:tcPr>
          <w:p w:rsidR="004E00AE" w:rsidRPr="00277328" w:rsidRDefault="004E00AE" w:rsidP="004E00AE">
            <w:pPr>
              <w:cnfStyle w:val="000000000000"/>
              <w:rPr>
                <w:rFonts w:cstheme="minorHAnsi"/>
                <w:color w:val="000000"/>
                <w:sz w:val="20"/>
                <w:szCs w:val="20"/>
                <w:lang w:val="en-GB"/>
              </w:rPr>
            </w:pPr>
            <w:r w:rsidRPr="00277328">
              <w:rPr>
                <w:rFonts w:cstheme="minorHAnsi"/>
                <w:color w:val="000000"/>
                <w:sz w:val="20"/>
                <w:szCs w:val="20"/>
                <w:lang w:val="en-GB"/>
              </w:rPr>
              <w:t>0.97</w:t>
            </w:r>
          </w:p>
          <w:p w:rsidR="004E00AE" w:rsidRPr="00277328" w:rsidRDefault="004E00AE" w:rsidP="004701E0">
            <w:pPr>
              <w:cnfStyle w:val="000000000000"/>
              <w:rPr>
                <w:rFonts w:cstheme="minorHAnsi"/>
                <w:b/>
                <w:color w:val="auto"/>
                <w:sz w:val="20"/>
                <w:szCs w:val="20"/>
                <w:u w:val="single"/>
                <w:lang w:val="en-GB"/>
              </w:rPr>
            </w:pPr>
          </w:p>
        </w:tc>
        <w:tc>
          <w:tcPr>
            <w:tcW w:w="718" w:type="dxa"/>
          </w:tcPr>
          <w:p w:rsidR="004E00AE" w:rsidRPr="00277328" w:rsidRDefault="004E00AE" w:rsidP="004E00AE">
            <w:pPr>
              <w:cnfStyle w:val="000000000000"/>
              <w:rPr>
                <w:rFonts w:cstheme="minorHAnsi"/>
                <w:color w:val="000000"/>
                <w:sz w:val="20"/>
                <w:szCs w:val="20"/>
                <w:lang w:val="en-GB"/>
              </w:rPr>
            </w:pPr>
            <w:r w:rsidRPr="00277328">
              <w:rPr>
                <w:rFonts w:cstheme="minorHAnsi"/>
                <w:color w:val="000000"/>
                <w:sz w:val="20"/>
                <w:szCs w:val="20"/>
                <w:lang w:val="en-GB"/>
              </w:rPr>
              <w:t>11.90</w:t>
            </w:r>
          </w:p>
          <w:p w:rsidR="004E00AE" w:rsidRPr="00277328" w:rsidRDefault="004E00AE" w:rsidP="004701E0">
            <w:pPr>
              <w:cnfStyle w:val="000000000000"/>
              <w:rPr>
                <w:rFonts w:cstheme="minorHAnsi"/>
                <w:b/>
                <w:color w:val="auto"/>
                <w:sz w:val="20"/>
                <w:szCs w:val="20"/>
                <w:u w:val="single"/>
                <w:lang w:val="en-GB"/>
              </w:rPr>
            </w:pPr>
          </w:p>
        </w:tc>
        <w:tc>
          <w:tcPr>
            <w:tcW w:w="822" w:type="dxa"/>
            <w:gridSpan w:val="2"/>
          </w:tcPr>
          <w:p w:rsidR="004E00AE" w:rsidRPr="00277328" w:rsidRDefault="004E00AE" w:rsidP="004701E0">
            <w:pPr>
              <w:cnfStyle w:val="000000000000"/>
              <w:rPr>
                <w:rFonts w:cstheme="minorHAnsi"/>
                <w:b/>
                <w:color w:val="auto"/>
                <w:sz w:val="20"/>
                <w:szCs w:val="20"/>
                <w:u w:val="single"/>
                <w:lang w:val="en-GB"/>
              </w:rPr>
            </w:pPr>
          </w:p>
        </w:tc>
        <w:tc>
          <w:tcPr>
            <w:tcW w:w="470" w:type="dxa"/>
          </w:tcPr>
          <w:p w:rsidR="004E00AE" w:rsidRPr="00277328" w:rsidRDefault="004E00AE" w:rsidP="004E00AE">
            <w:pPr>
              <w:cnfStyle w:val="000000000000"/>
              <w:rPr>
                <w:rFonts w:cstheme="minorHAnsi"/>
                <w:color w:val="000000"/>
                <w:sz w:val="20"/>
                <w:szCs w:val="20"/>
                <w:lang w:val="en-GB"/>
              </w:rPr>
            </w:pPr>
            <w:r w:rsidRPr="00277328">
              <w:rPr>
                <w:rFonts w:cstheme="minorHAnsi"/>
                <w:color w:val="000000"/>
                <w:sz w:val="20"/>
                <w:szCs w:val="20"/>
                <w:lang w:val="en-GB"/>
              </w:rPr>
              <w:t>0.97</w:t>
            </w:r>
          </w:p>
          <w:p w:rsidR="004E00AE" w:rsidRPr="00277328" w:rsidRDefault="004E00AE" w:rsidP="004701E0">
            <w:pPr>
              <w:cnfStyle w:val="000000000000"/>
              <w:rPr>
                <w:rFonts w:cstheme="minorHAnsi"/>
                <w:b/>
                <w:color w:val="auto"/>
                <w:sz w:val="20"/>
                <w:szCs w:val="20"/>
                <w:u w:val="single"/>
                <w:lang w:val="en-GB"/>
              </w:rPr>
            </w:pPr>
          </w:p>
        </w:tc>
        <w:tc>
          <w:tcPr>
            <w:tcW w:w="583" w:type="dxa"/>
          </w:tcPr>
          <w:p w:rsidR="004E00AE" w:rsidRPr="00277328" w:rsidRDefault="004E00AE" w:rsidP="004E00AE">
            <w:pPr>
              <w:cnfStyle w:val="000000000000"/>
              <w:rPr>
                <w:rFonts w:cstheme="minorHAnsi"/>
                <w:color w:val="000000"/>
                <w:sz w:val="20"/>
                <w:szCs w:val="20"/>
                <w:lang w:val="en-GB"/>
              </w:rPr>
            </w:pPr>
            <w:r w:rsidRPr="00277328">
              <w:rPr>
                <w:rFonts w:cstheme="minorHAnsi"/>
                <w:color w:val="000000"/>
                <w:sz w:val="20"/>
                <w:szCs w:val="20"/>
                <w:lang w:val="en-GB"/>
              </w:rPr>
              <w:t>12.48</w:t>
            </w:r>
          </w:p>
          <w:p w:rsidR="004E00AE" w:rsidRPr="00277328" w:rsidRDefault="004E00AE" w:rsidP="004701E0">
            <w:pPr>
              <w:cnfStyle w:val="000000000000"/>
              <w:rPr>
                <w:rFonts w:cstheme="minorHAnsi"/>
                <w:b/>
                <w:color w:val="auto"/>
                <w:sz w:val="20"/>
                <w:szCs w:val="20"/>
                <w:u w:val="single"/>
                <w:lang w:val="en-GB"/>
              </w:rPr>
            </w:pPr>
          </w:p>
        </w:tc>
        <w:tc>
          <w:tcPr>
            <w:tcW w:w="650" w:type="dxa"/>
          </w:tcPr>
          <w:p w:rsidR="004E00AE" w:rsidRPr="00277328" w:rsidRDefault="004E00AE" w:rsidP="004E00AE">
            <w:pPr>
              <w:cnfStyle w:val="000000000000"/>
              <w:rPr>
                <w:rFonts w:cstheme="minorHAnsi"/>
                <w:b/>
                <w:color w:val="auto"/>
                <w:sz w:val="20"/>
                <w:szCs w:val="20"/>
                <w:u w:val="single"/>
                <w:lang w:val="en-GB"/>
              </w:rPr>
            </w:pPr>
          </w:p>
        </w:tc>
        <w:tc>
          <w:tcPr>
            <w:tcW w:w="651" w:type="dxa"/>
          </w:tcPr>
          <w:p w:rsidR="004E00AE" w:rsidRPr="00277328" w:rsidRDefault="004E00AE" w:rsidP="004E00AE">
            <w:pPr>
              <w:cnfStyle w:val="000000000000"/>
              <w:rPr>
                <w:rFonts w:cstheme="minorHAnsi"/>
                <w:color w:val="000000"/>
                <w:sz w:val="20"/>
                <w:szCs w:val="20"/>
                <w:lang w:val="en-GB"/>
              </w:rPr>
            </w:pPr>
            <w:r w:rsidRPr="00277328">
              <w:rPr>
                <w:rFonts w:cstheme="minorHAnsi"/>
                <w:color w:val="000000"/>
                <w:sz w:val="20"/>
                <w:szCs w:val="20"/>
                <w:lang w:val="en-GB"/>
              </w:rPr>
              <w:t>0.96</w:t>
            </w:r>
          </w:p>
          <w:p w:rsidR="004E00AE" w:rsidRPr="00277328" w:rsidRDefault="004E00AE" w:rsidP="004701E0">
            <w:pPr>
              <w:cnfStyle w:val="000000000000"/>
              <w:rPr>
                <w:rFonts w:cstheme="minorHAnsi"/>
                <w:b/>
                <w:color w:val="auto"/>
                <w:sz w:val="20"/>
                <w:szCs w:val="20"/>
                <w:u w:val="single"/>
                <w:lang w:val="en-GB"/>
              </w:rPr>
            </w:pPr>
          </w:p>
        </w:tc>
        <w:tc>
          <w:tcPr>
            <w:tcW w:w="605" w:type="dxa"/>
          </w:tcPr>
          <w:p w:rsidR="004E00AE" w:rsidRPr="00277328" w:rsidRDefault="004E00AE" w:rsidP="004E00AE">
            <w:pPr>
              <w:cnfStyle w:val="000000000000"/>
              <w:rPr>
                <w:rFonts w:cstheme="minorHAnsi"/>
                <w:color w:val="000000"/>
                <w:sz w:val="20"/>
                <w:szCs w:val="20"/>
                <w:lang w:val="en-GB"/>
              </w:rPr>
            </w:pPr>
            <w:r w:rsidRPr="00277328">
              <w:rPr>
                <w:rFonts w:cstheme="minorHAnsi"/>
                <w:color w:val="000000"/>
                <w:sz w:val="20"/>
                <w:szCs w:val="20"/>
                <w:lang w:val="en-GB"/>
              </w:rPr>
              <w:t>13.68</w:t>
            </w:r>
          </w:p>
          <w:p w:rsidR="004E00AE" w:rsidRPr="00277328" w:rsidRDefault="004E00AE" w:rsidP="004701E0">
            <w:pPr>
              <w:cnfStyle w:val="000000000000"/>
              <w:rPr>
                <w:rFonts w:cstheme="minorHAnsi"/>
                <w:b/>
                <w:color w:val="auto"/>
                <w:sz w:val="20"/>
                <w:szCs w:val="20"/>
                <w:u w:val="single"/>
                <w:lang w:val="en-GB"/>
              </w:rPr>
            </w:pPr>
          </w:p>
        </w:tc>
        <w:tc>
          <w:tcPr>
            <w:tcW w:w="708" w:type="dxa"/>
          </w:tcPr>
          <w:p w:rsidR="004E00AE" w:rsidRPr="00277328" w:rsidRDefault="004E00AE" w:rsidP="004701E0">
            <w:pPr>
              <w:cnfStyle w:val="000000000000"/>
              <w:rPr>
                <w:rFonts w:cstheme="minorHAnsi"/>
                <w:b/>
                <w:color w:val="auto"/>
                <w:sz w:val="20"/>
                <w:szCs w:val="20"/>
                <w:u w:val="single"/>
                <w:lang w:val="en-GB"/>
              </w:rPr>
            </w:pPr>
          </w:p>
        </w:tc>
      </w:tr>
      <w:tr w:rsidR="004E00AE" w:rsidRPr="00277328" w:rsidTr="004B5860">
        <w:trPr>
          <w:cnfStyle w:val="000000100000"/>
        </w:trPr>
        <w:tc>
          <w:tcPr>
            <w:cnfStyle w:val="001000000000"/>
            <w:tcW w:w="1745" w:type="dxa"/>
            <w:tcBorders>
              <w:left w:val="none" w:sz="0" w:space="0" w:color="auto"/>
              <w:right w:val="none" w:sz="0" w:space="0" w:color="auto"/>
            </w:tcBorders>
          </w:tcPr>
          <w:p w:rsidR="004E00AE" w:rsidRPr="00277328" w:rsidRDefault="004E00AE" w:rsidP="00502068">
            <w:pPr>
              <w:rPr>
                <w:b w:val="0"/>
                <w:color w:val="auto"/>
                <w:lang w:val="en-GB"/>
              </w:rPr>
            </w:pPr>
          </w:p>
        </w:tc>
        <w:tc>
          <w:tcPr>
            <w:tcW w:w="5858" w:type="dxa"/>
            <w:gridSpan w:val="10"/>
            <w:tcBorders>
              <w:left w:val="none" w:sz="0" w:space="0" w:color="auto"/>
              <w:right w:val="none" w:sz="0" w:space="0" w:color="auto"/>
            </w:tcBorders>
          </w:tcPr>
          <w:p w:rsidR="004E00AE" w:rsidRPr="00277328" w:rsidRDefault="004E00AE" w:rsidP="00502068">
            <w:pPr>
              <w:jc w:val="center"/>
              <w:cnfStyle w:val="000000100000"/>
              <w:rPr>
                <w:rFonts w:cstheme="minorHAnsi"/>
                <w:b/>
                <w:color w:val="auto"/>
                <w:sz w:val="20"/>
                <w:szCs w:val="20"/>
                <w:u w:val="single"/>
                <w:lang w:val="en-GB"/>
              </w:rPr>
            </w:pPr>
            <w:r w:rsidRPr="00277328">
              <w:rPr>
                <w:rFonts w:cstheme="minorHAnsi"/>
                <w:b/>
                <w:color w:val="auto"/>
                <w:sz w:val="20"/>
                <w:szCs w:val="20"/>
                <w:lang w:val="en-GB"/>
              </w:rPr>
              <w:t>Interventions targeting middle age groups</w:t>
            </w:r>
          </w:p>
        </w:tc>
      </w:tr>
      <w:tr w:rsidR="004E00AE" w:rsidRPr="00277328" w:rsidTr="004E00AE">
        <w:tc>
          <w:tcPr>
            <w:cnfStyle w:val="001000000000"/>
            <w:tcW w:w="1745" w:type="dxa"/>
          </w:tcPr>
          <w:p w:rsidR="004E00AE" w:rsidRPr="00277328" w:rsidRDefault="004E00AE" w:rsidP="00502068">
            <w:pPr>
              <w:rPr>
                <w:b w:val="0"/>
                <w:color w:val="auto"/>
                <w:u w:val="single"/>
                <w:lang w:val="en-GB"/>
              </w:rPr>
            </w:pPr>
          </w:p>
        </w:tc>
        <w:tc>
          <w:tcPr>
            <w:tcW w:w="2008" w:type="dxa"/>
            <w:gridSpan w:val="3"/>
          </w:tcPr>
          <w:p w:rsidR="004E00AE" w:rsidRPr="00277328" w:rsidRDefault="004E00AE" w:rsidP="00502068">
            <w:pPr>
              <w:jc w:val="center"/>
              <w:cnfStyle w:val="000000000000"/>
              <w:rPr>
                <w:rFonts w:cstheme="minorHAnsi"/>
                <w:b/>
                <w:color w:val="auto"/>
                <w:sz w:val="20"/>
                <w:szCs w:val="20"/>
                <w:lang w:val="en-GB"/>
              </w:rPr>
            </w:pPr>
            <w:r w:rsidRPr="00277328">
              <w:rPr>
                <w:rFonts w:cstheme="minorHAnsi"/>
                <w:b/>
                <w:color w:val="auto"/>
                <w:sz w:val="20"/>
                <w:szCs w:val="20"/>
                <w:lang w:val="en-GB"/>
              </w:rPr>
              <w:t>Catalonia/Basque country</w:t>
            </w:r>
          </w:p>
        </w:tc>
        <w:tc>
          <w:tcPr>
            <w:tcW w:w="1886" w:type="dxa"/>
            <w:gridSpan w:val="4"/>
          </w:tcPr>
          <w:p w:rsidR="004E00AE" w:rsidRPr="00277328" w:rsidRDefault="004E00AE" w:rsidP="00502068">
            <w:pPr>
              <w:jc w:val="center"/>
              <w:cnfStyle w:val="000000000000"/>
              <w:rPr>
                <w:rFonts w:cstheme="minorHAnsi"/>
                <w:b/>
                <w:color w:val="auto"/>
                <w:sz w:val="20"/>
                <w:szCs w:val="20"/>
                <w:lang w:val="en-GB"/>
              </w:rPr>
            </w:pPr>
            <w:r w:rsidRPr="00277328">
              <w:rPr>
                <w:rFonts w:cstheme="minorHAnsi"/>
                <w:b/>
                <w:color w:val="auto"/>
                <w:sz w:val="20"/>
                <w:szCs w:val="20"/>
                <w:lang w:val="en-GB"/>
              </w:rPr>
              <w:t>Valencia</w:t>
            </w:r>
          </w:p>
          <w:p w:rsidR="004E00AE" w:rsidRPr="00277328" w:rsidRDefault="004E00AE" w:rsidP="00502068">
            <w:pPr>
              <w:jc w:val="center"/>
              <w:cnfStyle w:val="000000000000"/>
              <w:rPr>
                <w:rFonts w:cstheme="minorHAnsi"/>
                <w:b/>
                <w:color w:val="auto"/>
                <w:sz w:val="20"/>
                <w:szCs w:val="20"/>
                <w:lang w:val="en-GB"/>
              </w:rPr>
            </w:pPr>
            <w:r w:rsidRPr="00277328">
              <w:rPr>
                <w:rFonts w:cstheme="minorHAnsi"/>
                <w:b/>
                <w:color w:val="auto"/>
                <w:sz w:val="20"/>
                <w:szCs w:val="20"/>
                <w:lang w:val="en-GB"/>
              </w:rPr>
              <w:t>/Cantabria</w:t>
            </w:r>
          </w:p>
        </w:tc>
        <w:tc>
          <w:tcPr>
            <w:tcW w:w="1964" w:type="dxa"/>
            <w:gridSpan w:val="3"/>
          </w:tcPr>
          <w:p w:rsidR="004E00AE" w:rsidRPr="00277328" w:rsidRDefault="004E00AE" w:rsidP="00502068">
            <w:pPr>
              <w:jc w:val="center"/>
              <w:cnfStyle w:val="000000000000"/>
              <w:rPr>
                <w:rFonts w:cstheme="minorHAnsi"/>
                <w:b/>
                <w:color w:val="auto"/>
                <w:sz w:val="20"/>
                <w:szCs w:val="20"/>
                <w:lang w:val="en-GB"/>
              </w:rPr>
            </w:pPr>
            <w:r w:rsidRPr="00277328">
              <w:rPr>
                <w:rFonts w:cstheme="minorHAnsi"/>
                <w:b/>
                <w:color w:val="auto"/>
                <w:sz w:val="20"/>
                <w:szCs w:val="20"/>
                <w:lang w:val="en-GB"/>
              </w:rPr>
              <w:t>Madrid</w:t>
            </w:r>
          </w:p>
        </w:tc>
      </w:tr>
      <w:tr w:rsidR="004B5860" w:rsidRPr="00277328" w:rsidTr="004B5860">
        <w:trPr>
          <w:cnfStyle w:val="000000100000"/>
        </w:trPr>
        <w:tc>
          <w:tcPr>
            <w:cnfStyle w:val="001000000000"/>
            <w:tcW w:w="1745" w:type="dxa"/>
            <w:tcBorders>
              <w:left w:val="none" w:sz="0" w:space="0" w:color="auto"/>
              <w:right w:val="none" w:sz="0" w:space="0" w:color="auto"/>
            </w:tcBorders>
          </w:tcPr>
          <w:p w:rsidR="004E00AE" w:rsidRPr="00277328" w:rsidRDefault="004E00AE" w:rsidP="00502068">
            <w:pPr>
              <w:rPr>
                <w:b w:val="0"/>
                <w:color w:val="auto"/>
                <w:sz w:val="20"/>
                <w:szCs w:val="20"/>
                <w:lang w:val="en-GB"/>
              </w:rPr>
            </w:pPr>
          </w:p>
        </w:tc>
        <w:tc>
          <w:tcPr>
            <w:tcW w:w="651" w:type="dxa"/>
            <w:tcBorders>
              <w:left w:val="none" w:sz="0" w:space="0" w:color="auto"/>
              <w:right w:val="none" w:sz="0" w:space="0" w:color="auto"/>
            </w:tcBorders>
          </w:tcPr>
          <w:p w:rsidR="004E00AE" w:rsidRPr="00277328" w:rsidRDefault="004E00AE" w:rsidP="00502068">
            <w:pPr>
              <w:jc w:val="center"/>
              <w:cnfStyle w:val="000000100000"/>
              <w:rPr>
                <w:rFonts w:cstheme="minorHAnsi"/>
                <w:b/>
                <w:color w:val="auto"/>
                <w:sz w:val="20"/>
                <w:szCs w:val="20"/>
                <w:lang w:val="en-GB"/>
              </w:rPr>
            </w:pPr>
            <w:r w:rsidRPr="00277328">
              <w:rPr>
                <w:rFonts w:cstheme="minorHAnsi"/>
                <w:b/>
                <w:color w:val="auto"/>
                <w:sz w:val="20"/>
                <w:szCs w:val="20"/>
                <w:lang w:val="en-GB"/>
              </w:rPr>
              <w:t>Agg. Prob.</w:t>
            </w:r>
          </w:p>
        </w:tc>
        <w:tc>
          <w:tcPr>
            <w:tcW w:w="718" w:type="dxa"/>
            <w:tcBorders>
              <w:left w:val="none" w:sz="0" w:space="0" w:color="auto"/>
              <w:right w:val="none" w:sz="0" w:space="0" w:color="auto"/>
            </w:tcBorders>
          </w:tcPr>
          <w:p w:rsidR="004E00AE" w:rsidRPr="00277328" w:rsidRDefault="004E00AE" w:rsidP="00502068">
            <w:pPr>
              <w:jc w:val="center"/>
              <w:cnfStyle w:val="000000100000"/>
              <w:rPr>
                <w:rFonts w:cstheme="minorHAnsi"/>
                <w:b/>
                <w:color w:val="auto"/>
                <w:sz w:val="20"/>
                <w:szCs w:val="20"/>
                <w:lang w:val="en-GB"/>
              </w:rPr>
            </w:pPr>
          </w:p>
          <w:p w:rsidR="004E00AE" w:rsidRPr="00277328" w:rsidRDefault="004E00AE" w:rsidP="00502068">
            <w:pPr>
              <w:jc w:val="center"/>
              <w:cnfStyle w:val="000000100000"/>
              <w:rPr>
                <w:rFonts w:cstheme="minorHAnsi"/>
                <w:b/>
                <w:color w:val="auto"/>
                <w:sz w:val="20"/>
                <w:szCs w:val="20"/>
                <w:lang w:val="en-GB"/>
              </w:rPr>
            </w:pPr>
            <w:r w:rsidRPr="00277328">
              <w:rPr>
                <w:rFonts w:cstheme="minorHAnsi"/>
                <w:b/>
                <w:color w:val="auto"/>
                <w:sz w:val="20"/>
                <w:szCs w:val="20"/>
                <w:lang w:val="en-GB"/>
              </w:rPr>
              <w:t>% Δ</w:t>
            </w:r>
          </w:p>
        </w:tc>
        <w:tc>
          <w:tcPr>
            <w:tcW w:w="639" w:type="dxa"/>
            <w:tcBorders>
              <w:left w:val="none" w:sz="0" w:space="0" w:color="auto"/>
              <w:right w:val="none" w:sz="0" w:space="0" w:color="auto"/>
            </w:tcBorders>
          </w:tcPr>
          <w:p w:rsidR="004E00AE" w:rsidRPr="00277328" w:rsidRDefault="004E00AE" w:rsidP="00502068">
            <w:pPr>
              <w:jc w:val="center"/>
              <w:cnfStyle w:val="000000100000"/>
              <w:rPr>
                <w:rFonts w:cstheme="minorHAnsi"/>
                <w:b/>
                <w:color w:val="auto"/>
                <w:sz w:val="20"/>
                <w:szCs w:val="20"/>
                <w:lang w:val="en-GB"/>
              </w:rPr>
            </w:pPr>
            <w:r w:rsidRPr="00277328">
              <w:rPr>
                <w:rFonts w:cstheme="minorHAnsi"/>
                <w:b/>
                <w:color w:val="auto"/>
                <w:sz w:val="20"/>
                <w:szCs w:val="20"/>
                <w:lang w:val="en-GB"/>
              </w:rPr>
              <w:t>EE Ratio</w:t>
            </w:r>
          </w:p>
        </w:tc>
        <w:tc>
          <w:tcPr>
            <w:tcW w:w="653" w:type="dxa"/>
            <w:gridSpan w:val="2"/>
            <w:tcBorders>
              <w:left w:val="none" w:sz="0" w:space="0" w:color="auto"/>
              <w:right w:val="none" w:sz="0" w:space="0" w:color="auto"/>
            </w:tcBorders>
          </w:tcPr>
          <w:p w:rsidR="004E00AE" w:rsidRPr="00277328" w:rsidRDefault="004E00AE" w:rsidP="00502068">
            <w:pPr>
              <w:cnfStyle w:val="000000100000"/>
              <w:rPr>
                <w:rFonts w:cstheme="minorHAnsi"/>
                <w:b/>
                <w:color w:val="auto"/>
                <w:sz w:val="20"/>
                <w:szCs w:val="20"/>
                <w:lang w:val="en-GB"/>
              </w:rPr>
            </w:pPr>
            <w:r w:rsidRPr="00277328">
              <w:rPr>
                <w:rFonts w:cstheme="minorHAnsi"/>
                <w:b/>
                <w:color w:val="auto"/>
                <w:sz w:val="20"/>
                <w:szCs w:val="20"/>
                <w:lang w:val="en-GB"/>
              </w:rPr>
              <w:t>Agg. Prob.</w:t>
            </w:r>
          </w:p>
        </w:tc>
        <w:tc>
          <w:tcPr>
            <w:tcW w:w="583" w:type="dxa"/>
            <w:tcBorders>
              <w:left w:val="none" w:sz="0" w:space="0" w:color="auto"/>
              <w:right w:val="none" w:sz="0" w:space="0" w:color="auto"/>
            </w:tcBorders>
          </w:tcPr>
          <w:p w:rsidR="004E00AE" w:rsidRPr="00277328" w:rsidRDefault="004E00AE" w:rsidP="00502068">
            <w:pPr>
              <w:cnfStyle w:val="000000100000"/>
              <w:rPr>
                <w:rFonts w:cstheme="minorHAnsi"/>
                <w:b/>
                <w:color w:val="auto"/>
                <w:sz w:val="20"/>
                <w:szCs w:val="20"/>
                <w:lang w:val="en-GB"/>
              </w:rPr>
            </w:pPr>
          </w:p>
          <w:p w:rsidR="004E00AE" w:rsidRPr="00277328" w:rsidRDefault="004E00AE" w:rsidP="00502068">
            <w:pPr>
              <w:cnfStyle w:val="000000100000"/>
              <w:rPr>
                <w:rFonts w:cstheme="minorHAnsi"/>
                <w:b/>
                <w:color w:val="auto"/>
                <w:sz w:val="20"/>
                <w:szCs w:val="20"/>
                <w:lang w:val="en-GB"/>
              </w:rPr>
            </w:pPr>
            <w:r w:rsidRPr="00277328">
              <w:rPr>
                <w:rFonts w:cstheme="minorHAnsi"/>
                <w:b/>
                <w:color w:val="auto"/>
                <w:sz w:val="20"/>
                <w:szCs w:val="20"/>
                <w:lang w:val="en-GB"/>
              </w:rPr>
              <w:t xml:space="preserve">% Δ </w:t>
            </w:r>
          </w:p>
        </w:tc>
        <w:tc>
          <w:tcPr>
            <w:tcW w:w="650" w:type="dxa"/>
            <w:tcBorders>
              <w:left w:val="none" w:sz="0" w:space="0" w:color="auto"/>
              <w:right w:val="none" w:sz="0" w:space="0" w:color="auto"/>
            </w:tcBorders>
          </w:tcPr>
          <w:p w:rsidR="004E00AE" w:rsidRPr="00277328" w:rsidRDefault="004E00AE" w:rsidP="00502068">
            <w:pPr>
              <w:cnfStyle w:val="000000100000"/>
              <w:rPr>
                <w:rFonts w:cstheme="minorHAnsi"/>
                <w:b/>
                <w:color w:val="auto"/>
                <w:sz w:val="20"/>
                <w:szCs w:val="20"/>
                <w:lang w:val="en-GB"/>
              </w:rPr>
            </w:pPr>
            <w:r w:rsidRPr="00277328">
              <w:rPr>
                <w:rFonts w:cstheme="minorHAnsi"/>
                <w:b/>
                <w:color w:val="auto"/>
                <w:sz w:val="20"/>
                <w:szCs w:val="20"/>
                <w:lang w:val="en-GB"/>
              </w:rPr>
              <w:t>EE Ratio</w:t>
            </w:r>
          </w:p>
        </w:tc>
        <w:tc>
          <w:tcPr>
            <w:tcW w:w="651" w:type="dxa"/>
            <w:tcBorders>
              <w:left w:val="none" w:sz="0" w:space="0" w:color="auto"/>
              <w:right w:val="none" w:sz="0" w:space="0" w:color="auto"/>
            </w:tcBorders>
          </w:tcPr>
          <w:p w:rsidR="004E00AE" w:rsidRPr="00277328" w:rsidRDefault="004E00AE" w:rsidP="00502068">
            <w:pPr>
              <w:cnfStyle w:val="000000100000"/>
              <w:rPr>
                <w:rFonts w:cstheme="minorHAnsi"/>
                <w:b/>
                <w:color w:val="auto"/>
                <w:sz w:val="20"/>
                <w:szCs w:val="20"/>
                <w:lang w:val="en-GB"/>
              </w:rPr>
            </w:pPr>
            <w:r w:rsidRPr="00277328">
              <w:rPr>
                <w:rFonts w:cstheme="minorHAnsi"/>
                <w:b/>
                <w:color w:val="auto"/>
                <w:sz w:val="20"/>
                <w:szCs w:val="20"/>
                <w:lang w:val="en-GB"/>
              </w:rPr>
              <w:t>Agg. Prob.</w:t>
            </w:r>
          </w:p>
        </w:tc>
        <w:tc>
          <w:tcPr>
            <w:tcW w:w="605" w:type="dxa"/>
            <w:tcBorders>
              <w:left w:val="none" w:sz="0" w:space="0" w:color="auto"/>
              <w:right w:val="none" w:sz="0" w:space="0" w:color="auto"/>
            </w:tcBorders>
          </w:tcPr>
          <w:p w:rsidR="004E00AE" w:rsidRPr="00277328" w:rsidRDefault="004E00AE" w:rsidP="00502068">
            <w:pPr>
              <w:cnfStyle w:val="000000100000"/>
              <w:rPr>
                <w:rFonts w:cstheme="minorHAnsi"/>
                <w:b/>
                <w:color w:val="auto"/>
                <w:sz w:val="20"/>
                <w:szCs w:val="20"/>
                <w:lang w:val="en-GB"/>
              </w:rPr>
            </w:pPr>
          </w:p>
          <w:p w:rsidR="004E00AE" w:rsidRPr="00277328" w:rsidRDefault="004E00AE" w:rsidP="00502068">
            <w:pPr>
              <w:cnfStyle w:val="000000100000"/>
              <w:rPr>
                <w:rFonts w:cstheme="minorHAnsi"/>
                <w:b/>
                <w:color w:val="auto"/>
                <w:sz w:val="20"/>
                <w:szCs w:val="20"/>
                <w:lang w:val="en-GB"/>
              </w:rPr>
            </w:pPr>
            <w:r w:rsidRPr="00277328">
              <w:rPr>
                <w:rFonts w:cstheme="minorHAnsi"/>
                <w:b/>
                <w:color w:val="auto"/>
                <w:sz w:val="20"/>
                <w:szCs w:val="20"/>
                <w:lang w:val="en-GB"/>
              </w:rPr>
              <w:t>% Δ</w:t>
            </w:r>
          </w:p>
        </w:tc>
        <w:tc>
          <w:tcPr>
            <w:tcW w:w="708" w:type="dxa"/>
            <w:tcBorders>
              <w:left w:val="none" w:sz="0" w:space="0" w:color="auto"/>
              <w:right w:val="none" w:sz="0" w:space="0" w:color="auto"/>
            </w:tcBorders>
          </w:tcPr>
          <w:p w:rsidR="004E00AE" w:rsidRPr="00277328" w:rsidRDefault="004E00AE" w:rsidP="00502068">
            <w:pPr>
              <w:cnfStyle w:val="000000100000"/>
              <w:rPr>
                <w:rFonts w:cstheme="minorHAnsi"/>
                <w:b/>
                <w:color w:val="auto"/>
                <w:sz w:val="20"/>
                <w:szCs w:val="20"/>
                <w:lang w:val="en-GB"/>
              </w:rPr>
            </w:pPr>
            <w:r w:rsidRPr="00277328">
              <w:rPr>
                <w:rFonts w:cstheme="minorHAnsi"/>
                <w:b/>
                <w:color w:val="auto"/>
                <w:sz w:val="20"/>
                <w:szCs w:val="20"/>
                <w:lang w:val="en-GB"/>
              </w:rPr>
              <w:t>EE Ratio</w:t>
            </w:r>
          </w:p>
        </w:tc>
      </w:tr>
      <w:tr w:rsidR="004B5860" w:rsidRPr="00277328" w:rsidTr="004E00AE">
        <w:tc>
          <w:tcPr>
            <w:cnfStyle w:val="001000000000"/>
            <w:tcW w:w="1745" w:type="dxa"/>
          </w:tcPr>
          <w:p w:rsidR="004E00AE" w:rsidRPr="00277328" w:rsidRDefault="004E00AE" w:rsidP="00502068">
            <w:pPr>
              <w:rPr>
                <w:color w:val="auto"/>
                <w:sz w:val="20"/>
                <w:szCs w:val="20"/>
                <w:lang w:val="en-GB"/>
              </w:rPr>
            </w:pPr>
            <w:r w:rsidRPr="00277328">
              <w:rPr>
                <w:color w:val="auto"/>
                <w:sz w:val="20"/>
                <w:szCs w:val="20"/>
                <w:lang w:val="en-GB"/>
              </w:rPr>
              <w:t>Base alternative</w:t>
            </w:r>
          </w:p>
        </w:tc>
        <w:tc>
          <w:tcPr>
            <w:tcW w:w="651" w:type="dxa"/>
          </w:tcPr>
          <w:p w:rsidR="004B5860" w:rsidRPr="00277328" w:rsidRDefault="004B5860" w:rsidP="004B5860">
            <w:pPr>
              <w:cnfStyle w:val="000000000000"/>
              <w:rPr>
                <w:rFonts w:cstheme="minorHAnsi"/>
                <w:color w:val="000000"/>
                <w:sz w:val="20"/>
                <w:szCs w:val="20"/>
                <w:lang w:val="en-GB"/>
              </w:rPr>
            </w:pPr>
            <w:r w:rsidRPr="00277328">
              <w:rPr>
                <w:rFonts w:cstheme="minorHAnsi"/>
                <w:color w:val="000000"/>
                <w:sz w:val="20"/>
                <w:szCs w:val="20"/>
                <w:lang w:val="en-GB"/>
              </w:rPr>
              <w:t>0.87</w:t>
            </w:r>
          </w:p>
          <w:p w:rsidR="004E00AE" w:rsidRPr="00277328" w:rsidRDefault="004E00AE" w:rsidP="00502068">
            <w:pPr>
              <w:cnfStyle w:val="000000000000"/>
              <w:rPr>
                <w:rFonts w:cstheme="minorHAnsi"/>
                <w:b/>
                <w:color w:val="auto"/>
                <w:sz w:val="20"/>
                <w:szCs w:val="20"/>
                <w:u w:val="single"/>
                <w:lang w:val="en-GB"/>
              </w:rPr>
            </w:pPr>
          </w:p>
        </w:tc>
        <w:tc>
          <w:tcPr>
            <w:tcW w:w="718" w:type="dxa"/>
          </w:tcPr>
          <w:p w:rsidR="004E00AE" w:rsidRPr="00277328" w:rsidRDefault="004E00AE" w:rsidP="00502068">
            <w:pPr>
              <w:cnfStyle w:val="000000000000"/>
              <w:rPr>
                <w:rFonts w:cstheme="minorHAnsi"/>
                <w:b/>
                <w:color w:val="auto"/>
                <w:sz w:val="20"/>
                <w:szCs w:val="20"/>
                <w:u w:val="single"/>
                <w:lang w:val="en-GB"/>
              </w:rPr>
            </w:pPr>
          </w:p>
        </w:tc>
        <w:tc>
          <w:tcPr>
            <w:tcW w:w="639" w:type="dxa"/>
          </w:tcPr>
          <w:p w:rsidR="004E00AE" w:rsidRPr="00277328" w:rsidRDefault="004E00AE" w:rsidP="00502068">
            <w:pPr>
              <w:cnfStyle w:val="000000000000"/>
              <w:rPr>
                <w:rFonts w:cstheme="minorHAnsi"/>
                <w:b/>
                <w:color w:val="auto"/>
                <w:sz w:val="20"/>
                <w:szCs w:val="20"/>
                <w:u w:val="single"/>
                <w:lang w:val="en-GB"/>
              </w:rPr>
            </w:pPr>
          </w:p>
        </w:tc>
        <w:tc>
          <w:tcPr>
            <w:tcW w:w="653" w:type="dxa"/>
            <w:gridSpan w:val="2"/>
          </w:tcPr>
          <w:p w:rsidR="004B5860" w:rsidRPr="00277328" w:rsidRDefault="004B5860" w:rsidP="004B5860">
            <w:pPr>
              <w:cnfStyle w:val="000000000000"/>
              <w:rPr>
                <w:rFonts w:cstheme="minorHAnsi"/>
                <w:color w:val="000000"/>
                <w:sz w:val="20"/>
                <w:szCs w:val="20"/>
                <w:lang w:val="en-GB"/>
              </w:rPr>
            </w:pPr>
            <w:r w:rsidRPr="00277328">
              <w:rPr>
                <w:rFonts w:cstheme="minorHAnsi"/>
                <w:color w:val="000000"/>
                <w:sz w:val="20"/>
                <w:szCs w:val="20"/>
                <w:lang w:val="en-GB"/>
              </w:rPr>
              <w:t>0.86</w:t>
            </w:r>
          </w:p>
          <w:p w:rsidR="004E00AE" w:rsidRPr="00277328" w:rsidRDefault="004E00AE" w:rsidP="00502068">
            <w:pPr>
              <w:cnfStyle w:val="000000000000"/>
              <w:rPr>
                <w:rFonts w:cstheme="minorHAnsi"/>
                <w:b/>
                <w:color w:val="auto"/>
                <w:sz w:val="20"/>
                <w:szCs w:val="20"/>
                <w:u w:val="single"/>
                <w:lang w:val="en-GB"/>
              </w:rPr>
            </w:pPr>
          </w:p>
        </w:tc>
        <w:tc>
          <w:tcPr>
            <w:tcW w:w="583" w:type="dxa"/>
          </w:tcPr>
          <w:p w:rsidR="004E00AE" w:rsidRPr="00277328" w:rsidRDefault="004E00AE" w:rsidP="00502068">
            <w:pPr>
              <w:cnfStyle w:val="000000000000"/>
              <w:rPr>
                <w:rFonts w:cstheme="minorHAnsi"/>
                <w:b/>
                <w:color w:val="auto"/>
                <w:sz w:val="20"/>
                <w:szCs w:val="20"/>
                <w:u w:val="single"/>
                <w:lang w:val="en-GB"/>
              </w:rPr>
            </w:pPr>
          </w:p>
        </w:tc>
        <w:tc>
          <w:tcPr>
            <w:tcW w:w="650" w:type="dxa"/>
          </w:tcPr>
          <w:p w:rsidR="004E00AE" w:rsidRPr="00277328" w:rsidRDefault="004E00AE" w:rsidP="00502068">
            <w:pPr>
              <w:cnfStyle w:val="000000000000"/>
              <w:rPr>
                <w:rFonts w:cstheme="minorHAnsi"/>
                <w:b/>
                <w:color w:val="auto"/>
                <w:sz w:val="20"/>
                <w:szCs w:val="20"/>
                <w:u w:val="single"/>
                <w:lang w:val="en-GB"/>
              </w:rPr>
            </w:pPr>
          </w:p>
        </w:tc>
        <w:tc>
          <w:tcPr>
            <w:tcW w:w="651" w:type="dxa"/>
          </w:tcPr>
          <w:p w:rsidR="004B5860" w:rsidRPr="00277328" w:rsidRDefault="004B5860" w:rsidP="004B5860">
            <w:pPr>
              <w:cnfStyle w:val="000000000000"/>
              <w:rPr>
                <w:rFonts w:cstheme="minorHAnsi"/>
                <w:color w:val="000000"/>
                <w:sz w:val="20"/>
                <w:szCs w:val="20"/>
                <w:lang w:val="en-GB"/>
              </w:rPr>
            </w:pPr>
            <w:r w:rsidRPr="00277328">
              <w:rPr>
                <w:rFonts w:cstheme="minorHAnsi"/>
                <w:color w:val="000000"/>
                <w:sz w:val="20"/>
                <w:szCs w:val="20"/>
                <w:lang w:val="en-GB"/>
              </w:rPr>
              <w:t>0.83</w:t>
            </w:r>
          </w:p>
          <w:p w:rsidR="004E00AE" w:rsidRPr="00277328" w:rsidRDefault="004E00AE" w:rsidP="00502068">
            <w:pPr>
              <w:cnfStyle w:val="000000000000"/>
              <w:rPr>
                <w:rFonts w:cstheme="minorHAnsi"/>
                <w:b/>
                <w:color w:val="auto"/>
                <w:sz w:val="20"/>
                <w:szCs w:val="20"/>
                <w:u w:val="single"/>
                <w:lang w:val="en-GB"/>
              </w:rPr>
            </w:pPr>
          </w:p>
        </w:tc>
        <w:tc>
          <w:tcPr>
            <w:tcW w:w="605" w:type="dxa"/>
          </w:tcPr>
          <w:p w:rsidR="004E00AE" w:rsidRPr="00277328" w:rsidRDefault="004E00AE" w:rsidP="00502068">
            <w:pPr>
              <w:cnfStyle w:val="000000000000"/>
              <w:rPr>
                <w:rFonts w:cstheme="minorHAnsi"/>
                <w:b/>
                <w:color w:val="auto"/>
                <w:sz w:val="20"/>
                <w:szCs w:val="20"/>
                <w:u w:val="single"/>
                <w:lang w:val="en-GB"/>
              </w:rPr>
            </w:pPr>
          </w:p>
        </w:tc>
        <w:tc>
          <w:tcPr>
            <w:tcW w:w="708" w:type="dxa"/>
          </w:tcPr>
          <w:p w:rsidR="004E00AE" w:rsidRPr="00277328" w:rsidRDefault="004E00AE" w:rsidP="00502068">
            <w:pPr>
              <w:cnfStyle w:val="000000000000"/>
              <w:rPr>
                <w:rFonts w:cstheme="minorHAnsi"/>
                <w:b/>
                <w:color w:val="auto"/>
                <w:sz w:val="20"/>
                <w:szCs w:val="20"/>
                <w:u w:val="single"/>
                <w:lang w:val="en-GB"/>
              </w:rPr>
            </w:pPr>
          </w:p>
        </w:tc>
      </w:tr>
      <w:tr w:rsidR="004B5860" w:rsidRPr="00277328" w:rsidTr="004B5860">
        <w:trPr>
          <w:cnfStyle w:val="000000100000"/>
        </w:trPr>
        <w:tc>
          <w:tcPr>
            <w:cnfStyle w:val="001000000000"/>
            <w:tcW w:w="1745" w:type="dxa"/>
            <w:tcBorders>
              <w:left w:val="none" w:sz="0" w:space="0" w:color="auto"/>
              <w:right w:val="none" w:sz="0" w:space="0" w:color="auto"/>
            </w:tcBorders>
          </w:tcPr>
          <w:p w:rsidR="004E00AE" w:rsidRPr="00277328" w:rsidRDefault="004E00AE" w:rsidP="00502068">
            <w:pPr>
              <w:rPr>
                <w:color w:val="auto"/>
                <w:sz w:val="20"/>
                <w:szCs w:val="20"/>
                <w:lang w:val="en-GB"/>
              </w:rPr>
            </w:pPr>
            <w:r w:rsidRPr="00277328">
              <w:rPr>
                <w:color w:val="auto"/>
                <w:sz w:val="20"/>
                <w:szCs w:val="20"/>
                <w:lang w:val="en-GB"/>
              </w:rPr>
              <w:t>Aggregate equity alternative</w:t>
            </w:r>
          </w:p>
        </w:tc>
        <w:tc>
          <w:tcPr>
            <w:tcW w:w="651" w:type="dxa"/>
            <w:tcBorders>
              <w:left w:val="none" w:sz="0" w:space="0" w:color="auto"/>
              <w:right w:val="none" w:sz="0" w:space="0" w:color="auto"/>
            </w:tcBorders>
          </w:tcPr>
          <w:p w:rsidR="004B5860" w:rsidRPr="00277328" w:rsidRDefault="004B5860" w:rsidP="004B5860">
            <w:pPr>
              <w:cnfStyle w:val="000000100000"/>
              <w:rPr>
                <w:rFonts w:cstheme="minorHAnsi"/>
                <w:color w:val="000000"/>
                <w:sz w:val="20"/>
                <w:szCs w:val="20"/>
                <w:lang w:val="en-GB"/>
              </w:rPr>
            </w:pPr>
            <w:r w:rsidRPr="00277328">
              <w:rPr>
                <w:rFonts w:cstheme="minorHAnsi"/>
                <w:color w:val="000000"/>
                <w:sz w:val="20"/>
                <w:szCs w:val="20"/>
                <w:lang w:val="en-GB"/>
              </w:rPr>
              <w:t>0.88</w:t>
            </w:r>
          </w:p>
          <w:p w:rsidR="004E00AE" w:rsidRPr="00277328" w:rsidRDefault="004E00AE" w:rsidP="00502068">
            <w:pPr>
              <w:cnfStyle w:val="000000100000"/>
              <w:rPr>
                <w:rFonts w:cstheme="minorHAnsi"/>
                <w:b/>
                <w:color w:val="auto"/>
                <w:sz w:val="20"/>
                <w:szCs w:val="20"/>
                <w:u w:val="single"/>
                <w:lang w:val="en-GB"/>
              </w:rPr>
            </w:pPr>
          </w:p>
        </w:tc>
        <w:tc>
          <w:tcPr>
            <w:tcW w:w="718" w:type="dxa"/>
            <w:tcBorders>
              <w:left w:val="none" w:sz="0" w:space="0" w:color="auto"/>
              <w:right w:val="none" w:sz="0" w:space="0" w:color="auto"/>
            </w:tcBorders>
          </w:tcPr>
          <w:p w:rsidR="004B5860" w:rsidRPr="00277328" w:rsidRDefault="004B5860" w:rsidP="004B5860">
            <w:pPr>
              <w:cnfStyle w:val="000000100000"/>
              <w:rPr>
                <w:rFonts w:cstheme="minorHAnsi"/>
                <w:color w:val="000000"/>
                <w:sz w:val="20"/>
                <w:szCs w:val="20"/>
                <w:lang w:val="en-GB"/>
              </w:rPr>
            </w:pPr>
            <w:r w:rsidRPr="00277328">
              <w:rPr>
                <w:rFonts w:cstheme="minorHAnsi"/>
                <w:color w:val="000000"/>
                <w:sz w:val="20"/>
                <w:szCs w:val="20"/>
                <w:lang w:val="en-GB"/>
              </w:rPr>
              <w:t>1.89</w:t>
            </w:r>
          </w:p>
          <w:p w:rsidR="004E00AE" w:rsidRPr="00277328" w:rsidRDefault="004E00AE" w:rsidP="00502068">
            <w:pPr>
              <w:cnfStyle w:val="000000100000"/>
              <w:rPr>
                <w:rFonts w:cstheme="minorHAnsi"/>
                <w:b/>
                <w:color w:val="auto"/>
                <w:sz w:val="20"/>
                <w:szCs w:val="20"/>
                <w:u w:val="single"/>
                <w:lang w:val="en-GB"/>
              </w:rPr>
            </w:pPr>
          </w:p>
        </w:tc>
        <w:tc>
          <w:tcPr>
            <w:tcW w:w="639" w:type="dxa"/>
            <w:tcBorders>
              <w:left w:val="none" w:sz="0" w:space="0" w:color="auto"/>
              <w:right w:val="none" w:sz="0" w:space="0" w:color="auto"/>
            </w:tcBorders>
          </w:tcPr>
          <w:p w:rsidR="004E00AE" w:rsidRPr="00277328" w:rsidRDefault="004E00AE" w:rsidP="00502068">
            <w:pPr>
              <w:cnfStyle w:val="000000100000"/>
              <w:rPr>
                <w:rFonts w:cstheme="minorHAnsi"/>
                <w:b/>
                <w:color w:val="auto"/>
                <w:sz w:val="20"/>
                <w:szCs w:val="20"/>
                <w:u w:val="single"/>
                <w:lang w:val="en-GB"/>
              </w:rPr>
            </w:pPr>
          </w:p>
        </w:tc>
        <w:tc>
          <w:tcPr>
            <w:tcW w:w="653" w:type="dxa"/>
            <w:gridSpan w:val="2"/>
            <w:tcBorders>
              <w:left w:val="none" w:sz="0" w:space="0" w:color="auto"/>
              <w:right w:val="none" w:sz="0" w:space="0" w:color="auto"/>
            </w:tcBorders>
          </w:tcPr>
          <w:p w:rsidR="004B5860" w:rsidRPr="00277328" w:rsidRDefault="004B5860" w:rsidP="004B5860">
            <w:pPr>
              <w:cnfStyle w:val="000000100000"/>
              <w:rPr>
                <w:rFonts w:cstheme="minorHAnsi"/>
                <w:color w:val="000000"/>
                <w:sz w:val="20"/>
                <w:szCs w:val="20"/>
                <w:lang w:val="en-GB"/>
              </w:rPr>
            </w:pPr>
            <w:r w:rsidRPr="00277328">
              <w:rPr>
                <w:rFonts w:cstheme="minorHAnsi"/>
                <w:color w:val="000000"/>
                <w:sz w:val="20"/>
                <w:szCs w:val="20"/>
                <w:lang w:val="en-GB"/>
              </w:rPr>
              <w:t>0.88</w:t>
            </w:r>
          </w:p>
          <w:p w:rsidR="004E00AE" w:rsidRPr="00277328" w:rsidRDefault="004E00AE" w:rsidP="00502068">
            <w:pPr>
              <w:cnfStyle w:val="000000100000"/>
              <w:rPr>
                <w:rFonts w:cstheme="minorHAnsi"/>
                <w:b/>
                <w:color w:val="auto"/>
                <w:sz w:val="20"/>
                <w:szCs w:val="20"/>
                <w:u w:val="single"/>
                <w:lang w:val="en-GB"/>
              </w:rPr>
            </w:pPr>
          </w:p>
        </w:tc>
        <w:tc>
          <w:tcPr>
            <w:tcW w:w="583" w:type="dxa"/>
            <w:tcBorders>
              <w:left w:val="none" w:sz="0" w:space="0" w:color="auto"/>
              <w:right w:val="none" w:sz="0" w:space="0" w:color="auto"/>
            </w:tcBorders>
          </w:tcPr>
          <w:p w:rsidR="004B5860" w:rsidRPr="00277328" w:rsidRDefault="004B5860" w:rsidP="004B5860">
            <w:pPr>
              <w:cnfStyle w:val="000000100000"/>
              <w:rPr>
                <w:rFonts w:cstheme="minorHAnsi"/>
                <w:color w:val="000000"/>
                <w:sz w:val="20"/>
                <w:szCs w:val="20"/>
                <w:lang w:val="en-GB"/>
              </w:rPr>
            </w:pPr>
            <w:r w:rsidRPr="00277328">
              <w:rPr>
                <w:rFonts w:cstheme="minorHAnsi"/>
                <w:color w:val="000000"/>
                <w:sz w:val="20"/>
                <w:szCs w:val="20"/>
                <w:lang w:val="en-GB"/>
              </w:rPr>
              <w:t>2.31</w:t>
            </w:r>
          </w:p>
          <w:p w:rsidR="004E00AE" w:rsidRPr="00277328" w:rsidRDefault="004E00AE" w:rsidP="00502068">
            <w:pPr>
              <w:cnfStyle w:val="000000100000"/>
              <w:rPr>
                <w:rFonts w:cstheme="minorHAnsi"/>
                <w:b/>
                <w:color w:val="auto"/>
                <w:sz w:val="20"/>
                <w:szCs w:val="20"/>
                <w:u w:val="single"/>
                <w:lang w:val="en-GB"/>
              </w:rPr>
            </w:pPr>
          </w:p>
        </w:tc>
        <w:tc>
          <w:tcPr>
            <w:tcW w:w="650" w:type="dxa"/>
            <w:tcBorders>
              <w:left w:val="none" w:sz="0" w:space="0" w:color="auto"/>
              <w:right w:val="none" w:sz="0" w:space="0" w:color="auto"/>
            </w:tcBorders>
          </w:tcPr>
          <w:p w:rsidR="004E00AE" w:rsidRPr="00277328" w:rsidRDefault="004E00AE" w:rsidP="00502068">
            <w:pPr>
              <w:cnfStyle w:val="000000100000"/>
              <w:rPr>
                <w:rFonts w:cstheme="minorHAnsi"/>
                <w:b/>
                <w:color w:val="auto"/>
                <w:sz w:val="20"/>
                <w:szCs w:val="20"/>
                <w:u w:val="single"/>
                <w:lang w:val="en-GB"/>
              </w:rPr>
            </w:pPr>
          </w:p>
        </w:tc>
        <w:tc>
          <w:tcPr>
            <w:tcW w:w="651" w:type="dxa"/>
            <w:tcBorders>
              <w:left w:val="none" w:sz="0" w:space="0" w:color="auto"/>
              <w:right w:val="none" w:sz="0" w:space="0" w:color="auto"/>
            </w:tcBorders>
          </w:tcPr>
          <w:p w:rsidR="004B5860" w:rsidRPr="00277328" w:rsidRDefault="004B5860" w:rsidP="004B5860">
            <w:pPr>
              <w:cnfStyle w:val="000000100000"/>
              <w:rPr>
                <w:rFonts w:cstheme="minorHAnsi"/>
                <w:color w:val="000000"/>
                <w:sz w:val="20"/>
                <w:szCs w:val="20"/>
                <w:lang w:val="en-GB"/>
              </w:rPr>
            </w:pPr>
            <w:r w:rsidRPr="00277328">
              <w:rPr>
                <w:rFonts w:cstheme="minorHAnsi"/>
                <w:color w:val="000000"/>
                <w:sz w:val="20"/>
                <w:szCs w:val="20"/>
                <w:lang w:val="en-GB"/>
              </w:rPr>
              <w:t>0.86</w:t>
            </w:r>
          </w:p>
          <w:p w:rsidR="004E00AE" w:rsidRPr="00277328" w:rsidRDefault="004E00AE" w:rsidP="00502068">
            <w:pPr>
              <w:cnfStyle w:val="000000100000"/>
              <w:rPr>
                <w:rFonts w:cstheme="minorHAnsi"/>
                <w:b/>
                <w:color w:val="auto"/>
                <w:sz w:val="20"/>
                <w:szCs w:val="20"/>
                <w:u w:val="single"/>
                <w:lang w:val="en-GB"/>
              </w:rPr>
            </w:pPr>
          </w:p>
        </w:tc>
        <w:tc>
          <w:tcPr>
            <w:tcW w:w="605" w:type="dxa"/>
            <w:tcBorders>
              <w:left w:val="none" w:sz="0" w:space="0" w:color="auto"/>
              <w:right w:val="none" w:sz="0" w:space="0" w:color="auto"/>
            </w:tcBorders>
          </w:tcPr>
          <w:p w:rsidR="004B5860" w:rsidRPr="00277328" w:rsidRDefault="004B5860" w:rsidP="004B5860">
            <w:pPr>
              <w:cnfStyle w:val="000000100000"/>
              <w:rPr>
                <w:rFonts w:cstheme="minorHAnsi"/>
                <w:color w:val="000000"/>
                <w:sz w:val="20"/>
                <w:szCs w:val="20"/>
                <w:lang w:val="en-GB"/>
              </w:rPr>
            </w:pPr>
            <w:r w:rsidRPr="00277328">
              <w:rPr>
                <w:rFonts w:cstheme="minorHAnsi"/>
                <w:color w:val="000000"/>
                <w:sz w:val="20"/>
                <w:szCs w:val="20"/>
                <w:lang w:val="en-GB"/>
              </w:rPr>
              <w:t>2.73</w:t>
            </w:r>
          </w:p>
          <w:p w:rsidR="004E00AE" w:rsidRPr="00277328" w:rsidRDefault="004E00AE" w:rsidP="00502068">
            <w:pPr>
              <w:cnfStyle w:val="000000100000"/>
              <w:rPr>
                <w:rFonts w:cstheme="minorHAnsi"/>
                <w:b/>
                <w:color w:val="auto"/>
                <w:sz w:val="20"/>
                <w:szCs w:val="20"/>
                <w:u w:val="single"/>
                <w:lang w:val="en-GB"/>
              </w:rPr>
            </w:pPr>
          </w:p>
        </w:tc>
        <w:tc>
          <w:tcPr>
            <w:tcW w:w="708" w:type="dxa"/>
            <w:tcBorders>
              <w:left w:val="none" w:sz="0" w:space="0" w:color="auto"/>
              <w:right w:val="none" w:sz="0" w:space="0" w:color="auto"/>
            </w:tcBorders>
          </w:tcPr>
          <w:p w:rsidR="004E00AE" w:rsidRPr="00277328" w:rsidRDefault="004E00AE" w:rsidP="00502068">
            <w:pPr>
              <w:cnfStyle w:val="000000100000"/>
              <w:rPr>
                <w:rFonts w:cstheme="minorHAnsi"/>
                <w:b/>
                <w:color w:val="auto"/>
                <w:sz w:val="20"/>
                <w:szCs w:val="20"/>
                <w:u w:val="single"/>
                <w:lang w:val="en-GB"/>
              </w:rPr>
            </w:pPr>
          </w:p>
        </w:tc>
      </w:tr>
      <w:tr w:rsidR="004B5860" w:rsidRPr="00277328" w:rsidTr="004E00AE">
        <w:tc>
          <w:tcPr>
            <w:cnfStyle w:val="001000000000"/>
            <w:tcW w:w="1745" w:type="dxa"/>
          </w:tcPr>
          <w:p w:rsidR="004B5860" w:rsidRPr="00277328" w:rsidRDefault="004B5860" w:rsidP="00502068">
            <w:pPr>
              <w:rPr>
                <w:sz w:val="20"/>
                <w:szCs w:val="20"/>
                <w:lang w:val="en-GB"/>
              </w:rPr>
            </w:pPr>
          </w:p>
        </w:tc>
        <w:tc>
          <w:tcPr>
            <w:tcW w:w="651" w:type="dxa"/>
          </w:tcPr>
          <w:p w:rsidR="004B5860" w:rsidRPr="00277328" w:rsidRDefault="004B5860" w:rsidP="00502068">
            <w:pPr>
              <w:cnfStyle w:val="000000000000"/>
              <w:rPr>
                <w:rFonts w:cstheme="minorHAnsi"/>
                <w:b/>
                <w:sz w:val="20"/>
                <w:szCs w:val="20"/>
                <w:u w:val="single"/>
                <w:lang w:val="en-GB"/>
              </w:rPr>
            </w:pPr>
          </w:p>
        </w:tc>
        <w:tc>
          <w:tcPr>
            <w:tcW w:w="718" w:type="dxa"/>
          </w:tcPr>
          <w:p w:rsidR="004B5860" w:rsidRPr="00277328" w:rsidRDefault="004B5860" w:rsidP="00502068">
            <w:pPr>
              <w:cnfStyle w:val="000000000000"/>
              <w:rPr>
                <w:rFonts w:cstheme="minorHAnsi"/>
                <w:b/>
                <w:sz w:val="20"/>
                <w:szCs w:val="20"/>
                <w:u w:val="single"/>
                <w:lang w:val="en-GB"/>
              </w:rPr>
            </w:pPr>
          </w:p>
        </w:tc>
        <w:tc>
          <w:tcPr>
            <w:tcW w:w="639" w:type="dxa"/>
          </w:tcPr>
          <w:p w:rsidR="004B5860" w:rsidRPr="00277328" w:rsidRDefault="004B5860" w:rsidP="004B5860">
            <w:pPr>
              <w:cnfStyle w:val="000000000000"/>
              <w:rPr>
                <w:rFonts w:cstheme="minorHAnsi"/>
                <w:color w:val="000000"/>
                <w:sz w:val="20"/>
                <w:szCs w:val="20"/>
                <w:lang w:val="en-GB"/>
              </w:rPr>
            </w:pPr>
            <w:r w:rsidRPr="00277328">
              <w:rPr>
                <w:rFonts w:cstheme="minorHAnsi"/>
                <w:color w:val="000000"/>
                <w:sz w:val="20"/>
                <w:szCs w:val="20"/>
                <w:lang w:val="en-GB"/>
              </w:rPr>
              <w:t>6.37</w:t>
            </w:r>
          </w:p>
          <w:p w:rsidR="004B5860" w:rsidRPr="00277328" w:rsidRDefault="004B5860" w:rsidP="00502068">
            <w:pPr>
              <w:cnfStyle w:val="000000000000"/>
              <w:rPr>
                <w:rFonts w:cstheme="minorHAnsi"/>
                <w:b/>
                <w:sz w:val="20"/>
                <w:szCs w:val="20"/>
                <w:u w:val="single"/>
                <w:lang w:val="en-GB"/>
              </w:rPr>
            </w:pPr>
          </w:p>
        </w:tc>
        <w:tc>
          <w:tcPr>
            <w:tcW w:w="653" w:type="dxa"/>
            <w:gridSpan w:val="2"/>
          </w:tcPr>
          <w:p w:rsidR="004B5860" w:rsidRPr="00277328" w:rsidRDefault="004B5860" w:rsidP="00502068">
            <w:pPr>
              <w:cnfStyle w:val="000000000000"/>
              <w:rPr>
                <w:rFonts w:cstheme="minorHAnsi"/>
                <w:b/>
                <w:sz w:val="20"/>
                <w:szCs w:val="20"/>
                <w:u w:val="single"/>
                <w:lang w:val="en-GB"/>
              </w:rPr>
            </w:pPr>
          </w:p>
        </w:tc>
        <w:tc>
          <w:tcPr>
            <w:tcW w:w="583" w:type="dxa"/>
          </w:tcPr>
          <w:p w:rsidR="004B5860" w:rsidRPr="00277328" w:rsidRDefault="004B5860" w:rsidP="00502068">
            <w:pPr>
              <w:cnfStyle w:val="000000000000"/>
              <w:rPr>
                <w:rFonts w:cstheme="minorHAnsi"/>
                <w:b/>
                <w:sz w:val="20"/>
                <w:szCs w:val="20"/>
                <w:u w:val="single"/>
                <w:lang w:val="en-GB"/>
              </w:rPr>
            </w:pPr>
          </w:p>
        </w:tc>
        <w:tc>
          <w:tcPr>
            <w:tcW w:w="650" w:type="dxa"/>
          </w:tcPr>
          <w:p w:rsidR="004B5860" w:rsidRPr="00277328" w:rsidRDefault="004B5860" w:rsidP="004B5860">
            <w:pPr>
              <w:cnfStyle w:val="000000000000"/>
              <w:rPr>
                <w:rFonts w:cstheme="minorHAnsi"/>
                <w:color w:val="000000"/>
                <w:sz w:val="20"/>
                <w:szCs w:val="20"/>
                <w:lang w:val="en-GB"/>
              </w:rPr>
            </w:pPr>
            <w:r w:rsidRPr="00277328">
              <w:rPr>
                <w:rFonts w:cstheme="minorHAnsi"/>
                <w:color w:val="000000"/>
                <w:sz w:val="20"/>
                <w:szCs w:val="20"/>
                <w:lang w:val="en-GB"/>
              </w:rPr>
              <w:t>5.48</w:t>
            </w:r>
          </w:p>
          <w:p w:rsidR="004B5860" w:rsidRPr="00277328" w:rsidRDefault="004B5860" w:rsidP="00502068">
            <w:pPr>
              <w:cnfStyle w:val="000000000000"/>
              <w:rPr>
                <w:rFonts w:cstheme="minorHAnsi"/>
                <w:b/>
                <w:sz w:val="20"/>
                <w:szCs w:val="20"/>
                <w:u w:val="single"/>
                <w:lang w:val="en-GB"/>
              </w:rPr>
            </w:pPr>
          </w:p>
        </w:tc>
        <w:tc>
          <w:tcPr>
            <w:tcW w:w="651" w:type="dxa"/>
          </w:tcPr>
          <w:p w:rsidR="004B5860" w:rsidRPr="00277328" w:rsidRDefault="004B5860" w:rsidP="00502068">
            <w:pPr>
              <w:cnfStyle w:val="000000000000"/>
              <w:rPr>
                <w:rFonts w:cstheme="minorHAnsi"/>
                <w:b/>
                <w:sz w:val="20"/>
                <w:szCs w:val="20"/>
                <w:u w:val="single"/>
                <w:lang w:val="en-GB"/>
              </w:rPr>
            </w:pPr>
          </w:p>
        </w:tc>
        <w:tc>
          <w:tcPr>
            <w:tcW w:w="605" w:type="dxa"/>
          </w:tcPr>
          <w:p w:rsidR="004B5860" w:rsidRPr="00277328" w:rsidRDefault="004B5860" w:rsidP="00502068">
            <w:pPr>
              <w:cnfStyle w:val="000000000000"/>
              <w:rPr>
                <w:rFonts w:cstheme="minorHAnsi"/>
                <w:b/>
                <w:sz w:val="20"/>
                <w:szCs w:val="20"/>
                <w:u w:val="single"/>
                <w:lang w:val="en-GB"/>
              </w:rPr>
            </w:pPr>
          </w:p>
        </w:tc>
        <w:tc>
          <w:tcPr>
            <w:tcW w:w="708" w:type="dxa"/>
          </w:tcPr>
          <w:p w:rsidR="004B5860" w:rsidRPr="00277328" w:rsidRDefault="004B5860" w:rsidP="004B5860">
            <w:pPr>
              <w:cnfStyle w:val="000000000000"/>
              <w:rPr>
                <w:rFonts w:cstheme="minorHAnsi"/>
                <w:color w:val="000000"/>
                <w:sz w:val="20"/>
                <w:szCs w:val="20"/>
                <w:lang w:val="en-GB"/>
              </w:rPr>
            </w:pPr>
            <w:r w:rsidRPr="00277328">
              <w:rPr>
                <w:rFonts w:cstheme="minorHAnsi"/>
                <w:color w:val="000000"/>
                <w:sz w:val="20"/>
                <w:szCs w:val="20"/>
                <w:lang w:val="en-GB"/>
              </w:rPr>
              <w:t>5.19</w:t>
            </w:r>
          </w:p>
          <w:p w:rsidR="004B5860" w:rsidRPr="00277328" w:rsidRDefault="004B5860" w:rsidP="00502068">
            <w:pPr>
              <w:cnfStyle w:val="000000000000"/>
              <w:rPr>
                <w:rFonts w:cstheme="minorHAnsi"/>
                <w:b/>
                <w:sz w:val="20"/>
                <w:szCs w:val="20"/>
                <w:u w:val="single"/>
                <w:lang w:val="en-GB"/>
              </w:rPr>
            </w:pPr>
          </w:p>
        </w:tc>
      </w:tr>
      <w:tr w:rsidR="004B5860" w:rsidRPr="00277328" w:rsidTr="004B5860">
        <w:trPr>
          <w:cnfStyle w:val="000000100000"/>
        </w:trPr>
        <w:tc>
          <w:tcPr>
            <w:cnfStyle w:val="001000000000"/>
            <w:tcW w:w="1745" w:type="dxa"/>
            <w:tcBorders>
              <w:left w:val="none" w:sz="0" w:space="0" w:color="auto"/>
              <w:right w:val="none" w:sz="0" w:space="0" w:color="auto"/>
            </w:tcBorders>
          </w:tcPr>
          <w:p w:rsidR="004E00AE" w:rsidRPr="00277328" w:rsidRDefault="004E00AE" w:rsidP="00502068">
            <w:pPr>
              <w:rPr>
                <w:color w:val="auto"/>
                <w:sz w:val="20"/>
                <w:szCs w:val="20"/>
                <w:lang w:val="en-GB"/>
              </w:rPr>
            </w:pPr>
            <w:r w:rsidRPr="00277328">
              <w:rPr>
                <w:color w:val="auto"/>
                <w:sz w:val="20"/>
                <w:szCs w:val="20"/>
                <w:lang w:val="en-GB"/>
              </w:rPr>
              <w:t>Aggregate efficiency alternative</w:t>
            </w:r>
          </w:p>
        </w:tc>
        <w:tc>
          <w:tcPr>
            <w:tcW w:w="651" w:type="dxa"/>
            <w:tcBorders>
              <w:left w:val="none" w:sz="0" w:space="0" w:color="auto"/>
              <w:right w:val="none" w:sz="0" w:space="0" w:color="auto"/>
            </w:tcBorders>
          </w:tcPr>
          <w:p w:rsidR="004B5860" w:rsidRPr="00277328" w:rsidRDefault="004B5860" w:rsidP="004B5860">
            <w:pPr>
              <w:cnfStyle w:val="000000100000"/>
              <w:rPr>
                <w:rFonts w:cstheme="minorHAnsi"/>
                <w:color w:val="000000"/>
                <w:sz w:val="20"/>
                <w:szCs w:val="20"/>
                <w:lang w:val="en-GB"/>
              </w:rPr>
            </w:pPr>
            <w:r w:rsidRPr="00277328">
              <w:rPr>
                <w:rFonts w:cstheme="minorHAnsi"/>
                <w:color w:val="000000"/>
                <w:sz w:val="20"/>
                <w:szCs w:val="20"/>
                <w:lang w:val="en-GB"/>
              </w:rPr>
              <w:t>0.97</w:t>
            </w:r>
          </w:p>
          <w:p w:rsidR="004E00AE" w:rsidRPr="00277328" w:rsidRDefault="004E00AE" w:rsidP="00502068">
            <w:pPr>
              <w:cnfStyle w:val="000000100000"/>
              <w:rPr>
                <w:rFonts w:cstheme="minorHAnsi"/>
                <w:b/>
                <w:color w:val="auto"/>
                <w:sz w:val="20"/>
                <w:szCs w:val="20"/>
                <w:u w:val="single"/>
                <w:lang w:val="en-GB"/>
              </w:rPr>
            </w:pPr>
          </w:p>
        </w:tc>
        <w:tc>
          <w:tcPr>
            <w:tcW w:w="718" w:type="dxa"/>
            <w:tcBorders>
              <w:left w:val="none" w:sz="0" w:space="0" w:color="auto"/>
              <w:right w:val="none" w:sz="0" w:space="0" w:color="auto"/>
            </w:tcBorders>
          </w:tcPr>
          <w:p w:rsidR="004B5860" w:rsidRPr="00277328" w:rsidRDefault="004B5860" w:rsidP="004B5860">
            <w:pPr>
              <w:cnfStyle w:val="000000100000"/>
              <w:rPr>
                <w:rFonts w:cstheme="minorHAnsi"/>
                <w:color w:val="000000"/>
                <w:sz w:val="20"/>
                <w:szCs w:val="20"/>
                <w:lang w:val="en-GB"/>
              </w:rPr>
            </w:pPr>
            <w:r w:rsidRPr="00277328">
              <w:rPr>
                <w:rFonts w:cstheme="minorHAnsi"/>
                <w:color w:val="000000"/>
                <w:sz w:val="20"/>
                <w:szCs w:val="20"/>
                <w:lang w:val="en-GB"/>
              </w:rPr>
              <w:t>12.04</w:t>
            </w:r>
          </w:p>
          <w:p w:rsidR="004E00AE" w:rsidRPr="00277328" w:rsidRDefault="004E00AE" w:rsidP="00502068">
            <w:pPr>
              <w:cnfStyle w:val="000000100000"/>
              <w:rPr>
                <w:rFonts w:cstheme="minorHAnsi"/>
                <w:b/>
                <w:color w:val="auto"/>
                <w:sz w:val="20"/>
                <w:szCs w:val="20"/>
                <w:u w:val="single"/>
                <w:lang w:val="en-GB"/>
              </w:rPr>
            </w:pPr>
          </w:p>
        </w:tc>
        <w:tc>
          <w:tcPr>
            <w:tcW w:w="639" w:type="dxa"/>
            <w:tcBorders>
              <w:left w:val="none" w:sz="0" w:space="0" w:color="auto"/>
              <w:right w:val="none" w:sz="0" w:space="0" w:color="auto"/>
            </w:tcBorders>
          </w:tcPr>
          <w:p w:rsidR="004E00AE" w:rsidRPr="00277328" w:rsidRDefault="004E00AE" w:rsidP="00502068">
            <w:pPr>
              <w:cnfStyle w:val="000000100000"/>
              <w:rPr>
                <w:rFonts w:cstheme="minorHAnsi"/>
                <w:b/>
                <w:color w:val="auto"/>
                <w:sz w:val="20"/>
                <w:szCs w:val="20"/>
                <w:u w:val="single"/>
                <w:lang w:val="en-GB"/>
              </w:rPr>
            </w:pPr>
          </w:p>
        </w:tc>
        <w:tc>
          <w:tcPr>
            <w:tcW w:w="653" w:type="dxa"/>
            <w:gridSpan w:val="2"/>
            <w:tcBorders>
              <w:left w:val="none" w:sz="0" w:space="0" w:color="auto"/>
              <w:right w:val="none" w:sz="0" w:space="0" w:color="auto"/>
            </w:tcBorders>
          </w:tcPr>
          <w:p w:rsidR="004B5860" w:rsidRPr="00277328" w:rsidRDefault="004B5860" w:rsidP="004B5860">
            <w:pPr>
              <w:cnfStyle w:val="000000100000"/>
              <w:rPr>
                <w:rFonts w:cstheme="minorHAnsi"/>
                <w:color w:val="000000"/>
                <w:sz w:val="20"/>
                <w:szCs w:val="20"/>
                <w:lang w:val="en-GB"/>
              </w:rPr>
            </w:pPr>
            <w:r w:rsidRPr="00277328">
              <w:rPr>
                <w:rFonts w:cstheme="minorHAnsi"/>
                <w:color w:val="000000"/>
                <w:sz w:val="20"/>
                <w:szCs w:val="20"/>
                <w:lang w:val="en-GB"/>
              </w:rPr>
              <w:t>0.97</w:t>
            </w:r>
          </w:p>
          <w:p w:rsidR="004E00AE" w:rsidRPr="00277328" w:rsidRDefault="004E00AE" w:rsidP="00502068">
            <w:pPr>
              <w:cnfStyle w:val="000000100000"/>
              <w:rPr>
                <w:rFonts w:cstheme="minorHAnsi"/>
                <w:b/>
                <w:color w:val="auto"/>
                <w:sz w:val="20"/>
                <w:szCs w:val="20"/>
                <w:u w:val="single"/>
                <w:lang w:val="en-GB"/>
              </w:rPr>
            </w:pPr>
          </w:p>
        </w:tc>
        <w:tc>
          <w:tcPr>
            <w:tcW w:w="583" w:type="dxa"/>
            <w:tcBorders>
              <w:left w:val="none" w:sz="0" w:space="0" w:color="auto"/>
              <w:right w:val="none" w:sz="0" w:space="0" w:color="auto"/>
            </w:tcBorders>
          </w:tcPr>
          <w:p w:rsidR="004B5860" w:rsidRPr="00277328" w:rsidRDefault="004B5860" w:rsidP="004B5860">
            <w:pPr>
              <w:cnfStyle w:val="000000100000"/>
              <w:rPr>
                <w:rFonts w:cstheme="minorHAnsi"/>
                <w:color w:val="000000"/>
                <w:sz w:val="20"/>
                <w:szCs w:val="20"/>
                <w:lang w:val="en-GB"/>
              </w:rPr>
            </w:pPr>
            <w:r w:rsidRPr="00277328">
              <w:rPr>
                <w:rFonts w:cstheme="minorHAnsi"/>
                <w:color w:val="000000"/>
                <w:sz w:val="20"/>
                <w:szCs w:val="20"/>
                <w:lang w:val="en-GB"/>
              </w:rPr>
              <w:t>12.68</w:t>
            </w:r>
          </w:p>
          <w:p w:rsidR="004E00AE" w:rsidRPr="00277328" w:rsidRDefault="004E00AE" w:rsidP="00502068">
            <w:pPr>
              <w:cnfStyle w:val="000000100000"/>
              <w:rPr>
                <w:rFonts w:cstheme="minorHAnsi"/>
                <w:b/>
                <w:color w:val="auto"/>
                <w:sz w:val="20"/>
                <w:szCs w:val="20"/>
                <w:u w:val="single"/>
                <w:lang w:val="en-GB"/>
              </w:rPr>
            </w:pPr>
          </w:p>
        </w:tc>
        <w:tc>
          <w:tcPr>
            <w:tcW w:w="650" w:type="dxa"/>
            <w:tcBorders>
              <w:left w:val="none" w:sz="0" w:space="0" w:color="auto"/>
              <w:right w:val="none" w:sz="0" w:space="0" w:color="auto"/>
            </w:tcBorders>
          </w:tcPr>
          <w:p w:rsidR="004E00AE" w:rsidRPr="00277328" w:rsidRDefault="004E00AE" w:rsidP="00502068">
            <w:pPr>
              <w:cnfStyle w:val="000000100000"/>
              <w:rPr>
                <w:rFonts w:cstheme="minorHAnsi"/>
                <w:b/>
                <w:color w:val="auto"/>
                <w:sz w:val="20"/>
                <w:szCs w:val="20"/>
                <w:u w:val="single"/>
                <w:lang w:val="en-GB"/>
              </w:rPr>
            </w:pPr>
          </w:p>
        </w:tc>
        <w:tc>
          <w:tcPr>
            <w:tcW w:w="651" w:type="dxa"/>
            <w:tcBorders>
              <w:left w:val="none" w:sz="0" w:space="0" w:color="auto"/>
              <w:right w:val="none" w:sz="0" w:space="0" w:color="auto"/>
            </w:tcBorders>
          </w:tcPr>
          <w:p w:rsidR="004B5860" w:rsidRPr="00277328" w:rsidRDefault="004B5860" w:rsidP="004B5860">
            <w:pPr>
              <w:cnfStyle w:val="000000100000"/>
              <w:rPr>
                <w:rFonts w:cstheme="minorHAnsi"/>
                <w:color w:val="000000"/>
                <w:sz w:val="20"/>
                <w:szCs w:val="20"/>
                <w:lang w:val="en-GB"/>
              </w:rPr>
            </w:pPr>
            <w:r w:rsidRPr="00277328">
              <w:rPr>
                <w:rFonts w:cstheme="minorHAnsi"/>
                <w:color w:val="000000"/>
                <w:sz w:val="20"/>
                <w:szCs w:val="20"/>
                <w:lang w:val="en-GB"/>
              </w:rPr>
              <w:t>0.95</w:t>
            </w:r>
          </w:p>
          <w:p w:rsidR="004E00AE" w:rsidRPr="00277328" w:rsidRDefault="004E00AE" w:rsidP="00502068">
            <w:pPr>
              <w:cnfStyle w:val="000000100000"/>
              <w:rPr>
                <w:rFonts w:cstheme="minorHAnsi"/>
                <w:b/>
                <w:color w:val="auto"/>
                <w:sz w:val="20"/>
                <w:szCs w:val="20"/>
                <w:u w:val="single"/>
                <w:lang w:val="en-GB"/>
              </w:rPr>
            </w:pPr>
          </w:p>
        </w:tc>
        <w:tc>
          <w:tcPr>
            <w:tcW w:w="605" w:type="dxa"/>
            <w:tcBorders>
              <w:left w:val="none" w:sz="0" w:space="0" w:color="auto"/>
              <w:right w:val="none" w:sz="0" w:space="0" w:color="auto"/>
            </w:tcBorders>
          </w:tcPr>
          <w:p w:rsidR="004B5860" w:rsidRPr="00277328" w:rsidRDefault="004B5860" w:rsidP="004B5860">
            <w:pPr>
              <w:cnfStyle w:val="000000100000"/>
              <w:rPr>
                <w:rFonts w:cstheme="minorHAnsi"/>
                <w:color w:val="000000"/>
                <w:sz w:val="20"/>
                <w:szCs w:val="20"/>
                <w:lang w:val="en-GB"/>
              </w:rPr>
            </w:pPr>
            <w:r w:rsidRPr="00277328">
              <w:rPr>
                <w:rFonts w:cstheme="minorHAnsi"/>
                <w:color w:val="000000"/>
                <w:sz w:val="20"/>
                <w:szCs w:val="20"/>
                <w:lang w:val="en-GB"/>
              </w:rPr>
              <w:t>14.19</w:t>
            </w:r>
          </w:p>
          <w:p w:rsidR="004E00AE" w:rsidRPr="00277328" w:rsidRDefault="004E00AE" w:rsidP="00502068">
            <w:pPr>
              <w:cnfStyle w:val="000000100000"/>
              <w:rPr>
                <w:rFonts w:cstheme="minorHAnsi"/>
                <w:b/>
                <w:color w:val="auto"/>
                <w:sz w:val="20"/>
                <w:szCs w:val="20"/>
                <w:u w:val="single"/>
                <w:lang w:val="en-GB"/>
              </w:rPr>
            </w:pPr>
          </w:p>
        </w:tc>
        <w:tc>
          <w:tcPr>
            <w:tcW w:w="708" w:type="dxa"/>
            <w:tcBorders>
              <w:left w:val="none" w:sz="0" w:space="0" w:color="auto"/>
              <w:right w:val="none" w:sz="0" w:space="0" w:color="auto"/>
            </w:tcBorders>
          </w:tcPr>
          <w:p w:rsidR="004E00AE" w:rsidRPr="00277328" w:rsidRDefault="004E00AE" w:rsidP="00502068">
            <w:pPr>
              <w:cnfStyle w:val="000000100000"/>
              <w:rPr>
                <w:rFonts w:cstheme="minorHAnsi"/>
                <w:b/>
                <w:color w:val="auto"/>
                <w:sz w:val="20"/>
                <w:szCs w:val="20"/>
                <w:u w:val="single"/>
                <w:lang w:val="en-GB"/>
              </w:rPr>
            </w:pPr>
          </w:p>
        </w:tc>
      </w:tr>
      <w:tr w:rsidR="004E00AE" w:rsidRPr="00277328" w:rsidTr="004E00AE">
        <w:tc>
          <w:tcPr>
            <w:cnfStyle w:val="001000000000"/>
            <w:tcW w:w="1745" w:type="dxa"/>
          </w:tcPr>
          <w:p w:rsidR="004E00AE" w:rsidRPr="00277328" w:rsidRDefault="004E00AE" w:rsidP="00502068">
            <w:pPr>
              <w:rPr>
                <w:b w:val="0"/>
                <w:color w:val="auto"/>
                <w:lang w:val="en-GB"/>
              </w:rPr>
            </w:pPr>
          </w:p>
        </w:tc>
        <w:tc>
          <w:tcPr>
            <w:tcW w:w="5858" w:type="dxa"/>
            <w:gridSpan w:val="10"/>
          </w:tcPr>
          <w:p w:rsidR="004E00AE" w:rsidRPr="00277328" w:rsidRDefault="004E00AE" w:rsidP="00502068">
            <w:pPr>
              <w:jc w:val="center"/>
              <w:cnfStyle w:val="000000000000"/>
              <w:rPr>
                <w:rFonts w:cstheme="minorHAnsi"/>
                <w:b/>
                <w:color w:val="auto"/>
                <w:sz w:val="20"/>
                <w:szCs w:val="20"/>
                <w:u w:val="single"/>
                <w:lang w:val="en-GB"/>
              </w:rPr>
            </w:pPr>
            <w:r w:rsidRPr="00277328">
              <w:rPr>
                <w:rFonts w:cstheme="minorHAnsi"/>
                <w:b/>
                <w:color w:val="auto"/>
                <w:sz w:val="20"/>
                <w:szCs w:val="20"/>
                <w:lang w:val="en-GB"/>
              </w:rPr>
              <w:t>Interventions targeting old age groups</w:t>
            </w:r>
          </w:p>
        </w:tc>
      </w:tr>
      <w:tr w:rsidR="004B5860" w:rsidRPr="00277328" w:rsidTr="004B5860">
        <w:trPr>
          <w:cnfStyle w:val="000000100000"/>
        </w:trPr>
        <w:tc>
          <w:tcPr>
            <w:cnfStyle w:val="001000000000"/>
            <w:tcW w:w="1745" w:type="dxa"/>
            <w:tcBorders>
              <w:left w:val="none" w:sz="0" w:space="0" w:color="auto"/>
              <w:right w:val="none" w:sz="0" w:space="0" w:color="auto"/>
            </w:tcBorders>
          </w:tcPr>
          <w:p w:rsidR="004E00AE" w:rsidRPr="00277328" w:rsidRDefault="004E00AE" w:rsidP="00502068">
            <w:pPr>
              <w:rPr>
                <w:b w:val="0"/>
                <w:color w:val="auto"/>
                <w:u w:val="single"/>
                <w:lang w:val="en-GB"/>
              </w:rPr>
            </w:pPr>
          </w:p>
        </w:tc>
        <w:tc>
          <w:tcPr>
            <w:tcW w:w="2008" w:type="dxa"/>
            <w:gridSpan w:val="3"/>
            <w:tcBorders>
              <w:left w:val="none" w:sz="0" w:space="0" w:color="auto"/>
              <w:right w:val="none" w:sz="0" w:space="0" w:color="auto"/>
            </w:tcBorders>
          </w:tcPr>
          <w:p w:rsidR="004E00AE" w:rsidRPr="00277328" w:rsidRDefault="004E00AE" w:rsidP="00502068">
            <w:pPr>
              <w:jc w:val="center"/>
              <w:cnfStyle w:val="000000100000"/>
              <w:rPr>
                <w:rFonts w:cstheme="minorHAnsi"/>
                <w:b/>
                <w:color w:val="auto"/>
                <w:sz w:val="20"/>
                <w:szCs w:val="20"/>
                <w:lang w:val="en-GB"/>
              </w:rPr>
            </w:pPr>
            <w:r w:rsidRPr="00277328">
              <w:rPr>
                <w:rFonts w:cstheme="minorHAnsi"/>
                <w:b/>
                <w:color w:val="auto"/>
                <w:sz w:val="20"/>
                <w:szCs w:val="20"/>
                <w:lang w:val="en-GB"/>
              </w:rPr>
              <w:t>Catalonia/Basque country</w:t>
            </w:r>
          </w:p>
        </w:tc>
        <w:tc>
          <w:tcPr>
            <w:tcW w:w="1886" w:type="dxa"/>
            <w:gridSpan w:val="4"/>
            <w:tcBorders>
              <w:left w:val="none" w:sz="0" w:space="0" w:color="auto"/>
              <w:right w:val="none" w:sz="0" w:space="0" w:color="auto"/>
            </w:tcBorders>
          </w:tcPr>
          <w:p w:rsidR="004E00AE" w:rsidRPr="00277328" w:rsidRDefault="004E00AE" w:rsidP="00502068">
            <w:pPr>
              <w:jc w:val="center"/>
              <w:cnfStyle w:val="000000100000"/>
              <w:rPr>
                <w:rFonts w:cstheme="minorHAnsi"/>
                <w:b/>
                <w:color w:val="auto"/>
                <w:sz w:val="20"/>
                <w:szCs w:val="20"/>
                <w:lang w:val="en-GB"/>
              </w:rPr>
            </w:pPr>
            <w:r w:rsidRPr="00277328">
              <w:rPr>
                <w:rFonts w:cstheme="minorHAnsi"/>
                <w:b/>
                <w:color w:val="auto"/>
                <w:sz w:val="20"/>
                <w:szCs w:val="20"/>
                <w:lang w:val="en-GB"/>
              </w:rPr>
              <w:t>Valencia</w:t>
            </w:r>
          </w:p>
          <w:p w:rsidR="004E00AE" w:rsidRPr="00277328" w:rsidRDefault="004E00AE" w:rsidP="00502068">
            <w:pPr>
              <w:jc w:val="center"/>
              <w:cnfStyle w:val="000000100000"/>
              <w:rPr>
                <w:rFonts w:cstheme="minorHAnsi"/>
                <w:b/>
                <w:color w:val="auto"/>
                <w:sz w:val="20"/>
                <w:szCs w:val="20"/>
                <w:lang w:val="en-GB"/>
              </w:rPr>
            </w:pPr>
            <w:r w:rsidRPr="00277328">
              <w:rPr>
                <w:rFonts w:cstheme="minorHAnsi"/>
                <w:b/>
                <w:color w:val="auto"/>
                <w:sz w:val="20"/>
                <w:szCs w:val="20"/>
                <w:lang w:val="en-GB"/>
              </w:rPr>
              <w:t>/Cantabria</w:t>
            </w:r>
          </w:p>
        </w:tc>
        <w:tc>
          <w:tcPr>
            <w:tcW w:w="1964" w:type="dxa"/>
            <w:gridSpan w:val="3"/>
            <w:tcBorders>
              <w:left w:val="none" w:sz="0" w:space="0" w:color="auto"/>
              <w:right w:val="none" w:sz="0" w:space="0" w:color="auto"/>
            </w:tcBorders>
          </w:tcPr>
          <w:p w:rsidR="004E00AE" w:rsidRPr="00277328" w:rsidRDefault="004E00AE" w:rsidP="00502068">
            <w:pPr>
              <w:jc w:val="center"/>
              <w:cnfStyle w:val="000000100000"/>
              <w:rPr>
                <w:rFonts w:cstheme="minorHAnsi"/>
                <w:b/>
                <w:color w:val="auto"/>
                <w:sz w:val="20"/>
                <w:szCs w:val="20"/>
                <w:lang w:val="en-GB"/>
              </w:rPr>
            </w:pPr>
            <w:r w:rsidRPr="00277328">
              <w:rPr>
                <w:rFonts w:cstheme="minorHAnsi"/>
                <w:b/>
                <w:color w:val="auto"/>
                <w:sz w:val="20"/>
                <w:szCs w:val="20"/>
                <w:lang w:val="en-GB"/>
              </w:rPr>
              <w:t>Madrid</w:t>
            </w:r>
          </w:p>
        </w:tc>
      </w:tr>
      <w:tr w:rsidR="004B5860" w:rsidRPr="00277328" w:rsidTr="004E00AE">
        <w:tc>
          <w:tcPr>
            <w:cnfStyle w:val="001000000000"/>
            <w:tcW w:w="1745" w:type="dxa"/>
          </w:tcPr>
          <w:p w:rsidR="004E00AE" w:rsidRPr="00277328" w:rsidRDefault="004E00AE" w:rsidP="00502068">
            <w:pPr>
              <w:rPr>
                <w:b w:val="0"/>
                <w:color w:val="auto"/>
                <w:sz w:val="20"/>
                <w:szCs w:val="20"/>
                <w:lang w:val="en-GB"/>
              </w:rPr>
            </w:pPr>
          </w:p>
        </w:tc>
        <w:tc>
          <w:tcPr>
            <w:tcW w:w="651" w:type="dxa"/>
          </w:tcPr>
          <w:p w:rsidR="004E00AE" w:rsidRPr="00277328" w:rsidRDefault="004E00AE" w:rsidP="00502068">
            <w:pPr>
              <w:jc w:val="center"/>
              <w:cnfStyle w:val="000000000000"/>
              <w:rPr>
                <w:rFonts w:cstheme="minorHAnsi"/>
                <w:b/>
                <w:color w:val="auto"/>
                <w:sz w:val="20"/>
                <w:szCs w:val="20"/>
                <w:lang w:val="en-GB"/>
              </w:rPr>
            </w:pPr>
            <w:r w:rsidRPr="00277328">
              <w:rPr>
                <w:rFonts w:cstheme="minorHAnsi"/>
                <w:b/>
                <w:color w:val="auto"/>
                <w:sz w:val="20"/>
                <w:szCs w:val="20"/>
                <w:lang w:val="en-GB"/>
              </w:rPr>
              <w:t>Agg. Prob.</w:t>
            </w:r>
          </w:p>
        </w:tc>
        <w:tc>
          <w:tcPr>
            <w:tcW w:w="718" w:type="dxa"/>
          </w:tcPr>
          <w:p w:rsidR="004E00AE" w:rsidRPr="00277328" w:rsidRDefault="004E00AE" w:rsidP="00502068">
            <w:pPr>
              <w:jc w:val="center"/>
              <w:cnfStyle w:val="000000000000"/>
              <w:rPr>
                <w:rFonts w:cstheme="minorHAnsi"/>
                <w:b/>
                <w:color w:val="auto"/>
                <w:sz w:val="20"/>
                <w:szCs w:val="20"/>
                <w:lang w:val="en-GB"/>
              </w:rPr>
            </w:pPr>
          </w:p>
          <w:p w:rsidR="004E00AE" w:rsidRPr="00277328" w:rsidRDefault="004E00AE" w:rsidP="00502068">
            <w:pPr>
              <w:jc w:val="center"/>
              <w:cnfStyle w:val="000000000000"/>
              <w:rPr>
                <w:rFonts w:cstheme="minorHAnsi"/>
                <w:b/>
                <w:color w:val="auto"/>
                <w:sz w:val="20"/>
                <w:szCs w:val="20"/>
                <w:lang w:val="en-GB"/>
              </w:rPr>
            </w:pPr>
            <w:r w:rsidRPr="00277328">
              <w:rPr>
                <w:rFonts w:cstheme="minorHAnsi"/>
                <w:b/>
                <w:color w:val="auto"/>
                <w:sz w:val="20"/>
                <w:szCs w:val="20"/>
                <w:lang w:val="en-GB"/>
              </w:rPr>
              <w:t>% Δ</w:t>
            </w:r>
          </w:p>
        </w:tc>
        <w:tc>
          <w:tcPr>
            <w:tcW w:w="639" w:type="dxa"/>
          </w:tcPr>
          <w:p w:rsidR="004E00AE" w:rsidRPr="00277328" w:rsidRDefault="004E00AE" w:rsidP="00502068">
            <w:pPr>
              <w:jc w:val="center"/>
              <w:cnfStyle w:val="000000000000"/>
              <w:rPr>
                <w:rFonts w:cstheme="minorHAnsi"/>
                <w:b/>
                <w:color w:val="auto"/>
                <w:sz w:val="20"/>
                <w:szCs w:val="20"/>
                <w:lang w:val="en-GB"/>
              </w:rPr>
            </w:pPr>
            <w:r w:rsidRPr="00277328">
              <w:rPr>
                <w:rFonts w:cstheme="minorHAnsi"/>
                <w:b/>
                <w:color w:val="auto"/>
                <w:sz w:val="20"/>
                <w:szCs w:val="20"/>
                <w:lang w:val="en-GB"/>
              </w:rPr>
              <w:t>EE Ratio</w:t>
            </w:r>
          </w:p>
        </w:tc>
        <w:tc>
          <w:tcPr>
            <w:tcW w:w="653" w:type="dxa"/>
            <w:gridSpan w:val="2"/>
          </w:tcPr>
          <w:p w:rsidR="004E00AE" w:rsidRPr="00277328" w:rsidRDefault="004E00AE" w:rsidP="00502068">
            <w:pPr>
              <w:cnfStyle w:val="000000000000"/>
              <w:rPr>
                <w:rFonts w:cstheme="minorHAnsi"/>
                <w:b/>
                <w:color w:val="auto"/>
                <w:sz w:val="20"/>
                <w:szCs w:val="20"/>
                <w:lang w:val="en-GB"/>
              </w:rPr>
            </w:pPr>
            <w:r w:rsidRPr="00277328">
              <w:rPr>
                <w:rFonts w:cstheme="minorHAnsi"/>
                <w:b/>
                <w:color w:val="auto"/>
                <w:sz w:val="20"/>
                <w:szCs w:val="20"/>
                <w:lang w:val="en-GB"/>
              </w:rPr>
              <w:t>Agg. Prob.</w:t>
            </w:r>
          </w:p>
        </w:tc>
        <w:tc>
          <w:tcPr>
            <w:tcW w:w="583" w:type="dxa"/>
          </w:tcPr>
          <w:p w:rsidR="004E00AE" w:rsidRPr="00277328" w:rsidRDefault="004E00AE" w:rsidP="00502068">
            <w:pPr>
              <w:cnfStyle w:val="000000000000"/>
              <w:rPr>
                <w:rFonts w:cstheme="minorHAnsi"/>
                <w:b/>
                <w:color w:val="auto"/>
                <w:sz w:val="20"/>
                <w:szCs w:val="20"/>
                <w:lang w:val="en-GB"/>
              </w:rPr>
            </w:pPr>
          </w:p>
          <w:p w:rsidR="004E00AE" w:rsidRPr="00277328" w:rsidRDefault="004E00AE" w:rsidP="00502068">
            <w:pPr>
              <w:cnfStyle w:val="000000000000"/>
              <w:rPr>
                <w:rFonts w:cstheme="minorHAnsi"/>
                <w:b/>
                <w:color w:val="auto"/>
                <w:sz w:val="20"/>
                <w:szCs w:val="20"/>
                <w:lang w:val="en-GB"/>
              </w:rPr>
            </w:pPr>
            <w:r w:rsidRPr="00277328">
              <w:rPr>
                <w:rFonts w:cstheme="minorHAnsi"/>
                <w:b/>
                <w:color w:val="auto"/>
                <w:sz w:val="20"/>
                <w:szCs w:val="20"/>
                <w:lang w:val="en-GB"/>
              </w:rPr>
              <w:t xml:space="preserve">% Δ </w:t>
            </w:r>
          </w:p>
        </w:tc>
        <w:tc>
          <w:tcPr>
            <w:tcW w:w="650" w:type="dxa"/>
          </w:tcPr>
          <w:p w:rsidR="004E00AE" w:rsidRPr="00277328" w:rsidRDefault="004E00AE" w:rsidP="00502068">
            <w:pPr>
              <w:cnfStyle w:val="000000000000"/>
              <w:rPr>
                <w:rFonts w:cstheme="minorHAnsi"/>
                <w:b/>
                <w:color w:val="auto"/>
                <w:sz w:val="20"/>
                <w:szCs w:val="20"/>
                <w:lang w:val="en-GB"/>
              </w:rPr>
            </w:pPr>
            <w:r w:rsidRPr="00277328">
              <w:rPr>
                <w:rFonts w:cstheme="minorHAnsi"/>
                <w:b/>
                <w:color w:val="auto"/>
                <w:sz w:val="20"/>
                <w:szCs w:val="20"/>
                <w:lang w:val="en-GB"/>
              </w:rPr>
              <w:t>EE Ratio</w:t>
            </w:r>
          </w:p>
        </w:tc>
        <w:tc>
          <w:tcPr>
            <w:tcW w:w="651" w:type="dxa"/>
          </w:tcPr>
          <w:p w:rsidR="004E00AE" w:rsidRPr="00277328" w:rsidRDefault="004E00AE" w:rsidP="00502068">
            <w:pPr>
              <w:cnfStyle w:val="000000000000"/>
              <w:rPr>
                <w:rFonts w:cstheme="minorHAnsi"/>
                <w:b/>
                <w:color w:val="auto"/>
                <w:sz w:val="20"/>
                <w:szCs w:val="20"/>
                <w:lang w:val="en-GB"/>
              </w:rPr>
            </w:pPr>
            <w:r w:rsidRPr="00277328">
              <w:rPr>
                <w:rFonts w:cstheme="minorHAnsi"/>
                <w:b/>
                <w:color w:val="auto"/>
                <w:sz w:val="20"/>
                <w:szCs w:val="20"/>
                <w:lang w:val="en-GB"/>
              </w:rPr>
              <w:t>Agg. Prob.</w:t>
            </w:r>
          </w:p>
        </w:tc>
        <w:tc>
          <w:tcPr>
            <w:tcW w:w="605" w:type="dxa"/>
          </w:tcPr>
          <w:p w:rsidR="004E00AE" w:rsidRPr="00277328" w:rsidRDefault="004E00AE" w:rsidP="00502068">
            <w:pPr>
              <w:cnfStyle w:val="000000000000"/>
              <w:rPr>
                <w:rFonts w:cstheme="minorHAnsi"/>
                <w:b/>
                <w:color w:val="auto"/>
                <w:sz w:val="20"/>
                <w:szCs w:val="20"/>
                <w:lang w:val="en-GB"/>
              </w:rPr>
            </w:pPr>
          </w:p>
          <w:p w:rsidR="004E00AE" w:rsidRPr="00277328" w:rsidRDefault="004E00AE" w:rsidP="00502068">
            <w:pPr>
              <w:cnfStyle w:val="000000000000"/>
              <w:rPr>
                <w:rFonts w:cstheme="minorHAnsi"/>
                <w:b/>
                <w:color w:val="auto"/>
                <w:sz w:val="20"/>
                <w:szCs w:val="20"/>
                <w:lang w:val="en-GB"/>
              </w:rPr>
            </w:pPr>
            <w:r w:rsidRPr="00277328">
              <w:rPr>
                <w:rFonts w:cstheme="minorHAnsi"/>
                <w:b/>
                <w:color w:val="auto"/>
                <w:sz w:val="20"/>
                <w:szCs w:val="20"/>
                <w:lang w:val="en-GB"/>
              </w:rPr>
              <w:t>% Δ</w:t>
            </w:r>
          </w:p>
        </w:tc>
        <w:tc>
          <w:tcPr>
            <w:tcW w:w="708" w:type="dxa"/>
          </w:tcPr>
          <w:p w:rsidR="004E00AE" w:rsidRPr="00277328" w:rsidRDefault="004E00AE" w:rsidP="00502068">
            <w:pPr>
              <w:cnfStyle w:val="000000000000"/>
              <w:rPr>
                <w:rFonts w:cstheme="minorHAnsi"/>
                <w:b/>
                <w:color w:val="auto"/>
                <w:sz w:val="20"/>
                <w:szCs w:val="20"/>
                <w:lang w:val="en-GB"/>
              </w:rPr>
            </w:pPr>
            <w:r w:rsidRPr="00277328">
              <w:rPr>
                <w:rFonts w:cstheme="minorHAnsi"/>
                <w:b/>
                <w:color w:val="auto"/>
                <w:sz w:val="20"/>
                <w:szCs w:val="20"/>
                <w:lang w:val="en-GB"/>
              </w:rPr>
              <w:t>EE Ratio</w:t>
            </w:r>
          </w:p>
        </w:tc>
      </w:tr>
      <w:tr w:rsidR="004B5860" w:rsidRPr="00277328" w:rsidTr="004B5860">
        <w:trPr>
          <w:cnfStyle w:val="000000100000"/>
        </w:trPr>
        <w:tc>
          <w:tcPr>
            <w:cnfStyle w:val="001000000000"/>
            <w:tcW w:w="1745" w:type="dxa"/>
            <w:tcBorders>
              <w:left w:val="none" w:sz="0" w:space="0" w:color="auto"/>
              <w:right w:val="none" w:sz="0" w:space="0" w:color="auto"/>
            </w:tcBorders>
          </w:tcPr>
          <w:p w:rsidR="004E00AE" w:rsidRPr="00277328" w:rsidRDefault="004E00AE" w:rsidP="00502068">
            <w:pPr>
              <w:rPr>
                <w:color w:val="auto"/>
                <w:sz w:val="20"/>
                <w:szCs w:val="20"/>
                <w:lang w:val="en-GB"/>
              </w:rPr>
            </w:pPr>
            <w:r w:rsidRPr="00277328">
              <w:rPr>
                <w:color w:val="auto"/>
                <w:sz w:val="20"/>
                <w:szCs w:val="20"/>
                <w:lang w:val="en-GB"/>
              </w:rPr>
              <w:t>Base alternative</w:t>
            </w:r>
          </w:p>
        </w:tc>
        <w:tc>
          <w:tcPr>
            <w:tcW w:w="651" w:type="dxa"/>
            <w:tcBorders>
              <w:left w:val="none" w:sz="0" w:space="0" w:color="auto"/>
              <w:right w:val="none" w:sz="0" w:space="0" w:color="auto"/>
            </w:tcBorders>
          </w:tcPr>
          <w:p w:rsidR="004B5860" w:rsidRPr="00277328" w:rsidRDefault="004B5860" w:rsidP="004B5860">
            <w:pPr>
              <w:cnfStyle w:val="000000100000"/>
              <w:rPr>
                <w:rFonts w:cstheme="minorHAnsi"/>
                <w:color w:val="000000"/>
                <w:sz w:val="20"/>
                <w:szCs w:val="20"/>
                <w:lang w:val="en-GB"/>
              </w:rPr>
            </w:pPr>
            <w:r w:rsidRPr="00277328">
              <w:rPr>
                <w:rFonts w:cstheme="minorHAnsi"/>
                <w:color w:val="000000"/>
                <w:sz w:val="20"/>
                <w:szCs w:val="20"/>
                <w:lang w:val="en-GB"/>
              </w:rPr>
              <w:t>0.84</w:t>
            </w:r>
          </w:p>
          <w:p w:rsidR="004E00AE" w:rsidRPr="00277328" w:rsidRDefault="004E00AE" w:rsidP="00502068">
            <w:pPr>
              <w:cnfStyle w:val="000000100000"/>
              <w:rPr>
                <w:rFonts w:cstheme="minorHAnsi"/>
                <w:b/>
                <w:color w:val="auto"/>
                <w:sz w:val="20"/>
                <w:szCs w:val="20"/>
                <w:u w:val="single"/>
                <w:lang w:val="en-GB"/>
              </w:rPr>
            </w:pPr>
          </w:p>
        </w:tc>
        <w:tc>
          <w:tcPr>
            <w:tcW w:w="718" w:type="dxa"/>
            <w:tcBorders>
              <w:left w:val="none" w:sz="0" w:space="0" w:color="auto"/>
              <w:right w:val="none" w:sz="0" w:space="0" w:color="auto"/>
            </w:tcBorders>
          </w:tcPr>
          <w:p w:rsidR="004E00AE" w:rsidRPr="00277328" w:rsidRDefault="004E00AE" w:rsidP="00502068">
            <w:pPr>
              <w:cnfStyle w:val="000000100000"/>
              <w:rPr>
                <w:rFonts w:cstheme="minorHAnsi"/>
                <w:b/>
                <w:color w:val="auto"/>
                <w:sz w:val="20"/>
                <w:szCs w:val="20"/>
                <w:u w:val="single"/>
                <w:lang w:val="en-GB"/>
              </w:rPr>
            </w:pPr>
          </w:p>
        </w:tc>
        <w:tc>
          <w:tcPr>
            <w:tcW w:w="639" w:type="dxa"/>
            <w:tcBorders>
              <w:left w:val="none" w:sz="0" w:space="0" w:color="auto"/>
              <w:right w:val="none" w:sz="0" w:space="0" w:color="auto"/>
            </w:tcBorders>
          </w:tcPr>
          <w:p w:rsidR="004E00AE" w:rsidRPr="00277328" w:rsidRDefault="004E00AE" w:rsidP="00502068">
            <w:pPr>
              <w:cnfStyle w:val="000000100000"/>
              <w:rPr>
                <w:rFonts w:cstheme="minorHAnsi"/>
                <w:b/>
                <w:color w:val="auto"/>
                <w:sz w:val="20"/>
                <w:szCs w:val="20"/>
                <w:u w:val="single"/>
                <w:lang w:val="en-GB"/>
              </w:rPr>
            </w:pPr>
          </w:p>
        </w:tc>
        <w:tc>
          <w:tcPr>
            <w:tcW w:w="653" w:type="dxa"/>
            <w:gridSpan w:val="2"/>
            <w:tcBorders>
              <w:left w:val="none" w:sz="0" w:space="0" w:color="auto"/>
              <w:right w:val="none" w:sz="0" w:space="0" w:color="auto"/>
            </w:tcBorders>
          </w:tcPr>
          <w:p w:rsidR="004B5860" w:rsidRPr="00277328" w:rsidRDefault="004B5860" w:rsidP="004B5860">
            <w:pPr>
              <w:cnfStyle w:val="000000100000"/>
              <w:rPr>
                <w:rFonts w:cstheme="minorHAnsi"/>
                <w:color w:val="000000"/>
                <w:sz w:val="20"/>
                <w:szCs w:val="20"/>
                <w:lang w:val="en-GB"/>
              </w:rPr>
            </w:pPr>
            <w:r w:rsidRPr="00277328">
              <w:rPr>
                <w:rFonts w:cstheme="minorHAnsi"/>
                <w:color w:val="000000"/>
                <w:sz w:val="20"/>
                <w:szCs w:val="20"/>
                <w:lang w:val="en-GB"/>
              </w:rPr>
              <w:t>0.81</w:t>
            </w:r>
          </w:p>
          <w:p w:rsidR="004E00AE" w:rsidRPr="00277328" w:rsidRDefault="004E00AE" w:rsidP="00502068">
            <w:pPr>
              <w:cnfStyle w:val="000000100000"/>
              <w:rPr>
                <w:rFonts w:cstheme="minorHAnsi"/>
                <w:b/>
                <w:color w:val="auto"/>
                <w:sz w:val="20"/>
                <w:szCs w:val="20"/>
                <w:u w:val="single"/>
                <w:lang w:val="en-GB"/>
              </w:rPr>
            </w:pPr>
          </w:p>
        </w:tc>
        <w:tc>
          <w:tcPr>
            <w:tcW w:w="583" w:type="dxa"/>
            <w:tcBorders>
              <w:left w:val="none" w:sz="0" w:space="0" w:color="auto"/>
              <w:right w:val="none" w:sz="0" w:space="0" w:color="auto"/>
            </w:tcBorders>
          </w:tcPr>
          <w:p w:rsidR="004E00AE" w:rsidRPr="00277328" w:rsidRDefault="004E00AE" w:rsidP="00502068">
            <w:pPr>
              <w:cnfStyle w:val="000000100000"/>
              <w:rPr>
                <w:rFonts w:cstheme="minorHAnsi"/>
                <w:b/>
                <w:color w:val="auto"/>
                <w:sz w:val="20"/>
                <w:szCs w:val="20"/>
                <w:u w:val="single"/>
                <w:lang w:val="en-GB"/>
              </w:rPr>
            </w:pPr>
          </w:p>
        </w:tc>
        <w:tc>
          <w:tcPr>
            <w:tcW w:w="650" w:type="dxa"/>
            <w:tcBorders>
              <w:left w:val="none" w:sz="0" w:space="0" w:color="auto"/>
              <w:right w:val="none" w:sz="0" w:space="0" w:color="auto"/>
            </w:tcBorders>
          </w:tcPr>
          <w:p w:rsidR="004E00AE" w:rsidRPr="00277328" w:rsidRDefault="004E00AE" w:rsidP="00502068">
            <w:pPr>
              <w:cnfStyle w:val="000000100000"/>
              <w:rPr>
                <w:rFonts w:cstheme="minorHAnsi"/>
                <w:b/>
                <w:color w:val="auto"/>
                <w:sz w:val="20"/>
                <w:szCs w:val="20"/>
                <w:u w:val="single"/>
                <w:lang w:val="en-GB"/>
              </w:rPr>
            </w:pPr>
          </w:p>
        </w:tc>
        <w:tc>
          <w:tcPr>
            <w:tcW w:w="651" w:type="dxa"/>
            <w:tcBorders>
              <w:left w:val="none" w:sz="0" w:space="0" w:color="auto"/>
              <w:right w:val="none" w:sz="0" w:space="0" w:color="auto"/>
            </w:tcBorders>
          </w:tcPr>
          <w:p w:rsidR="004B5860" w:rsidRPr="00277328" w:rsidRDefault="004B5860" w:rsidP="004B5860">
            <w:pPr>
              <w:cnfStyle w:val="000000100000"/>
              <w:rPr>
                <w:rFonts w:cstheme="minorHAnsi"/>
                <w:color w:val="000000"/>
                <w:sz w:val="20"/>
                <w:szCs w:val="20"/>
                <w:lang w:val="en-GB"/>
              </w:rPr>
            </w:pPr>
            <w:r w:rsidRPr="00277328">
              <w:rPr>
                <w:rFonts w:cstheme="minorHAnsi"/>
                <w:color w:val="000000"/>
                <w:sz w:val="20"/>
                <w:szCs w:val="20"/>
                <w:lang w:val="en-GB"/>
              </w:rPr>
              <w:t>0.81</w:t>
            </w:r>
          </w:p>
          <w:p w:rsidR="004E00AE" w:rsidRPr="00277328" w:rsidRDefault="004E00AE" w:rsidP="00502068">
            <w:pPr>
              <w:cnfStyle w:val="000000100000"/>
              <w:rPr>
                <w:rFonts w:cstheme="minorHAnsi"/>
                <w:b/>
                <w:color w:val="auto"/>
                <w:sz w:val="20"/>
                <w:szCs w:val="20"/>
                <w:u w:val="single"/>
                <w:lang w:val="en-GB"/>
              </w:rPr>
            </w:pPr>
          </w:p>
        </w:tc>
        <w:tc>
          <w:tcPr>
            <w:tcW w:w="605" w:type="dxa"/>
            <w:tcBorders>
              <w:left w:val="none" w:sz="0" w:space="0" w:color="auto"/>
              <w:right w:val="none" w:sz="0" w:space="0" w:color="auto"/>
            </w:tcBorders>
          </w:tcPr>
          <w:p w:rsidR="004E00AE" w:rsidRPr="00277328" w:rsidRDefault="004E00AE" w:rsidP="00502068">
            <w:pPr>
              <w:cnfStyle w:val="000000100000"/>
              <w:rPr>
                <w:rFonts w:cstheme="minorHAnsi"/>
                <w:b/>
                <w:color w:val="auto"/>
                <w:sz w:val="20"/>
                <w:szCs w:val="20"/>
                <w:u w:val="single"/>
                <w:lang w:val="en-GB"/>
              </w:rPr>
            </w:pPr>
          </w:p>
        </w:tc>
        <w:tc>
          <w:tcPr>
            <w:tcW w:w="708" w:type="dxa"/>
            <w:tcBorders>
              <w:left w:val="none" w:sz="0" w:space="0" w:color="auto"/>
              <w:right w:val="none" w:sz="0" w:space="0" w:color="auto"/>
            </w:tcBorders>
          </w:tcPr>
          <w:p w:rsidR="004E00AE" w:rsidRPr="00277328" w:rsidRDefault="004E00AE" w:rsidP="00502068">
            <w:pPr>
              <w:cnfStyle w:val="000000100000"/>
              <w:rPr>
                <w:rFonts w:cstheme="minorHAnsi"/>
                <w:b/>
                <w:color w:val="auto"/>
                <w:sz w:val="20"/>
                <w:szCs w:val="20"/>
                <w:u w:val="single"/>
                <w:lang w:val="en-GB"/>
              </w:rPr>
            </w:pPr>
          </w:p>
        </w:tc>
      </w:tr>
      <w:tr w:rsidR="004B5860" w:rsidRPr="00277328" w:rsidTr="004E00AE">
        <w:tc>
          <w:tcPr>
            <w:cnfStyle w:val="001000000000"/>
            <w:tcW w:w="1745" w:type="dxa"/>
          </w:tcPr>
          <w:p w:rsidR="004E00AE" w:rsidRPr="00277328" w:rsidRDefault="004E00AE" w:rsidP="00502068">
            <w:pPr>
              <w:rPr>
                <w:color w:val="auto"/>
                <w:sz w:val="20"/>
                <w:szCs w:val="20"/>
                <w:lang w:val="en-GB"/>
              </w:rPr>
            </w:pPr>
            <w:r w:rsidRPr="00277328">
              <w:rPr>
                <w:color w:val="auto"/>
                <w:sz w:val="20"/>
                <w:szCs w:val="20"/>
                <w:lang w:val="en-GB"/>
              </w:rPr>
              <w:lastRenderedPageBreak/>
              <w:t>Aggregate equity alternative</w:t>
            </w:r>
          </w:p>
        </w:tc>
        <w:tc>
          <w:tcPr>
            <w:tcW w:w="651" w:type="dxa"/>
          </w:tcPr>
          <w:p w:rsidR="004B5860" w:rsidRPr="00277328" w:rsidRDefault="004B5860" w:rsidP="004B5860">
            <w:pPr>
              <w:cnfStyle w:val="000000000000"/>
              <w:rPr>
                <w:rFonts w:cstheme="minorHAnsi"/>
                <w:color w:val="000000"/>
                <w:sz w:val="20"/>
                <w:szCs w:val="20"/>
                <w:lang w:val="en-GB"/>
              </w:rPr>
            </w:pPr>
            <w:r w:rsidRPr="00277328">
              <w:rPr>
                <w:rFonts w:cstheme="minorHAnsi"/>
                <w:color w:val="000000"/>
                <w:sz w:val="20"/>
                <w:szCs w:val="20"/>
                <w:lang w:val="en-GB"/>
              </w:rPr>
              <w:t>0.8</w:t>
            </w:r>
          </w:p>
          <w:p w:rsidR="004E00AE" w:rsidRPr="00277328" w:rsidRDefault="004E00AE" w:rsidP="00502068">
            <w:pPr>
              <w:cnfStyle w:val="000000000000"/>
              <w:rPr>
                <w:rFonts w:cstheme="minorHAnsi"/>
                <w:b/>
                <w:color w:val="auto"/>
                <w:sz w:val="20"/>
                <w:szCs w:val="20"/>
                <w:u w:val="single"/>
                <w:lang w:val="en-GB"/>
              </w:rPr>
            </w:pPr>
          </w:p>
        </w:tc>
        <w:tc>
          <w:tcPr>
            <w:tcW w:w="718" w:type="dxa"/>
          </w:tcPr>
          <w:p w:rsidR="004B5860" w:rsidRPr="00277328" w:rsidRDefault="004B5860" w:rsidP="004B5860">
            <w:pPr>
              <w:cnfStyle w:val="000000000000"/>
              <w:rPr>
                <w:rFonts w:cstheme="minorHAnsi"/>
                <w:color w:val="000000"/>
                <w:sz w:val="20"/>
                <w:szCs w:val="20"/>
                <w:lang w:val="en-GB"/>
              </w:rPr>
            </w:pPr>
            <w:r w:rsidRPr="00277328">
              <w:rPr>
                <w:rFonts w:cstheme="minorHAnsi"/>
                <w:color w:val="000000"/>
                <w:sz w:val="20"/>
                <w:szCs w:val="20"/>
                <w:lang w:val="en-GB"/>
              </w:rPr>
              <w:t>-4.29</w:t>
            </w:r>
          </w:p>
          <w:p w:rsidR="004E00AE" w:rsidRPr="00277328" w:rsidRDefault="004E00AE" w:rsidP="00502068">
            <w:pPr>
              <w:cnfStyle w:val="000000000000"/>
              <w:rPr>
                <w:rFonts w:cstheme="minorHAnsi"/>
                <w:b/>
                <w:color w:val="auto"/>
                <w:sz w:val="20"/>
                <w:szCs w:val="20"/>
                <w:u w:val="single"/>
                <w:lang w:val="en-GB"/>
              </w:rPr>
            </w:pPr>
          </w:p>
        </w:tc>
        <w:tc>
          <w:tcPr>
            <w:tcW w:w="639" w:type="dxa"/>
          </w:tcPr>
          <w:p w:rsidR="004E00AE" w:rsidRPr="00277328" w:rsidRDefault="004E00AE" w:rsidP="00502068">
            <w:pPr>
              <w:cnfStyle w:val="000000000000"/>
              <w:rPr>
                <w:rFonts w:cstheme="minorHAnsi"/>
                <w:b/>
                <w:color w:val="auto"/>
                <w:sz w:val="20"/>
                <w:szCs w:val="20"/>
                <w:u w:val="single"/>
                <w:lang w:val="en-GB"/>
              </w:rPr>
            </w:pPr>
          </w:p>
        </w:tc>
        <w:tc>
          <w:tcPr>
            <w:tcW w:w="653" w:type="dxa"/>
            <w:gridSpan w:val="2"/>
          </w:tcPr>
          <w:p w:rsidR="004B5860" w:rsidRPr="00277328" w:rsidRDefault="004B5860" w:rsidP="004B5860">
            <w:pPr>
              <w:cnfStyle w:val="000000000000"/>
              <w:rPr>
                <w:rFonts w:cstheme="minorHAnsi"/>
                <w:color w:val="000000"/>
                <w:sz w:val="20"/>
                <w:szCs w:val="20"/>
                <w:lang w:val="en-GB"/>
              </w:rPr>
            </w:pPr>
            <w:r w:rsidRPr="00277328">
              <w:rPr>
                <w:rFonts w:cstheme="minorHAnsi"/>
                <w:color w:val="000000"/>
                <w:sz w:val="20"/>
                <w:szCs w:val="20"/>
                <w:lang w:val="en-GB"/>
              </w:rPr>
              <w:t>0.69</w:t>
            </w:r>
          </w:p>
          <w:p w:rsidR="004E00AE" w:rsidRPr="00277328" w:rsidRDefault="004E00AE" w:rsidP="00502068">
            <w:pPr>
              <w:cnfStyle w:val="000000000000"/>
              <w:rPr>
                <w:rFonts w:cstheme="minorHAnsi"/>
                <w:b/>
                <w:color w:val="auto"/>
                <w:sz w:val="20"/>
                <w:szCs w:val="20"/>
                <w:u w:val="single"/>
                <w:lang w:val="en-GB"/>
              </w:rPr>
            </w:pPr>
          </w:p>
        </w:tc>
        <w:tc>
          <w:tcPr>
            <w:tcW w:w="583" w:type="dxa"/>
          </w:tcPr>
          <w:p w:rsidR="004B5860" w:rsidRPr="00277328" w:rsidRDefault="004B5860" w:rsidP="004B5860">
            <w:pPr>
              <w:cnfStyle w:val="000000000000"/>
              <w:rPr>
                <w:rFonts w:cstheme="minorHAnsi"/>
                <w:color w:val="000000"/>
                <w:sz w:val="20"/>
                <w:szCs w:val="20"/>
                <w:lang w:val="en-GB"/>
              </w:rPr>
            </w:pPr>
            <w:r w:rsidRPr="00277328">
              <w:rPr>
                <w:rFonts w:cstheme="minorHAnsi"/>
                <w:color w:val="000000"/>
                <w:sz w:val="20"/>
                <w:szCs w:val="20"/>
                <w:lang w:val="en-GB"/>
              </w:rPr>
              <w:t>-14.81</w:t>
            </w:r>
          </w:p>
          <w:p w:rsidR="004E00AE" w:rsidRPr="00277328" w:rsidRDefault="004E00AE" w:rsidP="00502068">
            <w:pPr>
              <w:cnfStyle w:val="000000000000"/>
              <w:rPr>
                <w:rFonts w:cstheme="minorHAnsi"/>
                <w:b/>
                <w:color w:val="auto"/>
                <w:sz w:val="20"/>
                <w:szCs w:val="20"/>
                <w:u w:val="single"/>
                <w:lang w:val="en-GB"/>
              </w:rPr>
            </w:pPr>
          </w:p>
        </w:tc>
        <w:tc>
          <w:tcPr>
            <w:tcW w:w="650" w:type="dxa"/>
          </w:tcPr>
          <w:p w:rsidR="004E00AE" w:rsidRPr="00277328" w:rsidRDefault="004E00AE" w:rsidP="00502068">
            <w:pPr>
              <w:cnfStyle w:val="000000000000"/>
              <w:rPr>
                <w:rFonts w:cstheme="minorHAnsi"/>
                <w:b/>
                <w:color w:val="auto"/>
                <w:sz w:val="20"/>
                <w:szCs w:val="20"/>
                <w:u w:val="single"/>
                <w:lang w:val="en-GB"/>
              </w:rPr>
            </w:pPr>
          </w:p>
        </w:tc>
        <w:tc>
          <w:tcPr>
            <w:tcW w:w="651" w:type="dxa"/>
          </w:tcPr>
          <w:p w:rsidR="004B5860" w:rsidRPr="00277328" w:rsidRDefault="004B5860" w:rsidP="004B5860">
            <w:pPr>
              <w:cnfStyle w:val="000000000000"/>
              <w:rPr>
                <w:rFonts w:cstheme="minorHAnsi"/>
                <w:color w:val="000000"/>
                <w:sz w:val="20"/>
                <w:szCs w:val="20"/>
                <w:lang w:val="en-GB"/>
              </w:rPr>
            </w:pPr>
            <w:r w:rsidRPr="00277328">
              <w:rPr>
                <w:rFonts w:cstheme="minorHAnsi"/>
                <w:color w:val="000000"/>
                <w:sz w:val="20"/>
                <w:szCs w:val="20"/>
                <w:lang w:val="en-GB"/>
              </w:rPr>
              <w:t>0.78</w:t>
            </w:r>
          </w:p>
          <w:p w:rsidR="004E00AE" w:rsidRPr="00277328" w:rsidRDefault="004E00AE" w:rsidP="00502068">
            <w:pPr>
              <w:cnfStyle w:val="000000000000"/>
              <w:rPr>
                <w:rFonts w:cstheme="minorHAnsi"/>
                <w:b/>
                <w:color w:val="auto"/>
                <w:sz w:val="20"/>
                <w:szCs w:val="20"/>
                <w:u w:val="single"/>
                <w:lang w:val="en-GB"/>
              </w:rPr>
            </w:pPr>
          </w:p>
        </w:tc>
        <w:tc>
          <w:tcPr>
            <w:tcW w:w="605" w:type="dxa"/>
          </w:tcPr>
          <w:p w:rsidR="004B5860" w:rsidRPr="00277328" w:rsidRDefault="004B5860" w:rsidP="004B5860">
            <w:pPr>
              <w:cnfStyle w:val="000000000000"/>
              <w:rPr>
                <w:rFonts w:cstheme="minorHAnsi"/>
                <w:color w:val="000000"/>
                <w:sz w:val="20"/>
                <w:szCs w:val="20"/>
                <w:lang w:val="en-GB"/>
              </w:rPr>
            </w:pPr>
            <w:r w:rsidRPr="00277328">
              <w:rPr>
                <w:rFonts w:cstheme="minorHAnsi"/>
                <w:color w:val="000000"/>
                <w:sz w:val="20"/>
                <w:szCs w:val="20"/>
                <w:lang w:val="en-GB"/>
              </w:rPr>
              <w:t>-4.24</w:t>
            </w:r>
          </w:p>
          <w:p w:rsidR="004E00AE" w:rsidRPr="00277328" w:rsidRDefault="004E00AE" w:rsidP="00502068">
            <w:pPr>
              <w:cnfStyle w:val="000000000000"/>
              <w:rPr>
                <w:rFonts w:cstheme="minorHAnsi"/>
                <w:b/>
                <w:color w:val="auto"/>
                <w:sz w:val="20"/>
                <w:szCs w:val="20"/>
                <w:u w:val="single"/>
                <w:lang w:val="en-GB"/>
              </w:rPr>
            </w:pPr>
          </w:p>
        </w:tc>
        <w:tc>
          <w:tcPr>
            <w:tcW w:w="708" w:type="dxa"/>
          </w:tcPr>
          <w:p w:rsidR="004B5860" w:rsidRPr="00277328" w:rsidRDefault="004B5860" w:rsidP="004B5860">
            <w:pPr>
              <w:cnfStyle w:val="000000000000"/>
              <w:rPr>
                <w:rFonts w:cstheme="minorHAnsi"/>
                <w:color w:val="000000"/>
                <w:sz w:val="20"/>
                <w:szCs w:val="20"/>
                <w:lang w:val="en-GB"/>
              </w:rPr>
            </w:pPr>
          </w:p>
          <w:p w:rsidR="004E00AE" w:rsidRPr="00277328" w:rsidRDefault="004E00AE" w:rsidP="00502068">
            <w:pPr>
              <w:cnfStyle w:val="000000000000"/>
              <w:rPr>
                <w:rFonts w:cstheme="minorHAnsi"/>
                <w:b/>
                <w:color w:val="auto"/>
                <w:sz w:val="20"/>
                <w:szCs w:val="20"/>
                <w:u w:val="single"/>
                <w:lang w:val="en-GB"/>
              </w:rPr>
            </w:pPr>
          </w:p>
        </w:tc>
      </w:tr>
      <w:tr w:rsidR="004B5860" w:rsidRPr="00277328" w:rsidTr="004B5860">
        <w:trPr>
          <w:cnfStyle w:val="000000100000"/>
        </w:trPr>
        <w:tc>
          <w:tcPr>
            <w:cnfStyle w:val="001000000000"/>
            <w:tcW w:w="1745" w:type="dxa"/>
            <w:tcBorders>
              <w:left w:val="none" w:sz="0" w:space="0" w:color="auto"/>
              <w:right w:val="none" w:sz="0" w:space="0" w:color="auto"/>
            </w:tcBorders>
          </w:tcPr>
          <w:p w:rsidR="004B5860" w:rsidRPr="00277328" w:rsidRDefault="004B5860" w:rsidP="00502068">
            <w:pPr>
              <w:rPr>
                <w:sz w:val="20"/>
                <w:szCs w:val="20"/>
                <w:lang w:val="en-GB"/>
              </w:rPr>
            </w:pPr>
          </w:p>
        </w:tc>
        <w:tc>
          <w:tcPr>
            <w:tcW w:w="651" w:type="dxa"/>
            <w:tcBorders>
              <w:left w:val="none" w:sz="0" w:space="0" w:color="auto"/>
              <w:right w:val="none" w:sz="0" w:space="0" w:color="auto"/>
            </w:tcBorders>
          </w:tcPr>
          <w:p w:rsidR="004B5860" w:rsidRPr="00277328" w:rsidRDefault="004B5860" w:rsidP="004B5860">
            <w:pPr>
              <w:cnfStyle w:val="000000100000"/>
              <w:rPr>
                <w:rFonts w:cstheme="minorHAnsi"/>
                <w:color w:val="000000"/>
                <w:sz w:val="20"/>
                <w:szCs w:val="20"/>
                <w:lang w:val="en-GB"/>
              </w:rPr>
            </w:pPr>
          </w:p>
        </w:tc>
        <w:tc>
          <w:tcPr>
            <w:tcW w:w="718" w:type="dxa"/>
            <w:tcBorders>
              <w:left w:val="none" w:sz="0" w:space="0" w:color="auto"/>
              <w:right w:val="none" w:sz="0" w:space="0" w:color="auto"/>
            </w:tcBorders>
          </w:tcPr>
          <w:p w:rsidR="004B5860" w:rsidRPr="00277328" w:rsidRDefault="004B5860" w:rsidP="00502068">
            <w:pPr>
              <w:cnfStyle w:val="000000100000"/>
              <w:rPr>
                <w:rFonts w:cstheme="minorHAnsi"/>
                <w:b/>
                <w:sz w:val="20"/>
                <w:szCs w:val="20"/>
                <w:u w:val="single"/>
                <w:lang w:val="en-GB"/>
              </w:rPr>
            </w:pPr>
          </w:p>
        </w:tc>
        <w:tc>
          <w:tcPr>
            <w:tcW w:w="639" w:type="dxa"/>
            <w:tcBorders>
              <w:left w:val="none" w:sz="0" w:space="0" w:color="auto"/>
              <w:right w:val="none" w:sz="0" w:space="0" w:color="auto"/>
            </w:tcBorders>
          </w:tcPr>
          <w:p w:rsidR="004B5860" w:rsidRPr="00277328" w:rsidRDefault="004B5860" w:rsidP="004B5860">
            <w:pPr>
              <w:cnfStyle w:val="000000100000"/>
              <w:rPr>
                <w:rFonts w:cstheme="minorHAnsi"/>
                <w:color w:val="000000"/>
                <w:sz w:val="20"/>
                <w:szCs w:val="20"/>
                <w:lang w:val="en-GB"/>
              </w:rPr>
            </w:pPr>
            <w:r w:rsidRPr="00277328">
              <w:rPr>
                <w:rFonts w:cstheme="minorHAnsi"/>
                <w:color w:val="000000"/>
                <w:sz w:val="20"/>
                <w:szCs w:val="20"/>
                <w:lang w:val="en-GB"/>
              </w:rPr>
              <w:t>-2.88</w:t>
            </w:r>
          </w:p>
          <w:p w:rsidR="004B5860" w:rsidRPr="00277328" w:rsidRDefault="004B5860" w:rsidP="00502068">
            <w:pPr>
              <w:cnfStyle w:val="000000100000"/>
              <w:rPr>
                <w:rFonts w:cstheme="minorHAnsi"/>
                <w:b/>
                <w:sz w:val="20"/>
                <w:szCs w:val="20"/>
                <w:u w:val="single"/>
                <w:lang w:val="en-GB"/>
              </w:rPr>
            </w:pPr>
          </w:p>
        </w:tc>
        <w:tc>
          <w:tcPr>
            <w:tcW w:w="653" w:type="dxa"/>
            <w:gridSpan w:val="2"/>
            <w:tcBorders>
              <w:left w:val="none" w:sz="0" w:space="0" w:color="auto"/>
              <w:right w:val="none" w:sz="0" w:space="0" w:color="auto"/>
            </w:tcBorders>
          </w:tcPr>
          <w:p w:rsidR="004B5860" w:rsidRPr="00277328" w:rsidRDefault="004B5860" w:rsidP="00502068">
            <w:pPr>
              <w:cnfStyle w:val="000000100000"/>
              <w:rPr>
                <w:rFonts w:cstheme="minorHAnsi"/>
                <w:b/>
                <w:sz w:val="20"/>
                <w:szCs w:val="20"/>
                <w:u w:val="single"/>
                <w:lang w:val="en-GB"/>
              </w:rPr>
            </w:pPr>
          </w:p>
        </w:tc>
        <w:tc>
          <w:tcPr>
            <w:tcW w:w="583" w:type="dxa"/>
            <w:tcBorders>
              <w:left w:val="none" w:sz="0" w:space="0" w:color="auto"/>
              <w:right w:val="none" w:sz="0" w:space="0" w:color="auto"/>
            </w:tcBorders>
          </w:tcPr>
          <w:p w:rsidR="004B5860" w:rsidRPr="00277328" w:rsidRDefault="004B5860" w:rsidP="00502068">
            <w:pPr>
              <w:cnfStyle w:val="000000100000"/>
              <w:rPr>
                <w:rFonts w:cstheme="minorHAnsi"/>
                <w:b/>
                <w:sz w:val="20"/>
                <w:szCs w:val="20"/>
                <w:u w:val="single"/>
                <w:lang w:val="en-GB"/>
              </w:rPr>
            </w:pPr>
          </w:p>
        </w:tc>
        <w:tc>
          <w:tcPr>
            <w:tcW w:w="650" w:type="dxa"/>
            <w:tcBorders>
              <w:left w:val="none" w:sz="0" w:space="0" w:color="auto"/>
              <w:right w:val="none" w:sz="0" w:space="0" w:color="auto"/>
            </w:tcBorders>
          </w:tcPr>
          <w:p w:rsidR="004B5860" w:rsidRPr="00277328" w:rsidRDefault="004B5860" w:rsidP="004B5860">
            <w:pPr>
              <w:cnfStyle w:val="000000100000"/>
              <w:rPr>
                <w:rFonts w:cstheme="minorHAnsi"/>
                <w:color w:val="000000"/>
                <w:sz w:val="20"/>
                <w:szCs w:val="20"/>
                <w:lang w:val="en-GB"/>
              </w:rPr>
            </w:pPr>
            <w:r w:rsidRPr="00277328">
              <w:rPr>
                <w:rFonts w:cstheme="minorHAnsi"/>
                <w:color w:val="000000"/>
                <w:sz w:val="20"/>
                <w:szCs w:val="20"/>
                <w:lang w:val="en-GB"/>
              </w:rPr>
              <w:t>-1.22</w:t>
            </w:r>
          </w:p>
          <w:p w:rsidR="004B5860" w:rsidRPr="00277328" w:rsidRDefault="004B5860" w:rsidP="00502068">
            <w:pPr>
              <w:cnfStyle w:val="000000100000"/>
              <w:rPr>
                <w:rFonts w:cstheme="minorHAnsi"/>
                <w:b/>
                <w:sz w:val="20"/>
                <w:szCs w:val="20"/>
                <w:u w:val="single"/>
                <w:lang w:val="en-GB"/>
              </w:rPr>
            </w:pPr>
          </w:p>
        </w:tc>
        <w:tc>
          <w:tcPr>
            <w:tcW w:w="651" w:type="dxa"/>
            <w:tcBorders>
              <w:left w:val="none" w:sz="0" w:space="0" w:color="auto"/>
              <w:right w:val="none" w:sz="0" w:space="0" w:color="auto"/>
            </w:tcBorders>
          </w:tcPr>
          <w:p w:rsidR="004B5860" w:rsidRPr="00277328" w:rsidRDefault="004B5860" w:rsidP="00502068">
            <w:pPr>
              <w:cnfStyle w:val="000000100000"/>
              <w:rPr>
                <w:rFonts w:cstheme="minorHAnsi"/>
                <w:b/>
                <w:sz w:val="20"/>
                <w:szCs w:val="20"/>
                <w:u w:val="single"/>
                <w:lang w:val="en-GB"/>
              </w:rPr>
            </w:pPr>
          </w:p>
        </w:tc>
        <w:tc>
          <w:tcPr>
            <w:tcW w:w="605" w:type="dxa"/>
            <w:tcBorders>
              <w:left w:val="none" w:sz="0" w:space="0" w:color="auto"/>
              <w:right w:val="none" w:sz="0" w:space="0" w:color="auto"/>
            </w:tcBorders>
          </w:tcPr>
          <w:p w:rsidR="004B5860" w:rsidRPr="00277328" w:rsidRDefault="004B5860" w:rsidP="00502068">
            <w:pPr>
              <w:cnfStyle w:val="000000100000"/>
              <w:rPr>
                <w:rFonts w:cstheme="minorHAnsi"/>
                <w:b/>
                <w:sz w:val="20"/>
                <w:szCs w:val="20"/>
                <w:u w:val="single"/>
                <w:lang w:val="en-GB"/>
              </w:rPr>
            </w:pPr>
          </w:p>
        </w:tc>
        <w:tc>
          <w:tcPr>
            <w:tcW w:w="708" w:type="dxa"/>
            <w:tcBorders>
              <w:left w:val="none" w:sz="0" w:space="0" w:color="auto"/>
              <w:right w:val="none" w:sz="0" w:space="0" w:color="auto"/>
            </w:tcBorders>
          </w:tcPr>
          <w:p w:rsidR="004B5860" w:rsidRPr="00277328" w:rsidRDefault="004B5860" w:rsidP="004B5860">
            <w:pPr>
              <w:cnfStyle w:val="000000100000"/>
              <w:rPr>
                <w:rFonts w:cstheme="minorHAnsi"/>
                <w:color w:val="000000"/>
                <w:sz w:val="20"/>
                <w:szCs w:val="20"/>
                <w:lang w:val="en-GB"/>
              </w:rPr>
            </w:pPr>
            <w:r w:rsidRPr="00277328">
              <w:rPr>
                <w:rFonts w:cstheme="minorHAnsi"/>
                <w:color w:val="000000"/>
                <w:sz w:val="20"/>
                <w:szCs w:val="20"/>
                <w:lang w:val="en-GB"/>
              </w:rPr>
              <w:t>-3.94</w:t>
            </w:r>
          </w:p>
          <w:p w:rsidR="004B5860" w:rsidRPr="00277328" w:rsidRDefault="004B5860" w:rsidP="00502068">
            <w:pPr>
              <w:cnfStyle w:val="000000100000"/>
              <w:rPr>
                <w:rFonts w:cstheme="minorHAnsi"/>
                <w:b/>
                <w:sz w:val="20"/>
                <w:szCs w:val="20"/>
                <w:u w:val="single"/>
                <w:lang w:val="en-GB"/>
              </w:rPr>
            </w:pPr>
          </w:p>
        </w:tc>
      </w:tr>
      <w:tr w:rsidR="004B5860" w:rsidRPr="00277328" w:rsidTr="004E00AE">
        <w:tc>
          <w:tcPr>
            <w:cnfStyle w:val="001000000000"/>
            <w:tcW w:w="1745" w:type="dxa"/>
          </w:tcPr>
          <w:p w:rsidR="004E00AE" w:rsidRPr="00277328" w:rsidRDefault="004E00AE" w:rsidP="00502068">
            <w:pPr>
              <w:rPr>
                <w:color w:val="auto"/>
                <w:sz w:val="20"/>
                <w:szCs w:val="20"/>
                <w:lang w:val="en-GB"/>
              </w:rPr>
            </w:pPr>
            <w:r w:rsidRPr="00277328">
              <w:rPr>
                <w:color w:val="auto"/>
                <w:sz w:val="20"/>
                <w:szCs w:val="20"/>
                <w:lang w:val="en-GB"/>
              </w:rPr>
              <w:t>Aggregate efficiency alternative</w:t>
            </w:r>
          </w:p>
        </w:tc>
        <w:tc>
          <w:tcPr>
            <w:tcW w:w="651" w:type="dxa"/>
          </w:tcPr>
          <w:p w:rsidR="004B5860" w:rsidRPr="00277328" w:rsidRDefault="004B5860" w:rsidP="004B5860">
            <w:pPr>
              <w:cnfStyle w:val="000000000000"/>
              <w:rPr>
                <w:rFonts w:cstheme="minorHAnsi"/>
                <w:color w:val="000000"/>
                <w:sz w:val="20"/>
                <w:szCs w:val="20"/>
                <w:lang w:val="en-GB"/>
              </w:rPr>
            </w:pPr>
            <w:r w:rsidRPr="00277328">
              <w:rPr>
                <w:rFonts w:cstheme="minorHAnsi"/>
                <w:color w:val="000000"/>
                <w:sz w:val="20"/>
                <w:szCs w:val="20"/>
                <w:lang w:val="en-GB"/>
              </w:rPr>
              <w:t>0.97</w:t>
            </w:r>
          </w:p>
          <w:p w:rsidR="004E00AE" w:rsidRPr="00277328" w:rsidRDefault="004E00AE" w:rsidP="00502068">
            <w:pPr>
              <w:cnfStyle w:val="000000000000"/>
              <w:rPr>
                <w:rFonts w:cstheme="minorHAnsi"/>
                <w:b/>
                <w:color w:val="auto"/>
                <w:sz w:val="20"/>
                <w:szCs w:val="20"/>
                <w:u w:val="single"/>
                <w:lang w:val="en-GB"/>
              </w:rPr>
            </w:pPr>
          </w:p>
        </w:tc>
        <w:tc>
          <w:tcPr>
            <w:tcW w:w="718" w:type="dxa"/>
          </w:tcPr>
          <w:p w:rsidR="004B5860" w:rsidRPr="00277328" w:rsidRDefault="004B5860" w:rsidP="004B5860">
            <w:pPr>
              <w:cnfStyle w:val="000000000000"/>
              <w:rPr>
                <w:rFonts w:cstheme="minorHAnsi"/>
                <w:color w:val="000000"/>
                <w:sz w:val="20"/>
                <w:szCs w:val="20"/>
                <w:lang w:val="en-GB"/>
              </w:rPr>
            </w:pPr>
            <w:r w:rsidRPr="00277328">
              <w:rPr>
                <w:rFonts w:cstheme="minorHAnsi"/>
                <w:color w:val="000000"/>
                <w:sz w:val="20"/>
                <w:szCs w:val="20"/>
                <w:lang w:val="en-GB"/>
              </w:rPr>
              <w:t>12.39</w:t>
            </w:r>
          </w:p>
          <w:p w:rsidR="004E00AE" w:rsidRPr="00277328" w:rsidRDefault="004E00AE" w:rsidP="00502068">
            <w:pPr>
              <w:cnfStyle w:val="000000000000"/>
              <w:rPr>
                <w:rFonts w:cstheme="minorHAnsi"/>
                <w:b/>
                <w:color w:val="auto"/>
                <w:sz w:val="20"/>
                <w:szCs w:val="20"/>
                <w:u w:val="single"/>
                <w:lang w:val="en-GB"/>
              </w:rPr>
            </w:pPr>
          </w:p>
        </w:tc>
        <w:tc>
          <w:tcPr>
            <w:tcW w:w="639" w:type="dxa"/>
          </w:tcPr>
          <w:p w:rsidR="004E00AE" w:rsidRPr="00277328" w:rsidRDefault="004E00AE" w:rsidP="00502068">
            <w:pPr>
              <w:cnfStyle w:val="000000000000"/>
              <w:rPr>
                <w:rFonts w:cstheme="minorHAnsi"/>
                <w:b/>
                <w:color w:val="auto"/>
                <w:sz w:val="20"/>
                <w:szCs w:val="20"/>
                <w:u w:val="single"/>
                <w:lang w:val="en-GB"/>
              </w:rPr>
            </w:pPr>
          </w:p>
        </w:tc>
        <w:tc>
          <w:tcPr>
            <w:tcW w:w="653" w:type="dxa"/>
            <w:gridSpan w:val="2"/>
          </w:tcPr>
          <w:p w:rsidR="004B5860" w:rsidRPr="00277328" w:rsidRDefault="004B5860" w:rsidP="004B5860">
            <w:pPr>
              <w:cnfStyle w:val="000000000000"/>
              <w:rPr>
                <w:rFonts w:cstheme="minorHAnsi"/>
                <w:color w:val="000000"/>
                <w:sz w:val="20"/>
                <w:szCs w:val="20"/>
                <w:lang w:val="en-GB"/>
              </w:rPr>
            </w:pPr>
            <w:r w:rsidRPr="00277328">
              <w:rPr>
                <w:rFonts w:cstheme="minorHAnsi"/>
                <w:color w:val="000000"/>
                <w:sz w:val="20"/>
                <w:szCs w:val="20"/>
                <w:lang w:val="en-GB"/>
              </w:rPr>
              <w:t>0.95</w:t>
            </w:r>
          </w:p>
          <w:p w:rsidR="004E00AE" w:rsidRPr="00277328" w:rsidRDefault="004E00AE" w:rsidP="00502068">
            <w:pPr>
              <w:cnfStyle w:val="000000000000"/>
              <w:rPr>
                <w:rFonts w:cstheme="minorHAnsi"/>
                <w:b/>
                <w:color w:val="auto"/>
                <w:sz w:val="20"/>
                <w:szCs w:val="20"/>
                <w:u w:val="single"/>
                <w:lang w:val="en-GB"/>
              </w:rPr>
            </w:pPr>
          </w:p>
        </w:tc>
        <w:tc>
          <w:tcPr>
            <w:tcW w:w="583" w:type="dxa"/>
          </w:tcPr>
          <w:p w:rsidR="004B5860" w:rsidRPr="00277328" w:rsidRDefault="004B5860" w:rsidP="004B5860">
            <w:pPr>
              <w:cnfStyle w:val="000000000000"/>
              <w:rPr>
                <w:rFonts w:cstheme="minorHAnsi"/>
                <w:color w:val="000000"/>
                <w:sz w:val="20"/>
                <w:szCs w:val="20"/>
                <w:lang w:val="en-GB"/>
              </w:rPr>
            </w:pPr>
            <w:r w:rsidRPr="00277328">
              <w:rPr>
                <w:rFonts w:cstheme="minorHAnsi"/>
                <w:color w:val="000000"/>
                <w:sz w:val="20"/>
                <w:szCs w:val="20"/>
                <w:lang w:val="en-GB"/>
              </w:rPr>
              <w:t>18.13</w:t>
            </w:r>
          </w:p>
          <w:p w:rsidR="004E00AE" w:rsidRPr="00277328" w:rsidRDefault="004E00AE" w:rsidP="00502068">
            <w:pPr>
              <w:cnfStyle w:val="000000000000"/>
              <w:rPr>
                <w:rFonts w:cstheme="minorHAnsi"/>
                <w:b/>
                <w:color w:val="auto"/>
                <w:sz w:val="20"/>
                <w:szCs w:val="20"/>
                <w:u w:val="single"/>
                <w:lang w:val="en-GB"/>
              </w:rPr>
            </w:pPr>
          </w:p>
        </w:tc>
        <w:tc>
          <w:tcPr>
            <w:tcW w:w="650" w:type="dxa"/>
          </w:tcPr>
          <w:p w:rsidR="004E00AE" w:rsidRPr="00277328" w:rsidRDefault="004E00AE" w:rsidP="00502068">
            <w:pPr>
              <w:cnfStyle w:val="000000000000"/>
              <w:rPr>
                <w:rFonts w:cstheme="minorHAnsi"/>
                <w:b/>
                <w:color w:val="auto"/>
                <w:sz w:val="20"/>
                <w:szCs w:val="20"/>
                <w:u w:val="single"/>
                <w:lang w:val="en-GB"/>
              </w:rPr>
            </w:pPr>
          </w:p>
        </w:tc>
        <w:tc>
          <w:tcPr>
            <w:tcW w:w="651" w:type="dxa"/>
          </w:tcPr>
          <w:p w:rsidR="004B5860" w:rsidRPr="00277328" w:rsidRDefault="004B5860" w:rsidP="004B5860">
            <w:pPr>
              <w:cnfStyle w:val="000000000000"/>
              <w:rPr>
                <w:rFonts w:cstheme="minorHAnsi"/>
                <w:color w:val="000000"/>
                <w:sz w:val="20"/>
                <w:szCs w:val="20"/>
                <w:lang w:val="en-GB"/>
              </w:rPr>
            </w:pPr>
            <w:r w:rsidRPr="00277328">
              <w:rPr>
                <w:rFonts w:cstheme="minorHAnsi"/>
                <w:color w:val="000000"/>
                <w:sz w:val="20"/>
                <w:szCs w:val="20"/>
                <w:lang w:val="en-GB"/>
              </w:rPr>
              <w:t>0.95</w:t>
            </w:r>
          </w:p>
          <w:p w:rsidR="004E00AE" w:rsidRPr="00277328" w:rsidRDefault="004E00AE" w:rsidP="00502068">
            <w:pPr>
              <w:cnfStyle w:val="000000000000"/>
              <w:rPr>
                <w:rFonts w:cstheme="minorHAnsi"/>
                <w:b/>
                <w:color w:val="auto"/>
                <w:sz w:val="20"/>
                <w:szCs w:val="20"/>
                <w:u w:val="single"/>
                <w:lang w:val="en-GB"/>
              </w:rPr>
            </w:pPr>
          </w:p>
        </w:tc>
        <w:tc>
          <w:tcPr>
            <w:tcW w:w="605" w:type="dxa"/>
          </w:tcPr>
          <w:p w:rsidR="004B5860" w:rsidRPr="00277328" w:rsidRDefault="004B5860" w:rsidP="004B5860">
            <w:pPr>
              <w:cnfStyle w:val="000000000000"/>
              <w:rPr>
                <w:rFonts w:cstheme="minorHAnsi"/>
                <w:color w:val="000000"/>
                <w:sz w:val="20"/>
                <w:szCs w:val="20"/>
                <w:lang w:val="en-GB"/>
              </w:rPr>
            </w:pPr>
            <w:r w:rsidRPr="00277328">
              <w:rPr>
                <w:rFonts w:cstheme="minorHAnsi"/>
                <w:color w:val="000000"/>
                <w:sz w:val="20"/>
                <w:szCs w:val="20"/>
                <w:lang w:val="en-GB"/>
              </w:rPr>
              <w:t>16.70</w:t>
            </w:r>
          </w:p>
          <w:p w:rsidR="004E00AE" w:rsidRPr="00277328" w:rsidRDefault="004E00AE" w:rsidP="00502068">
            <w:pPr>
              <w:cnfStyle w:val="000000000000"/>
              <w:rPr>
                <w:rFonts w:cstheme="minorHAnsi"/>
                <w:b/>
                <w:color w:val="auto"/>
                <w:sz w:val="20"/>
                <w:szCs w:val="20"/>
                <w:u w:val="single"/>
                <w:lang w:val="en-GB"/>
              </w:rPr>
            </w:pPr>
          </w:p>
        </w:tc>
        <w:tc>
          <w:tcPr>
            <w:tcW w:w="708" w:type="dxa"/>
          </w:tcPr>
          <w:p w:rsidR="004E00AE" w:rsidRPr="00277328" w:rsidRDefault="004E00AE" w:rsidP="00502068">
            <w:pPr>
              <w:cnfStyle w:val="000000000000"/>
              <w:rPr>
                <w:rFonts w:cstheme="minorHAnsi"/>
                <w:b/>
                <w:color w:val="auto"/>
                <w:sz w:val="20"/>
                <w:szCs w:val="20"/>
                <w:u w:val="single"/>
                <w:lang w:val="en-GB"/>
              </w:rPr>
            </w:pPr>
          </w:p>
        </w:tc>
      </w:tr>
    </w:tbl>
    <w:p w:rsidR="00DC2CAC" w:rsidRPr="00277328" w:rsidRDefault="00DC2CAC" w:rsidP="00A42699">
      <w:pPr>
        <w:rPr>
          <w:sz w:val="24"/>
          <w:szCs w:val="24"/>
          <w:lang w:val="en-GB"/>
        </w:rPr>
      </w:pPr>
    </w:p>
    <w:p w:rsidR="00A42699" w:rsidRPr="00277328" w:rsidRDefault="00A42699" w:rsidP="00A42699">
      <w:pPr>
        <w:rPr>
          <w:i/>
          <w:szCs w:val="24"/>
          <w:lang w:val="en-GB"/>
        </w:rPr>
      </w:pPr>
      <w:r w:rsidRPr="00277328">
        <w:rPr>
          <w:i/>
          <w:szCs w:val="24"/>
          <w:lang w:val="en-GB"/>
        </w:rPr>
        <w:t>Equity-Efficiency trade offs</w:t>
      </w:r>
    </w:p>
    <w:p w:rsidR="00A42699" w:rsidRPr="00277328" w:rsidRDefault="00A42699" w:rsidP="00A42699">
      <w:pPr>
        <w:rPr>
          <w:szCs w:val="24"/>
          <w:lang w:val="en-GB"/>
        </w:rPr>
      </w:pPr>
      <w:r w:rsidRPr="00277328">
        <w:rPr>
          <w:szCs w:val="24"/>
          <w:lang w:val="en-GB"/>
        </w:rPr>
        <w:t>Based on the aggregate percentage differences in probabilities for the two sets of criteria, equity-efficiency tr</w:t>
      </w:r>
      <w:r w:rsidR="00741164" w:rsidRPr="00277328">
        <w:rPr>
          <w:szCs w:val="24"/>
          <w:lang w:val="en-GB"/>
        </w:rPr>
        <w:t>ade-offs ratios are calculated</w:t>
      </w:r>
      <w:r w:rsidRPr="00277328">
        <w:rPr>
          <w:szCs w:val="24"/>
          <w:lang w:val="en-GB"/>
        </w:rPr>
        <w:t xml:space="preserve">. Once again, estimations are implemented for each age group and each region. </w:t>
      </w:r>
    </w:p>
    <w:p w:rsidR="00A42699" w:rsidRPr="00277328" w:rsidRDefault="00A42699" w:rsidP="00A42699">
      <w:pPr>
        <w:pStyle w:val="ListParagraph"/>
        <w:numPr>
          <w:ilvl w:val="0"/>
          <w:numId w:val="3"/>
        </w:numPr>
        <w:rPr>
          <w:szCs w:val="24"/>
          <w:lang w:val="en-GB"/>
        </w:rPr>
      </w:pPr>
      <w:r w:rsidRPr="00277328">
        <w:rPr>
          <w:i/>
          <w:szCs w:val="24"/>
          <w:lang w:val="en-GB"/>
        </w:rPr>
        <w:t xml:space="preserve">Interventions targeting young age groups: </w:t>
      </w:r>
      <w:r w:rsidRPr="00277328">
        <w:rPr>
          <w:szCs w:val="24"/>
          <w:lang w:val="en-GB"/>
        </w:rPr>
        <w:t xml:space="preserve">In the setting of Catalonia/Basque and Cantabria/Valencia regions, equity-efficiency ratios of 5.6 and 4.7 are being observed. That is, efficiency is 5.6 and 4.7 times more desirable than equity, respectively. In the region of Madrid, this figure turns to 3.8, indicating the times that efficiency is preferred over equity. </w:t>
      </w:r>
    </w:p>
    <w:p w:rsidR="00A42699" w:rsidRPr="00277328" w:rsidRDefault="00A42699" w:rsidP="00A42699">
      <w:pPr>
        <w:pStyle w:val="ListParagraph"/>
        <w:rPr>
          <w:szCs w:val="24"/>
          <w:lang w:val="en-GB"/>
        </w:rPr>
      </w:pPr>
    </w:p>
    <w:p w:rsidR="00A42699" w:rsidRPr="00277328" w:rsidRDefault="00A42699" w:rsidP="00A42699">
      <w:pPr>
        <w:pStyle w:val="ListParagraph"/>
        <w:numPr>
          <w:ilvl w:val="0"/>
          <w:numId w:val="3"/>
        </w:numPr>
        <w:rPr>
          <w:i/>
          <w:szCs w:val="24"/>
          <w:lang w:val="en-GB"/>
        </w:rPr>
      </w:pPr>
      <w:r w:rsidRPr="00277328">
        <w:rPr>
          <w:i/>
          <w:szCs w:val="24"/>
          <w:lang w:val="en-GB"/>
        </w:rPr>
        <w:t xml:space="preserve">Interventions targeting middle age groups: </w:t>
      </w:r>
      <w:r w:rsidRPr="00277328">
        <w:rPr>
          <w:szCs w:val="24"/>
          <w:lang w:val="en-GB"/>
        </w:rPr>
        <w:t xml:space="preserve">The equity-efficiency ratios do not change significantly for interventions targeting middle age groups. For instance, in Catalonia and the Basque country efficiency criteria are 6.4 times more important than equity criteria. This ratio is lower for the other regions, with efficiency being 5.5 and 5.2 times more desirable in Cantabria/Valencia and Madrid, respectively. </w:t>
      </w:r>
    </w:p>
    <w:p w:rsidR="00A42699" w:rsidRPr="00277328" w:rsidRDefault="00A42699" w:rsidP="00A42699">
      <w:pPr>
        <w:pStyle w:val="ListParagraph"/>
        <w:rPr>
          <w:i/>
          <w:szCs w:val="24"/>
          <w:lang w:val="en-GB"/>
        </w:rPr>
      </w:pPr>
    </w:p>
    <w:p w:rsidR="00715B70" w:rsidRPr="00277328" w:rsidRDefault="00A42699" w:rsidP="00715B70">
      <w:pPr>
        <w:pStyle w:val="ListParagraph"/>
        <w:numPr>
          <w:ilvl w:val="0"/>
          <w:numId w:val="3"/>
        </w:numPr>
        <w:rPr>
          <w:i/>
          <w:szCs w:val="24"/>
          <w:lang w:val="en-GB"/>
        </w:rPr>
      </w:pPr>
      <w:r w:rsidRPr="00277328">
        <w:rPr>
          <w:i/>
          <w:szCs w:val="24"/>
          <w:lang w:val="en-GB"/>
        </w:rPr>
        <w:t xml:space="preserve">Interventions targeting old age groups: </w:t>
      </w:r>
      <w:r w:rsidRPr="00277328">
        <w:rPr>
          <w:szCs w:val="24"/>
          <w:lang w:val="en-GB"/>
        </w:rPr>
        <w:t xml:space="preserve">With respect to interventions targeting the elderly, results should be interpreted with caution. Given the negative value obtained for the aggregate equity criteria, the aforementioned explanation is less meaningful. That is, equity aspects are not desirable in any region and policy makers are willing to sacrifice efficiency in order to avoid any equity gains. In other words, respondents from Catalonia and the Basque country are indifferent (or find equally desirable) between one unit drop in efficiency and an almost 3 times increase in equity (given the negative equity-efficiency ratio of 2.9). These figures are similar in the regions of Cantabria/Valencia and Madrid, with equity-efficiency ratios of 1.22 and 4%, respectively.  </w:t>
      </w:r>
    </w:p>
    <w:p w:rsidR="00A73111" w:rsidRPr="00277328" w:rsidRDefault="00A73111" w:rsidP="00715B70">
      <w:pPr>
        <w:rPr>
          <w:i/>
          <w:sz w:val="24"/>
          <w:szCs w:val="24"/>
          <w:lang w:val="en-GB"/>
        </w:rPr>
      </w:pPr>
    </w:p>
    <w:p w:rsidR="00A42699" w:rsidRPr="00277328" w:rsidRDefault="00A42699" w:rsidP="00950BD7">
      <w:pPr>
        <w:pStyle w:val="Heading2"/>
        <w:rPr>
          <w:lang w:val="en-GB"/>
        </w:rPr>
      </w:pPr>
      <w:bookmarkStart w:id="32" w:name="_Toc367791024"/>
      <w:r w:rsidRPr="00277328">
        <w:rPr>
          <w:lang w:val="en-GB"/>
        </w:rPr>
        <w:t>Composite league table calculations</w:t>
      </w:r>
      <w:bookmarkEnd w:id="32"/>
    </w:p>
    <w:p w:rsidR="001C4498" w:rsidRPr="00277328" w:rsidRDefault="00A42699" w:rsidP="00A42699">
      <w:pPr>
        <w:rPr>
          <w:szCs w:val="24"/>
          <w:lang w:val="en-GB"/>
        </w:rPr>
      </w:pPr>
      <w:r w:rsidRPr="00277328">
        <w:rPr>
          <w:szCs w:val="24"/>
          <w:lang w:val="en-GB"/>
        </w:rPr>
        <w:t>As discussed earlier, based on the parameters estimates health interventions have been ranked in a CLT, according to their selection probabilities. This policy exercise aimed at establishing the relative priority that respondents give to interventions according to their characteristics. Overall rankings are provided, based on the estimated coefficients of both the general a</w:t>
      </w:r>
      <w:r w:rsidR="00E70ECF" w:rsidRPr="00277328">
        <w:rPr>
          <w:szCs w:val="24"/>
          <w:lang w:val="en-GB"/>
        </w:rPr>
        <w:t>nd the three sub-models. Overall results</w:t>
      </w:r>
      <w:r w:rsidR="00715B70" w:rsidRPr="00277328">
        <w:rPr>
          <w:szCs w:val="24"/>
          <w:lang w:val="en-GB"/>
        </w:rPr>
        <w:t xml:space="preserve"> for general </w:t>
      </w:r>
      <w:r w:rsidR="00E70ECF" w:rsidRPr="00277328">
        <w:rPr>
          <w:szCs w:val="24"/>
          <w:lang w:val="en-GB"/>
        </w:rPr>
        <w:t>as well as the three sub-</w:t>
      </w:r>
      <w:r w:rsidR="00E70ECF" w:rsidRPr="00277328">
        <w:rPr>
          <w:szCs w:val="24"/>
          <w:lang w:val="en-GB"/>
        </w:rPr>
        <w:lastRenderedPageBreak/>
        <w:t xml:space="preserve">models </w:t>
      </w:r>
      <w:r w:rsidRPr="00277328">
        <w:rPr>
          <w:szCs w:val="24"/>
          <w:lang w:val="en-GB"/>
        </w:rPr>
        <w:t>are</w:t>
      </w:r>
      <w:r w:rsidR="00715B70" w:rsidRPr="00277328">
        <w:rPr>
          <w:szCs w:val="24"/>
          <w:lang w:val="en-GB"/>
        </w:rPr>
        <w:t xml:space="preserve"> presented in Table</w:t>
      </w:r>
      <w:r w:rsidR="001F0FBA" w:rsidRPr="00277328">
        <w:rPr>
          <w:szCs w:val="24"/>
          <w:lang w:val="en-GB"/>
        </w:rPr>
        <w:t>s</w:t>
      </w:r>
      <w:r w:rsidR="00BD09A6">
        <w:rPr>
          <w:szCs w:val="24"/>
          <w:lang w:val="en-GB"/>
        </w:rPr>
        <w:t xml:space="preserve"> 11 and 12</w:t>
      </w:r>
      <w:r w:rsidRPr="00277328">
        <w:rPr>
          <w:szCs w:val="24"/>
          <w:lang w:val="en-GB"/>
        </w:rPr>
        <w:t>. As mentioned earlier, different calculations were required, in order to take into account the three categories of the “age of target group” criterion. Further, measurements were repeated for each region included in the study. Tables</w:t>
      </w:r>
      <w:r w:rsidR="00C7642D" w:rsidRPr="00277328">
        <w:rPr>
          <w:szCs w:val="24"/>
          <w:lang w:val="en-GB"/>
        </w:rPr>
        <w:t xml:space="preserve"> </w:t>
      </w:r>
      <w:r w:rsidR="006573F1">
        <w:rPr>
          <w:szCs w:val="24"/>
          <w:lang w:val="en-GB"/>
        </w:rPr>
        <w:t>13, 14 and 15</w:t>
      </w:r>
      <w:r w:rsidR="005C0488" w:rsidRPr="00277328">
        <w:rPr>
          <w:szCs w:val="24"/>
          <w:lang w:val="en-GB"/>
        </w:rPr>
        <w:t xml:space="preserve"> </w:t>
      </w:r>
      <w:r w:rsidR="00F16517">
        <w:rPr>
          <w:szCs w:val="24"/>
          <w:lang w:val="en-GB"/>
        </w:rPr>
        <w:t>summaris</w:t>
      </w:r>
      <w:r w:rsidRPr="00277328">
        <w:rPr>
          <w:szCs w:val="24"/>
          <w:lang w:val="en-GB"/>
        </w:rPr>
        <w:t>e the results for each age category in all three regions.</w:t>
      </w:r>
    </w:p>
    <w:p w:rsidR="001C4498" w:rsidRPr="00277328" w:rsidRDefault="001C4498" w:rsidP="00A42699">
      <w:pPr>
        <w:rPr>
          <w:sz w:val="24"/>
          <w:szCs w:val="24"/>
          <w:lang w:val="en-GB"/>
        </w:rPr>
      </w:pPr>
    </w:p>
    <w:p w:rsidR="00A42699" w:rsidRPr="00277328" w:rsidRDefault="006573F1" w:rsidP="00A42699">
      <w:pPr>
        <w:rPr>
          <w:b/>
          <w:szCs w:val="24"/>
          <w:u w:val="single"/>
          <w:lang w:val="en-GB"/>
        </w:rPr>
      </w:pPr>
      <w:r>
        <w:rPr>
          <w:b/>
          <w:szCs w:val="24"/>
          <w:u w:val="single"/>
          <w:lang w:val="en-GB"/>
        </w:rPr>
        <w:t>Table 11</w:t>
      </w:r>
      <w:r w:rsidR="006F1293" w:rsidRPr="00277328">
        <w:rPr>
          <w:b/>
          <w:szCs w:val="24"/>
          <w:u w:val="single"/>
          <w:lang w:val="en-GB"/>
        </w:rPr>
        <w:t xml:space="preserve">: CLT rankings for the general model </w:t>
      </w:r>
    </w:p>
    <w:tbl>
      <w:tblPr>
        <w:tblW w:w="8565" w:type="dxa"/>
        <w:tblInd w:w="93" w:type="dxa"/>
        <w:tblLook w:val="04A0"/>
      </w:tblPr>
      <w:tblGrid>
        <w:gridCol w:w="3420"/>
        <w:gridCol w:w="4284"/>
        <w:gridCol w:w="1127"/>
      </w:tblGrid>
      <w:tr w:rsidR="005C610F" w:rsidRPr="00E42063" w:rsidTr="00E42063">
        <w:trPr>
          <w:trHeight w:val="420"/>
        </w:trPr>
        <w:tc>
          <w:tcPr>
            <w:tcW w:w="3420" w:type="dxa"/>
            <w:tcBorders>
              <w:top w:val="single" w:sz="4" w:space="0" w:color="auto"/>
              <w:left w:val="single" w:sz="4" w:space="0" w:color="auto"/>
              <w:bottom w:val="single" w:sz="4" w:space="0" w:color="auto"/>
              <w:right w:val="single" w:sz="4" w:space="0" w:color="auto"/>
            </w:tcBorders>
            <w:shd w:val="clear" w:color="000000" w:fill="FF99CC"/>
            <w:vAlign w:val="center"/>
            <w:hideMark/>
          </w:tcPr>
          <w:p w:rsidR="005C610F" w:rsidRPr="00BC2CDC" w:rsidRDefault="005C610F" w:rsidP="005E1621">
            <w:pPr>
              <w:spacing w:after="0"/>
              <w:rPr>
                <w:rFonts w:ascii="Times New Roman" w:hAnsi="Times New Roman" w:cs="Times New Roman"/>
                <w:b/>
                <w:bCs/>
                <w:sz w:val="18"/>
                <w:szCs w:val="18"/>
                <w:lang w:val="en-GB"/>
              </w:rPr>
            </w:pPr>
            <w:r w:rsidRPr="00BC2CDC">
              <w:rPr>
                <w:rFonts w:ascii="Times New Roman" w:hAnsi="Times New Roman" w:cs="Times New Roman"/>
                <w:b/>
                <w:bCs/>
                <w:sz w:val="18"/>
                <w:szCs w:val="18"/>
                <w:lang w:val="en-GB"/>
              </w:rPr>
              <w:t>CLINICAL CONDITION</w:t>
            </w:r>
          </w:p>
        </w:tc>
        <w:tc>
          <w:tcPr>
            <w:tcW w:w="4284" w:type="dxa"/>
            <w:tcBorders>
              <w:top w:val="single" w:sz="4" w:space="0" w:color="auto"/>
              <w:left w:val="nil"/>
              <w:bottom w:val="single" w:sz="4" w:space="0" w:color="auto"/>
              <w:right w:val="single" w:sz="4" w:space="0" w:color="auto"/>
            </w:tcBorders>
            <w:shd w:val="clear" w:color="000000" w:fill="FFCC00"/>
            <w:vAlign w:val="center"/>
            <w:hideMark/>
          </w:tcPr>
          <w:p w:rsidR="005C610F" w:rsidRPr="00BC2CDC" w:rsidRDefault="005C610F" w:rsidP="005E1621">
            <w:pPr>
              <w:spacing w:after="0"/>
              <w:jc w:val="center"/>
              <w:rPr>
                <w:rFonts w:ascii="Times New Roman" w:hAnsi="Times New Roman" w:cs="Times New Roman"/>
                <w:b/>
                <w:bCs/>
                <w:sz w:val="18"/>
                <w:szCs w:val="18"/>
                <w:lang w:val="en-GB"/>
              </w:rPr>
            </w:pPr>
            <w:r w:rsidRPr="00BC2CDC">
              <w:rPr>
                <w:rFonts w:ascii="Times New Roman" w:hAnsi="Times New Roman" w:cs="Times New Roman"/>
                <w:b/>
                <w:bCs/>
                <w:sz w:val="18"/>
                <w:szCs w:val="18"/>
                <w:lang w:val="en-GB"/>
              </w:rPr>
              <w:t>Intervention</w:t>
            </w:r>
          </w:p>
        </w:tc>
        <w:tc>
          <w:tcPr>
            <w:tcW w:w="861" w:type="dxa"/>
            <w:tcBorders>
              <w:top w:val="single" w:sz="4" w:space="0" w:color="auto"/>
              <w:left w:val="nil"/>
              <w:bottom w:val="single" w:sz="4" w:space="0" w:color="auto"/>
              <w:right w:val="single" w:sz="4" w:space="0" w:color="auto"/>
            </w:tcBorders>
            <w:shd w:val="clear" w:color="000000" w:fill="EEECE1"/>
            <w:noWrap/>
            <w:vAlign w:val="center"/>
            <w:hideMark/>
          </w:tcPr>
          <w:p w:rsidR="005C610F" w:rsidRPr="00BC2CDC" w:rsidRDefault="005C610F" w:rsidP="005E1621">
            <w:pPr>
              <w:spacing w:after="0"/>
              <w:jc w:val="center"/>
              <w:rPr>
                <w:rFonts w:ascii="Times New Roman" w:hAnsi="Times New Roman" w:cs="Times New Roman"/>
                <w:b/>
                <w:bCs/>
                <w:sz w:val="18"/>
                <w:szCs w:val="18"/>
                <w:lang w:val="en-GB"/>
              </w:rPr>
            </w:pPr>
            <w:r w:rsidRPr="00BC2CDC">
              <w:rPr>
                <w:rFonts w:ascii="Times New Roman" w:hAnsi="Times New Roman" w:cs="Times New Roman"/>
                <w:b/>
                <w:bCs/>
                <w:sz w:val="18"/>
                <w:szCs w:val="18"/>
                <w:lang w:val="en-GB"/>
              </w:rPr>
              <w:t>Cond</w:t>
            </w:r>
            <w:r w:rsidR="00E70ECF" w:rsidRPr="00BC2CDC">
              <w:rPr>
                <w:rFonts w:ascii="Times New Roman" w:hAnsi="Times New Roman" w:cs="Times New Roman"/>
                <w:b/>
                <w:bCs/>
                <w:sz w:val="18"/>
                <w:szCs w:val="18"/>
                <w:lang w:val="en-GB"/>
              </w:rPr>
              <w:t>itional</w:t>
            </w:r>
            <w:r w:rsidRPr="00BC2CDC">
              <w:rPr>
                <w:rFonts w:ascii="Times New Roman" w:hAnsi="Times New Roman" w:cs="Times New Roman"/>
                <w:b/>
                <w:bCs/>
                <w:sz w:val="18"/>
                <w:szCs w:val="18"/>
                <w:lang w:val="en-GB"/>
              </w:rPr>
              <w:t xml:space="preserve"> Rank</w:t>
            </w:r>
          </w:p>
        </w:tc>
      </w:tr>
      <w:tr w:rsidR="005C610F" w:rsidRPr="00E42063" w:rsidTr="006A5A0D">
        <w:trPr>
          <w:trHeight w:val="558"/>
        </w:trPr>
        <w:tc>
          <w:tcPr>
            <w:tcW w:w="3420" w:type="dxa"/>
            <w:tcBorders>
              <w:top w:val="nil"/>
              <w:left w:val="single" w:sz="4" w:space="0" w:color="auto"/>
              <w:bottom w:val="single" w:sz="4" w:space="0" w:color="auto"/>
              <w:right w:val="single" w:sz="4" w:space="0" w:color="auto"/>
            </w:tcBorders>
            <w:shd w:val="clear" w:color="auto" w:fill="auto"/>
            <w:hideMark/>
          </w:tcPr>
          <w:p w:rsidR="005C610F" w:rsidRPr="00BC2CDC" w:rsidRDefault="005C610F" w:rsidP="005E1621">
            <w:pPr>
              <w:spacing w:after="0"/>
              <w:rPr>
                <w:rFonts w:ascii="Times New Roman" w:hAnsi="Times New Roman" w:cs="Times New Roman"/>
                <w:b/>
                <w:bCs/>
                <w:sz w:val="18"/>
                <w:szCs w:val="18"/>
                <w:lang w:val="en-GB"/>
              </w:rPr>
            </w:pPr>
            <w:r w:rsidRPr="00BC2CDC">
              <w:rPr>
                <w:rFonts w:ascii="Times New Roman" w:hAnsi="Times New Roman" w:cs="Times New Roman"/>
                <w:b/>
                <w:bCs/>
                <w:sz w:val="18"/>
                <w:szCs w:val="18"/>
                <w:lang w:val="en-GB"/>
              </w:rPr>
              <w:t> </w:t>
            </w:r>
          </w:p>
        </w:tc>
        <w:tc>
          <w:tcPr>
            <w:tcW w:w="4284" w:type="dxa"/>
            <w:tcBorders>
              <w:top w:val="nil"/>
              <w:left w:val="nil"/>
              <w:bottom w:val="single" w:sz="4" w:space="0" w:color="auto"/>
              <w:right w:val="single" w:sz="4" w:space="0" w:color="auto"/>
            </w:tcBorders>
            <w:shd w:val="clear" w:color="auto" w:fill="auto"/>
            <w:hideMark/>
          </w:tcPr>
          <w:p w:rsidR="005C610F" w:rsidRPr="00BC2CDC" w:rsidRDefault="005C610F" w:rsidP="005E1621">
            <w:pPr>
              <w:spacing w:after="0"/>
              <w:rPr>
                <w:rFonts w:ascii="Times New Roman" w:hAnsi="Times New Roman" w:cs="Times New Roman"/>
                <w:b/>
                <w:bCs/>
                <w:sz w:val="18"/>
                <w:szCs w:val="18"/>
                <w:lang w:val="en-GB"/>
              </w:rPr>
            </w:pPr>
            <w:r w:rsidRPr="00BC2CDC">
              <w:rPr>
                <w:rFonts w:ascii="Times New Roman" w:hAnsi="Times New Roman" w:cs="Times New Roman"/>
                <w:b/>
                <w:bCs/>
                <w:sz w:val="18"/>
                <w:szCs w:val="18"/>
                <w:lang w:val="en-GB"/>
              </w:rPr>
              <w:t> </w:t>
            </w:r>
          </w:p>
        </w:tc>
        <w:tc>
          <w:tcPr>
            <w:tcW w:w="861" w:type="dxa"/>
            <w:tcBorders>
              <w:top w:val="single" w:sz="4" w:space="0" w:color="auto"/>
              <w:left w:val="nil"/>
              <w:bottom w:val="single" w:sz="4" w:space="0" w:color="auto"/>
              <w:right w:val="single" w:sz="4" w:space="0" w:color="auto"/>
            </w:tcBorders>
            <w:shd w:val="clear" w:color="auto" w:fill="auto"/>
            <w:noWrap/>
            <w:vAlign w:val="bottom"/>
            <w:hideMark/>
          </w:tcPr>
          <w:p w:rsidR="005C610F" w:rsidRPr="00BC2CDC" w:rsidRDefault="005C610F" w:rsidP="005E1621">
            <w:pPr>
              <w:spacing w:after="0"/>
              <w:rPr>
                <w:rFonts w:ascii="Times New Roman" w:hAnsi="Times New Roman" w:cs="Times New Roman"/>
                <w:color w:val="000000"/>
                <w:sz w:val="18"/>
                <w:szCs w:val="18"/>
                <w:lang w:val="en-GB"/>
              </w:rPr>
            </w:pPr>
          </w:p>
        </w:tc>
      </w:tr>
      <w:tr w:rsidR="005C610F" w:rsidRPr="00E42063" w:rsidTr="00E42063">
        <w:trPr>
          <w:trHeight w:val="300"/>
        </w:trPr>
        <w:tc>
          <w:tcPr>
            <w:tcW w:w="3420" w:type="dxa"/>
            <w:tcBorders>
              <w:top w:val="nil"/>
              <w:left w:val="single" w:sz="4" w:space="0" w:color="auto"/>
              <w:bottom w:val="single" w:sz="4" w:space="0" w:color="auto"/>
              <w:right w:val="single" w:sz="4" w:space="0" w:color="auto"/>
            </w:tcBorders>
            <w:shd w:val="clear" w:color="000000" w:fill="948A54"/>
            <w:noWrap/>
            <w:vAlign w:val="bottom"/>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 xml:space="preserve">Suicide and intentional self-harm </w:t>
            </w:r>
          </w:p>
        </w:tc>
        <w:tc>
          <w:tcPr>
            <w:tcW w:w="4284" w:type="dxa"/>
            <w:tcBorders>
              <w:top w:val="nil"/>
              <w:left w:val="nil"/>
              <w:bottom w:val="single" w:sz="4" w:space="0" w:color="auto"/>
              <w:right w:val="single" w:sz="4" w:space="0" w:color="auto"/>
            </w:tcBorders>
            <w:shd w:val="clear" w:color="000000" w:fill="948A54"/>
            <w:noWrap/>
            <w:vAlign w:val="bottom"/>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Education, promote individual, family, community connectedness</w:t>
            </w:r>
          </w:p>
        </w:tc>
        <w:tc>
          <w:tcPr>
            <w:tcW w:w="861" w:type="dxa"/>
            <w:tcBorders>
              <w:top w:val="single" w:sz="4" w:space="0" w:color="auto"/>
              <w:left w:val="nil"/>
              <w:bottom w:val="single" w:sz="4" w:space="0" w:color="auto"/>
              <w:right w:val="single" w:sz="4" w:space="0" w:color="auto"/>
            </w:tcBorders>
            <w:shd w:val="clear" w:color="000000" w:fill="FFFF00"/>
            <w:noWrap/>
            <w:vAlign w:val="bottom"/>
            <w:hideMark/>
          </w:tcPr>
          <w:p w:rsidR="005C610F" w:rsidRPr="00BC2CDC" w:rsidRDefault="005C610F" w:rsidP="005E1621">
            <w:pPr>
              <w:spacing w:after="0"/>
              <w:jc w:val="right"/>
              <w:rPr>
                <w:rFonts w:ascii="Times New Roman" w:hAnsi="Times New Roman" w:cs="Times New Roman"/>
                <w:color w:val="000000"/>
                <w:sz w:val="18"/>
                <w:szCs w:val="18"/>
                <w:lang w:val="en-GB"/>
              </w:rPr>
            </w:pPr>
            <w:r w:rsidRPr="00BC2CDC">
              <w:rPr>
                <w:rFonts w:ascii="Times New Roman" w:hAnsi="Times New Roman" w:cs="Times New Roman"/>
                <w:color w:val="000000"/>
                <w:sz w:val="18"/>
                <w:szCs w:val="18"/>
                <w:lang w:val="en-GB"/>
              </w:rPr>
              <w:t>1</w:t>
            </w:r>
          </w:p>
        </w:tc>
      </w:tr>
      <w:tr w:rsidR="005C610F" w:rsidRPr="00E42063" w:rsidTr="00E42063">
        <w:trPr>
          <w:trHeight w:val="300"/>
        </w:trPr>
        <w:tc>
          <w:tcPr>
            <w:tcW w:w="3420" w:type="dxa"/>
            <w:tcBorders>
              <w:top w:val="nil"/>
              <w:left w:val="single" w:sz="4" w:space="0" w:color="auto"/>
              <w:bottom w:val="single" w:sz="4" w:space="0" w:color="auto"/>
              <w:right w:val="single" w:sz="4" w:space="0" w:color="auto"/>
            </w:tcBorders>
            <w:shd w:val="clear" w:color="000000" w:fill="948A54"/>
            <w:noWrap/>
            <w:vAlign w:val="bottom"/>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Major depressive disorder</w:t>
            </w:r>
          </w:p>
        </w:tc>
        <w:tc>
          <w:tcPr>
            <w:tcW w:w="4284" w:type="dxa"/>
            <w:tcBorders>
              <w:top w:val="nil"/>
              <w:left w:val="nil"/>
              <w:bottom w:val="single" w:sz="4" w:space="0" w:color="auto"/>
              <w:right w:val="single" w:sz="4" w:space="0" w:color="auto"/>
            </w:tcBorders>
            <w:shd w:val="clear" w:color="000000" w:fill="948A54"/>
            <w:noWrap/>
            <w:vAlign w:val="bottom"/>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Older antidepressant drug medication (TCA)</w:t>
            </w:r>
          </w:p>
        </w:tc>
        <w:tc>
          <w:tcPr>
            <w:tcW w:w="861" w:type="dxa"/>
            <w:tcBorders>
              <w:top w:val="nil"/>
              <w:left w:val="nil"/>
              <w:bottom w:val="single" w:sz="4" w:space="0" w:color="auto"/>
              <w:right w:val="single" w:sz="4" w:space="0" w:color="auto"/>
            </w:tcBorders>
            <w:shd w:val="clear" w:color="000000" w:fill="FFFF00"/>
            <w:noWrap/>
            <w:vAlign w:val="bottom"/>
            <w:hideMark/>
          </w:tcPr>
          <w:p w:rsidR="005C610F" w:rsidRPr="00BC2CDC" w:rsidRDefault="005C610F" w:rsidP="005E1621">
            <w:pPr>
              <w:spacing w:after="0"/>
              <w:jc w:val="right"/>
              <w:rPr>
                <w:rFonts w:ascii="Times New Roman" w:hAnsi="Times New Roman" w:cs="Times New Roman"/>
                <w:color w:val="000000"/>
                <w:sz w:val="18"/>
                <w:szCs w:val="18"/>
                <w:lang w:val="en-GB"/>
              </w:rPr>
            </w:pPr>
            <w:r w:rsidRPr="00BC2CDC">
              <w:rPr>
                <w:rFonts w:ascii="Times New Roman" w:hAnsi="Times New Roman" w:cs="Times New Roman"/>
                <w:color w:val="000000"/>
                <w:sz w:val="18"/>
                <w:szCs w:val="18"/>
                <w:lang w:val="en-GB"/>
              </w:rPr>
              <w:t>2</w:t>
            </w:r>
          </w:p>
        </w:tc>
      </w:tr>
      <w:tr w:rsidR="005C610F" w:rsidRPr="00E42063" w:rsidTr="00E42063">
        <w:trPr>
          <w:trHeight w:val="300"/>
        </w:trPr>
        <w:tc>
          <w:tcPr>
            <w:tcW w:w="3420" w:type="dxa"/>
            <w:tcBorders>
              <w:top w:val="nil"/>
              <w:left w:val="single" w:sz="4" w:space="0" w:color="auto"/>
              <w:bottom w:val="single" w:sz="4" w:space="0" w:color="auto"/>
              <w:right w:val="single" w:sz="4" w:space="0" w:color="auto"/>
            </w:tcBorders>
            <w:shd w:val="clear" w:color="000000" w:fill="948A54"/>
            <w:noWrap/>
            <w:vAlign w:val="bottom"/>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Major depressive disorder</w:t>
            </w:r>
          </w:p>
        </w:tc>
        <w:tc>
          <w:tcPr>
            <w:tcW w:w="4284" w:type="dxa"/>
            <w:tcBorders>
              <w:top w:val="nil"/>
              <w:left w:val="nil"/>
              <w:bottom w:val="single" w:sz="4" w:space="0" w:color="auto"/>
              <w:right w:val="single" w:sz="4" w:space="0" w:color="auto"/>
            </w:tcBorders>
            <w:shd w:val="clear" w:color="000000" w:fill="948A54"/>
            <w:noWrap/>
            <w:vAlign w:val="bottom"/>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 xml:space="preserve">Newer antidepressant drug medication </w:t>
            </w:r>
          </w:p>
        </w:tc>
        <w:tc>
          <w:tcPr>
            <w:tcW w:w="861" w:type="dxa"/>
            <w:tcBorders>
              <w:top w:val="nil"/>
              <w:left w:val="nil"/>
              <w:bottom w:val="single" w:sz="4" w:space="0" w:color="auto"/>
              <w:right w:val="single" w:sz="4" w:space="0" w:color="auto"/>
            </w:tcBorders>
            <w:shd w:val="clear" w:color="000000" w:fill="FFFF00"/>
            <w:noWrap/>
            <w:vAlign w:val="bottom"/>
            <w:hideMark/>
          </w:tcPr>
          <w:p w:rsidR="005C610F" w:rsidRPr="00BC2CDC" w:rsidRDefault="005C610F" w:rsidP="005E1621">
            <w:pPr>
              <w:spacing w:after="0"/>
              <w:jc w:val="right"/>
              <w:rPr>
                <w:rFonts w:ascii="Times New Roman" w:hAnsi="Times New Roman" w:cs="Times New Roman"/>
                <w:color w:val="000000"/>
                <w:sz w:val="18"/>
                <w:szCs w:val="18"/>
                <w:lang w:val="en-GB"/>
              </w:rPr>
            </w:pPr>
            <w:r w:rsidRPr="00BC2CDC">
              <w:rPr>
                <w:rFonts w:ascii="Times New Roman" w:hAnsi="Times New Roman" w:cs="Times New Roman"/>
                <w:color w:val="000000"/>
                <w:sz w:val="18"/>
                <w:szCs w:val="18"/>
                <w:lang w:val="en-GB"/>
              </w:rPr>
              <w:t>2</w:t>
            </w:r>
          </w:p>
        </w:tc>
      </w:tr>
      <w:tr w:rsidR="005C610F" w:rsidRPr="00E42063" w:rsidTr="00E42063">
        <w:trPr>
          <w:trHeight w:val="300"/>
        </w:trPr>
        <w:tc>
          <w:tcPr>
            <w:tcW w:w="3420" w:type="dxa"/>
            <w:tcBorders>
              <w:top w:val="nil"/>
              <w:left w:val="single" w:sz="4" w:space="0" w:color="auto"/>
              <w:bottom w:val="single" w:sz="4" w:space="0" w:color="auto"/>
              <w:right w:val="single" w:sz="4" w:space="0" w:color="auto"/>
            </w:tcBorders>
            <w:shd w:val="clear" w:color="000000" w:fill="948A54"/>
            <w:noWrap/>
            <w:vAlign w:val="bottom"/>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Major depressive disorder</w:t>
            </w:r>
          </w:p>
        </w:tc>
        <w:tc>
          <w:tcPr>
            <w:tcW w:w="4284" w:type="dxa"/>
            <w:tcBorders>
              <w:top w:val="nil"/>
              <w:left w:val="nil"/>
              <w:bottom w:val="single" w:sz="4" w:space="0" w:color="auto"/>
              <w:right w:val="single" w:sz="4" w:space="0" w:color="auto"/>
            </w:tcBorders>
            <w:shd w:val="clear" w:color="000000" w:fill="948A54"/>
            <w:noWrap/>
            <w:vAlign w:val="bottom"/>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Psychosocial treatment</w:t>
            </w:r>
          </w:p>
        </w:tc>
        <w:tc>
          <w:tcPr>
            <w:tcW w:w="861" w:type="dxa"/>
            <w:tcBorders>
              <w:top w:val="nil"/>
              <w:left w:val="nil"/>
              <w:bottom w:val="single" w:sz="4" w:space="0" w:color="auto"/>
              <w:right w:val="single" w:sz="4" w:space="0" w:color="auto"/>
            </w:tcBorders>
            <w:shd w:val="clear" w:color="000000" w:fill="FFFF00"/>
            <w:noWrap/>
            <w:vAlign w:val="bottom"/>
            <w:hideMark/>
          </w:tcPr>
          <w:p w:rsidR="005C610F" w:rsidRPr="00BC2CDC" w:rsidRDefault="005C610F" w:rsidP="005E1621">
            <w:pPr>
              <w:spacing w:after="0"/>
              <w:jc w:val="right"/>
              <w:rPr>
                <w:rFonts w:ascii="Times New Roman" w:hAnsi="Times New Roman" w:cs="Times New Roman"/>
                <w:color w:val="000000"/>
                <w:sz w:val="18"/>
                <w:szCs w:val="18"/>
                <w:lang w:val="en-GB"/>
              </w:rPr>
            </w:pPr>
            <w:r w:rsidRPr="00BC2CDC">
              <w:rPr>
                <w:rFonts w:ascii="Times New Roman" w:hAnsi="Times New Roman" w:cs="Times New Roman"/>
                <w:color w:val="000000"/>
                <w:sz w:val="18"/>
                <w:szCs w:val="18"/>
                <w:lang w:val="en-GB"/>
              </w:rPr>
              <w:t>2</w:t>
            </w:r>
          </w:p>
        </w:tc>
      </w:tr>
      <w:tr w:rsidR="005C610F" w:rsidRPr="00E42063" w:rsidTr="00E42063">
        <w:trPr>
          <w:trHeight w:val="300"/>
        </w:trPr>
        <w:tc>
          <w:tcPr>
            <w:tcW w:w="3420" w:type="dxa"/>
            <w:tcBorders>
              <w:top w:val="nil"/>
              <w:left w:val="single" w:sz="4" w:space="0" w:color="auto"/>
              <w:bottom w:val="single" w:sz="4" w:space="0" w:color="auto"/>
              <w:right w:val="single" w:sz="4" w:space="0" w:color="auto"/>
            </w:tcBorders>
            <w:shd w:val="clear" w:color="000000" w:fill="FFCC99"/>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 xml:space="preserve">MN of colon, rectum and anus </w:t>
            </w:r>
          </w:p>
        </w:tc>
        <w:tc>
          <w:tcPr>
            <w:tcW w:w="4284" w:type="dxa"/>
            <w:tcBorders>
              <w:top w:val="nil"/>
              <w:left w:val="nil"/>
              <w:bottom w:val="single" w:sz="4" w:space="0" w:color="auto"/>
              <w:right w:val="single" w:sz="4" w:space="0" w:color="auto"/>
            </w:tcBorders>
            <w:shd w:val="clear" w:color="000000" w:fill="FFCC99"/>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Surgery with/without adjuvant treatment (a)</w:t>
            </w:r>
          </w:p>
        </w:tc>
        <w:tc>
          <w:tcPr>
            <w:tcW w:w="861" w:type="dxa"/>
            <w:tcBorders>
              <w:top w:val="nil"/>
              <w:left w:val="nil"/>
              <w:bottom w:val="single" w:sz="4" w:space="0" w:color="auto"/>
              <w:right w:val="single" w:sz="4" w:space="0" w:color="auto"/>
            </w:tcBorders>
            <w:shd w:val="clear" w:color="000000" w:fill="FFFF00"/>
            <w:noWrap/>
            <w:vAlign w:val="bottom"/>
            <w:hideMark/>
          </w:tcPr>
          <w:p w:rsidR="005C610F" w:rsidRPr="00BC2CDC" w:rsidRDefault="005C610F" w:rsidP="005E1621">
            <w:pPr>
              <w:spacing w:after="0"/>
              <w:jc w:val="right"/>
              <w:rPr>
                <w:rFonts w:ascii="Times New Roman" w:hAnsi="Times New Roman" w:cs="Times New Roman"/>
                <w:color w:val="000000"/>
                <w:sz w:val="18"/>
                <w:szCs w:val="18"/>
                <w:lang w:val="en-GB"/>
              </w:rPr>
            </w:pPr>
            <w:r w:rsidRPr="00BC2CDC">
              <w:rPr>
                <w:rFonts w:ascii="Times New Roman" w:hAnsi="Times New Roman" w:cs="Times New Roman"/>
                <w:color w:val="000000"/>
                <w:sz w:val="18"/>
                <w:szCs w:val="18"/>
                <w:lang w:val="en-GB"/>
              </w:rPr>
              <w:t>5</w:t>
            </w:r>
          </w:p>
        </w:tc>
      </w:tr>
      <w:tr w:rsidR="005C610F" w:rsidRPr="00E42063" w:rsidTr="00E42063">
        <w:trPr>
          <w:trHeight w:val="450"/>
        </w:trPr>
        <w:tc>
          <w:tcPr>
            <w:tcW w:w="3420" w:type="dxa"/>
            <w:tcBorders>
              <w:top w:val="nil"/>
              <w:left w:val="single" w:sz="4" w:space="0" w:color="auto"/>
              <w:bottom w:val="single" w:sz="4" w:space="0" w:color="auto"/>
              <w:right w:val="single" w:sz="4" w:space="0" w:color="auto"/>
            </w:tcBorders>
            <w:shd w:val="clear" w:color="000000" w:fill="FFCC99"/>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 xml:space="preserve">MN of the female breast </w:t>
            </w:r>
          </w:p>
        </w:tc>
        <w:tc>
          <w:tcPr>
            <w:tcW w:w="4284" w:type="dxa"/>
            <w:tcBorders>
              <w:top w:val="nil"/>
              <w:left w:val="nil"/>
              <w:bottom w:val="single" w:sz="4" w:space="0" w:color="auto"/>
              <w:right w:val="single" w:sz="4" w:space="0" w:color="auto"/>
            </w:tcBorders>
            <w:shd w:val="clear" w:color="000000" w:fill="FFCC99"/>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Surgery (</w:t>
            </w:r>
            <w:r w:rsidR="00173A00" w:rsidRPr="00BC2CDC">
              <w:rPr>
                <w:rFonts w:ascii="Times New Roman" w:hAnsi="Times New Roman" w:cs="Times New Roman"/>
                <w:sz w:val="18"/>
                <w:szCs w:val="18"/>
                <w:lang w:val="en-GB"/>
              </w:rPr>
              <w:t>Lumpectomy</w:t>
            </w:r>
            <w:r w:rsidRPr="00BC2CDC">
              <w:rPr>
                <w:rFonts w:ascii="Times New Roman" w:hAnsi="Times New Roman" w:cs="Times New Roman"/>
                <w:sz w:val="18"/>
                <w:szCs w:val="18"/>
                <w:lang w:val="en-GB"/>
              </w:rPr>
              <w:t>, Mastectomy) with adjuvant treatment (b)</w:t>
            </w:r>
          </w:p>
        </w:tc>
        <w:tc>
          <w:tcPr>
            <w:tcW w:w="861" w:type="dxa"/>
            <w:tcBorders>
              <w:top w:val="nil"/>
              <w:left w:val="nil"/>
              <w:bottom w:val="single" w:sz="4" w:space="0" w:color="auto"/>
              <w:right w:val="single" w:sz="4" w:space="0" w:color="auto"/>
            </w:tcBorders>
            <w:shd w:val="clear" w:color="000000" w:fill="FFFF00"/>
            <w:noWrap/>
            <w:vAlign w:val="bottom"/>
            <w:hideMark/>
          </w:tcPr>
          <w:p w:rsidR="005C610F" w:rsidRPr="00BC2CDC" w:rsidRDefault="005C610F" w:rsidP="005E1621">
            <w:pPr>
              <w:spacing w:after="0"/>
              <w:jc w:val="right"/>
              <w:rPr>
                <w:rFonts w:ascii="Times New Roman" w:hAnsi="Times New Roman" w:cs="Times New Roman"/>
                <w:color w:val="000000"/>
                <w:sz w:val="18"/>
                <w:szCs w:val="18"/>
                <w:lang w:val="en-GB"/>
              </w:rPr>
            </w:pPr>
            <w:r w:rsidRPr="00BC2CDC">
              <w:rPr>
                <w:rFonts w:ascii="Times New Roman" w:hAnsi="Times New Roman" w:cs="Times New Roman"/>
                <w:color w:val="000000"/>
                <w:sz w:val="18"/>
                <w:szCs w:val="18"/>
                <w:lang w:val="en-GB"/>
              </w:rPr>
              <w:t>5</w:t>
            </w:r>
          </w:p>
        </w:tc>
      </w:tr>
      <w:tr w:rsidR="005C610F" w:rsidRPr="00E42063" w:rsidTr="00E42063">
        <w:trPr>
          <w:trHeight w:val="450"/>
        </w:trPr>
        <w:tc>
          <w:tcPr>
            <w:tcW w:w="3420" w:type="dxa"/>
            <w:tcBorders>
              <w:top w:val="nil"/>
              <w:left w:val="single" w:sz="4" w:space="0" w:color="auto"/>
              <w:bottom w:val="single" w:sz="4" w:space="0" w:color="auto"/>
              <w:right w:val="single" w:sz="4" w:space="0" w:color="auto"/>
            </w:tcBorders>
            <w:shd w:val="clear" w:color="000000" w:fill="FFCC99"/>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 xml:space="preserve">MN of prostate </w:t>
            </w:r>
          </w:p>
        </w:tc>
        <w:tc>
          <w:tcPr>
            <w:tcW w:w="4284" w:type="dxa"/>
            <w:tcBorders>
              <w:top w:val="nil"/>
              <w:left w:val="nil"/>
              <w:bottom w:val="single" w:sz="4" w:space="0" w:color="auto"/>
              <w:right w:val="single" w:sz="4" w:space="0" w:color="auto"/>
            </w:tcBorders>
            <w:shd w:val="clear" w:color="000000" w:fill="FFCC99"/>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Monitor cancer (Watchful Waiting, Active Surveillance)</w:t>
            </w:r>
          </w:p>
        </w:tc>
        <w:tc>
          <w:tcPr>
            <w:tcW w:w="861" w:type="dxa"/>
            <w:tcBorders>
              <w:top w:val="nil"/>
              <w:left w:val="nil"/>
              <w:bottom w:val="single" w:sz="4" w:space="0" w:color="auto"/>
              <w:right w:val="single" w:sz="4" w:space="0" w:color="auto"/>
            </w:tcBorders>
            <w:shd w:val="clear" w:color="000000" w:fill="FFFF00"/>
            <w:noWrap/>
            <w:vAlign w:val="bottom"/>
            <w:hideMark/>
          </w:tcPr>
          <w:p w:rsidR="005C610F" w:rsidRPr="00BC2CDC" w:rsidRDefault="005C610F" w:rsidP="005E1621">
            <w:pPr>
              <w:spacing w:after="0"/>
              <w:jc w:val="right"/>
              <w:rPr>
                <w:rFonts w:ascii="Times New Roman" w:hAnsi="Times New Roman" w:cs="Times New Roman"/>
                <w:color w:val="000000"/>
                <w:sz w:val="18"/>
                <w:szCs w:val="18"/>
                <w:lang w:val="en-GB"/>
              </w:rPr>
            </w:pPr>
            <w:r w:rsidRPr="00BC2CDC">
              <w:rPr>
                <w:rFonts w:ascii="Times New Roman" w:hAnsi="Times New Roman" w:cs="Times New Roman"/>
                <w:color w:val="000000"/>
                <w:sz w:val="18"/>
                <w:szCs w:val="18"/>
                <w:lang w:val="en-GB"/>
              </w:rPr>
              <w:t>5</w:t>
            </w:r>
          </w:p>
        </w:tc>
      </w:tr>
      <w:tr w:rsidR="005C610F" w:rsidRPr="00E42063" w:rsidTr="00E42063">
        <w:trPr>
          <w:trHeight w:val="300"/>
        </w:trPr>
        <w:tc>
          <w:tcPr>
            <w:tcW w:w="3420" w:type="dxa"/>
            <w:tcBorders>
              <w:top w:val="nil"/>
              <w:left w:val="single" w:sz="4" w:space="0" w:color="auto"/>
              <w:bottom w:val="single" w:sz="4" w:space="0" w:color="auto"/>
              <w:right w:val="single" w:sz="4" w:space="0" w:color="auto"/>
            </w:tcBorders>
            <w:shd w:val="clear" w:color="000000" w:fill="FFCC99"/>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 xml:space="preserve">MN of prostate </w:t>
            </w:r>
          </w:p>
        </w:tc>
        <w:tc>
          <w:tcPr>
            <w:tcW w:w="4284" w:type="dxa"/>
            <w:tcBorders>
              <w:top w:val="nil"/>
              <w:left w:val="nil"/>
              <w:bottom w:val="single" w:sz="4" w:space="0" w:color="auto"/>
              <w:right w:val="single" w:sz="4" w:space="0" w:color="auto"/>
            </w:tcBorders>
            <w:shd w:val="clear" w:color="000000" w:fill="FFCC99"/>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Surgery with/without adjuvant treatment (c)</w:t>
            </w:r>
          </w:p>
        </w:tc>
        <w:tc>
          <w:tcPr>
            <w:tcW w:w="861" w:type="dxa"/>
            <w:tcBorders>
              <w:top w:val="nil"/>
              <w:left w:val="nil"/>
              <w:bottom w:val="single" w:sz="4" w:space="0" w:color="auto"/>
              <w:right w:val="single" w:sz="4" w:space="0" w:color="auto"/>
            </w:tcBorders>
            <w:shd w:val="clear" w:color="000000" w:fill="FFFF00"/>
            <w:noWrap/>
            <w:vAlign w:val="bottom"/>
            <w:hideMark/>
          </w:tcPr>
          <w:p w:rsidR="005C610F" w:rsidRPr="00BC2CDC" w:rsidRDefault="005C610F" w:rsidP="005E1621">
            <w:pPr>
              <w:spacing w:after="0"/>
              <w:jc w:val="right"/>
              <w:rPr>
                <w:rFonts w:ascii="Times New Roman" w:hAnsi="Times New Roman" w:cs="Times New Roman"/>
                <w:color w:val="000000"/>
                <w:sz w:val="18"/>
                <w:szCs w:val="18"/>
                <w:lang w:val="en-GB"/>
              </w:rPr>
            </w:pPr>
            <w:r w:rsidRPr="00BC2CDC">
              <w:rPr>
                <w:rFonts w:ascii="Times New Roman" w:hAnsi="Times New Roman" w:cs="Times New Roman"/>
                <w:color w:val="000000"/>
                <w:sz w:val="18"/>
                <w:szCs w:val="18"/>
                <w:lang w:val="en-GB"/>
              </w:rPr>
              <w:t>5</w:t>
            </w:r>
          </w:p>
        </w:tc>
      </w:tr>
      <w:tr w:rsidR="005C610F" w:rsidRPr="00E42063" w:rsidTr="00E42063">
        <w:trPr>
          <w:trHeight w:val="450"/>
        </w:trPr>
        <w:tc>
          <w:tcPr>
            <w:tcW w:w="3420" w:type="dxa"/>
            <w:tcBorders>
              <w:top w:val="nil"/>
              <w:left w:val="single" w:sz="4" w:space="0" w:color="auto"/>
              <w:bottom w:val="single" w:sz="4" w:space="0" w:color="auto"/>
              <w:right w:val="single" w:sz="4" w:space="0" w:color="auto"/>
            </w:tcBorders>
            <w:shd w:val="clear" w:color="000000" w:fill="CCFFCC"/>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Acute Myocardial In</w:t>
            </w:r>
            <w:r w:rsidR="00E42063" w:rsidRPr="00BC2CDC">
              <w:rPr>
                <w:rFonts w:ascii="Times New Roman" w:hAnsi="Times New Roman" w:cs="Times New Roman"/>
                <w:sz w:val="18"/>
                <w:szCs w:val="18"/>
                <w:lang w:val="en-GB"/>
              </w:rPr>
              <w:t>f</w:t>
            </w:r>
            <w:r w:rsidRPr="00BC2CDC">
              <w:rPr>
                <w:rFonts w:ascii="Times New Roman" w:hAnsi="Times New Roman" w:cs="Times New Roman"/>
                <w:sz w:val="18"/>
                <w:szCs w:val="18"/>
                <w:lang w:val="en-GB"/>
              </w:rPr>
              <w:t>arction (AMI)</w:t>
            </w:r>
          </w:p>
        </w:tc>
        <w:tc>
          <w:tcPr>
            <w:tcW w:w="4284" w:type="dxa"/>
            <w:tcBorders>
              <w:top w:val="nil"/>
              <w:left w:val="nil"/>
              <w:bottom w:val="single" w:sz="4" w:space="0" w:color="auto"/>
              <w:right w:val="single" w:sz="4" w:space="0" w:color="auto"/>
            </w:tcBorders>
            <w:shd w:val="clear" w:color="000000" w:fill="CCFFCC"/>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Medication (aspirin, atenolol, streptokinase, tissue plasminogen activator)</w:t>
            </w:r>
          </w:p>
        </w:tc>
        <w:tc>
          <w:tcPr>
            <w:tcW w:w="861" w:type="dxa"/>
            <w:tcBorders>
              <w:top w:val="nil"/>
              <w:left w:val="nil"/>
              <w:bottom w:val="single" w:sz="4" w:space="0" w:color="auto"/>
              <w:right w:val="single" w:sz="4" w:space="0" w:color="auto"/>
            </w:tcBorders>
            <w:shd w:val="clear" w:color="000000" w:fill="FFFF00"/>
            <w:noWrap/>
            <w:vAlign w:val="bottom"/>
            <w:hideMark/>
          </w:tcPr>
          <w:p w:rsidR="005C610F" w:rsidRPr="00BC2CDC" w:rsidRDefault="005C610F" w:rsidP="005E1621">
            <w:pPr>
              <w:spacing w:after="0"/>
              <w:jc w:val="right"/>
              <w:rPr>
                <w:rFonts w:ascii="Times New Roman" w:hAnsi="Times New Roman" w:cs="Times New Roman"/>
                <w:color w:val="000000"/>
                <w:sz w:val="18"/>
                <w:szCs w:val="18"/>
                <w:lang w:val="en-GB"/>
              </w:rPr>
            </w:pPr>
            <w:r w:rsidRPr="00BC2CDC">
              <w:rPr>
                <w:rFonts w:ascii="Times New Roman" w:hAnsi="Times New Roman" w:cs="Times New Roman"/>
                <w:color w:val="000000"/>
                <w:sz w:val="18"/>
                <w:szCs w:val="18"/>
                <w:lang w:val="en-GB"/>
              </w:rPr>
              <w:t>5</w:t>
            </w:r>
          </w:p>
        </w:tc>
      </w:tr>
      <w:tr w:rsidR="005C610F" w:rsidRPr="00E42063" w:rsidTr="00E42063">
        <w:trPr>
          <w:trHeight w:val="675"/>
        </w:trPr>
        <w:tc>
          <w:tcPr>
            <w:tcW w:w="3420" w:type="dxa"/>
            <w:tcBorders>
              <w:top w:val="nil"/>
              <w:left w:val="single" w:sz="4" w:space="0" w:color="auto"/>
              <w:bottom w:val="single" w:sz="4" w:space="0" w:color="auto"/>
              <w:right w:val="single" w:sz="4" w:space="0" w:color="auto"/>
            </w:tcBorders>
            <w:shd w:val="clear" w:color="000000" w:fill="CCFFCC"/>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Acute Myocardial In</w:t>
            </w:r>
            <w:r w:rsidR="00E42063" w:rsidRPr="00BC2CDC">
              <w:rPr>
                <w:rFonts w:ascii="Times New Roman" w:hAnsi="Times New Roman" w:cs="Times New Roman"/>
                <w:sz w:val="18"/>
                <w:szCs w:val="18"/>
                <w:lang w:val="en-GB"/>
              </w:rPr>
              <w:t>f</w:t>
            </w:r>
            <w:r w:rsidRPr="00BC2CDC">
              <w:rPr>
                <w:rFonts w:ascii="Times New Roman" w:hAnsi="Times New Roman" w:cs="Times New Roman"/>
                <w:sz w:val="18"/>
                <w:szCs w:val="18"/>
                <w:lang w:val="en-GB"/>
              </w:rPr>
              <w:t>arction (AMI)</w:t>
            </w:r>
          </w:p>
        </w:tc>
        <w:tc>
          <w:tcPr>
            <w:tcW w:w="4284" w:type="dxa"/>
            <w:tcBorders>
              <w:top w:val="nil"/>
              <w:left w:val="nil"/>
              <w:bottom w:val="single" w:sz="4" w:space="0" w:color="auto"/>
              <w:right w:val="single" w:sz="4" w:space="0" w:color="auto"/>
            </w:tcBorders>
            <w:shd w:val="clear" w:color="000000" w:fill="CCFFCC"/>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Surgery (Primary angioplasty, primary stenting, percutaneous transluminal coronary angioplasty (PTCA))</w:t>
            </w:r>
          </w:p>
        </w:tc>
        <w:tc>
          <w:tcPr>
            <w:tcW w:w="861" w:type="dxa"/>
            <w:tcBorders>
              <w:top w:val="nil"/>
              <w:left w:val="nil"/>
              <w:bottom w:val="single" w:sz="4" w:space="0" w:color="auto"/>
              <w:right w:val="single" w:sz="4" w:space="0" w:color="auto"/>
            </w:tcBorders>
            <w:shd w:val="clear" w:color="000000" w:fill="FFFF00"/>
            <w:noWrap/>
            <w:vAlign w:val="bottom"/>
            <w:hideMark/>
          </w:tcPr>
          <w:p w:rsidR="005C610F" w:rsidRPr="00BC2CDC" w:rsidRDefault="005C610F" w:rsidP="005E1621">
            <w:pPr>
              <w:spacing w:after="0"/>
              <w:jc w:val="right"/>
              <w:rPr>
                <w:rFonts w:ascii="Times New Roman" w:hAnsi="Times New Roman" w:cs="Times New Roman"/>
                <w:color w:val="000000"/>
                <w:sz w:val="18"/>
                <w:szCs w:val="18"/>
                <w:lang w:val="en-GB"/>
              </w:rPr>
            </w:pPr>
            <w:r w:rsidRPr="00BC2CDC">
              <w:rPr>
                <w:rFonts w:ascii="Times New Roman" w:hAnsi="Times New Roman" w:cs="Times New Roman"/>
                <w:color w:val="000000"/>
                <w:sz w:val="18"/>
                <w:szCs w:val="18"/>
                <w:lang w:val="en-GB"/>
              </w:rPr>
              <w:t>5</w:t>
            </w:r>
          </w:p>
        </w:tc>
      </w:tr>
      <w:tr w:rsidR="005C610F" w:rsidRPr="00E42063" w:rsidTr="00E42063">
        <w:trPr>
          <w:trHeight w:val="450"/>
        </w:trPr>
        <w:tc>
          <w:tcPr>
            <w:tcW w:w="3420" w:type="dxa"/>
            <w:tcBorders>
              <w:top w:val="nil"/>
              <w:left w:val="single" w:sz="4" w:space="0" w:color="auto"/>
              <w:bottom w:val="single" w:sz="4" w:space="0" w:color="auto"/>
              <w:right w:val="single" w:sz="4" w:space="0" w:color="auto"/>
            </w:tcBorders>
            <w:shd w:val="clear" w:color="000000" w:fill="CCFFCC"/>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 xml:space="preserve">Atherosclerosis </w:t>
            </w:r>
          </w:p>
        </w:tc>
        <w:tc>
          <w:tcPr>
            <w:tcW w:w="4284" w:type="dxa"/>
            <w:tcBorders>
              <w:top w:val="nil"/>
              <w:left w:val="nil"/>
              <w:bottom w:val="single" w:sz="4" w:space="0" w:color="auto"/>
              <w:right w:val="single" w:sz="4" w:space="0" w:color="auto"/>
            </w:tcBorders>
            <w:shd w:val="clear" w:color="000000" w:fill="CCFFCC"/>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Medication (aspirin, atenolol, ACE inhibitors, Statins)</w:t>
            </w:r>
          </w:p>
        </w:tc>
        <w:tc>
          <w:tcPr>
            <w:tcW w:w="861" w:type="dxa"/>
            <w:tcBorders>
              <w:top w:val="nil"/>
              <w:left w:val="nil"/>
              <w:bottom w:val="single" w:sz="4" w:space="0" w:color="auto"/>
              <w:right w:val="single" w:sz="4" w:space="0" w:color="auto"/>
            </w:tcBorders>
            <w:shd w:val="clear" w:color="000000" w:fill="FFFF00"/>
            <w:noWrap/>
            <w:vAlign w:val="bottom"/>
            <w:hideMark/>
          </w:tcPr>
          <w:p w:rsidR="005C610F" w:rsidRPr="00BC2CDC" w:rsidRDefault="005C610F" w:rsidP="005E1621">
            <w:pPr>
              <w:spacing w:after="0"/>
              <w:jc w:val="right"/>
              <w:rPr>
                <w:rFonts w:ascii="Times New Roman" w:hAnsi="Times New Roman" w:cs="Times New Roman"/>
                <w:color w:val="000000"/>
                <w:sz w:val="18"/>
                <w:szCs w:val="18"/>
                <w:lang w:val="en-GB"/>
              </w:rPr>
            </w:pPr>
            <w:r w:rsidRPr="00BC2CDC">
              <w:rPr>
                <w:rFonts w:ascii="Times New Roman" w:hAnsi="Times New Roman" w:cs="Times New Roman"/>
                <w:color w:val="000000"/>
                <w:sz w:val="18"/>
                <w:szCs w:val="18"/>
                <w:lang w:val="en-GB"/>
              </w:rPr>
              <w:t>5</w:t>
            </w:r>
          </w:p>
        </w:tc>
      </w:tr>
      <w:tr w:rsidR="005C610F" w:rsidRPr="00E42063" w:rsidTr="00E42063">
        <w:trPr>
          <w:trHeight w:val="450"/>
        </w:trPr>
        <w:tc>
          <w:tcPr>
            <w:tcW w:w="3420" w:type="dxa"/>
            <w:tcBorders>
              <w:top w:val="nil"/>
              <w:left w:val="single" w:sz="4" w:space="0" w:color="auto"/>
              <w:bottom w:val="single" w:sz="4" w:space="0" w:color="auto"/>
              <w:right w:val="single" w:sz="4" w:space="0" w:color="auto"/>
            </w:tcBorders>
            <w:shd w:val="clear" w:color="000000" w:fill="CCFFCC"/>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 xml:space="preserve">Atherosclerosis </w:t>
            </w:r>
          </w:p>
        </w:tc>
        <w:tc>
          <w:tcPr>
            <w:tcW w:w="4284" w:type="dxa"/>
            <w:tcBorders>
              <w:top w:val="nil"/>
              <w:left w:val="nil"/>
              <w:bottom w:val="single" w:sz="4" w:space="0" w:color="auto"/>
              <w:right w:val="single" w:sz="4" w:space="0" w:color="auto"/>
            </w:tcBorders>
            <w:shd w:val="clear" w:color="000000" w:fill="CCFFCC"/>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 xml:space="preserve"> Surgery (percutaneous transluminal coronary angioplasty - PTCA) </w:t>
            </w:r>
          </w:p>
        </w:tc>
        <w:tc>
          <w:tcPr>
            <w:tcW w:w="861" w:type="dxa"/>
            <w:tcBorders>
              <w:top w:val="nil"/>
              <w:left w:val="nil"/>
              <w:bottom w:val="single" w:sz="4" w:space="0" w:color="auto"/>
              <w:right w:val="single" w:sz="4" w:space="0" w:color="auto"/>
            </w:tcBorders>
            <w:shd w:val="clear" w:color="000000" w:fill="FFFF00"/>
            <w:noWrap/>
            <w:vAlign w:val="bottom"/>
            <w:hideMark/>
          </w:tcPr>
          <w:p w:rsidR="005C610F" w:rsidRPr="00BC2CDC" w:rsidRDefault="005C610F" w:rsidP="005E1621">
            <w:pPr>
              <w:spacing w:after="0"/>
              <w:jc w:val="right"/>
              <w:rPr>
                <w:rFonts w:ascii="Times New Roman" w:hAnsi="Times New Roman" w:cs="Times New Roman"/>
                <w:color w:val="000000"/>
                <w:sz w:val="18"/>
                <w:szCs w:val="18"/>
                <w:lang w:val="en-GB"/>
              </w:rPr>
            </w:pPr>
            <w:r w:rsidRPr="00BC2CDC">
              <w:rPr>
                <w:rFonts w:ascii="Times New Roman" w:hAnsi="Times New Roman" w:cs="Times New Roman"/>
                <w:color w:val="000000"/>
                <w:sz w:val="18"/>
                <w:szCs w:val="18"/>
                <w:lang w:val="en-GB"/>
              </w:rPr>
              <w:t>5</w:t>
            </w:r>
          </w:p>
        </w:tc>
      </w:tr>
      <w:tr w:rsidR="005C610F" w:rsidRPr="00E42063" w:rsidTr="00E42063">
        <w:trPr>
          <w:trHeight w:val="300"/>
        </w:trPr>
        <w:tc>
          <w:tcPr>
            <w:tcW w:w="3420" w:type="dxa"/>
            <w:tcBorders>
              <w:top w:val="nil"/>
              <w:left w:val="single" w:sz="4" w:space="0" w:color="auto"/>
              <w:bottom w:val="single" w:sz="4" w:space="0" w:color="auto"/>
              <w:right w:val="single" w:sz="4" w:space="0" w:color="auto"/>
            </w:tcBorders>
            <w:shd w:val="clear" w:color="000000" w:fill="CCFFCC"/>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Angina pectoris (stable angina)</w:t>
            </w:r>
          </w:p>
        </w:tc>
        <w:tc>
          <w:tcPr>
            <w:tcW w:w="4284" w:type="dxa"/>
            <w:tcBorders>
              <w:top w:val="nil"/>
              <w:left w:val="nil"/>
              <w:bottom w:val="single" w:sz="4" w:space="0" w:color="auto"/>
              <w:right w:val="single" w:sz="4" w:space="0" w:color="auto"/>
            </w:tcBorders>
            <w:shd w:val="clear" w:color="000000" w:fill="CCFFCC"/>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Angioplasty, Stenting</w:t>
            </w:r>
          </w:p>
        </w:tc>
        <w:tc>
          <w:tcPr>
            <w:tcW w:w="861" w:type="dxa"/>
            <w:tcBorders>
              <w:top w:val="nil"/>
              <w:left w:val="nil"/>
              <w:bottom w:val="single" w:sz="4" w:space="0" w:color="auto"/>
              <w:right w:val="single" w:sz="4" w:space="0" w:color="auto"/>
            </w:tcBorders>
            <w:shd w:val="clear" w:color="000000" w:fill="FFFF00"/>
            <w:noWrap/>
            <w:vAlign w:val="bottom"/>
            <w:hideMark/>
          </w:tcPr>
          <w:p w:rsidR="005C610F" w:rsidRPr="00BC2CDC" w:rsidRDefault="005C610F" w:rsidP="005E1621">
            <w:pPr>
              <w:spacing w:after="0"/>
              <w:jc w:val="right"/>
              <w:rPr>
                <w:rFonts w:ascii="Times New Roman" w:hAnsi="Times New Roman" w:cs="Times New Roman"/>
                <w:color w:val="000000"/>
                <w:sz w:val="18"/>
                <w:szCs w:val="18"/>
                <w:lang w:val="en-GB"/>
              </w:rPr>
            </w:pPr>
            <w:r w:rsidRPr="00BC2CDC">
              <w:rPr>
                <w:rFonts w:ascii="Times New Roman" w:hAnsi="Times New Roman" w:cs="Times New Roman"/>
                <w:color w:val="000000"/>
                <w:sz w:val="18"/>
                <w:szCs w:val="18"/>
                <w:lang w:val="en-GB"/>
              </w:rPr>
              <w:t>5</w:t>
            </w:r>
          </w:p>
        </w:tc>
      </w:tr>
      <w:tr w:rsidR="005C610F" w:rsidRPr="00E42063" w:rsidTr="00E42063">
        <w:trPr>
          <w:trHeight w:val="450"/>
        </w:trPr>
        <w:tc>
          <w:tcPr>
            <w:tcW w:w="3420" w:type="dxa"/>
            <w:tcBorders>
              <w:top w:val="single" w:sz="4" w:space="0" w:color="auto"/>
              <w:left w:val="single" w:sz="4" w:space="0" w:color="auto"/>
              <w:bottom w:val="single" w:sz="4" w:space="0" w:color="auto"/>
              <w:right w:val="single" w:sz="4" w:space="0" w:color="auto"/>
            </w:tcBorders>
            <w:shd w:val="clear" w:color="000000" w:fill="CCFFCC"/>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Angina pectoris (stable angina)</w:t>
            </w:r>
          </w:p>
        </w:tc>
        <w:tc>
          <w:tcPr>
            <w:tcW w:w="4284" w:type="dxa"/>
            <w:tcBorders>
              <w:top w:val="single" w:sz="4" w:space="0" w:color="auto"/>
              <w:left w:val="nil"/>
              <w:bottom w:val="single" w:sz="4" w:space="0" w:color="auto"/>
              <w:right w:val="single" w:sz="4" w:space="0" w:color="auto"/>
            </w:tcBorders>
            <w:shd w:val="clear" w:color="000000" w:fill="CCFFCC"/>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Surgery (Coronary artery bypass graft)</w:t>
            </w:r>
          </w:p>
        </w:tc>
        <w:tc>
          <w:tcPr>
            <w:tcW w:w="861" w:type="dxa"/>
            <w:tcBorders>
              <w:top w:val="single" w:sz="4" w:space="0" w:color="auto"/>
              <w:left w:val="nil"/>
              <w:bottom w:val="single" w:sz="4" w:space="0" w:color="auto"/>
              <w:right w:val="single" w:sz="4" w:space="0" w:color="auto"/>
            </w:tcBorders>
            <w:shd w:val="clear" w:color="000000" w:fill="FFFF00"/>
            <w:noWrap/>
            <w:vAlign w:val="bottom"/>
            <w:hideMark/>
          </w:tcPr>
          <w:p w:rsidR="005C610F" w:rsidRPr="00BC2CDC" w:rsidRDefault="005C610F" w:rsidP="005E1621">
            <w:pPr>
              <w:spacing w:after="0"/>
              <w:jc w:val="right"/>
              <w:rPr>
                <w:rFonts w:ascii="Times New Roman" w:hAnsi="Times New Roman" w:cs="Times New Roman"/>
                <w:color w:val="000000"/>
                <w:sz w:val="18"/>
                <w:szCs w:val="18"/>
                <w:lang w:val="en-GB"/>
              </w:rPr>
            </w:pPr>
            <w:r w:rsidRPr="00BC2CDC">
              <w:rPr>
                <w:rFonts w:ascii="Times New Roman" w:hAnsi="Times New Roman" w:cs="Times New Roman"/>
                <w:color w:val="000000"/>
                <w:sz w:val="18"/>
                <w:szCs w:val="18"/>
                <w:lang w:val="en-GB"/>
              </w:rPr>
              <w:t>5</w:t>
            </w:r>
          </w:p>
        </w:tc>
      </w:tr>
      <w:tr w:rsidR="005C610F" w:rsidRPr="00E42063" w:rsidTr="00E42063">
        <w:trPr>
          <w:trHeight w:val="675"/>
        </w:trPr>
        <w:tc>
          <w:tcPr>
            <w:tcW w:w="3420" w:type="dxa"/>
            <w:tcBorders>
              <w:top w:val="nil"/>
              <w:left w:val="single" w:sz="4" w:space="0" w:color="auto"/>
              <w:bottom w:val="single" w:sz="4" w:space="0" w:color="auto"/>
              <w:right w:val="single" w:sz="4" w:space="0" w:color="auto"/>
            </w:tcBorders>
            <w:shd w:val="clear" w:color="000000" w:fill="CC99FF"/>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Diabetes mellitus type 2</w:t>
            </w:r>
          </w:p>
        </w:tc>
        <w:tc>
          <w:tcPr>
            <w:tcW w:w="4284" w:type="dxa"/>
            <w:tcBorders>
              <w:top w:val="nil"/>
              <w:left w:val="nil"/>
              <w:bottom w:val="single" w:sz="4" w:space="0" w:color="auto"/>
              <w:right w:val="single" w:sz="4" w:space="0" w:color="auto"/>
            </w:tcBorders>
            <w:shd w:val="clear" w:color="000000" w:fill="CC99FF"/>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Foot care (patient and provider education, foot examin</w:t>
            </w:r>
            <w:r w:rsidR="00181826" w:rsidRPr="00BC2CDC">
              <w:rPr>
                <w:rFonts w:ascii="Times New Roman" w:hAnsi="Times New Roman" w:cs="Times New Roman"/>
                <w:sz w:val="18"/>
                <w:szCs w:val="18"/>
                <w:lang w:val="en-GB"/>
              </w:rPr>
              <w:t>ation, foot hygiene, appropriate</w:t>
            </w:r>
            <w:r w:rsidRPr="00BC2CDC">
              <w:rPr>
                <w:rFonts w:ascii="Times New Roman" w:hAnsi="Times New Roman" w:cs="Times New Roman"/>
                <w:sz w:val="18"/>
                <w:szCs w:val="18"/>
                <w:lang w:val="en-GB"/>
              </w:rPr>
              <w:t xml:space="preserve"> footwear)</w:t>
            </w:r>
          </w:p>
        </w:tc>
        <w:tc>
          <w:tcPr>
            <w:tcW w:w="861" w:type="dxa"/>
            <w:tcBorders>
              <w:top w:val="nil"/>
              <w:left w:val="nil"/>
              <w:bottom w:val="single" w:sz="4" w:space="0" w:color="auto"/>
              <w:right w:val="single" w:sz="4" w:space="0" w:color="auto"/>
            </w:tcBorders>
            <w:shd w:val="clear" w:color="000000" w:fill="FFFF00"/>
            <w:noWrap/>
            <w:vAlign w:val="bottom"/>
            <w:hideMark/>
          </w:tcPr>
          <w:p w:rsidR="005C610F" w:rsidRPr="00BC2CDC" w:rsidRDefault="005C610F" w:rsidP="005E1621">
            <w:pPr>
              <w:spacing w:after="0"/>
              <w:jc w:val="right"/>
              <w:rPr>
                <w:rFonts w:ascii="Times New Roman" w:hAnsi="Times New Roman" w:cs="Times New Roman"/>
                <w:color w:val="000000"/>
                <w:sz w:val="18"/>
                <w:szCs w:val="18"/>
                <w:lang w:val="en-GB"/>
              </w:rPr>
            </w:pPr>
            <w:r w:rsidRPr="00BC2CDC">
              <w:rPr>
                <w:rFonts w:ascii="Times New Roman" w:hAnsi="Times New Roman" w:cs="Times New Roman"/>
                <w:color w:val="000000"/>
                <w:sz w:val="18"/>
                <w:szCs w:val="18"/>
                <w:lang w:val="en-GB"/>
              </w:rPr>
              <w:t>5</w:t>
            </w:r>
          </w:p>
        </w:tc>
      </w:tr>
      <w:tr w:rsidR="005C610F" w:rsidRPr="00E42063" w:rsidTr="00E42063">
        <w:trPr>
          <w:trHeight w:val="300"/>
        </w:trPr>
        <w:tc>
          <w:tcPr>
            <w:tcW w:w="3420" w:type="dxa"/>
            <w:tcBorders>
              <w:top w:val="nil"/>
              <w:left w:val="single" w:sz="4" w:space="0" w:color="auto"/>
              <w:bottom w:val="single" w:sz="4" w:space="0" w:color="auto"/>
              <w:right w:val="single" w:sz="4" w:space="0" w:color="auto"/>
            </w:tcBorders>
            <w:shd w:val="clear" w:color="000000" w:fill="CC99FF"/>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Diabetes mellitus type 2</w:t>
            </w:r>
          </w:p>
        </w:tc>
        <w:tc>
          <w:tcPr>
            <w:tcW w:w="4284" w:type="dxa"/>
            <w:tcBorders>
              <w:top w:val="nil"/>
              <w:left w:val="nil"/>
              <w:bottom w:val="single" w:sz="4" w:space="0" w:color="auto"/>
              <w:right w:val="single" w:sz="4" w:space="0" w:color="auto"/>
            </w:tcBorders>
            <w:shd w:val="clear" w:color="000000" w:fill="CC99FF"/>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Education (patient self-manag</w:t>
            </w:r>
            <w:r w:rsidR="00181826" w:rsidRPr="00BC2CDC">
              <w:rPr>
                <w:rFonts w:ascii="Times New Roman" w:hAnsi="Times New Roman" w:cs="Times New Roman"/>
                <w:sz w:val="18"/>
                <w:szCs w:val="18"/>
                <w:lang w:val="en-GB"/>
              </w:rPr>
              <w:t>e</w:t>
            </w:r>
            <w:r w:rsidRPr="00BC2CDC">
              <w:rPr>
                <w:rFonts w:ascii="Times New Roman" w:hAnsi="Times New Roman" w:cs="Times New Roman"/>
                <w:sz w:val="18"/>
                <w:szCs w:val="18"/>
                <w:lang w:val="en-GB"/>
              </w:rPr>
              <w:t>ment)</w:t>
            </w:r>
          </w:p>
        </w:tc>
        <w:tc>
          <w:tcPr>
            <w:tcW w:w="861" w:type="dxa"/>
            <w:tcBorders>
              <w:top w:val="nil"/>
              <w:left w:val="nil"/>
              <w:bottom w:val="single" w:sz="4" w:space="0" w:color="auto"/>
              <w:right w:val="single" w:sz="4" w:space="0" w:color="auto"/>
            </w:tcBorders>
            <w:shd w:val="clear" w:color="000000" w:fill="FFFF00"/>
            <w:noWrap/>
            <w:vAlign w:val="bottom"/>
            <w:hideMark/>
          </w:tcPr>
          <w:p w:rsidR="005C610F" w:rsidRPr="00BC2CDC" w:rsidRDefault="005C610F" w:rsidP="005E1621">
            <w:pPr>
              <w:spacing w:after="0"/>
              <w:jc w:val="right"/>
              <w:rPr>
                <w:rFonts w:ascii="Times New Roman" w:hAnsi="Times New Roman" w:cs="Times New Roman"/>
                <w:color w:val="000000"/>
                <w:sz w:val="18"/>
                <w:szCs w:val="18"/>
                <w:lang w:val="en-GB"/>
              </w:rPr>
            </w:pPr>
            <w:r w:rsidRPr="00BC2CDC">
              <w:rPr>
                <w:rFonts w:ascii="Times New Roman" w:hAnsi="Times New Roman" w:cs="Times New Roman"/>
                <w:color w:val="000000"/>
                <w:sz w:val="18"/>
                <w:szCs w:val="18"/>
                <w:lang w:val="en-GB"/>
              </w:rPr>
              <w:t>5</w:t>
            </w:r>
          </w:p>
        </w:tc>
      </w:tr>
      <w:tr w:rsidR="005C610F" w:rsidRPr="00E42063" w:rsidTr="00E42063">
        <w:trPr>
          <w:trHeight w:val="450"/>
        </w:trPr>
        <w:tc>
          <w:tcPr>
            <w:tcW w:w="3420" w:type="dxa"/>
            <w:tcBorders>
              <w:top w:val="nil"/>
              <w:left w:val="single" w:sz="4" w:space="0" w:color="auto"/>
              <w:bottom w:val="single" w:sz="8" w:space="0" w:color="auto"/>
              <w:right w:val="single" w:sz="4" w:space="0" w:color="auto"/>
            </w:tcBorders>
            <w:shd w:val="clear" w:color="000000" w:fill="CCFFCC"/>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Congestive Heart Failure (CHF)</w:t>
            </w:r>
          </w:p>
        </w:tc>
        <w:tc>
          <w:tcPr>
            <w:tcW w:w="4284" w:type="dxa"/>
            <w:tcBorders>
              <w:top w:val="nil"/>
              <w:left w:val="nil"/>
              <w:bottom w:val="single" w:sz="8" w:space="0" w:color="auto"/>
              <w:right w:val="single" w:sz="4" w:space="0" w:color="auto"/>
            </w:tcBorders>
            <w:shd w:val="clear" w:color="000000" w:fill="CCFFCC"/>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Medication (ACE inhibitors, Beta-Blockers)</w:t>
            </w:r>
          </w:p>
        </w:tc>
        <w:tc>
          <w:tcPr>
            <w:tcW w:w="861" w:type="dxa"/>
            <w:tcBorders>
              <w:top w:val="nil"/>
              <w:left w:val="nil"/>
              <w:bottom w:val="single" w:sz="8" w:space="0" w:color="auto"/>
              <w:right w:val="single" w:sz="4" w:space="0" w:color="auto"/>
            </w:tcBorders>
            <w:shd w:val="clear" w:color="000000" w:fill="FFFF00"/>
            <w:noWrap/>
            <w:vAlign w:val="bottom"/>
            <w:hideMark/>
          </w:tcPr>
          <w:p w:rsidR="005C610F" w:rsidRPr="00BC2CDC" w:rsidRDefault="005C610F" w:rsidP="005E1621">
            <w:pPr>
              <w:spacing w:after="0"/>
              <w:jc w:val="right"/>
              <w:rPr>
                <w:rFonts w:ascii="Times New Roman" w:hAnsi="Times New Roman" w:cs="Times New Roman"/>
                <w:color w:val="000000"/>
                <w:sz w:val="18"/>
                <w:szCs w:val="18"/>
                <w:lang w:val="en-GB"/>
              </w:rPr>
            </w:pPr>
            <w:r w:rsidRPr="00BC2CDC">
              <w:rPr>
                <w:rFonts w:ascii="Times New Roman" w:hAnsi="Times New Roman" w:cs="Times New Roman"/>
                <w:color w:val="000000"/>
                <w:sz w:val="18"/>
                <w:szCs w:val="18"/>
                <w:lang w:val="en-GB"/>
              </w:rPr>
              <w:t>17</w:t>
            </w:r>
          </w:p>
        </w:tc>
      </w:tr>
      <w:tr w:rsidR="005C610F" w:rsidRPr="00E42063" w:rsidTr="00BC2CDC">
        <w:trPr>
          <w:trHeight w:val="450"/>
        </w:trPr>
        <w:tc>
          <w:tcPr>
            <w:tcW w:w="3420" w:type="dxa"/>
            <w:tcBorders>
              <w:top w:val="single" w:sz="8" w:space="0" w:color="auto"/>
              <w:left w:val="single" w:sz="4" w:space="0" w:color="auto"/>
              <w:bottom w:val="single" w:sz="4" w:space="0" w:color="auto"/>
              <w:right w:val="single" w:sz="4" w:space="0" w:color="auto"/>
            </w:tcBorders>
            <w:shd w:val="clear" w:color="000000" w:fill="FFFF99"/>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Unhealthy diet</w:t>
            </w:r>
          </w:p>
        </w:tc>
        <w:tc>
          <w:tcPr>
            <w:tcW w:w="4284" w:type="dxa"/>
            <w:tcBorders>
              <w:top w:val="single" w:sz="8" w:space="0" w:color="auto"/>
              <w:left w:val="nil"/>
              <w:bottom w:val="single" w:sz="4" w:space="0" w:color="auto"/>
              <w:right w:val="single" w:sz="4" w:space="0" w:color="auto"/>
            </w:tcBorders>
            <w:shd w:val="clear" w:color="000000" w:fill="FFFF99"/>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 xml:space="preserve">Promote healthy eating in school </w:t>
            </w:r>
          </w:p>
        </w:tc>
        <w:tc>
          <w:tcPr>
            <w:tcW w:w="861" w:type="dxa"/>
            <w:tcBorders>
              <w:top w:val="single" w:sz="8" w:space="0" w:color="auto"/>
              <w:left w:val="nil"/>
              <w:bottom w:val="single" w:sz="4" w:space="0" w:color="auto"/>
              <w:right w:val="single" w:sz="4" w:space="0" w:color="auto"/>
            </w:tcBorders>
            <w:shd w:val="clear" w:color="000000" w:fill="FFFF00"/>
            <w:noWrap/>
            <w:vAlign w:val="bottom"/>
            <w:hideMark/>
          </w:tcPr>
          <w:p w:rsidR="005C610F" w:rsidRPr="00BC2CDC" w:rsidRDefault="005C610F" w:rsidP="005E1621">
            <w:pPr>
              <w:spacing w:after="0"/>
              <w:jc w:val="right"/>
              <w:rPr>
                <w:rFonts w:ascii="Times New Roman" w:hAnsi="Times New Roman" w:cs="Times New Roman"/>
                <w:color w:val="000000"/>
                <w:sz w:val="18"/>
                <w:szCs w:val="18"/>
                <w:lang w:val="en-GB"/>
              </w:rPr>
            </w:pPr>
            <w:r w:rsidRPr="00BC2CDC">
              <w:rPr>
                <w:rFonts w:ascii="Times New Roman" w:hAnsi="Times New Roman" w:cs="Times New Roman"/>
                <w:color w:val="000000"/>
                <w:sz w:val="18"/>
                <w:szCs w:val="18"/>
                <w:lang w:val="en-GB"/>
              </w:rPr>
              <w:t>18</w:t>
            </w:r>
          </w:p>
        </w:tc>
      </w:tr>
      <w:tr w:rsidR="005C610F" w:rsidRPr="00E42063" w:rsidTr="00BC2CDC">
        <w:trPr>
          <w:trHeight w:val="450"/>
        </w:trPr>
        <w:tc>
          <w:tcPr>
            <w:tcW w:w="3420" w:type="dxa"/>
            <w:tcBorders>
              <w:top w:val="single" w:sz="4" w:space="0" w:color="auto"/>
              <w:left w:val="single" w:sz="4" w:space="0" w:color="auto"/>
              <w:bottom w:val="single" w:sz="4" w:space="0" w:color="auto"/>
              <w:right w:val="single" w:sz="4" w:space="0" w:color="auto"/>
            </w:tcBorders>
            <w:shd w:val="clear" w:color="000000" w:fill="FFFF99"/>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Physical Inactivity</w:t>
            </w:r>
          </w:p>
        </w:tc>
        <w:tc>
          <w:tcPr>
            <w:tcW w:w="4284" w:type="dxa"/>
            <w:tcBorders>
              <w:top w:val="single" w:sz="4" w:space="0" w:color="auto"/>
              <w:left w:val="nil"/>
              <w:bottom w:val="single" w:sz="4" w:space="0" w:color="auto"/>
              <w:right w:val="single" w:sz="4" w:space="0" w:color="auto"/>
            </w:tcBorders>
            <w:shd w:val="clear" w:color="000000" w:fill="FFFF99"/>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Promote physical activity in schools</w:t>
            </w:r>
          </w:p>
        </w:tc>
        <w:tc>
          <w:tcPr>
            <w:tcW w:w="861" w:type="dxa"/>
            <w:tcBorders>
              <w:top w:val="single" w:sz="4" w:space="0" w:color="auto"/>
              <w:left w:val="nil"/>
              <w:bottom w:val="single" w:sz="4" w:space="0" w:color="auto"/>
              <w:right w:val="single" w:sz="4" w:space="0" w:color="auto"/>
            </w:tcBorders>
            <w:shd w:val="clear" w:color="000000" w:fill="FFFF00"/>
            <w:noWrap/>
            <w:vAlign w:val="bottom"/>
            <w:hideMark/>
          </w:tcPr>
          <w:p w:rsidR="005C610F" w:rsidRPr="00BC2CDC" w:rsidRDefault="005C610F" w:rsidP="005E1621">
            <w:pPr>
              <w:spacing w:after="0"/>
              <w:jc w:val="right"/>
              <w:rPr>
                <w:rFonts w:ascii="Times New Roman" w:hAnsi="Times New Roman" w:cs="Times New Roman"/>
                <w:color w:val="000000"/>
                <w:sz w:val="18"/>
                <w:szCs w:val="18"/>
                <w:lang w:val="en-GB"/>
              </w:rPr>
            </w:pPr>
            <w:r w:rsidRPr="00BC2CDC">
              <w:rPr>
                <w:rFonts w:ascii="Times New Roman" w:hAnsi="Times New Roman" w:cs="Times New Roman"/>
                <w:color w:val="000000"/>
                <w:sz w:val="18"/>
                <w:szCs w:val="18"/>
                <w:lang w:val="en-GB"/>
              </w:rPr>
              <w:t>18</w:t>
            </w:r>
          </w:p>
        </w:tc>
      </w:tr>
      <w:tr w:rsidR="005C610F" w:rsidRPr="00E42063" w:rsidTr="006A5A0D">
        <w:trPr>
          <w:trHeight w:val="450"/>
        </w:trPr>
        <w:tc>
          <w:tcPr>
            <w:tcW w:w="3420" w:type="dxa"/>
            <w:tcBorders>
              <w:top w:val="single" w:sz="4" w:space="0" w:color="auto"/>
              <w:left w:val="single" w:sz="4" w:space="0" w:color="auto"/>
              <w:bottom w:val="single" w:sz="4" w:space="0" w:color="auto"/>
              <w:right w:val="single" w:sz="4" w:space="0" w:color="auto"/>
            </w:tcBorders>
            <w:shd w:val="clear" w:color="000000" w:fill="FFFF99"/>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Unhealthy diet</w:t>
            </w:r>
          </w:p>
        </w:tc>
        <w:tc>
          <w:tcPr>
            <w:tcW w:w="4284" w:type="dxa"/>
            <w:tcBorders>
              <w:top w:val="single" w:sz="4" w:space="0" w:color="auto"/>
              <w:left w:val="nil"/>
              <w:bottom w:val="single" w:sz="4" w:space="0" w:color="auto"/>
              <w:right w:val="single" w:sz="4" w:space="0" w:color="auto"/>
            </w:tcBorders>
            <w:shd w:val="clear" w:color="000000" w:fill="FFFF99"/>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Reduce salt intake</w:t>
            </w:r>
          </w:p>
        </w:tc>
        <w:tc>
          <w:tcPr>
            <w:tcW w:w="861" w:type="dxa"/>
            <w:tcBorders>
              <w:top w:val="single" w:sz="4" w:space="0" w:color="auto"/>
              <w:left w:val="nil"/>
              <w:bottom w:val="single" w:sz="4" w:space="0" w:color="auto"/>
              <w:right w:val="single" w:sz="4" w:space="0" w:color="auto"/>
            </w:tcBorders>
            <w:shd w:val="clear" w:color="000000" w:fill="FFFF00"/>
            <w:noWrap/>
            <w:vAlign w:val="bottom"/>
            <w:hideMark/>
          </w:tcPr>
          <w:p w:rsidR="005C610F" w:rsidRPr="00BC2CDC" w:rsidRDefault="005C610F" w:rsidP="005E1621">
            <w:pPr>
              <w:spacing w:after="0"/>
              <w:jc w:val="right"/>
              <w:rPr>
                <w:rFonts w:ascii="Times New Roman" w:hAnsi="Times New Roman" w:cs="Times New Roman"/>
                <w:color w:val="000000"/>
                <w:sz w:val="18"/>
                <w:szCs w:val="18"/>
                <w:lang w:val="en-GB"/>
              </w:rPr>
            </w:pPr>
            <w:r w:rsidRPr="00BC2CDC">
              <w:rPr>
                <w:rFonts w:ascii="Times New Roman" w:hAnsi="Times New Roman" w:cs="Times New Roman"/>
                <w:color w:val="000000"/>
                <w:sz w:val="18"/>
                <w:szCs w:val="18"/>
                <w:lang w:val="en-GB"/>
              </w:rPr>
              <w:t>20</w:t>
            </w:r>
          </w:p>
        </w:tc>
      </w:tr>
      <w:tr w:rsidR="005C610F" w:rsidRPr="00E42063" w:rsidTr="006A5A0D">
        <w:trPr>
          <w:trHeight w:val="450"/>
        </w:trPr>
        <w:tc>
          <w:tcPr>
            <w:tcW w:w="3420" w:type="dxa"/>
            <w:tcBorders>
              <w:top w:val="single" w:sz="4" w:space="0" w:color="auto"/>
              <w:left w:val="single" w:sz="4" w:space="0" w:color="auto"/>
              <w:bottom w:val="single" w:sz="4" w:space="0" w:color="auto"/>
              <w:right w:val="single" w:sz="4" w:space="0" w:color="auto"/>
            </w:tcBorders>
            <w:shd w:val="clear" w:color="000000" w:fill="FFCC99"/>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MN of colon, rectum and anus</w:t>
            </w:r>
          </w:p>
        </w:tc>
        <w:tc>
          <w:tcPr>
            <w:tcW w:w="4284" w:type="dxa"/>
            <w:tcBorders>
              <w:top w:val="single" w:sz="4" w:space="0" w:color="auto"/>
              <w:left w:val="nil"/>
              <w:bottom w:val="single" w:sz="4" w:space="0" w:color="auto"/>
              <w:right w:val="single" w:sz="4" w:space="0" w:color="auto"/>
            </w:tcBorders>
            <w:shd w:val="clear" w:color="000000" w:fill="FFCC99"/>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Screening (Fecal occult blood testing (FOBT), Colonoscopy, Sigmoidoscopy)</w:t>
            </w:r>
          </w:p>
        </w:tc>
        <w:tc>
          <w:tcPr>
            <w:tcW w:w="861" w:type="dxa"/>
            <w:tcBorders>
              <w:top w:val="single" w:sz="4" w:space="0" w:color="auto"/>
              <w:left w:val="nil"/>
              <w:bottom w:val="single" w:sz="4" w:space="0" w:color="auto"/>
              <w:right w:val="single" w:sz="4" w:space="0" w:color="auto"/>
            </w:tcBorders>
            <w:shd w:val="clear" w:color="000000" w:fill="FFFF00"/>
            <w:noWrap/>
            <w:vAlign w:val="bottom"/>
            <w:hideMark/>
          </w:tcPr>
          <w:p w:rsidR="005C610F" w:rsidRPr="00BC2CDC" w:rsidRDefault="005C610F" w:rsidP="005E1621">
            <w:pPr>
              <w:spacing w:after="0"/>
              <w:jc w:val="right"/>
              <w:rPr>
                <w:rFonts w:ascii="Times New Roman" w:hAnsi="Times New Roman" w:cs="Times New Roman"/>
                <w:color w:val="000000"/>
                <w:sz w:val="18"/>
                <w:szCs w:val="18"/>
                <w:lang w:val="en-GB"/>
              </w:rPr>
            </w:pPr>
            <w:r w:rsidRPr="00BC2CDC">
              <w:rPr>
                <w:rFonts w:ascii="Times New Roman" w:hAnsi="Times New Roman" w:cs="Times New Roman"/>
                <w:color w:val="000000"/>
                <w:sz w:val="18"/>
                <w:szCs w:val="18"/>
                <w:lang w:val="en-GB"/>
              </w:rPr>
              <w:t>20</w:t>
            </w:r>
          </w:p>
        </w:tc>
      </w:tr>
      <w:tr w:rsidR="005C610F" w:rsidRPr="00E42063" w:rsidTr="00E42063">
        <w:trPr>
          <w:trHeight w:val="450"/>
        </w:trPr>
        <w:tc>
          <w:tcPr>
            <w:tcW w:w="3420" w:type="dxa"/>
            <w:tcBorders>
              <w:top w:val="nil"/>
              <w:left w:val="single" w:sz="4" w:space="0" w:color="auto"/>
              <w:bottom w:val="single" w:sz="4" w:space="0" w:color="auto"/>
              <w:right w:val="single" w:sz="4" w:space="0" w:color="auto"/>
            </w:tcBorders>
            <w:shd w:val="clear" w:color="000000" w:fill="FFCC99"/>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 xml:space="preserve">MN of the female breast </w:t>
            </w:r>
          </w:p>
        </w:tc>
        <w:tc>
          <w:tcPr>
            <w:tcW w:w="4284" w:type="dxa"/>
            <w:tcBorders>
              <w:top w:val="nil"/>
              <w:left w:val="nil"/>
              <w:bottom w:val="single" w:sz="4" w:space="0" w:color="auto"/>
              <w:right w:val="single" w:sz="4" w:space="0" w:color="auto"/>
            </w:tcBorders>
            <w:shd w:val="clear" w:color="000000" w:fill="FFCC99"/>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Screening (self-examination, clinical breast examination, ultrasound, mammography)</w:t>
            </w:r>
          </w:p>
        </w:tc>
        <w:tc>
          <w:tcPr>
            <w:tcW w:w="861" w:type="dxa"/>
            <w:tcBorders>
              <w:top w:val="nil"/>
              <w:left w:val="nil"/>
              <w:bottom w:val="single" w:sz="4" w:space="0" w:color="auto"/>
              <w:right w:val="single" w:sz="4" w:space="0" w:color="auto"/>
            </w:tcBorders>
            <w:shd w:val="clear" w:color="000000" w:fill="FFFF00"/>
            <w:noWrap/>
            <w:vAlign w:val="bottom"/>
            <w:hideMark/>
          </w:tcPr>
          <w:p w:rsidR="005C610F" w:rsidRPr="00BC2CDC" w:rsidRDefault="005C610F" w:rsidP="005E1621">
            <w:pPr>
              <w:spacing w:after="0"/>
              <w:jc w:val="right"/>
              <w:rPr>
                <w:rFonts w:ascii="Times New Roman" w:hAnsi="Times New Roman" w:cs="Times New Roman"/>
                <w:color w:val="000000"/>
                <w:sz w:val="18"/>
                <w:szCs w:val="18"/>
                <w:lang w:val="en-GB"/>
              </w:rPr>
            </w:pPr>
            <w:r w:rsidRPr="00BC2CDC">
              <w:rPr>
                <w:rFonts w:ascii="Times New Roman" w:hAnsi="Times New Roman" w:cs="Times New Roman"/>
                <w:color w:val="000000"/>
                <w:sz w:val="18"/>
                <w:szCs w:val="18"/>
                <w:lang w:val="en-GB"/>
              </w:rPr>
              <w:t>20</w:t>
            </w:r>
          </w:p>
        </w:tc>
      </w:tr>
      <w:tr w:rsidR="005C610F" w:rsidRPr="00E42063" w:rsidTr="00E42063">
        <w:trPr>
          <w:trHeight w:val="450"/>
        </w:trPr>
        <w:tc>
          <w:tcPr>
            <w:tcW w:w="3420" w:type="dxa"/>
            <w:tcBorders>
              <w:top w:val="nil"/>
              <w:left w:val="single" w:sz="4" w:space="0" w:color="auto"/>
              <w:bottom w:val="single" w:sz="4" w:space="0" w:color="auto"/>
              <w:right w:val="single" w:sz="4" w:space="0" w:color="auto"/>
            </w:tcBorders>
            <w:shd w:val="clear" w:color="000000" w:fill="CCFFCC"/>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Hypertension</w:t>
            </w:r>
          </w:p>
        </w:tc>
        <w:tc>
          <w:tcPr>
            <w:tcW w:w="4284" w:type="dxa"/>
            <w:tcBorders>
              <w:top w:val="nil"/>
              <w:left w:val="nil"/>
              <w:bottom w:val="single" w:sz="4" w:space="0" w:color="auto"/>
              <w:right w:val="single" w:sz="4" w:space="0" w:color="auto"/>
            </w:tcBorders>
            <w:shd w:val="clear" w:color="000000" w:fill="CCFFCC"/>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Medication (ACE inhibitors, beta-blockers)</w:t>
            </w:r>
          </w:p>
        </w:tc>
        <w:tc>
          <w:tcPr>
            <w:tcW w:w="861" w:type="dxa"/>
            <w:tcBorders>
              <w:top w:val="nil"/>
              <w:left w:val="nil"/>
              <w:bottom w:val="single" w:sz="4" w:space="0" w:color="auto"/>
              <w:right w:val="single" w:sz="4" w:space="0" w:color="auto"/>
            </w:tcBorders>
            <w:shd w:val="clear" w:color="000000" w:fill="FFFF00"/>
            <w:noWrap/>
            <w:vAlign w:val="bottom"/>
            <w:hideMark/>
          </w:tcPr>
          <w:p w:rsidR="005C610F" w:rsidRPr="00BC2CDC" w:rsidRDefault="005C610F" w:rsidP="005E1621">
            <w:pPr>
              <w:spacing w:after="0"/>
              <w:jc w:val="right"/>
              <w:rPr>
                <w:rFonts w:ascii="Times New Roman" w:hAnsi="Times New Roman" w:cs="Times New Roman"/>
                <w:color w:val="000000"/>
                <w:sz w:val="18"/>
                <w:szCs w:val="18"/>
                <w:lang w:val="en-GB"/>
              </w:rPr>
            </w:pPr>
            <w:r w:rsidRPr="00BC2CDC">
              <w:rPr>
                <w:rFonts w:ascii="Times New Roman" w:hAnsi="Times New Roman" w:cs="Times New Roman"/>
                <w:color w:val="000000"/>
                <w:sz w:val="18"/>
                <w:szCs w:val="18"/>
                <w:lang w:val="en-GB"/>
              </w:rPr>
              <w:t>20</w:t>
            </w:r>
          </w:p>
        </w:tc>
      </w:tr>
      <w:tr w:rsidR="005C610F" w:rsidRPr="00E42063" w:rsidTr="00E42063">
        <w:trPr>
          <w:trHeight w:val="675"/>
        </w:trPr>
        <w:tc>
          <w:tcPr>
            <w:tcW w:w="3420" w:type="dxa"/>
            <w:tcBorders>
              <w:top w:val="nil"/>
              <w:left w:val="single" w:sz="4" w:space="0" w:color="auto"/>
              <w:bottom w:val="single" w:sz="4" w:space="0" w:color="auto"/>
              <w:right w:val="single" w:sz="4" w:space="0" w:color="auto"/>
            </w:tcBorders>
            <w:shd w:val="clear" w:color="000000" w:fill="CCFFCC"/>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lastRenderedPageBreak/>
              <w:t>High blood chol</w:t>
            </w:r>
            <w:r w:rsidR="00741164" w:rsidRPr="00BC2CDC">
              <w:rPr>
                <w:rFonts w:ascii="Times New Roman" w:hAnsi="Times New Roman" w:cs="Times New Roman"/>
                <w:sz w:val="18"/>
                <w:szCs w:val="18"/>
                <w:lang w:val="en-GB"/>
              </w:rPr>
              <w:t>e</w:t>
            </w:r>
            <w:r w:rsidRPr="00BC2CDC">
              <w:rPr>
                <w:rFonts w:ascii="Times New Roman" w:hAnsi="Times New Roman" w:cs="Times New Roman"/>
                <w:sz w:val="18"/>
                <w:szCs w:val="18"/>
                <w:lang w:val="en-GB"/>
              </w:rPr>
              <w:t>sterol</w:t>
            </w:r>
          </w:p>
        </w:tc>
        <w:tc>
          <w:tcPr>
            <w:tcW w:w="4284" w:type="dxa"/>
            <w:tcBorders>
              <w:top w:val="nil"/>
              <w:left w:val="nil"/>
              <w:bottom w:val="single" w:sz="4" w:space="0" w:color="auto"/>
              <w:right w:val="single" w:sz="4" w:space="0" w:color="auto"/>
            </w:tcBorders>
            <w:shd w:val="clear" w:color="000000" w:fill="CCFFCC"/>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Medication (Statins)</w:t>
            </w:r>
          </w:p>
        </w:tc>
        <w:tc>
          <w:tcPr>
            <w:tcW w:w="861" w:type="dxa"/>
            <w:tcBorders>
              <w:top w:val="nil"/>
              <w:left w:val="nil"/>
              <w:bottom w:val="single" w:sz="4" w:space="0" w:color="auto"/>
              <w:right w:val="single" w:sz="4" w:space="0" w:color="auto"/>
            </w:tcBorders>
            <w:shd w:val="clear" w:color="000000" w:fill="FFFF00"/>
            <w:noWrap/>
            <w:vAlign w:val="bottom"/>
            <w:hideMark/>
          </w:tcPr>
          <w:p w:rsidR="005C610F" w:rsidRPr="00BC2CDC" w:rsidRDefault="005C610F" w:rsidP="005E1621">
            <w:pPr>
              <w:spacing w:after="0"/>
              <w:jc w:val="right"/>
              <w:rPr>
                <w:rFonts w:ascii="Times New Roman" w:hAnsi="Times New Roman" w:cs="Times New Roman"/>
                <w:color w:val="000000"/>
                <w:sz w:val="18"/>
                <w:szCs w:val="18"/>
                <w:lang w:val="en-GB"/>
              </w:rPr>
            </w:pPr>
            <w:r w:rsidRPr="00BC2CDC">
              <w:rPr>
                <w:rFonts w:ascii="Times New Roman" w:hAnsi="Times New Roman" w:cs="Times New Roman"/>
                <w:color w:val="000000"/>
                <w:sz w:val="18"/>
                <w:szCs w:val="18"/>
                <w:lang w:val="en-GB"/>
              </w:rPr>
              <w:t>20</w:t>
            </w:r>
          </w:p>
        </w:tc>
      </w:tr>
      <w:tr w:rsidR="005C610F" w:rsidRPr="00E42063" w:rsidTr="00E42063">
        <w:trPr>
          <w:trHeight w:val="450"/>
        </w:trPr>
        <w:tc>
          <w:tcPr>
            <w:tcW w:w="3420" w:type="dxa"/>
            <w:tcBorders>
              <w:top w:val="nil"/>
              <w:left w:val="single" w:sz="4" w:space="0" w:color="auto"/>
              <w:bottom w:val="single" w:sz="4" w:space="0" w:color="auto"/>
              <w:right w:val="single" w:sz="4" w:space="0" w:color="auto"/>
            </w:tcBorders>
            <w:shd w:val="clear" w:color="000000" w:fill="CCFFCC"/>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Angina pectoris (stable angina)</w:t>
            </w:r>
          </w:p>
        </w:tc>
        <w:tc>
          <w:tcPr>
            <w:tcW w:w="4284" w:type="dxa"/>
            <w:tcBorders>
              <w:top w:val="nil"/>
              <w:left w:val="nil"/>
              <w:bottom w:val="single" w:sz="4" w:space="0" w:color="auto"/>
              <w:right w:val="single" w:sz="4" w:space="0" w:color="auto"/>
            </w:tcBorders>
            <w:shd w:val="clear" w:color="000000" w:fill="CCFFCC"/>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Medication (Atenolol, ACE inhibitors, Beta-Blockers)</w:t>
            </w:r>
          </w:p>
        </w:tc>
        <w:tc>
          <w:tcPr>
            <w:tcW w:w="861" w:type="dxa"/>
            <w:tcBorders>
              <w:top w:val="nil"/>
              <w:left w:val="nil"/>
              <w:bottom w:val="single" w:sz="4" w:space="0" w:color="auto"/>
              <w:right w:val="single" w:sz="4" w:space="0" w:color="auto"/>
            </w:tcBorders>
            <w:shd w:val="clear" w:color="000000" w:fill="FFFF00"/>
            <w:noWrap/>
            <w:vAlign w:val="bottom"/>
            <w:hideMark/>
          </w:tcPr>
          <w:p w:rsidR="005C610F" w:rsidRPr="00BC2CDC" w:rsidRDefault="005C610F" w:rsidP="005E1621">
            <w:pPr>
              <w:spacing w:after="0"/>
              <w:jc w:val="right"/>
              <w:rPr>
                <w:rFonts w:ascii="Times New Roman" w:hAnsi="Times New Roman" w:cs="Times New Roman"/>
                <w:color w:val="000000"/>
                <w:sz w:val="18"/>
                <w:szCs w:val="18"/>
                <w:lang w:val="en-GB"/>
              </w:rPr>
            </w:pPr>
            <w:r w:rsidRPr="00BC2CDC">
              <w:rPr>
                <w:rFonts w:ascii="Times New Roman" w:hAnsi="Times New Roman" w:cs="Times New Roman"/>
                <w:color w:val="000000"/>
                <w:sz w:val="18"/>
                <w:szCs w:val="18"/>
                <w:lang w:val="en-GB"/>
              </w:rPr>
              <w:t>20</w:t>
            </w:r>
          </w:p>
        </w:tc>
      </w:tr>
      <w:tr w:rsidR="005C610F" w:rsidRPr="00E42063" w:rsidTr="00E42063">
        <w:trPr>
          <w:trHeight w:val="450"/>
        </w:trPr>
        <w:tc>
          <w:tcPr>
            <w:tcW w:w="3420" w:type="dxa"/>
            <w:tcBorders>
              <w:top w:val="nil"/>
              <w:left w:val="single" w:sz="4" w:space="0" w:color="auto"/>
              <w:bottom w:val="single" w:sz="4" w:space="0" w:color="auto"/>
              <w:right w:val="single" w:sz="4" w:space="0" w:color="auto"/>
            </w:tcBorders>
            <w:shd w:val="clear" w:color="000000" w:fill="99CCFF"/>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Asthma control</w:t>
            </w:r>
          </w:p>
        </w:tc>
        <w:tc>
          <w:tcPr>
            <w:tcW w:w="4284" w:type="dxa"/>
            <w:tcBorders>
              <w:top w:val="nil"/>
              <w:left w:val="nil"/>
              <w:bottom w:val="single" w:sz="4" w:space="0" w:color="auto"/>
              <w:right w:val="single" w:sz="4" w:space="0" w:color="auto"/>
            </w:tcBorders>
            <w:shd w:val="clear" w:color="000000" w:fill="99CCFF"/>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Medication (inhaled ipratropium bromide, rapid-acting bronchodilators, inhaled corticosteroid)</w:t>
            </w:r>
          </w:p>
        </w:tc>
        <w:tc>
          <w:tcPr>
            <w:tcW w:w="861" w:type="dxa"/>
            <w:tcBorders>
              <w:top w:val="nil"/>
              <w:left w:val="nil"/>
              <w:bottom w:val="single" w:sz="4" w:space="0" w:color="auto"/>
              <w:right w:val="single" w:sz="4" w:space="0" w:color="auto"/>
            </w:tcBorders>
            <w:shd w:val="clear" w:color="000000" w:fill="FFFF00"/>
            <w:noWrap/>
            <w:vAlign w:val="bottom"/>
            <w:hideMark/>
          </w:tcPr>
          <w:p w:rsidR="005C610F" w:rsidRPr="00BC2CDC" w:rsidRDefault="005C610F" w:rsidP="005E1621">
            <w:pPr>
              <w:spacing w:after="0"/>
              <w:jc w:val="right"/>
              <w:rPr>
                <w:rFonts w:ascii="Times New Roman" w:hAnsi="Times New Roman" w:cs="Times New Roman"/>
                <w:color w:val="000000"/>
                <w:sz w:val="18"/>
                <w:szCs w:val="18"/>
                <w:lang w:val="en-GB"/>
              </w:rPr>
            </w:pPr>
            <w:r w:rsidRPr="00BC2CDC">
              <w:rPr>
                <w:rFonts w:ascii="Times New Roman" w:hAnsi="Times New Roman" w:cs="Times New Roman"/>
                <w:color w:val="000000"/>
                <w:sz w:val="18"/>
                <w:szCs w:val="18"/>
                <w:lang w:val="en-GB"/>
              </w:rPr>
              <w:t>20</w:t>
            </w:r>
          </w:p>
        </w:tc>
      </w:tr>
      <w:tr w:rsidR="005C610F" w:rsidRPr="00E42063" w:rsidTr="00E42063">
        <w:trPr>
          <w:trHeight w:val="450"/>
        </w:trPr>
        <w:tc>
          <w:tcPr>
            <w:tcW w:w="3420" w:type="dxa"/>
            <w:tcBorders>
              <w:top w:val="nil"/>
              <w:left w:val="single" w:sz="4" w:space="0" w:color="auto"/>
              <w:bottom w:val="single" w:sz="4" w:space="0" w:color="auto"/>
              <w:right w:val="single" w:sz="4" w:space="0" w:color="auto"/>
            </w:tcBorders>
            <w:shd w:val="clear" w:color="000000" w:fill="99CCFF"/>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Chronic obstructive pulmonary disease (COPD) - Stage 1-2</w:t>
            </w:r>
          </w:p>
        </w:tc>
        <w:tc>
          <w:tcPr>
            <w:tcW w:w="4284" w:type="dxa"/>
            <w:tcBorders>
              <w:top w:val="nil"/>
              <w:left w:val="nil"/>
              <w:bottom w:val="single" w:sz="4" w:space="0" w:color="auto"/>
              <w:right w:val="single" w:sz="4" w:space="0" w:color="auto"/>
            </w:tcBorders>
            <w:shd w:val="clear" w:color="000000" w:fill="99CCFF"/>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Medication (inhaled ipratropium bromide, rapid-acting bronchodilators, inhaled corticosteroid)</w:t>
            </w:r>
          </w:p>
        </w:tc>
        <w:tc>
          <w:tcPr>
            <w:tcW w:w="861" w:type="dxa"/>
            <w:tcBorders>
              <w:top w:val="nil"/>
              <w:left w:val="nil"/>
              <w:bottom w:val="single" w:sz="4" w:space="0" w:color="auto"/>
              <w:right w:val="single" w:sz="4" w:space="0" w:color="auto"/>
            </w:tcBorders>
            <w:shd w:val="clear" w:color="000000" w:fill="FFFF00"/>
            <w:noWrap/>
            <w:vAlign w:val="bottom"/>
            <w:hideMark/>
          </w:tcPr>
          <w:p w:rsidR="005C610F" w:rsidRPr="00BC2CDC" w:rsidRDefault="005C610F" w:rsidP="005E1621">
            <w:pPr>
              <w:spacing w:after="0"/>
              <w:jc w:val="right"/>
              <w:rPr>
                <w:rFonts w:ascii="Times New Roman" w:hAnsi="Times New Roman" w:cs="Times New Roman"/>
                <w:color w:val="000000"/>
                <w:sz w:val="18"/>
                <w:szCs w:val="18"/>
                <w:lang w:val="en-GB"/>
              </w:rPr>
            </w:pPr>
            <w:r w:rsidRPr="00BC2CDC">
              <w:rPr>
                <w:rFonts w:ascii="Times New Roman" w:hAnsi="Times New Roman" w:cs="Times New Roman"/>
                <w:color w:val="000000"/>
                <w:sz w:val="18"/>
                <w:szCs w:val="18"/>
                <w:lang w:val="en-GB"/>
              </w:rPr>
              <w:t>20</w:t>
            </w:r>
          </w:p>
        </w:tc>
      </w:tr>
      <w:tr w:rsidR="005C610F" w:rsidRPr="00E42063" w:rsidTr="00E42063">
        <w:trPr>
          <w:trHeight w:val="450"/>
        </w:trPr>
        <w:tc>
          <w:tcPr>
            <w:tcW w:w="3420" w:type="dxa"/>
            <w:tcBorders>
              <w:top w:val="nil"/>
              <w:left w:val="single" w:sz="4" w:space="0" w:color="auto"/>
              <w:bottom w:val="single" w:sz="4" w:space="0" w:color="auto"/>
              <w:right w:val="single" w:sz="4" w:space="0" w:color="auto"/>
            </w:tcBorders>
            <w:shd w:val="clear" w:color="000000" w:fill="CC99FF"/>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Diabetes mellitus type 2</w:t>
            </w:r>
          </w:p>
        </w:tc>
        <w:tc>
          <w:tcPr>
            <w:tcW w:w="4284" w:type="dxa"/>
            <w:tcBorders>
              <w:top w:val="nil"/>
              <w:left w:val="nil"/>
              <w:bottom w:val="single" w:sz="4" w:space="0" w:color="auto"/>
              <w:right w:val="single" w:sz="4" w:space="0" w:color="auto"/>
            </w:tcBorders>
            <w:shd w:val="clear" w:color="000000" w:fill="CC99FF"/>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Glucose control (insulin, oral glucose-lowering agents)</w:t>
            </w:r>
          </w:p>
        </w:tc>
        <w:tc>
          <w:tcPr>
            <w:tcW w:w="861" w:type="dxa"/>
            <w:tcBorders>
              <w:top w:val="nil"/>
              <w:left w:val="nil"/>
              <w:bottom w:val="single" w:sz="4" w:space="0" w:color="auto"/>
              <w:right w:val="single" w:sz="4" w:space="0" w:color="auto"/>
            </w:tcBorders>
            <w:shd w:val="clear" w:color="000000" w:fill="FFFF00"/>
            <w:noWrap/>
            <w:vAlign w:val="bottom"/>
            <w:hideMark/>
          </w:tcPr>
          <w:p w:rsidR="005C610F" w:rsidRPr="00BC2CDC" w:rsidRDefault="005C610F" w:rsidP="005E1621">
            <w:pPr>
              <w:spacing w:after="0"/>
              <w:jc w:val="right"/>
              <w:rPr>
                <w:rFonts w:ascii="Times New Roman" w:hAnsi="Times New Roman" w:cs="Times New Roman"/>
                <w:color w:val="000000"/>
                <w:sz w:val="18"/>
                <w:szCs w:val="18"/>
                <w:lang w:val="en-GB"/>
              </w:rPr>
            </w:pPr>
            <w:r w:rsidRPr="00BC2CDC">
              <w:rPr>
                <w:rFonts w:ascii="Times New Roman" w:hAnsi="Times New Roman" w:cs="Times New Roman"/>
                <w:color w:val="000000"/>
                <w:sz w:val="18"/>
                <w:szCs w:val="18"/>
                <w:lang w:val="en-GB"/>
              </w:rPr>
              <w:t>20</w:t>
            </w:r>
          </w:p>
        </w:tc>
      </w:tr>
      <w:tr w:rsidR="005C610F" w:rsidRPr="00E42063" w:rsidTr="00E42063">
        <w:trPr>
          <w:trHeight w:val="300"/>
        </w:trPr>
        <w:tc>
          <w:tcPr>
            <w:tcW w:w="3420" w:type="dxa"/>
            <w:tcBorders>
              <w:top w:val="nil"/>
              <w:left w:val="single" w:sz="4" w:space="0" w:color="auto"/>
              <w:bottom w:val="single" w:sz="4" w:space="0" w:color="auto"/>
              <w:right w:val="single" w:sz="4" w:space="0" w:color="auto"/>
            </w:tcBorders>
            <w:shd w:val="clear" w:color="000000" w:fill="FFFF99"/>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Unhealthy diet</w:t>
            </w:r>
          </w:p>
        </w:tc>
        <w:tc>
          <w:tcPr>
            <w:tcW w:w="4284" w:type="dxa"/>
            <w:tcBorders>
              <w:top w:val="nil"/>
              <w:left w:val="nil"/>
              <w:bottom w:val="single" w:sz="4" w:space="0" w:color="auto"/>
              <w:right w:val="single" w:sz="4" w:space="0" w:color="auto"/>
            </w:tcBorders>
            <w:shd w:val="clear" w:color="000000" w:fill="FFFF99"/>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Provide health education in worksites</w:t>
            </w:r>
          </w:p>
        </w:tc>
        <w:tc>
          <w:tcPr>
            <w:tcW w:w="861" w:type="dxa"/>
            <w:tcBorders>
              <w:top w:val="nil"/>
              <w:left w:val="nil"/>
              <w:bottom w:val="single" w:sz="4" w:space="0" w:color="auto"/>
              <w:right w:val="single" w:sz="4" w:space="0" w:color="auto"/>
            </w:tcBorders>
            <w:shd w:val="clear" w:color="000000" w:fill="FFFF00"/>
            <w:noWrap/>
            <w:vAlign w:val="bottom"/>
            <w:hideMark/>
          </w:tcPr>
          <w:p w:rsidR="005C610F" w:rsidRPr="00BC2CDC" w:rsidRDefault="005C610F" w:rsidP="005E1621">
            <w:pPr>
              <w:spacing w:after="0"/>
              <w:jc w:val="right"/>
              <w:rPr>
                <w:rFonts w:ascii="Times New Roman" w:hAnsi="Times New Roman" w:cs="Times New Roman"/>
                <w:color w:val="000000"/>
                <w:sz w:val="18"/>
                <w:szCs w:val="18"/>
                <w:lang w:val="en-GB"/>
              </w:rPr>
            </w:pPr>
            <w:r w:rsidRPr="00BC2CDC">
              <w:rPr>
                <w:rFonts w:ascii="Times New Roman" w:hAnsi="Times New Roman" w:cs="Times New Roman"/>
                <w:color w:val="000000"/>
                <w:sz w:val="18"/>
                <w:szCs w:val="18"/>
                <w:lang w:val="en-GB"/>
              </w:rPr>
              <w:t>30</w:t>
            </w:r>
          </w:p>
        </w:tc>
      </w:tr>
      <w:tr w:rsidR="005C610F" w:rsidRPr="00E42063" w:rsidTr="00E42063">
        <w:trPr>
          <w:trHeight w:val="300"/>
        </w:trPr>
        <w:tc>
          <w:tcPr>
            <w:tcW w:w="3420" w:type="dxa"/>
            <w:tcBorders>
              <w:top w:val="nil"/>
              <w:left w:val="single" w:sz="4" w:space="0" w:color="auto"/>
              <w:bottom w:val="single" w:sz="4" w:space="0" w:color="auto"/>
              <w:right w:val="single" w:sz="4" w:space="0" w:color="auto"/>
            </w:tcBorders>
            <w:shd w:val="clear" w:color="000000" w:fill="CCFFCC"/>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Congestive Heart Failure (CHF)</w:t>
            </w:r>
          </w:p>
        </w:tc>
        <w:tc>
          <w:tcPr>
            <w:tcW w:w="4284" w:type="dxa"/>
            <w:tcBorders>
              <w:top w:val="nil"/>
              <w:left w:val="nil"/>
              <w:bottom w:val="single" w:sz="4" w:space="0" w:color="auto"/>
              <w:right w:val="single" w:sz="4" w:space="0" w:color="auto"/>
            </w:tcBorders>
            <w:shd w:val="clear" w:color="000000" w:fill="CCFFCC"/>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Surgery (Coronary artery bypass graft)</w:t>
            </w:r>
          </w:p>
        </w:tc>
        <w:tc>
          <w:tcPr>
            <w:tcW w:w="861" w:type="dxa"/>
            <w:tcBorders>
              <w:top w:val="nil"/>
              <w:left w:val="nil"/>
              <w:bottom w:val="single" w:sz="4" w:space="0" w:color="auto"/>
              <w:right w:val="single" w:sz="4" w:space="0" w:color="auto"/>
            </w:tcBorders>
            <w:shd w:val="clear" w:color="000000" w:fill="FFFF00"/>
            <w:noWrap/>
            <w:vAlign w:val="bottom"/>
            <w:hideMark/>
          </w:tcPr>
          <w:p w:rsidR="005C610F" w:rsidRPr="00BC2CDC" w:rsidRDefault="005C610F" w:rsidP="005E1621">
            <w:pPr>
              <w:spacing w:after="0"/>
              <w:jc w:val="right"/>
              <w:rPr>
                <w:rFonts w:ascii="Times New Roman" w:hAnsi="Times New Roman" w:cs="Times New Roman"/>
                <w:color w:val="000000"/>
                <w:sz w:val="18"/>
                <w:szCs w:val="18"/>
                <w:lang w:val="en-GB"/>
              </w:rPr>
            </w:pPr>
            <w:r w:rsidRPr="00BC2CDC">
              <w:rPr>
                <w:rFonts w:ascii="Times New Roman" w:hAnsi="Times New Roman" w:cs="Times New Roman"/>
                <w:color w:val="000000"/>
                <w:sz w:val="18"/>
                <w:szCs w:val="18"/>
                <w:lang w:val="en-GB"/>
              </w:rPr>
              <w:t>31</w:t>
            </w:r>
          </w:p>
        </w:tc>
      </w:tr>
      <w:tr w:rsidR="005C610F" w:rsidRPr="00E42063" w:rsidTr="00E42063">
        <w:trPr>
          <w:trHeight w:val="300"/>
        </w:trPr>
        <w:tc>
          <w:tcPr>
            <w:tcW w:w="3420" w:type="dxa"/>
            <w:tcBorders>
              <w:top w:val="nil"/>
              <w:left w:val="single" w:sz="4" w:space="0" w:color="auto"/>
              <w:bottom w:val="single" w:sz="4" w:space="0" w:color="auto"/>
              <w:right w:val="single" w:sz="4" w:space="0" w:color="auto"/>
            </w:tcBorders>
            <w:shd w:val="clear" w:color="000000" w:fill="FFCC99"/>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 xml:space="preserve">MN of larynx and trachea, bronchus, lung </w:t>
            </w:r>
          </w:p>
        </w:tc>
        <w:tc>
          <w:tcPr>
            <w:tcW w:w="4284" w:type="dxa"/>
            <w:tcBorders>
              <w:top w:val="nil"/>
              <w:left w:val="nil"/>
              <w:bottom w:val="single" w:sz="4" w:space="0" w:color="auto"/>
              <w:right w:val="single" w:sz="4" w:space="0" w:color="auto"/>
            </w:tcBorders>
            <w:shd w:val="clear" w:color="000000" w:fill="FFCC99"/>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Surgery with/without adjuvant treatment (a)</w:t>
            </w:r>
          </w:p>
        </w:tc>
        <w:tc>
          <w:tcPr>
            <w:tcW w:w="861" w:type="dxa"/>
            <w:tcBorders>
              <w:top w:val="nil"/>
              <w:left w:val="nil"/>
              <w:bottom w:val="single" w:sz="4" w:space="0" w:color="auto"/>
              <w:right w:val="single" w:sz="4" w:space="0" w:color="auto"/>
            </w:tcBorders>
            <w:shd w:val="clear" w:color="000000" w:fill="FFFF00"/>
            <w:noWrap/>
            <w:vAlign w:val="bottom"/>
            <w:hideMark/>
          </w:tcPr>
          <w:p w:rsidR="005C610F" w:rsidRPr="00BC2CDC" w:rsidRDefault="005C610F" w:rsidP="005E1621">
            <w:pPr>
              <w:spacing w:after="0"/>
              <w:jc w:val="right"/>
              <w:rPr>
                <w:rFonts w:ascii="Times New Roman" w:hAnsi="Times New Roman" w:cs="Times New Roman"/>
                <w:color w:val="000000"/>
                <w:sz w:val="18"/>
                <w:szCs w:val="18"/>
                <w:lang w:val="en-GB"/>
              </w:rPr>
            </w:pPr>
            <w:r w:rsidRPr="00BC2CDC">
              <w:rPr>
                <w:rFonts w:ascii="Times New Roman" w:hAnsi="Times New Roman" w:cs="Times New Roman"/>
                <w:color w:val="000000"/>
                <w:sz w:val="18"/>
                <w:szCs w:val="18"/>
                <w:lang w:val="en-GB"/>
              </w:rPr>
              <w:t>32</w:t>
            </w:r>
          </w:p>
        </w:tc>
      </w:tr>
      <w:tr w:rsidR="005C610F" w:rsidRPr="00E42063" w:rsidTr="00E42063">
        <w:trPr>
          <w:trHeight w:val="450"/>
        </w:trPr>
        <w:tc>
          <w:tcPr>
            <w:tcW w:w="3420" w:type="dxa"/>
            <w:tcBorders>
              <w:top w:val="nil"/>
              <w:left w:val="single" w:sz="4" w:space="0" w:color="auto"/>
              <w:bottom w:val="single" w:sz="4" w:space="0" w:color="auto"/>
              <w:right w:val="single" w:sz="4" w:space="0" w:color="auto"/>
            </w:tcBorders>
            <w:shd w:val="clear" w:color="000000" w:fill="99CCFF"/>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Chronic obstructive pulmonary disease (COPD) - Stage 3-4</w:t>
            </w:r>
          </w:p>
        </w:tc>
        <w:tc>
          <w:tcPr>
            <w:tcW w:w="4284" w:type="dxa"/>
            <w:tcBorders>
              <w:top w:val="nil"/>
              <w:left w:val="nil"/>
              <w:bottom w:val="single" w:sz="4" w:space="0" w:color="auto"/>
              <w:right w:val="single" w:sz="4" w:space="0" w:color="auto"/>
            </w:tcBorders>
            <w:shd w:val="clear" w:color="000000" w:fill="99CCFF"/>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Home oxygen therapy</w:t>
            </w:r>
          </w:p>
        </w:tc>
        <w:tc>
          <w:tcPr>
            <w:tcW w:w="861" w:type="dxa"/>
            <w:tcBorders>
              <w:top w:val="nil"/>
              <w:left w:val="nil"/>
              <w:bottom w:val="single" w:sz="4" w:space="0" w:color="auto"/>
              <w:right w:val="single" w:sz="4" w:space="0" w:color="auto"/>
            </w:tcBorders>
            <w:shd w:val="clear" w:color="000000" w:fill="FFFF00"/>
            <w:noWrap/>
            <w:vAlign w:val="bottom"/>
            <w:hideMark/>
          </w:tcPr>
          <w:p w:rsidR="005C610F" w:rsidRPr="00BC2CDC" w:rsidRDefault="005C610F" w:rsidP="005E1621">
            <w:pPr>
              <w:spacing w:after="0"/>
              <w:jc w:val="right"/>
              <w:rPr>
                <w:rFonts w:ascii="Times New Roman" w:hAnsi="Times New Roman" w:cs="Times New Roman"/>
                <w:color w:val="000000"/>
                <w:sz w:val="18"/>
                <w:szCs w:val="18"/>
                <w:lang w:val="en-GB"/>
              </w:rPr>
            </w:pPr>
            <w:r w:rsidRPr="00BC2CDC">
              <w:rPr>
                <w:rFonts w:ascii="Times New Roman" w:hAnsi="Times New Roman" w:cs="Times New Roman"/>
                <w:color w:val="000000"/>
                <w:sz w:val="18"/>
                <w:szCs w:val="18"/>
                <w:lang w:val="en-GB"/>
              </w:rPr>
              <w:t>32</w:t>
            </w:r>
          </w:p>
        </w:tc>
      </w:tr>
      <w:tr w:rsidR="005C610F" w:rsidRPr="00E42063" w:rsidTr="00E42063">
        <w:trPr>
          <w:trHeight w:val="300"/>
        </w:trPr>
        <w:tc>
          <w:tcPr>
            <w:tcW w:w="3420" w:type="dxa"/>
            <w:tcBorders>
              <w:top w:val="nil"/>
              <w:left w:val="single" w:sz="4" w:space="0" w:color="auto"/>
              <w:bottom w:val="single" w:sz="4" w:space="0" w:color="auto"/>
              <w:right w:val="single" w:sz="4" w:space="0" w:color="auto"/>
            </w:tcBorders>
            <w:shd w:val="clear" w:color="000000" w:fill="FFFF99"/>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Tobacco use</w:t>
            </w:r>
          </w:p>
        </w:tc>
        <w:tc>
          <w:tcPr>
            <w:tcW w:w="4284" w:type="dxa"/>
            <w:tcBorders>
              <w:top w:val="nil"/>
              <w:left w:val="nil"/>
              <w:bottom w:val="single" w:sz="4" w:space="0" w:color="auto"/>
              <w:right w:val="single" w:sz="4" w:space="0" w:color="auto"/>
            </w:tcBorders>
            <w:shd w:val="clear" w:color="000000" w:fill="FFFF99"/>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Raise tax on tobacco</w:t>
            </w:r>
          </w:p>
        </w:tc>
        <w:tc>
          <w:tcPr>
            <w:tcW w:w="861" w:type="dxa"/>
            <w:tcBorders>
              <w:top w:val="nil"/>
              <w:left w:val="nil"/>
              <w:bottom w:val="single" w:sz="4" w:space="0" w:color="auto"/>
              <w:right w:val="single" w:sz="4" w:space="0" w:color="auto"/>
            </w:tcBorders>
            <w:shd w:val="clear" w:color="000000" w:fill="FFFF00"/>
            <w:noWrap/>
            <w:vAlign w:val="bottom"/>
            <w:hideMark/>
          </w:tcPr>
          <w:p w:rsidR="005C610F" w:rsidRPr="00BC2CDC" w:rsidRDefault="005C610F" w:rsidP="005E1621">
            <w:pPr>
              <w:spacing w:after="0"/>
              <w:jc w:val="right"/>
              <w:rPr>
                <w:rFonts w:ascii="Times New Roman" w:hAnsi="Times New Roman" w:cs="Times New Roman"/>
                <w:color w:val="000000"/>
                <w:sz w:val="18"/>
                <w:szCs w:val="18"/>
                <w:lang w:val="en-GB"/>
              </w:rPr>
            </w:pPr>
            <w:r w:rsidRPr="00BC2CDC">
              <w:rPr>
                <w:rFonts w:ascii="Times New Roman" w:hAnsi="Times New Roman" w:cs="Times New Roman"/>
                <w:color w:val="000000"/>
                <w:sz w:val="18"/>
                <w:szCs w:val="18"/>
                <w:lang w:val="en-GB"/>
              </w:rPr>
              <w:t>34</w:t>
            </w:r>
          </w:p>
        </w:tc>
      </w:tr>
      <w:tr w:rsidR="005C610F" w:rsidRPr="00E42063" w:rsidTr="00E42063">
        <w:trPr>
          <w:trHeight w:val="450"/>
        </w:trPr>
        <w:tc>
          <w:tcPr>
            <w:tcW w:w="3420" w:type="dxa"/>
            <w:tcBorders>
              <w:top w:val="nil"/>
              <w:left w:val="single" w:sz="4" w:space="0" w:color="auto"/>
              <w:bottom w:val="single" w:sz="4" w:space="0" w:color="auto"/>
              <w:right w:val="single" w:sz="4" w:space="0" w:color="auto"/>
            </w:tcBorders>
            <w:shd w:val="clear" w:color="000000" w:fill="FFFF99"/>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Tobacco use</w:t>
            </w:r>
          </w:p>
        </w:tc>
        <w:tc>
          <w:tcPr>
            <w:tcW w:w="4284" w:type="dxa"/>
            <w:tcBorders>
              <w:top w:val="nil"/>
              <w:left w:val="nil"/>
              <w:bottom w:val="single" w:sz="4" w:space="0" w:color="auto"/>
              <w:right w:val="single" w:sz="4" w:space="0" w:color="auto"/>
            </w:tcBorders>
            <w:shd w:val="clear" w:color="000000" w:fill="FFFF99"/>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Enforce bans on tobacco advertising</w:t>
            </w:r>
          </w:p>
        </w:tc>
        <w:tc>
          <w:tcPr>
            <w:tcW w:w="861" w:type="dxa"/>
            <w:tcBorders>
              <w:top w:val="nil"/>
              <w:left w:val="nil"/>
              <w:bottom w:val="single" w:sz="4" w:space="0" w:color="auto"/>
              <w:right w:val="single" w:sz="4" w:space="0" w:color="auto"/>
            </w:tcBorders>
            <w:shd w:val="clear" w:color="000000" w:fill="FFFF00"/>
            <w:noWrap/>
            <w:vAlign w:val="bottom"/>
            <w:hideMark/>
          </w:tcPr>
          <w:p w:rsidR="005C610F" w:rsidRPr="00BC2CDC" w:rsidRDefault="005C610F" w:rsidP="005E1621">
            <w:pPr>
              <w:spacing w:after="0"/>
              <w:jc w:val="right"/>
              <w:rPr>
                <w:rFonts w:ascii="Times New Roman" w:hAnsi="Times New Roman" w:cs="Times New Roman"/>
                <w:color w:val="000000"/>
                <w:sz w:val="18"/>
                <w:szCs w:val="18"/>
                <w:lang w:val="en-GB"/>
              </w:rPr>
            </w:pPr>
            <w:r w:rsidRPr="00BC2CDC">
              <w:rPr>
                <w:rFonts w:ascii="Times New Roman" w:hAnsi="Times New Roman" w:cs="Times New Roman"/>
                <w:color w:val="000000"/>
                <w:sz w:val="18"/>
                <w:szCs w:val="18"/>
                <w:lang w:val="en-GB"/>
              </w:rPr>
              <w:t>34</w:t>
            </w:r>
          </w:p>
        </w:tc>
      </w:tr>
      <w:tr w:rsidR="005C610F" w:rsidRPr="00E42063" w:rsidTr="00E42063">
        <w:trPr>
          <w:trHeight w:val="450"/>
        </w:trPr>
        <w:tc>
          <w:tcPr>
            <w:tcW w:w="3420" w:type="dxa"/>
            <w:tcBorders>
              <w:top w:val="nil"/>
              <w:left w:val="single" w:sz="4" w:space="0" w:color="auto"/>
              <w:bottom w:val="single" w:sz="4" w:space="0" w:color="auto"/>
              <w:right w:val="single" w:sz="4" w:space="0" w:color="auto"/>
            </w:tcBorders>
            <w:shd w:val="clear" w:color="000000" w:fill="FFFF99"/>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Tobacco use</w:t>
            </w:r>
          </w:p>
        </w:tc>
        <w:tc>
          <w:tcPr>
            <w:tcW w:w="4284" w:type="dxa"/>
            <w:tcBorders>
              <w:top w:val="nil"/>
              <w:left w:val="nil"/>
              <w:bottom w:val="single" w:sz="4" w:space="0" w:color="auto"/>
              <w:right w:val="single" w:sz="4" w:space="0" w:color="auto"/>
            </w:tcBorders>
            <w:shd w:val="clear" w:color="000000" w:fill="FFFF99"/>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Enforce clean indoor air law</w:t>
            </w:r>
          </w:p>
        </w:tc>
        <w:tc>
          <w:tcPr>
            <w:tcW w:w="861" w:type="dxa"/>
            <w:tcBorders>
              <w:top w:val="nil"/>
              <w:left w:val="nil"/>
              <w:bottom w:val="single" w:sz="4" w:space="0" w:color="auto"/>
              <w:right w:val="single" w:sz="4" w:space="0" w:color="auto"/>
            </w:tcBorders>
            <w:shd w:val="clear" w:color="000000" w:fill="FFFF00"/>
            <w:noWrap/>
            <w:vAlign w:val="bottom"/>
            <w:hideMark/>
          </w:tcPr>
          <w:p w:rsidR="005C610F" w:rsidRPr="00BC2CDC" w:rsidRDefault="005C610F" w:rsidP="005E1621">
            <w:pPr>
              <w:spacing w:after="0"/>
              <w:jc w:val="right"/>
              <w:rPr>
                <w:rFonts w:ascii="Times New Roman" w:hAnsi="Times New Roman" w:cs="Times New Roman"/>
                <w:color w:val="000000"/>
                <w:sz w:val="18"/>
                <w:szCs w:val="18"/>
                <w:lang w:val="en-GB"/>
              </w:rPr>
            </w:pPr>
            <w:r w:rsidRPr="00BC2CDC">
              <w:rPr>
                <w:rFonts w:ascii="Times New Roman" w:hAnsi="Times New Roman" w:cs="Times New Roman"/>
                <w:color w:val="000000"/>
                <w:sz w:val="18"/>
                <w:szCs w:val="18"/>
                <w:lang w:val="en-GB"/>
              </w:rPr>
              <w:t>34</w:t>
            </w:r>
          </w:p>
        </w:tc>
      </w:tr>
      <w:tr w:rsidR="005C610F" w:rsidRPr="00E42063" w:rsidTr="00E42063">
        <w:trPr>
          <w:trHeight w:val="450"/>
        </w:trPr>
        <w:tc>
          <w:tcPr>
            <w:tcW w:w="3420" w:type="dxa"/>
            <w:tcBorders>
              <w:top w:val="nil"/>
              <w:left w:val="single" w:sz="4" w:space="0" w:color="auto"/>
              <w:bottom w:val="single" w:sz="4" w:space="0" w:color="auto"/>
              <w:right w:val="single" w:sz="4" w:space="0" w:color="auto"/>
            </w:tcBorders>
            <w:shd w:val="clear" w:color="000000" w:fill="FFFF99"/>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 xml:space="preserve">Harmful alcohol use </w:t>
            </w:r>
          </w:p>
        </w:tc>
        <w:tc>
          <w:tcPr>
            <w:tcW w:w="4284" w:type="dxa"/>
            <w:tcBorders>
              <w:top w:val="nil"/>
              <w:left w:val="nil"/>
              <w:bottom w:val="single" w:sz="4" w:space="0" w:color="auto"/>
              <w:right w:val="single" w:sz="4" w:space="0" w:color="auto"/>
            </w:tcBorders>
            <w:shd w:val="clear" w:color="000000" w:fill="FFFF99"/>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Raise tax on alcohol</w:t>
            </w:r>
          </w:p>
        </w:tc>
        <w:tc>
          <w:tcPr>
            <w:tcW w:w="861" w:type="dxa"/>
            <w:tcBorders>
              <w:top w:val="nil"/>
              <w:left w:val="nil"/>
              <w:bottom w:val="single" w:sz="4" w:space="0" w:color="auto"/>
              <w:right w:val="single" w:sz="4" w:space="0" w:color="auto"/>
            </w:tcBorders>
            <w:shd w:val="clear" w:color="000000" w:fill="FFFF00"/>
            <w:noWrap/>
            <w:vAlign w:val="bottom"/>
            <w:hideMark/>
          </w:tcPr>
          <w:p w:rsidR="005C610F" w:rsidRPr="00BC2CDC" w:rsidRDefault="005C610F" w:rsidP="005E1621">
            <w:pPr>
              <w:spacing w:after="0"/>
              <w:jc w:val="right"/>
              <w:rPr>
                <w:rFonts w:ascii="Times New Roman" w:hAnsi="Times New Roman" w:cs="Times New Roman"/>
                <w:color w:val="000000"/>
                <w:sz w:val="18"/>
                <w:szCs w:val="18"/>
                <w:lang w:val="en-GB"/>
              </w:rPr>
            </w:pPr>
            <w:r w:rsidRPr="00BC2CDC">
              <w:rPr>
                <w:rFonts w:ascii="Times New Roman" w:hAnsi="Times New Roman" w:cs="Times New Roman"/>
                <w:color w:val="000000"/>
                <w:sz w:val="18"/>
                <w:szCs w:val="18"/>
                <w:lang w:val="en-GB"/>
              </w:rPr>
              <w:t>34</w:t>
            </w:r>
          </w:p>
        </w:tc>
      </w:tr>
      <w:tr w:rsidR="005C610F" w:rsidRPr="00E42063" w:rsidTr="00E42063">
        <w:trPr>
          <w:trHeight w:val="450"/>
        </w:trPr>
        <w:tc>
          <w:tcPr>
            <w:tcW w:w="3420" w:type="dxa"/>
            <w:tcBorders>
              <w:top w:val="nil"/>
              <w:left w:val="single" w:sz="4" w:space="0" w:color="auto"/>
              <w:bottom w:val="single" w:sz="4" w:space="0" w:color="auto"/>
              <w:right w:val="single" w:sz="4" w:space="0" w:color="auto"/>
            </w:tcBorders>
            <w:shd w:val="clear" w:color="000000" w:fill="FFFF99"/>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 xml:space="preserve">Harmful alcohol use </w:t>
            </w:r>
          </w:p>
        </w:tc>
        <w:tc>
          <w:tcPr>
            <w:tcW w:w="4284" w:type="dxa"/>
            <w:tcBorders>
              <w:top w:val="nil"/>
              <w:left w:val="nil"/>
              <w:bottom w:val="single" w:sz="4" w:space="0" w:color="auto"/>
              <w:right w:val="single" w:sz="4" w:space="0" w:color="auto"/>
            </w:tcBorders>
            <w:shd w:val="clear" w:color="000000" w:fill="FFFF99"/>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Enforce bans on alcohol advertising</w:t>
            </w:r>
          </w:p>
        </w:tc>
        <w:tc>
          <w:tcPr>
            <w:tcW w:w="861" w:type="dxa"/>
            <w:tcBorders>
              <w:top w:val="nil"/>
              <w:left w:val="nil"/>
              <w:bottom w:val="single" w:sz="4" w:space="0" w:color="auto"/>
              <w:right w:val="single" w:sz="4" w:space="0" w:color="auto"/>
            </w:tcBorders>
            <w:shd w:val="clear" w:color="000000" w:fill="FFFF00"/>
            <w:noWrap/>
            <w:vAlign w:val="bottom"/>
            <w:hideMark/>
          </w:tcPr>
          <w:p w:rsidR="005C610F" w:rsidRPr="00BC2CDC" w:rsidRDefault="005C610F" w:rsidP="005E1621">
            <w:pPr>
              <w:spacing w:after="0"/>
              <w:jc w:val="right"/>
              <w:rPr>
                <w:rFonts w:ascii="Times New Roman" w:hAnsi="Times New Roman" w:cs="Times New Roman"/>
                <w:color w:val="000000"/>
                <w:sz w:val="18"/>
                <w:szCs w:val="18"/>
                <w:lang w:val="en-GB"/>
              </w:rPr>
            </w:pPr>
            <w:r w:rsidRPr="00BC2CDC">
              <w:rPr>
                <w:rFonts w:ascii="Times New Roman" w:hAnsi="Times New Roman" w:cs="Times New Roman"/>
                <w:color w:val="000000"/>
                <w:sz w:val="18"/>
                <w:szCs w:val="18"/>
                <w:lang w:val="en-GB"/>
              </w:rPr>
              <w:t>34</w:t>
            </w:r>
          </w:p>
        </w:tc>
      </w:tr>
      <w:tr w:rsidR="005C610F" w:rsidRPr="00E42063" w:rsidTr="00E42063">
        <w:trPr>
          <w:trHeight w:val="450"/>
        </w:trPr>
        <w:tc>
          <w:tcPr>
            <w:tcW w:w="3420" w:type="dxa"/>
            <w:tcBorders>
              <w:top w:val="nil"/>
              <w:left w:val="single" w:sz="4" w:space="0" w:color="auto"/>
              <w:bottom w:val="single" w:sz="4" w:space="0" w:color="auto"/>
              <w:right w:val="single" w:sz="4" w:space="0" w:color="auto"/>
            </w:tcBorders>
            <w:shd w:val="clear" w:color="000000" w:fill="FFFF99"/>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Unhealthy diet</w:t>
            </w:r>
          </w:p>
        </w:tc>
        <w:tc>
          <w:tcPr>
            <w:tcW w:w="4284" w:type="dxa"/>
            <w:tcBorders>
              <w:top w:val="nil"/>
              <w:left w:val="nil"/>
              <w:bottom w:val="single" w:sz="4" w:space="0" w:color="auto"/>
              <w:right w:val="single" w:sz="4" w:space="0" w:color="auto"/>
            </w:tcBorders>
            <w:shd w:val="clear" w:color="000000" w:fill="FFFF99"/>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Promote public awareness about diet</w:t>
            </w:r>
          </w:p>
        </w:tc>
        <w:tc>
          <w:tcPr>
            <w:tcW w:w="861" w:type="dxa"/>
            <w:tcBorders>
              <w:top w:val="nil"/>
              <w:left w:val="nil"/>
              <w:bottom w:val="single" w:sz="4" w:space="0" w:color="auto"/>
              <w:right w:val="single" w:sz="4" w:space="0" w:color="auto"/>
            </w:tcBorders>
            <w:shd w:val="clear" w:color="000000" w:fill="FFFF00"/>
            <w:noWrap/>
            <w:vAlign w:val="bottom"/>
            <w:hideMark/>
          </w:tcPr>
          <w:p w:rsidR="005C610F" w:rsidRPr="00BC2CDC" w:rsidRDefault="005C610F" w:rsidP="005E1621">
            <w:pPr>
              <w:spacing w:after="0"/>
              <w:jc w:val="right"/>
              <w:rPr>
                <w:rFonts w:ascii="Times New Roman" w:hAnsi="Times New Roman" w:cs="Times New Roman"/>
                <w:color w:val="000000"/>
                <w:sz w:val="18"/>
                <w:szCs w:val="18"/>
                <w:lang w:val="en-GB"/>
              </w:rPr>
            </w:pPr>
            <w:r w:rsidRPr="00BC2CDC">
              <w:rPr>
                <w:rFonts w:ascii="Times New Roman" w:hAnsi="Times New Roman" w:cs="Times New Roman"/>
                <w:color w:val="000000"/>
                <w:sz w:val="18"/>
                <w:szCs w:val="18"/>
                <w:lang w:val="en-GB"/>
              </w:rPr>
              <w:t>34</w:t>
            </w:r>
          </w:p>
        </w:tc>
      </w:tr>
      <w:tr w:rsidR="005C610F" w:rsidRPr="00E42063" w:rsidTr="00E42063">
        <w:trPr>
          <w:trHeight w:val="450"/>
        </w:trPr>
        <w:tc>
          <w:tcPr>
            <w:tcW w:w="3420" w:type="dxa"/>
            <w:tcBorders>
              <w:top w:val="single" w:sz="4" w:space="0" w:color="auto"/>
              <w:left w:val="single" w:sz="4" w:space="0" w:color="auto"/>
              <w:bottom w:val="single" w:sz="4" w:space="0" w:color="auto"/>
              <w:right w:val="single" w:sz="4" w:space="0" w:color="auto"/>
            </w:tcBorders>
            <w:shd w:val="clear" w:color="000000" w:fill="FFFF99"/>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Physical Inactivity</w:t>
            </w:r>
          </w:p>
        </w:tc>
        <w:tc>
          <w:tcPr>
            <w:tcW w:w="4284" w:type="dxa"/>
            <w:tcBorders>
              <w:top w:val="single" w:sz="4" w:space="0" w:color="auto"/>
              <w:left w:val="nil"/>
              <w:bottom w:val="single" w:sz="4" w:space="0" w:color="auto"/>
              <w:right w:val="single" w:sz="4" w:space="0" w:color="auto"/>
            </w:tcBorders>
            <w:shd w:val="clear" w:color="000000" w:fill="FFFF99"/>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Promote physical activity in mass media</w:t>
            </w:r>
          </w:p>
        </w:tc>
        <w:tc>
          <w:tcPr>
            <w:tcW w:w="861" w:type="dxa"/>
            <w:tcBorders>
              <w:top w:val="single" w:sz="4" w:space="0" w:color="auto"/>
              <w:left w:val="nil"/>
              <w:bottom w:val="single" w:sz="4" w:space="0" w:color="auto"/>
              <w:right w:val="single" w:sz="4" w:space="0" w:color="auto"/>
            </w:tcBorders>
            <w:shd w:val="clear" w:color="000000" w:fill="FFFF00"/>
            <w:noWrap/>
            <w:vAlign w:val="bottom"/>
            <w:hideMark/>
          </w:tcPr>
          <w:p w:rsidR="005C610F" w:rsidRPr="00BC2CDC" w:rsidRDefault="005C610F" w:rsidP="005E1621">
            <w:pPr>
              <w:spacing w:after="0"/>
              <w:jc w:val="right"/>
              <w:rPr>
                <w:rFonts w:ascii="Times New Roman" w:hAnsi="Times New Roman" w:cs="Times New Roman"/>
                <w:color w:val="000000"/>
                <w:sz w:val="18"/>
                <w:szCs w:val="18"/>
                <w:lang w:val="en-GB"/>
              </w:rPr>
            </w:pPr>
            <w:r w:rsidRPr="00BC2CDC">
              <w:rPr>
                <w:rFonts w:ascii="Times New Roman" w:hAnsi="Times New Roman" w:cs="Times New Roman"/>
                <w:color w:val="000000"/>
                <w:sz w:val="18"/>
                <w:szCs w:val="18"/>
                <w:lang w:val="en-GB"/>
              </w:rPr>
              <w:t>34</w:t>
            </w:r>
          </w:p>
        </w:tc>
      </w:tr>
      <w:tr w:rsidR="005C610F" w:rsidRPr="00E42063" w:rsidTr="00E42063">
        <w:trPr>
          <w:trHeight w:val="675"/>
        </w:trPr>
        <w:tc>
          <w:tcPr>
            <w:tcW w:w="3420" w:type="dxa"/>
            <w:tcBorders>
              <w:top w:val="nil"/>
              <w:left w:val="single" w:sz="4" w:space="0" w:color="auto"/>
              <w:bottom w:val="single" w:sz="4" w:space="0" w:color="auto"/>
              <w:right w:val="single" w:sz="4" w:space="0" w:color="auto"/>
            </w:tcBorders>
            <w:shd w:val="clear" w:color="000000" w:fill="948A54"/>
            <w:noWrap/>
            <w:vAlign w:val="bottom"/>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Alzheimer's disease &amp; dementias (Stage 1)</w:t>
            </w:r>
          </w:p>
        </w:tc>
        <w:tc>
          <w:tcPr>
            <w:tcW w:w="4284" w:type="dxa"/>
            <w:tcBorders>
              <w:top w:val="nil"/>
              <w:left w:val="nil"/>
              <w:bottom w:val="single" w:sz="4" w:space="0" w:color="auto"/>
              <w:right w:val="single" w:sz="4" w:space="0" w:color="auto"/>
            </w:tcBorders>
            <w:shd w:val="clear" w:color="000000" w:fill="948A54"/>
            <w:noWrap/>
            <w:vAlign w:val="bottom"/>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Comprehensive in-home care</w:t>
            </w:r>
          </w:p>
        </w:tc>
        <w:tc>
          <w:tcPr>
            <w:tcW w:w="861" w:type="dxa"/>
            <w:tcBorders>
              <w:top w:val="nil"/>
              <w:left w:val="nil"/>
              <w:bottom w:val="single" w:sz="4" w:space="0" w:color="auto"/>
              <w:right w:val="single" w:sz="4" w:space="0" w:color="auto"/>
            </w:tcBorders>
            <w:shd w:val="clear" w:color="000000" w:fill="FFFF00"/>
            <w:noWrap/>
            <w:vAlign w:val="bottom"/>
            <w:hideMark/>
          </w:tcPr>
          <w:p w:rsidR="005C610F" w:rsidRPr="00BC2CDC" w:rsidRDefault="005C610F" w:rsidP="005E1621">
            <w:pPr>
              <w:spacing w:after="0"/>
              <w:jc w:val="right"/>
              <w:rPr>
                <w:rFonts w:ascii="Times New Roman" w:hAnsi="Times New Roman" w:cs="Times New Roman"/>
                <w:color w:val="000000"/>
                <w:sz w:val="18"/>
                <w:szCs w:val="18"/>
                <w:lang w:val="en-GB"/>
              </w:rPr>
            </w:pPr>
            <w:r w:rsidRPr="00BC2CDC">
              <w:rPr>
                <w:rFonts w:ascii="Times New Roman" w:hAnsi="Times New Roman" w:cs="Times New Roman"/>
                <w:color w:val="000000"/>
                <w:sz w:val="18"/>
                <w:szCs w:val="18"/>
                <w:lang w:val="en-GB"/>
              </w:rPr>
              <w:t>34</w:t>
            </w:r>
          </w:p>
        </w:tc>
      </w:tr>
      <w:tr w:rsidR="005C610F" w:rsidRPr="00E42063" w:rsidTr="00E42063">
        <w:trPr>
          <w:trHeight w:val="300"/>
        </w:trPr>
        <w:tc>
          <w:tcPr>
            <w:tcW w:w="3420" w:type="dxa"/>
            <w:tcBorders>
              <w:top w:val="nil"/>
              <w:left w:val="single" w:sz="4" w:space="0" w:color="auto"/>
              <w:bottom w:val="single" w:sz="4" w:space="0" w:color="auto"/>
              <w:right w:val="single" w:sz="4" w:space="0" w:color="auto"/>
            </w:tcBorders>
            <w:shd w:val="clear" w:color="000000" w:fill="FFFF99"/>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Physical Inactivity</w:t>
            </w:r>
          </w:p>
        </w:tc>
        <w:tc>
          <w:tcPr>
            <w:tcW w:w="4284" w:type="dxa"/>
            <w:tcBorders>
              <w:top w:val="nil"/>
              <w:left w:val="nil"/>
              <w:bottom w:val="single" w:sz="4" w:space="0" w:color="auto"/>
              <w:right w:val="single" w:sz="4" w:space="0" w:color="auto"/>
            </w:tcBorders>
            <w:shd w:val="clear" w:color="000000" w:fill="FFFF99"/>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Offer counselling in primary care</w:t>
            </w:r>
          </w:p>
        </w:tc>
        <w:tc>
          <w:tcPr>
            <w:tcW w:w="861" w:type="dxa"/>
            <w:tcBorders>
              <w:top w:val="nil"/>
              <w:left w:val="nil"/>
              <w:bottom w:val="single" w:sz="4" w:space="0" w:color="auto"/>
              <w:right w:val="single" w:sz="4" w:space="0" w:color="auto"/>
            </w:tcBorders>
            <w:shd w:val="clear" w:color="000000" w:fill="FFFF00"/>
            <w:noWrap/>
            <w:vAlign w:val="bottom"/>
            <w:hideMark/>
          </w:tcPr>
          <w:p w:rsidR="005C610F" w:rsidRPr="00BC2CDC" w:rsidRDefault="005C610F" w:rsidP="005E1621">
            <w:pPr>
              <w:spacing w:after="0"/>
              <w:jc w:val="right"/>
              <w:rPr>
                <w:rFonts w:ascii="Times New Roman" w:hAnsi="Times New Roman" w:cs="Times New Roman"/>
                <w:color w:val="000000"/>
                <w:sz w:val="18"/>
                <w:szCs w:val="18"/>
                <w:lang w:val="en-GB"/>
              </w:rPr>
            </w:pPr>
            <w:r w:rsidRPr="00BC2CDC">
              <w:rPr>
                <w:rFonts w:ascii="Times New Roman" w:hAnsi="Times New Roman" w:cs="Times New Roman"/>
                <w:color w:val="000000"/>
                <w:sz w:val="18"/>
                <w:szCs w:val="18"/>
                <w:lang w:val="en-GB"/>
              </w:rPr>
              <w:t>42</w:t>
            </w:r>
          </w:p>
        </w:tc>
      </w:tr>
      <w:tr w:rsidR="005C610F" w:rsidRPr="00E42063" w:rsidTr="00E42063">
        <w:trPr>
          <w:trHeight w:val="300"/>
        </w:trPr>
        <w:tc>
          <w:tcPr>
            <w:tcW w:w="3420" w:type="dxa"/>
            <w:tcBorders>
              <w:top w:val="nil"/>
              <w:left w:val="single" w:sz="4" w:space="0" w:color="auto"/>
              <w:bottom w:val="single" w:sz="8" w:space="0" w:color="auto"/>
              <w:right w:val="single" w:sz="4" w:space="0" w:color="auto"/>
            </w:tcBorders>
            <w:shd w:val="clear" w:color="000000" w:fill="CCFFCC"/>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Congestive Heart Failure (CHF)</w:t>
            </w:r>
          </w:p>
        </w:tc>
        <w:tc>
          <w:tcPr>
            <w:tcW w:w="4284" w:type="dxa"/>
            <w:tcBorders>
              <w:top w:val="nil"/>
              <w:left w:val="nil"/>
              <w:bottom w:val="single" w:sz="8" w:space="0" w:color="auto"/>
              <w:right w:val="single" w:sz="4" w:space="0" w:color="auto"/>
            </w:tcBorders>
            <w:shd w:val="clear" w:color="000000" w:fill="CCFFCC"/>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Surgery (Heart transplant)</w:t>
            </w:r>
          </w:p>
        </w:tc>
        <w:tc>
          <w:tcPr>
            <w:tcW w:w="861" w:type="dxa"/>
            <w:tcBorders>
              <w:top w:val="single" w:sz="4" w:space="0" w:color="auto"/>
              <w:left w:val="nil"/>
              <w:bottom w:val="single" w:sz="8" w:space="0" w:color="auto"/>
              <w:right w:val="single" w:sz="4" w:space="0" w:color="auto"/>
            </w:tcBorders>
            <w:shd w:val="clear" w:color="000000" w:fill="FFFF00"/>
            <w:noWrap/>
            <w:vAlign w:val="bottom"/>
            <w:hideMark/>
          </w:tcPr>
          <w:p w:rsidR="005C610F" w:rsidRPr="00BC2CDC" w:rsidRDefault="005C610F" w:rsidP="005E1621">
            <w:pPr>
              <w:spacing w:after="0"/>
              <w:jc w:val="right"/>
              <w:rPr>
                <w:rFonts w:ascii="Times New Roman" w:hAnsi="Times New Roman" w:cs="Times New Roman"/>
                <w:color w:val="000000"/>
                <w:sz w:val="18"/>
                <w:szCs w:val="18"/>
                <w:lang w:val="en-GB"/>
              </w:rPr>
            </w:pPr>
            <w:r w:rsidRPr="00BC2CDC">
              <w:rPr>
                <w:rFonts w:ascii="Times New Roman" w:hAnsi="Times New Roman" w:cs="Times New Roman"/>
                <w:color w:val="000000"/>
                <w:sz w:val="18"/>
                <w:szCs w:val="18"/>
                <w:lang w:val="en-GB"/>
              </w:rPr>
              <w:t>43</w:t>
            </w:r>
          </w:p>
        </w:tc>
      </w:tr>
      <w:tr w:rsidR="005C610F" w:rsidRPr="00E42063" w:rsidTr="00E42063">
        <w:trPr>
          <w:trHeight w:val="300"/>
        </w:trPr>
        <w:tc>
          <w:tcPr>
            <w:tcW w:w="3420" w:type="dxa"/>
            <w:tcBorders>
              <w:top w:val="single" w:sz="8" w:space="0" w:color="auto"/>
              <w:left w:val="single" w:sz="4" w:space="0" w:color="auto"/>
              <w:bottom w:val="single" w:sz="4" w:space="0" w:color="auto"/>
              <w:right w:val="single" w:sz="4" w:space="0" w:color="auto"/>
            </w:tcBorders>
            <w:shd w:val="clear" w:color="000000" w:fill="CCFFFF"/>
            <w:noWrap/>
            <w:vAlign w:val="bottom"/>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Cerebrovascular disease (acute treatment)</w:t>
            </w:r>
          </w:p>
        </w:tc>
        <w:tc>
          <w:tcPr>
            <w:tcW w:w="4284" w:type="dxa"/>
            <w:tcBorders>
              <w:top w:val="single" w:sz="8" w:space="0" w:color="auto"/>
              <w:left w:val="nil"/>
              <w:bottom w:val="single" w:sz="4" w:space="0" w:color="auto"/>
              <w:right w:val="single" w:sz="4" w:space="0" w:color="auto"/>
            </w:tcBorders>
            <w:shd w:val="clear" w:color="000000" w:fill="CCFFCC"/>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Medication (Aspirin, Heparin, rt-PA)</w:t>
            </w:r>
          </w:p>
        </w:tc>
        <w:tc>
          <w:tcPr>
            <w:tcW w:w="861" w:type="dxa"/>
            <w:tcBorders>
              <w:top w:val="single" w:sz="8" w:space="0" w:color="auto"/>
              <w:left w:val="nil"/>
              <w:bottom w:val="single" w:sz="4" w:space="0" w:color="auto"/>
              <w:right w:val="single" w:sz="4" w:space="0" w:color="auto"/>
            </w:tcBorders>
            <w:shd w:val="clear" w:color="000000" w:fill="FFFF00"/>
            <w:noWrap/>
            <w:vAlign w:val="bottom"/>
            <w:hideMark/>
          </w:tcPr>
          <w:p w:rsidR="005C610F" w:rsidRPr="00BC2CDC" w:rsidRDefault="005C610F" w:rsidP="005E1621">
            <w:pPr>
              <w:spacing w:after="0"/>
              <w:jc w:val="right"/>
              <w:rPr>
                <w:rFonts w:ascii="Times New Roman" w:hAnsi="Times New Roman" w:cs="Times New Roman"/>
                <w:color w:val="000000"/>
                <w:sz w:val="18"/>
                <w:szCs w:val="18"/>
                <w:lang w:val="en-GB"/>
              </w:rPr>
            </w:pPr>
            <w:r w:rsidRPr="00BC2CDC">
              <w:rPr>
                <w:rFonts w:ascii="Times New Roman" w:hAnsi="Times New Roman" w:cs="Times New Roman"/>
                <w:color w:val="000000"/>
                <w:sz w:val="18"/>
                <w:szCs w:val="18"/>
                <w:lang w:val="en-GB"/>
              </w:rPr>
              <w:t>44</w:t>
            </w:r>
          </w:p>
        </w:tc>
      </w:tr>
      <w:tr w:rsidR="005C610F" w:rsidRPr="00E42063" w:rsidTr="00BC2CDC">
        <w:trPr>
          <w:trHeight w:val="450"/>
        </w:trPr>
        <w:tc>
          <w:tcPr>
            <w:tcW w:w="3420" w:type="dxa"/>
            <w:tcBorders>
              <w:top w:val="nil"/>
              <w:left w:val="single" w:sz="4" w:space="0" w:color="auto"/>
              <w:bottom w:val="single" w:sz="4" w:space="0" w:color="auto"/>
              <w:right w:val="single" w:sz="4" w:space="0" w:color="auto"/>
            </w:tcBorders>
            <w:shd w:val="clear" w:color="000000" w:fill="CCFFFF"/>
            <w:noWrap/>
            <w:vAlign w:val="bottom"/>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Cerebrovascular disease (prevention of recurrence)</w:t>
            </w:r>
          </w:p>
        </w:tc>
        <w:tc>
          <w:tcPr>
            <w:tcW w:w="4284" w:type="dxa"/>
            <w:tcBorders>
              <w:top w:val="nil"/>
              <w:left w:val="nil"/>
              <w:bottom w:val="single" w:sz="4" w:space="0" w:color="auto"/>
              <w:right w:val="single" w:sz="4" w:space="0" w:color="auto"/>
            </w:tcBorders>
            <w:shd w:val="clear" w:color="000000" w:fill="CCFFCC"/>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Medication (Aspirin, dipyridamole, carotid endarterectomy)</w:t>
            </w:r>
          </w:p>
        </w:tc>
        <w:tc>
          <w:tcPr>
            <w:tcW w:w="861" w:type="dxa"/>
            <w:tcBorders>
              <w:top w:val="nil"/>
              <w:left w:val="nil"/>
              <w:bottom w:val="single" w:sz="4" w:space="0" w:color="auto"/>
              <w:right w:val="single" w:sz="4" w:space="0" w:color="auto"/>
            </w:tcBorders>
            <w:shd w:val="clear" w:color="000000" w:fill="FFFF00"/>
            <w:noWrap/>
            <w:vAlign w:val="bottom"/>
            <w:hideMark/>
          </w:tcPr>
          <w:p w:rsidR="005C610F" w:rsidRPr="00BC2CDC" w:rsidRDefault="005C610F" w:rsidP="005E1621">
            <w:pPr>
              <w:spacing w:after="0"/>
              <w:jc w:val="right"/>
              <w:rPr>
                <w:rFonts w:ascii="Times New Roman" w:hAnsi="Times New Roman" w:cs="Times New Roman"/>
                <w:color w:val="000000"/>
                <w:sz w:val="18"/>
                <w:szCs w:val="18"/>
                <w:lang w:val="en-GB"/>
              </w:rPr>
            </w:pPr>
            <w:r w:rsidRPr="00BC2CDC">
              <w:rPr>
                <w:rFonts w:ascii="Times New Roman" w:hAnsi="Times New Roman" w:cs="Times New Roman"/>
                <w:color w:val="000000"/>
                <w:sz w:val="18"/>
                <w:szCs w:val="18"/>
                <w:lang w:val="en-GB"/>
              </w:rPr>
              <w:t>44</w:t>
            </w:r>
          </w:p>
        </w:tc>
      </w:tr>
      <w:tr w:rsidR="005C610F" w:rsidRPr="00E42063" w:rsidTr="00BC2CDC">
        <w:trPr>
          <w:trHeight w:val="300"/>
        </w:trPr>
        <w:tc>
          <w:tcPr>
            <w:tcW w:w="3420" w:type="dxa"/>
            <w:tcBorders>
              <w:top w:val="single" w:sz="4" w:space="0" w:color="auto"/>
              <w:left w:val="single" w:sz="4" w:space="0" w:color="auto"/>
              <w:bottom w:val="single" w:sz="4" w:space="0" w:color="auto"/>
              <w:right w:val="single" w:sz="4" w:space="0" w:color="auto"/>
            </w:tcBorders>
            <w:shd w:val="clear" w:color="000000" w:fill="FFFF99"/>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 xml:space="preserve">Harmful alcohol use </w:t>
            </w:r>
          </w:p>
        </w:tc>
        <w:tc>
          <w:tcPr>
            <w:tcW w:w="4284" w:type="dxa"/>
            <w:tcBorders>
              <w:top w:val="single" w:sz="4" w:space="0" w:color="auto"/>
              <w:left w:val="nil"/>
              <w:bottom w:val="single" w:sz="4" w:space="0" w:color="auto"/>
              <w:right w:val="single" w:sz="4" w:space="0" w:color="auto"/>
            </w:tcBorders>
            <w:shd w:val="clear" w:color="000000" w:fill="FFFF99"/>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Enforce drink-driving laws (breath-testing)</w:t>
            </w:r>
          </w:p>
        </w:tc>
        <w:tc>
          <w:tcPr>
            <w:tcW w:w="861" w:type="dxa"/>
            <w:tcBorders>
              <w:top w:val="single" w:sz="4" w:space="0" w:color="auto"/>
              <w:left w:val="nil"/>
              <w:bottom w:val="single" w:sz="4" w:space="0" w:color="auto"/>
              <w:right w:val="single" w:sz="4" w:space="0" w:color="auto"/>
            </w:tcBorders>
            <w:shd w:val="clear" w:color="000000" w:fill="FFFF00"/>
            <w:noWrap/>
            <w:vAlign w:val="bottom"/>
            <w:hideMark/>
          </w:tcPr>
          <w:p w:rsidR="005C610F" w:rsidRPr="00BC2CDC" w:rsidRDefault="005C610F" w:rsidP="005E1621">
            <w:pPr>
              <w:spacing w:after="0"/>
              <w:jc w:val="right"/>
              <w:rPr>
                <w:rFonts w:ascii="Times New Roman" w:hAnsi="Times New Roman" w:cs="Times New Roman"/>
                <w:color w:val="000000"/>
                <w:sz w:val="18"/>
                <w:szCs w:val="18"/>
                <w:lang w:val="en-GB"/>
              </w:rPr>
            </w:pPr>
            <w:r w:rsidRPr="00BC2CDC">
              <w:rPr>
                <w:rFonts w:ascii="Times New Roman" w:hAnsi="Times New Roman" w:cs="Times New Roman"/>
                <w:color w:val="000000"/>
                <w:sz w:val="18"/>
                <w:szCs w:val="18"/>
                <w:lang w:val="en-GB"/>
              </w:rPr>
              <w:t>46</w:t>
            </w:r>
          </w:p>
        </w:tc>
      </w:tr>
      <w:tr w:rsidR="005C610F" w:rsidRPr="00E42063" w:rsidTr="00E42063">
        <w:trPr>
          <w:trHeight w:val="300"/>
        </w:trPr>
        <w:tc>
          <w:tcPr>
            <w:tcW w:w="3420" w:type="dxa"/>
            <w:tcBorders>
              <w:top w:val="nil"/>
              <w:left w:val="single" w:sz="4" w:space="0" w:color="auto"/>
              <w:bottom w:val="single" w:sz="4" w:space="0" w:color="auto"/>
              <w:right w:val="single" w:sz="4" w:space="0" w:color="auto"/>
            </w:tcBorders>
            <w:shd w:val="clear" w:color="000000" w:fill="948A54"/>
            <w:noWrap/>
            <w:vAlign w:val="bottom"/>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Alzheimer's disease &amp; dementias (Stage 2)</w:t>
            </w:r>
          </w:p>
        </w:tc>
        <w:tc>
          <w:tcPr>
            <w:tcW w:w="4284" w:type="dxa"/>
            <w:tcBorders>
              <w:top w:val="nil"/>
              <w:left w:val="nil"/>
              <w:bottom w:val="single" w:sz="4" w:space="0" w:color="auto"/>
              <w:right w:val="single" w:sz="4" w:space="0" w:color="auto"/>
            </w:tcBorders>
            <w:shd w:val="clear" w:color="000000" w:fill="948A54"/>
            <w:noWrap/>
            <w:vAlign w:val="bottom"/>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Nursing home/hospital care</w:t>
            </w:r>
          </w:p>
        </w:tc>
        <w:tc>
          <w:tcPr>
            <w:tcW w:w="861" w:type="dxa"/>
            <w:tcBorders>
              <w:top w:val="nil"/>
              <w:left w:val="nil"/>
              <w:bottom w:val="single" w:sz="4" w:space="0" w:color="auto"/>
              <w:right w:val="single" w:sz="4" w:space="0" w:color="auto"/>
            </w:tcBorders>
            <w:shd w:val="clear" w:color="000000" w:fill="FFFF00"/>
            <w:noWrap/>
            <w:vAlign w:val="bottom"/>
            <w:hideMark/>
          </w:tcPr>
          <w:p w:rsidR="005C610F" w:rsidRPr="00BC2CDC" w:rsidRDefault="005C610F" w:rsidP="005E1621">
            <w:pPr>
              <w:spacing w:after="0"/>
              <w:jc w:val="right"/>
              <w:rPr>
                <w:rFonts w:ascii="Times New Roman" w:hAnsi="Times New Roman" w:cs="Times New Roman"/>
                <w:color w:val="000000"/>
                <w:sz w:val="18"/>
                <w:szCs w:val="18"/>
                <w:lang w:val="en-GB"/>
              </w:rPr>
            </w:pPr>
            <w:r w:rsidRPr="00BC2CDC">
              <w:rPr>
                <w:rFonts w:ascii="Times New Roman" w:hAnsi="Times New Roman" w:cs="Times New Roman"/>
                <w:color w:val="000000"/>
                <w:sz w:val="18"/>
                <w:szCs w:val="18"/>
                <w:lang w:val="en-GB"/>
              </w:rPr>
              <w:t>46</w:t>
            </w:r>
          </w:p>
        </w:tc>
      </w:tr>
      <w:tr w:rsidR="005C610F" w:rsidRPr="00E42063" w:rsidTr="00E42063">
        <w:trPr>
          <w:trHeight w:val="450"/>
        </w:trPr>
        <w:tc>
          <w:tcPr>
            <w:tcW w:w="3420" w:type="dxa"/>
            <w:tcBorders>
              <w:top w:val="single" w:sz="4" w:space="0" w:color="auto"/>
              <w:left w:val="single" w:sz="4" w:space="0" w:color="auto"/>
              <w:bottom w:val="single" w:sz="4" w:space="0" w:color="auto"/>
              <w:right w:val="single" w:sz="4" w:space="0" w:color="auto"/>
            </w:tcBorders>
            <w:shd w:val="clear" w:color="000000" w:fill="99CCFF"/>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Chronic obstructive pulmonary disease (COPD) - Stage 3-4</w:t>
            </w:r>
          </w:p>
        </w:tc>
        <w:tc>
          <w:tcPr>
            <w:tcW w:w="4284" w:type="dxa"/>
            <w:tcBorders>
              <w:top w:val="single" w:sz="4" w:space="0" w:color="auto"/>
              <w:left w:val="nil"/>
              <w:bottom w:val="single" w:sz="4" w:space="0" w:color="auto"/>
              <w:right w:val="single" w:sz="4" w:space="0" w:color="auto"/>
            </w:tcBorders>
            <w:shd w:val="clear" w:color="000000" w:fill="99CCFF"/>
            <w:hideMark/>
          </w:tcPr>
          <w:p w:rsidR="005C610F" w:rsidRPr="00BC2CDC" w:rsidRDefault="005C610F" w:rsidP="005E1621">
            <w:pPr>
              <w:spacing w:after="0"/>
              <w:rPr>
                <w:rFonts w:ascii="Times New Roman" w:hAnsi="Times New Roman" w:cs="Times New Roman"/>
                <w:sz w:val="18"/>
                <w:szCs w:val="18"/>
                <w:lang w:val="en-GB"/>
              </w:rPr>
            </w:pPr>
            <w:r w:rsidRPr="00BC2CDC">
              <w:rPr>
                <w:rFonts w:ascii="Times New Roman" w:hAnsi="Times New Roman" w:cs="Times New Roman"/>
                <w:sz w:val="18"/>
                <w:szCs w:val="18"/>
                <w:lang w:val="en-GB"/>
              </w:rPr>
              <w:t>Surgery (Lung volume reduction, lung transplant)</w:t>
            </w:r>
          </w:p>
        </w:tc>
        <w:tc>
          <w:tcPr>
            <w:tcW w:w="861" w:type="dxa"/>
            <w:tcBorders>
              <w:top w:val="single" w:sz="4" w:space="0" w:color="auto"/>
              <w:left w:val="nil"/>
              <w:bottom w:val="single" w:sz="4" w:space="0" w:color="auto"/>
              <w:right w:val="single" w:sz="4" w:space="0" w:color="auto"/>
            </w:tcBorders>
            <w:shd w:val="clear" w:color="000000" w:fill="FFFF00"/>
            <w:noWrap/>
            <w:vAlign w:val="bottom"/>
            <w:hideMark/>
          </w:tcPr>
          <w:p w:rsidR="005C610F" w:rsidRPr="00BC2CDC" w:rsidRDefault="005C610F" w:rsidP="005E1621">
            <w:pPr>
              <w:spacing w:after="0"/>
              <w:jc w:val="right"/>
              <w:rPr>
                <w:rFonts w:ascii="Times New Roman" w:hAnsi="Times New Roman" w:cs="Times New Roman"/>
                <w:color w:val="000000"/>
                <w:sz w:val="18"/>
                <w:szCs w:val="18"/>
                <w:lang w:val="en-GB"/>
              </w:rPr>
            </w:pPr>
            <w:r w:rsidRPr="00BC2CDC">
              <w:rPr>
                <w:rFonts w:ascii="Times New Roman" w:hAnsi="Times New Roman" w:cs="Times New Roman"/>
                <w:color w:val="000000"/>
                <w:sz w:val="18"/>
                <w:szCs w:val="18"/>
                <w:lang w:val="en-GB"/>
              </w:rPr>
              <w:t>48</w:t>
            </w:r>
          </w:p>
        </w:tc>
      </w:tr>
    </w:tbl>
    <w:p w:rsidR="00BC2CDC" w:rsidRDefault="00BC2CDC" w:rsidP="00A42699">
      <w:pPr>
        <w:rPr>
          <w:rFonts w:cs="Times New Roman"/>
          <w:b/>
          <w:u w:val="single"/>
          <w:lang w:val="en-GB"/>
        </w:rPr>
      </w:pPr>
    </w:p>
    <w:p w:rsidR="00BC2CDC" w:rsidRDefault="00BC2CDC" w:rsidP="00A42699">
      <w:pPr>
        <w:rPr>
          <w:rFonts w:cs="Times New Roman"/>
          <w:b/>
          <w:u w:val="single"/>
          <w:lang w:val="en-GB"/>
        </w:rPr>
      </w:pPr>
    </w:p>
    <w:p w:rsidR="001F0FBA" w:rsidRPr="00E42063" w:rsidRDefault="001F0FBA" w:rsidP="00A42699">
      <w:pPr>
        <w:rPr>
          <w:rFonts w:cs="Times New Roman"/>
          <w:b/>
          <w:u w:val="single"/>
          <w:lang w:val="en-GB"/>
        </w:rPr>
      </w:pPr>
      <w:r w:rsidRPr="00E42063">
        <w:rPr>
          <w:rFonts w:cs="Times New Roman"/>
          <w:b/>
          <w:u w:val="single"/>
          <w:lang w:val="en-GB"/>
        </w:rPr>
        <w:t xml:space="preserve">Table </w:t>
      </w:r>
      <w:r w:rsidR="006573F1">
        <w:rPr>
          <w:rFonts w:cs="Times New Roman"/>
          <w:b/>
          <w:u w:val="single"/>
          <w:lang w:val="en-GB"/>
        </w:rPr>
        <w:t>12</w:t>
      </w:r>
      <w:r w:rsidR="00C7642D" w:rsidRPr="00E42063">
        <w:rPr>
          <w:rFonts w:cs="Times New Roman"/>
          <w:b/>
          <w:u w:val="single"/>
          <w:lang w:val="en-GB"/>
        </w:rPr>
        <w:t xml:space="preserve">: CLT rankings for every region </w:t>
      </w:r>
    </w:p>
    <w:tbl>
      <w:tblPr>
        <w:tblStyle w:val="TableGrid"/>
        <w:tblW w:w="8748" w:type="dxa"/>
        <w:tblLayout w:type="fixed"/>
        <w:tblLook w:val="04A0"/>
      </w:tblPr>
      <w:tblGrid>
        <w:gridCol w:w="8748"/>
      </w:tblGrid>
      <w:tr w:rsidR="005C0488" w:rsidRPr="00E42063" w:rsidTr="002966E2">
        <w:tc>
          <w:tcPr>
            <w:tcW w:w="8748" w:type="dxa"/>
          </w:tcPr>
          <w:tbl>
            <w:tblPr>
              <w:tblW w:w="8642" w:type="dxa"/>
              <w:tblLayout w:type="fixed"/>
              <w:tblLook w:val="04A0"/>
            </w:tblPr>
            <w:tblGrid>
              <w:gridCol w:w="2146"/>
              <w:gridCol w:w="2894"/>
              <w:gridCol w:w="909"/>
              <w:gridCol w:w="891"/>
              <w:gridCol w:w="1802"/>
            </w:tblGrid>
            <w:tr w:rsidR="005C0488" w:rsidRPr="00E42063" w:rsidTr="00BC2CDC">
              <w:trPr>
                <w:trHeight w:val="584"/>
              </w:trPr>
              <w:tc>
                <w:tcPr>
                  <w:tcW w:w="2146" w:type="dxa"/>
                  <w:tcBorders>
                    <w:top w:val="single" w:sz="4" w:space="0" w:color="auto"/>
                    <w:left w:val="single" w:sz="4" w:space="0" w:color="auto"/>
                    <w:bottom w:val="single" w:sz="4" w:space="0" w:color="auto"/>
                    <w:right w:val="single" w:sz="4" w:space="0" w:color="auto"/>
                  </w:tcBorders>
                  <w:shd w:val="clear" w:color="000000" w:fill="FF99CC"/>
                  <w:vAlign w:val="center"/>
                  <w:hideMark/>
                </w:tcPr>
                <w:p w:rsidR="005C0488" w:rsidRPr="00BC2CDC" w:rsidRDefault="005C0488" w:rsidP="005C0488">
                  <w:pPr>
                    <w:spacing w:after="0" w:line="240" w:lineRule="auto"/>
                    <w:rPr>
                      <w:rFonts w:ascii="Times New Roman" w:eastAsia="Times New Roman" w:hAnsi="Times New Roman" w:cs="Times New Roman"/>
                      <w:b/>
                      <w:bCs/>
                      <w:sz w:val="18"/>
                      <w:szCs w:val="18"/>
                      <w:lang w:val="en-GB" w:eastAsia="el-GR"/>
                    </w:rPr>
                  </w:pPr>
                  <w:r w:rsidRPr="00BC2CDC">
                    <w:rPr>
                      <w:rFonts w:ascii="Times New Roman" w:eastAsia="Times New Roman" w:hAnsi="Times New Roman" w:cs="Times New Roman"/>
                      <w:b/>
                      <w:bCs/>
                      <w:sz w:val="18"/>
                      <w:szCs w:val="18"/>
                      <w:lang w:val="en-GB" w:eastAsia="el-GR"/>
                    </w:rPr>
                    <w:t>CLINICAL CONDITION</w:t>
                  </w:r>
                </w:p>
              </w:tc>
              <w:tc>
                <w:tcPr>
                  <w:tcW w:w="2894" w:type="dxa"/>
                  <w:tcBorders>
                    <w:top w:val="single" w:sz="4" w:space="0" w:color="auto"/>
                    <w:left w:val="nil"/>
                    <w:bottom w:val="single" w:sz="4" w:space="0" w:color="auto"/>
                    <w:right w:val="single" w:sz="4" w:space="0" w:color="auto"/>
                  </w:tcBorders>
                  <w:shd w:val="clear" w:color="000000" w:fill="FFCC00"/>
                  <w:vAlign w:val="center"/>
                  <w:hideMark/>
                </w:tcPr>
                <w:p w:rsidR="005C0488" w:rsidRPr="00BC2CDC" w:rsidRDefault="005C0488" w:rsidP="005C0488">
                  <w:pPr>
                    <w:spacing w:after="0" w:line="240" w:lineRule="auto"/>
                    <w:jc w:val="center"/>
                    <w:rPr>
                      <w:rFonts w:ascii="Times New Roman" w:eastAsia="Times New Roman" w:hAnsi="Times New Roman" w:cs="Times New Roman"/>
                      <w:b/>
                      <w:bCs/>
                      <w:sz w:val="18"/>
                      <w:szCs w:val="18"/>
                      <w:lang w:val="en-GB" w:eastAsia="el-GR"/>
                    </w:rPr>
                  </w:pPr>
                  <w:r w:rsidRPr="00BC2CDC">
                    <w:rPr>
                      <w:rFonts w:ascii="Times New Roman" w:eastAsia="Times New Roman" w:hAnsi="Times New Roman" w:cs="Times New Roman"/>
                      <w:b/>
                      <w:bCs/>
                      <w:sz w:val="18"/>
                      <w:szCs w:val="18"/>
                      <w:lang w:val="en-GB" w:eastAsia="el-GR"/>
                    </w:rPr>
                    <w:t>Intervention</w:t>
                  </w:r>
                </w:p>
              </w:tc>
              <w:tc>
                <w:tcPr>
                  <w:tcW w:w="909" w:type="dxa"/>
                  <w:tcBorders>
                    <w:top w:val="single" w:sz="4" w:space="0" w:color="auto"/>
                    <w:left w:val="nil"/>
                    <w:bottom w:val="single" w:sz="4" w:space="0" w:color="auto"/>
                    <w:right w:val="single" w:sz="4" w:space="0" w:color="auto"/>
                  </w:tcBorders>
                  <w:shd w:val="clear" w:color="000000" w:fill="FFFF00"/>
                  <w:vAlign w:val="center"/>
                  <w:hideMark/>
                </w:tcPr>
                <w:p w:rsidR="005C0488" w:rsidRPr="00BC2CDC" w:rsidRDefault="005C0488" w:rsidP="005C0488">
                  <w:pPr>
                    <w:spacing w:after="0" w:line="240" w:lineRule="auto"/>
                    <w:jc w:val="center"/>
                    <w:rPr>
                      <w:rFonts w:ascii="Times New Roman" w:eastAsia="Times New Roman" w:hAnsi="Times New Roman" w:cs="Times New Roman"/>
                      <w:b/>
                      <w:bCs/>
                      <w:sz w:val="18"/>
                      <w:szCs w:val="18"/>
                      <w:lang w:val="en-GB" w:eastAsia="el-GR"/>
                    </w:rPr>
                  </w:pPr>
                  <w:r w:rsidRPr="00BC2CDC">
                    <w:rPr>
                      <w:rFonts w:ascii="Times New Roman" w:eastAsia="Times New Roman" w:hAnsi="Times New Roman" w:cs="Times New Roman"/>
                      <w:b/>
                      <w:bCs/>
                      <w:sz w:val="18"/>
                      <w:szCs w:val="18"/>
                      <w:lang w:val="en-GB" w:eastAsia="el-GR"/>
                    </w:rPr>
                    <w:t>Rank Catalonia/Basque</w:t>
                  </w:r>
                </w:p>
              </w:tc>
              <w:tc>
                <w:tcPr>
                  <w:tcW w:w="891" w:type="dxa"/>
                  <w:tcBorders>
                    <w:top w:val="single" w:sz="4" w:space="0" w:color="auto"/>
                    <w:left w:val="nil"/>
                    <w:bottom w:val="single" w:sz="4" w:space="0" w:color="auto"/>
                    <w:right w:val="single" w:sz="4" w:space="0" w:color="auto"/>
                  </w:tcBorders>
                  <w:shd w:val="clear" w:color="000000" w:fill="EBF1DE"/>
                  <w:vAlign w:val="center"/>
                  <w:hideMark/>
                </w:tcPr>
                <w:p w:rsidR="005C0488" w:rsidRPr="00BC2CDC" w:rsidRDefault="005C0488" w:rsidP="005C0488">
                  <w:pPr>
                    <w:spacing w:after="0" w:line="240" w:lineRule="auto"/>
                    <w:jc w:val="center"/>
                    <w:rPr>
                      <w:rFonts w:ascii="Times New Roman" w:eastAsia="Times New Roman" w:hAnsi="Times New Roman" w:cs="Times New Roman"/>
                      <w:b/>
                      <w:bCs/>
                      <w:sz w:val="18"/>
                      <w:szCs w:val="18"/>
                      <w:lang w:val="en-GB" w:eastAsia="el-GR"/>
                    </w:rPr>
                  </w:pPr>
                  <w:r w:rsidRPr="00BC2CDC">
                    <w:rPr>
                      <w:rFonts w:ascii="Times New Roman" w:eastAsia="Times New Roman" w:hAnsi="Times New Roman" w:cs="Times New Roman"/>
                      <w:b/>
                      <w:bCs/>
                      <w:sz w:val="18"/>
                      <w:szCs w:val="18"/>
                      <w:lang w:val="en-GB" w:eastAsia="el-GR"/>
                    </w:rPr>
                    <w:t>Rank Cantabria/Valencia</w:t>
                  </w:r>
                </w:p>
              </w:tc>
              <w:tc>
                <w:tcPr>
                  <w:tcW w:w="1802" w:type="dxa"/>
                  <w:tcBorders>
                    <w:top w:val="single" w:sz="4" w:space="0" w:color="auto"/>
                    <w:left w:val="nil"/>
                    <w:bottom w:val="single" w:sz="4" w:space="0" w:color="auto"/>
                    <w:right w:val="single" w:sz="4" w:space="0" w:color="auto"/>
                  </w:tcBorders>
                  <w:shd w:val="clear" w:color="000000" w:fill="C5D9F1"/>
                  <w:vAlign w:val="bottom"/>
                  <w:hideMark/>
                </w:tcPr>
                <w:p w:rsidR="00181826" w:rsidRPr="00BC2CDC" w:rsidRDefault="002966E2" w:rsidP="002966E2">
                  <w:pPr>
                    <w:spacing w:after="0" w:line="240" w:lineRule="auto"/>
                    <w:rPr>
                      <w:rFonts w:ascii="Times New Roman" w:eastAsia="Times New Roman" w:hAnsi="Times New Roman" w:cs="Times New Roman"/>
                      <w:b/>
                      <w:bCs/>
                      <w:color w:val="000000"/>
                      <w:sz w:val="18"/>
                      <w:szCs w:val="18"/>
                      <w:lang w:val="en-GB" w:eastAsia="el-GR"/>
                    </w:rPr>
                  </w:pPr>
                  <w:r w:rsidRPr="00BC2CDC">
                    <w:rPr>
                      <w:rFonts w:ascii="Times New Roman" w:eastAsia="Times New Roman" w:hAnsi="Times New Roman" w:cs="Times New Roman"/>
                      <w:b/>
                      <w:bCs/>
                      <w:color w:val="000000"/>
                      <w:sz w:val="18"/>
                      <w:szCs w:val="18"/>
                      <w:lang w:val="en-GB" w:eastAsia="el-GR"/>
                    </w:rPr>
                    <w:t xml:space="preserve">             </w:t>
                  </w:r>
                  <w:r w:rsidR="00181826" w:rsidRPr="00BC2CDC">
                    <w:rPr>
                      <w:rFonts w:ascii="Times New Roman" w:eastAsia="Times New Roman" w:hAnsi="Times New Roman" w:cs="Times New Roman"/>
                      <w:b/>
                      <w:bCs/>
                      <w:color w:val="000000"/>
                      <w:sz w:val="18"/>
                      <w:szCs w:val="18"/>
                      <w:lang w:val="en-GB" w:eastAsia="el-GR"/>
                    </w:rPr>
                    <w:t>Rank</w:t>
                  </w:r>
                </w:p>
                <w:p w:rsidR="005C0488" w:rsidRPr="00BC2CDC" w:rsidRDefault="005C0488" w:rsidP="00181826">
                  <w:pPr>
                    <w:spacing w:after="0" w:line="240" w:lineRule="auto"/>
                    <w:jc w:val="center"/>
                    <w:rPr>
                      <w:rFonts w:ascii="Times New Roman" w:eastAsia="Times New Roman" w:hAnsi="Times New Roman" w:cs="Times New Roman"/>
                      <w:b/>
                      <w:bCs/>
                      <w:color w:val="000000"/>
                      <w:sz w:val="18"/>
                      <w:szCs w:val="18"/>
                      <w:lang w:val="en-GB" w:eastAsia="el-GR"/>
                    </w:rPr>
                  </w:pPr>
                  <w:r w:rsidRPr="00BC2CDC">
                    <w:rPr>
                      <w:rFonts w:ascii="Times New Roman" w:eastAsia="Times New Roman" w:hAnsi="Times New Roman" w:cs="Times New Roman"/>
                      <w:b/>
                      <w:bCs/>
                      <w:color w:val="000000"/>
                      <w:sz w:val="18"/>
                      <w:szCs w:val="18"/>
                      <w:lang w:val="en-GB" w:eastAsia="el-GR"/>
                    </w:rPr>
                    <w:t>Madrid</w:t>
                  </w:r>
                </w:p>
              </w:tc>
            </w:tr>
            <w:tr w:rsidR="005C0488" w:rsidRPr="00E42063" w:rsidTr="00BC2CDC">
              <w:trPr>
                <w:trHeight w:val="197"/>
              </w:trPr>
              <w:tc>
                <w:tcPr>
                  <w:tcW w:w="2146" w:type="dxa"/>
                  <w:tcBorders>
                    <w:top w:val="nil"/>
                    <w:left w:val="single" w:sz="4" w:space="0" w:color="auto"/>
                    <w:bottom w:val="single" w:sz="4" w:space="0" w:color="auto"/>
                    <w:right w:val="single" w:sz="4" w:space="0" w:color="auto"/>
                  </w:tcBorders>
                  <w:shd w:val="clear" w:color="auto" w:fill="auto"/>
                  <w:hideMark/>
                </w:tcPr>
                <w:p w:rsidR="005C0488" w:rsidRPr="00BC2CDC" w:rsidRDefault="005C0488" w:rsidP="005C0488">
                  <w:pPr>
                    <w:spacing w:after="0" w:line="240" w:lineRule="auto"/>
                    <w:rPr>
                      <w:rFonts w:ascii="Times New Roman" w:eastAsia="Times New Roman" w:hAnsi="Times New Roman" w:cs="Times New Roman"/>
                      <w:b/>
                      <w:bCs/>
                      <w:sz w:val="18"/>
                      <w:szCs w:val="18"/>
                      <w:lang w:val="en-GB" w:eastAsia="el-GR"/>
                    </w:rPr>
                  </w:pPr>
                  <w:r w:rsidRPr="00BC2CDC">
                    <w:rPr>
                      <w:rFonts w:ascii="Times New Roman" w:eastAsia="Times New Roman" w:hAnsi="Times New Roman" w:cs="Times New Roman"/>
                      <w:b/>
                      <w:bCs/>
                      <w:sz w:val="18"/>
                      <w:szCs w:val="18"/>
                      <w:lang w:val="en-GB" w:eastAsia="el-GR"/>
                    </w:rPr>
                    <w:t> </w:t>
                  </w:r>
                </w:p>
              </w:tc>
              <w:tc>
                <w:tcPr>
                  <w:tcW w:w="2894" w:type="dxa"/>
                  <w:tcBorders>
                    <w:top w:val="nil"/>
                    <w:left w:val="nil"/>
                    <w:bottom w:val="single" w:sz="4" w:space="0" w:color="auto"/>
                    <w:right w:val="single" w:sz="4" w:space="0" w:color="auto"/>
                  </w:tcBorders>
                  <w:shd w:val="clear" w:color="auto" w:fill="auto"/>
                  <w:hideMark/>
                </w:tcPr>
                <w:p w:rsidR="005C0488" w:rsidRPr="00BC2CDC" w:rsidRDefault="005C0488" w:rsidP="005C0488">
                  <w:pPr>
                    <w:spacing w:after="0" w:line="240" w:lineRule="auto"/>
                    <w:rPr>
                      <w:rFonts w:ascii="Times New Roman" w:eastAsia="Times New Roman" w:hAnsi="Times New Roman" w:cs="Times New Roman"/>
                      <w:b/>
                      <w:bCs/>
                      <w:sz w:val="18"/>
                      <w:szCs w:val="18"/>
                      <w:lang w:val="en-GB" w:eastAsia="el-GR"/>
                    </w:rPr>
                  </w:pPr>
                  <w:r w:rsidRPr="00BC2CDC">
                    <w:rPr>
                      <w:rFonts w:ascii="Times New Roman" w:eastAsia="Times New Roman" w:hAnsi="Times New Roman" w:cs="Times New Roman"/>
                      <w:b/>
                      <w:bCs/>
                      <w:sz w:val="18"/>
                      <w:szCs w:val="18"/>
                      <w:lang w:val="en-GB" w:eastAsia="el-GR"/>
                    </w:rPr>
                    <w:t> </w:t>
                  </w:r>
                </w:p>
              </w:tc>
              <w:tc>
                <w:tcPr>
                  <w:tcW w:w="909" w:type="dxa"/>
                  <w:tcBorders>
                    <w:top w:val="nil"/>
                    <w:left w:val="nil"/>
                    <w:bottom w:val="single" w:sz="4" w:space="0" w:color="auto"/>
                    <w:right w:val="single" w:sz="4" w:space="0" w:color="auto"/>
                  </w:tcBorders>
                  <w:shd w:val="clear" w:color="auto" w:fill="auto"/>
                  <w:noWrap/>
                  <w:vAlign w:val="bottom"/>
                  <w:hideMark/>
                </w:tcPr>
                <w:p w:rsidR="005C0488" w:rsidRPr="00BC2CDC" w:rsidRDefault="005C0488" w:rsidP="005C0488">
                  <w:pPr>
                    <w:spacing w:after="0" w:line="240" w:lineRule="auto"/>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 </w:t>
                  </w:r>
                </w:p>
              </w:tc>
              <w:tc>
                <w:tcPr>
                  <w:tcW w:w="891" w:type="dxa"/>
                  <w:tcBorders>
                    <w:top w:val="nil"/>
                    <w:left w:val="nil"/>
                    <w:bottom w:val="single" w:sz="4" w:space="0" w:color="auto"/>
                    <w:right w:val="single" w:sz="4" w:space="0" w:color="auto"/>
                  </w:tcBorders>
                  <w:shd w:val="clear" w:color="auto" w:fill="auto"/>
                  <w:noWrap/>
                  <w:vAlign w:val="bottom"/>
                  <w:hideMark/>
                </w:tcPr>
                <w:p w:rsidR="005C0488" w:rsidRPr="00BC2CDC" w:rsidRDefault="005C0488" w:rsidP="005C0488">
                  <w:pPr>
                    <w:spacing w:after="0" w:line="240" w:lineRule="auto"/>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 </w:t>
                  </w:r>
                </w:p>
              </w:tc>
              <w:tc>
                <w:tcPr>
                  <w:tcW w:w="1802" w:type="dxa"/>
                  <w:tcBorders>
                    <w:top w:val="single" w:sz="4" w:space="0" w:color="auto"/>
                    <w:left w:val="nil"/>
                    <w:bottom w:val="single" w:sz="4" w:space="0" w:color="auto"/>
                    <w:right w:val="single" w:sz="4" w:space="0" w:color="auto"/>
                  </w:tcBorders>
                  <w:shd w:val="clear" w:color="auto" w:fill="auto"/>
                  <w:noWrap/>
                  <w:vAlign w:val="bottom"/>
                  <w:hideMark/>
                </w:tcPr>
                <w:p w:rsidR="005C0488" w:rsidRPr="00BC2CDC" w:rsidRDefault="005C0488" w:rsidP="005C0488">
                  <w:pPr>
                    <w:spacing w:after="0" w:line="240" w:lineRule="auto"/>
                    <w:rPr>
                      <w:rFonts w:ascii="Times New Roman" w:eastAsia="Times New Roman" w:hAnsi="Times New Roman" w:cs="Times New Roman"/>
                      <w:color w:val="000000"/>
                      <w:sz w:val="18"/>
                      <w:szCs w:val="18"/>
                      <w:lang w:val="en-GB" w:eastAsia="el-GR"/>
                    </w:rPr>
                  </w:pPr>
                </w:p>
              </w:tc>
            </w:tr>
            <w:tr w:rsidR="005C0488" w:rsidRPr="00E42063" w:rsidTr="00BC2CDC">
              <w:trPr>
                <w:trHeight w:val="300"/>
              </w:trPr>
              <w:tc>
                <w:tcPr>
                  <w:tcW w:w="2146" w:type="dxa"/>
                  <w:tcBorders>
                    <w:top w:val="nil"/>
                    <w:left w:val="single" w:sz="4" w:space="0" w:color="auto"/>
                    <w:bottom w:val="single" w:sz="4" w:space="0" w:color="auto"/>
                    <w:right w:val="single" w:sz="4" w:space="0" w:color="auto"/>
                  </w:tcBorders>
                  <w:shd w:val="clear" w:color="000000" w:fill="948A54"/>
                  <w:noWrap/>
                  <w:vAlign w:val="bottom"/>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 xml:space="preserve">Suicide and intentional self-harm </w:t>
                  </w:r>
                </w:p>
              </w:tc>
              <w:tc>
                <w:tcPr>
                  <w:tcW w:w="2894" w:type="dxa"/>
                  <w:tcBorders>
                    <w:top w:val="nil"/>
                    <w:left w:val="nil"/>
                    <w:bottom w:val="single" w:sz="4" w:space="0" w:color="auto"/>
                    <w:right w:val="single" w:sz="4" w:space="0" w:color="auto"/>
                  </w:tcBorders>
                  <w:shd w:val="clear" w:color="000000" w:fill="948A54"/>
                  <w:noWrap/>
                  <w:vAlign w:val="bottom"/>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Education, promote individual, family, community connectedness</w:t>
                  </w:r>
                </w:p>
              </w:tc>
              <w:tc>
                <w:tcPr>
                  <w:tcW w:w="909" w:type="dxa"/>
                  <w:tcBorders>
                    <w:top w:val="nil"/>
                    <w:left w:val="nil"/>
                    <w:bottom w:val="single" w:sz="4" w:space="0" w:color="auto"/>
                    <w:right w:val="single" w:sz="4" w:space="0" w:color="auto"/>
                  </w:tcBorders>
                  <w:shd w:val="clear" w:color="000000" w:fill="FFFF00"/>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w:t>
                  </w:r>
                </w:p>
              </w:tc>
              <w:tc>
                <w:tcPr>
                  <w:tcW w:w="891" w:type="dxa"/>
                  <w:tcBorders>
                    <w:top w:val="nil"/>
                    <w:left w:val="nil"/>
                    <w:bottom w:val="single" w:sz="4" w:space="0" w:color="auto"/>
                    <w:right w:val="single" w:sz="4" w:space="0" w:color="auto"/>
                  </w:tcBorders>
                  <w:shd w:val="clear" w:color="000000" w:fill="EBF1DE"/>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w:t>
                  </w:r>
                </w:p>
              </w:tc>
              <w:tc>
                <w:tcPr>
                  <w:tcW w:w="1802" w:type="dxa"/>
                  <w:tcBorders>
                    <w:top w:val="single" w:sz="4" w:space="0" w:color="auto"/>
                    <w:left w:val="nil"/>
                    <w:bottom w:val="single" w:sz="4" w:space="0" w:color="auto"/>
                    <w:right w:val="single" w:sz="4" w:space="0" w:color="auto"/>
                  </w:tcBorders>
                  <w:shd w:val="clear" w:color="000000" w:fill="C5D9F1"/>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w:t>
                  </w:r>
                </w:p>
              </w:tc>
            </w:tr>
            <w:tr w:rsidR="005C0488" w:rsidRPr="00E42063" w:rsidTr="00BC2CDC">
              <w:trPr>
                <w:trHeight w:val="300"/>
              </w:trPr>
              <w:tc>
                <w:tcPr>
                  <w:tcW w:w="2146" w:type="dxa"/>
                  <w:tcBorders>
                    <w:top w:val="nil"/>
                    <w:left w:val="single" w:sz="4" w:space="0" w:color="auto"/>
                    <w:bottom w:val="single" w:sz="4" w:space="0" w:color="auto"/>
                    <w:right w:val="single" w:sz="4" w:space="0" w:color="auto"/>
                  </w:tcBorders>
                  <w:shd w:val="clear" w:color="000000" w:fill="948A54"/>
                  <w:noWrap/>
                  <w:vAlign w:val="bottom"/>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Major depressive disorder</w:t>
                  </w:r>
                </w:p>
              </w:tc>
              <w:tc>
                <w:tcPr>
                  <w:tcW w:w="2894" w:type="dxa"/>
                  <w:tcBorders>
                    <w:top w:val="nil"/>
                    <w:left w:val="nil"/>
                    <w:bottom w:val="single" w:sz="4" w:space="0" w:color="auto"/>
                    <w:right w:val="single" w:sz="4" w:space="0" w:color="auto"/>
                  </w:tcBorders>
                  <w:shd w:val="clear" w:color="000000" w:fill="948A54"/>
                  <w:noWrap/>
                  <w:vAlign w:val="bottom"/>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Older antidepressant drug medication (TCA)</w:t>
                  </w:r>
                </w:p>
              </w:tc>
              <w:tc>
                <w:tcPr>
                  <w:tcW w:w="909" w:type="dxa"/>
                  <w:tcBorders>
                    <w:top w:val="nil"/>
                    <w:left w:val="nil"/>
                    <w:bottom w:val="single" w:sz="4" w:space="0" w:color="auto"/>
                    <w:right w:val="single" w:sz="4" w:space="0" w:color="auto"/>
                  </w:tcBorders>
                  <w:shd w:val="clear" w:color="000000" w:fill="FFFF00"/>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w:t>
                  </w:r>
                </w:p>
              </w:tc>
              <w:tc>
                <w:tcPr>
                  <w:tcW w:w="891" w:type="dxa"/>
                  <w:tcBorders>
                    <w:top w:val="nil"/>
                    <w:left w:val="nil"/>
                    <w:bottom w:val="single" w:sz="4" w:space="0" w:color="auto"/>
                    <w:right w:val="single" w:sz="4" w:space="0" w:color="auto"/>
                  </w:tcBorders>
                  <w:shd w:val="clear" w:color="000000" w:fill="EBF1DE"/>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w:t>
                  </w:r>
                </w:p>
              </w:tc>
              <w:tc>
                <w:tcPr>
                  <w:tcW w:w="1802" w:type="dxa"/>
                  <w:tcBorders>
                    <w:top w:val="nil"/>
                    <w:left w:val="nil"/>
                    <w:bottom w:val="single" w:sz="4" w:space="0" w:color="auto"/>
                    <w:right w:val="single" w:sz="4" w:space="0" w:color="auto"/>
                  </w:tcBorders>
                  <w:shd w:val="clear" w:color="000000" w:fill="C5D9F1"/>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w:t>
                  </w:r>
                </w:p>
              </w:tc>
            </w:tr>
            <w:tr w:rsidR="005C0488" w:rsidRPr="00E42063" w:rsidTr="00BC2CDC">
              <w:trPr>
                <w:trHeight w:val="300"/>
              </w:trPr>
              <w:tc>
                <w:tcPr>
                  <w:tcW w:w="2146" w:type="dxa"/>
                  <w:tcBorders>
                    <w:top w:val="nil"/>
                    <w:left w:val="single" w:sz="4" w:space="0" w:color="auto"/>
                    <w:bottom w:val="single" w:sz="4" w:space="0" w:color="auto"/>
                    <w:right w:val="single" w:sz="4" w:space="0" w:color="auto"/>
                  </w:tcBorders>
                  <w:shd w:val="clear" w:color="000000" w:fill="948A54"/>
                  <w:noWrap/>
                  <w:vAlign w:val="bottom"/>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lastRenderedPageBreak/>
                    <w:t>Major depressive disorder</w:t>
                  </w:r>
                </w:p>
              </w:tc>
              <w:tc>
                <w:tcPr>
                  <w:tcW w:w="2894" w:type="dxa"/>
                  <w:tcBorders>
                    <w:top w:val="nil"/>
                    <w:left w:val="nil"/>
                    <w:bottom w:val="single" w:sz="4" w:space="0" w:color="auto"/>
                    <w:right w:val="single" w:sz="4" w:space="0" w:color="auto"/>
                  </w:tcBorders>
                  <w:shd w:val="clear" w:color="000000" w:fill="948A54"/>
                  <w:noWrap/>
                  <w:vAlign w:val="bottom"/>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 xml:space="preserve">Newer antidepressant drug medication </w:t>
                  </w:r>
                </w:p>
              </w:tc>
              <w:tc>
                <w:tcPr>
                  <w:tcW w:w="909" w:type="dxa"/>
                  <w:tcBorders>
                    <w:top w:val="nil"/>
                    <w:left w:val="nil"/>
                    <w:bottom w:val="single" w:sz="4" w:space="0" w:color="auto"/>
                    <w:right w:val="single" w:sz="4" w:space="0" w:color="auto"/>
                  </w:tcBorders>
                  <w:shd w:val="clear" w:color="000000" w:fill="FFFF00"/>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w:t>
                  </w:r>
                </w:p>
              </w:tc>
              <w:tc>
                <w:tcPr>
                  <w:tcW w:w="891" w:type="dxa"/>
                  <w:tcBorders>
                    <w:top w:val="nil"/>
                    <w:left w:val="nil"/>
                    <w:bottom w:val="single" w:sz="4" w:space="0" w:color="auto"/>
                    <w:right w:val="single" w:sz="4" w:space="0" w:color="auto"/>
                  </w:tcBorders>
                  <w:shd w:val="clear" w:color="000000" w:fill="EBF1DE"/>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w:t>
                  </w:r>
                </w:p>
              </w:tc>
              <w:tc>
                <w:tcPr>
                  <w:tcW w:w="1802" w:type="dxa"/>
                  <w:tcBorders>
                    <w:top w:val="nil"/>
                    <w:left w:val="nil"/>
                    <w:bottom w:val="single" w:sz="4" w:space="0" w:color="auto"/>
                    <w:right w:val="single" w:sz="4" w:space="0" w:color="auto"/>
                  </w:tcBorders>
                  <w:shd w:val="clear" w:color="000000" w:fill="C5D9F1"/>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w:t>
                  </w:r>
                </w:p>
              </w:tc>
            </w:tr>
            <w:tr w:rsidR="005C0488" w:rsidRPr="00E42063" w:rsidTr="00BC2CDC">
              <w:trPr>
                <w:trHeight w:val="300"/>
              </w:trPr>
              <w:tc>
                <w:tcPr>
                  <w:tcW w:w="2146" w:type="dxa"/>
                  <w:tcBorders>
                    <w:top w:val="nil"/>
                    <w:left w:val="single" w:sz="4" w:space="0" w:color="auto"/>
                    <w:bottom w:val="single" w:sz="4" w:space="0" w:color="auto"/>
                    <w:right w:val="single" w:sz="4" w:space="0" w:color="auto"/>
                  </w:tcBorders>
                  <w:shd w:val="clear" w:color="000000" w:fill="948A54"/>
                  <w:noWrap/>
                  <w:vAlign w:val="bottom"/>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Major depressive disorder</w:t>
                  </w:r>
                </w:p>
              </w:tc>
              <w:tc>
                <w:tcPr>
                  <w:tcW w:w="2894" w:type="dxa"/>
                  <w:tcBorders>
                    <w:top w:val="nil"/>
                    <w:left w:val="nil"/>
                    <w:bottom w:val="single" w:sz="4" w:space="0" w:color="auto"/>
                    <w:right w:val="single" w:sz="4" w:space="0" w:color="auto"/>
                  </w:tcBorders>
                  <w:shd w:val="clear" w:color="000000" w:fill="948A54"/>
                  <w:noWrap/>
                  <w:vAlign w:val="bottom"/>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Psychosocial treatment</w:t>
                  </w:r>
                </w:p>
              </w:tc>
              <w:tc>
                <w:tcPr>
                  <w:tcW w:w="909" w:type="dxa"/>
                  <w:tcBorders>
                    <w:top w:val="nil"/>
                    <w:left w:val="nil"/>
                    <w:bottom w:val="single" w:sz="4" w:space="0" w:color="auto"/>
                    <w:right w:val="single" w:sz="4" w:space="0" w:color="auto"/>
                  </w:tcBorders>
                  <w:shd w:val="clear" w:color="000000" w:fill="FFFF00"/>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w:t>
                  </w:r>
                </w:p>
              </w:tc>
              <w:tc>
                <w:tcPr>
                  <w:tcW w:w="891" w:type="dxa"/>
                  <w:tcBorders>
                    <w:top w:val="nil"/>
                    <w:left w:val="nil"/>
                    <w:bottom w:val="single" w:sz="4" w:space="0" w:color="auto"/>
                    <w:right w:val="single" w:sz="4" w:space="0" w:color="auto"/>
                  </w:tcBorders>
                  <w:shd w:val="clear" w:color="000000" w:fill="EBF1DE"/>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w:t>
                  </w:r>
                </w:p>
              </w:tc>
              <w:tc>
                <w:tcPr>
                  <w:tcW w:w="1802" w:type="dxa"/>
                  <w:tcBorders>
                    <w:top w:val="nil"/>
                    <w:left w:val="nil"/>
                    <w:bottom w:val="single" w:sz="4" w:space="0" w:color="auto"/>
                    <w:right w:val="single" w:sz="4" w:space="0" w:color="auto"/>
                  </w:tcBorders>
                  <w:shd w:val="clear" w:color="000000" w:fill="C5D9F1"/>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w:t>
                  </w:r>
                </w:p>
              </w:tc>
            </w:tr>
            <w:tr w:rsidR="005C0488" w:rsidRPr="00E42063" w:rsidTr="00BC2CDC">
              <w:trPr>
                <w:trHeight w:val="300"/>
              </w:trPr>
              <w:tc>
                <w:tcPr>
                  <w:tcW w:w="2146" w:type="dxa"/>
                  <w:tcBorders>
                    <w:top w:val="nil"/>
                    <w:left w:val="single" w:sz="4" w:space="0" w:color="auto"/>
                    <w:bottom w:val="single" w:sz="4" w:space="0" w:color="auto"/>
                    <w:right w:val="single" w:sz="4" w:space="0" w:color="auto"/>
                  </w:tcBorders>
                  <w:shd w:val="clear" w:color="000000" w:fill="FFCC99"/>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 xml:space="preserve">MN of colon, rectum and anus </w:t>
                  </w:r>
                </w:p>
              </w:tc>
              <w:tc>
                <w:tcPr>
                  <w:tcW w:w="2894" w:type="dxa"/>
                  <w:tcBorders>
                    <w:top w:val="nil"/>
                    <w:left w:val="nil"/>
                    <w:bottom w:val="single" w:sz="4" w:space="0" w:color="auto"/>
                    <w:right w:val="single" w:sz="4" w:space="0" w:color="auto"/>
                  </w:tcBorders>
                  <w:shd w:val="clear" w:color="000000" w:fill="FFCC99"/>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Surgery with/without adjuvant treatment (a)</w:t>
                  </w:r>
                </w:p>
              </w:tc>
              <w:tc>
                <w:tcPr>
                  <w:tcW w:w="909" w:type="dxa"/>
                  <w:tcBorders>
                    <w:top w:val="nil"/>
                    <w:left w:val="nil"/>
                    <w:bottom w:val="single" w:sz="4" w:space="0" w:color="auto"/>
                    <w:right w:val="single" w:sz="4" w:space="0" w:color="auto"/>
                  </w:tcBorders>
                  <w:shd w:val="clear" w:color="000000" w:fill="FFFF00"/>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5</w:t>
                  </w:r>
                </w:p>
              </w:tc>
              <w:tc>
                <w:tcPr>
                  <w:tcW w:w="891" w:type="dxa"/>
                  <w:tcBorders>
                    <w:top w:val="nil"/>
                    <w:left w:val="nil"/>
                    <w:bottom w:val="single" w:sz="4" w:space="0" w:color="auto"/>
                    <w:right w:val="single" w:sz="4" w:space="0" w:color="auto"/>
                  </w:tcBorders>
                  <w:shd w:val="clear" w:color="000000" w:fill="EBF1DE"/>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5</w:t>
                  </w:r>
                </w:p>
              </w:tc>
              <w:tc>
                <w:tcPr>
                  <w:tcW w:w="1802" w:type="dxa"/>
                  <w:tcBorders>
                    <w:top w:val="nil"/>
                    <w:left w:val="nil"/>
                    <w:bottom w:val="single" w:sz="4" w:space="0" w:color="auto"/>
                    <w:right w:val="single" w:sz="4" w:space="0" w:color="auto"/>
                  </w:tcBorders>
                  <w:shd w:val="clear" w:color="000000" w:fill="C5D9F1"/>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5</w:t>
                  </w:r>
                </w:p>
              </w:tc>
            </w:tr>
            <w:tr w:rsidR="005C0488" w:rsidRPr="00E42063" w:rsidTr="00BC2CDC">
              <w:trPr>
                <w:trHeight w:val="450"/>
              </w:trPr>
              <w:tc>
                <w:tcPr>
                  <w:tcW w:w="2146" w:type="dxa"/>
                  <w:tcBorders>
                    <w:top w:val="nil"/>
                    <w:left w:val="single" w:sz="4" w:space="0" w:color="auto"/>
                    <w:bottom w:val="single" w:sz="4" w:space="0" w:color="auto"/>
                    <w:right w:val="single" w:sz="4" w:space="0" w:color="auto"/>
                  </w:tcBorders>
                  <w:shd w:val="clear" w:color="000000" w:fill="FFCC99"/>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 xml:space="preserve">MN of the female breast </w:t>
                  </w:r>
                </w:p>
              </w:tc>
              <w:tc>
                <w:tcPr>
                  <w:tcW w:w="2894" w:type="dxa"/>
                  <w:tcBorders>
                    <w:top w:val="nil"/>
                    <w:left w:val="nil"/>
                    <w:bottom w:val="single" w:sz="4" w:space="0" w:color="auto"/>
                    <w:right w:val="single" w:sz="4" w:space="0" w:color="auto"/>
                  </w:tcBorders>
                  <w:shd w:val="clear" w:color="000000" w:fill="FFCC99"/>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Surgery (</w:t>
                  </w:r>
                  <w:r w:rsidR="00AF1E19" w:rsidRPr="00BC2CDC">
                    <w:rPr>
                      <w:rFonts w:ascii="Times New Roman" w:eastAsia="Times New Roman" w:hAnsi="Times New Roman" w:cs="Times New Roman"/>
                      <w:sz w:val="18"/>
                      <w:szCs w:val="18"/>
                      <w:lang w:val="en-GB" w:eastAsia="el-GR"/>
                    </w:rPr>
                    <w:t>Lumpectomy</w:t>
                  </w:r>
                  <w:r w:rsidRPr="00BC2CDC">
                    <w:rPr>
                      <w:rFonts w:ascii="Times New Roman" w:eastAsia="Times New Roman" w:hAnsi="Times New Roman" w:cs="Times New Roman"/>
                      <w:sz w:val="18"/>
                      <w:szCs w:val="18"/>
                      <w:lang w:val="en-GB" w:eastAsia="el-GR"/>
                    </w:rPr>
                    <w:t>, Mastectomy) with adjuvant treatment (b)</w:t>
                  </w:r>
                </w:p>
              </w:tc>
              <w:tc>
                <w:tcPr>
                  <w:tcW w:w="909" w:type="dxa"/>
                  <w:tcBorders>
                    <w:top w:val="nil"/>
                    <w:left w:val="nil"/>
                    <w:bottom w:val="single" w:sz="4" w:space="0" w:color="auto"/>
                    <w:right w:val="single" w:sz="4" w:space="0" w:color="auto"/>
                  </w:tcBorders>
                  <w:shd w:val="clear" w:color="000000" w:fill="FFFF00"/>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5</w:t>
                  </w:r>
                </w:p>
              </w:tc>
              <w:tc>
                <w:tcPr>
                  <w:tcW w:w="891" w:type="dxa"/>
                  <w:tcBorders>
                    <w:top w:val="nil"/>
                    <w:left w:val="nil"/>
                    <w:bottom w:val="single" w:sz="4" w:space="0" w:color="auto"/>
                    <w:right w:val="single" w:sz="4" w:space="0" w:color="auto"/>
                  </w:tcBorders>
                  <w:shd w:val="clear" w:color="000000" w:fill="EBF1DE"/>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5</w:t>
                  </w:r>
                </w:p>
              </w:tc>
              <w:tc>
                <w:tcPr>
                  <w:tcW w:w="1802" w:type="dxa"/>
                  <w:tcBorders>
                    <w:top w:val="nil"/>
                    <w:left w:val="nil"/>
                    <w:bottom w:val="single" w:sz="4" w:space="0" w:color="auto"/>
                    <w:right w:val="single" w:sz="4" w:space="0" w:color="auto"/>
                  </w:tcBorders>
                  <w:shd w:val="clear" w:color="000000" w:fill="C5D9F1"/>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5</w:t>
                  </w:r>
                </w:p>
              </w:tc>
            </w:tr>
            <w:tr w:rsidR="005C0488" w:rsidRPr="00E42063" w:rsidTr="00BC2CDC">
              <w:trPr>
                <w:trHeight w:val="450"/>
              </w:trPr>
              <w:tc>
                <w:tcPr>
                  <w:tcW w:w="2146" w:type="dxa"/>
                  <w:tcBorders>
                    <w:top w:val="nil"/>
                    <w:left w:val="single" w:sz="4" w:space="0" w:color="auto"/>
                    <w:bottom w:val="single" w:sz="4" w:space="0" w:color="auto"/>
                    <w:right w:val="single" w:sz="4" w:space="0" w:color="auto"/>
                  </w:tcBorders>
                  <w:shd w:val="clear" w:color="000000" w:fill="FFCC99"/>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 xml:space="preserve">MN of prostate </w:t>
                  </w:r>
                </w:p>
              </w:tc>
              <w:tc>
                <w:tcPr>
                  <w:tcW w:w="2894" w:type="dxa"/>
                  <w:tcBorders>
                    <w:top w:val="nil"/>
                    <w:left w:val="nil"/>
                    <w:bottom w:val="single" w:sz="4" w:space="0" w:color="auto"/>
                    <w:right w:val="single" w:sz="4" w:space="0" w:color="auto"/>
                  </w:tcBorders>
                  <w:shd w:val="clear" w:color="000000" w:fill="FFCC99"/>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Monitor cancer (Watchful Waiting, Active Surveillance)</w:t>
                  </w:r>
                </w:p>
              </w:tc>
              <w:tc>
                <w:tcPr>
                  <w:tcW w:w="909" w:type="dxa"/>
                  <w:tcBorders>
                    <w:top w:val="nil"/>
                    <w:left w:val="nil"/>
                    <w:bottom w:val="single" w:sz="4" w:space="0" w:color="auto"/>
                    <w:right w:val="single" w:sz="4" w:space="0" w:color="auto"/>
                  </w:tcBorders>
                  <w:shd w:val="clear" w:color="000000" w:fill="FFFF00"/>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5</w:t>
                  </w:r>
                </w:p>
              </w:tc>
              <w:tc>
                <w:tcPr>
                  <w:tcW w:w="891" w:type="dxa"/>
                  <w:tcBorders>
                    <w:top w:val="nil"/>
                    <w:left w:val="nil"/>
                    <w:bottom w:val="single" w:sz="4" w:space="0" w:color="auto"/>
                    <w:right w:val="single" w:sz="4" w:space="0" w:color="auto"/>
                  </w:tcBorders>
                  <w:shd w:val="clear" w:color="000000" w:fill="EBF1DE"/>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7</w:t>
                  </w:r>
                </w:p>
              </w:tc>
              <w:tc>
                <w:tcPr>
                  <w:tcW w:w="1802" w:type="dxa"/>
                  <w:tcBorders>
                    <w:top w:val="nil"/>
                    <w:left w:val="nil"/>
                    <w:bottom w:val="single" w:sz="4" w:space="0" w:color="auto"/>
                    <w:right w:val="single" w:sz="4" w:space="0" w:color="auto"/>
                  </w:tcBorders>
                  <w:shd w:val="clear" w:color="000000" w:fill="C5D9F1"/>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5</w:t>
                  </w:r>
                </w:p>
              </w:tc>
            </w:tr>
            <w:tr w:rsidR="005C0488" w:rsidRPr="00E42063" w:rsidTr="00BC2CDC">
              <w:trPr>
                <w:trHeight w:val="300"/>
              </w:trPr>
              <w:tc>
                <w:tcPr>
                  <w:tcW w:w="2146" w:type="dxa"/>
                  <w:tcBorders>
                    <w:top w:val="nil"/>
                    <w:left w:val="single" w:sz="4" w:space="0" w:color="auto"/>
                    <w:bottom w:val="single" w:sz="4" w:space="0" w:color="auto"/>
                    <w:right w:val="single" w:sz="4" w:space="0" w:color="auto"/>
                  </w:tcBorders>
                  <w:shd w:val="clear" w:color="000000" w:fill="FFCC99"/>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 xml:space="preserve">MN of prostate </w:t>
                  </w:r>
                </w:p>
              </w:tc>
              <w:tc>
                <w:tcPr>
                  <w:tcW w:w="2894" w:type="dxa"/>
                  <w:tcBorders>
                    <w:top w:val="nil"/>
                    <w:left w:val="nil"/>
                    <w:bottom w:val="single" w:sz="4" w:space="0" w:color="auto"/>
                    <w:right w:val="single" w:sz="4" w:space="0" w:color="auto"/>
                  </w:tcBorders>
                  <w:shd w:val="clear" w:color="000000" w:fill="FFCC99"/>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Surgery with/without adjuvant treatment (c)</w:t>
                  </w:r>
                </w:p>
              </w:tc>
              <w:tc>
                <w:tcPr>
                  <w:tcW w:w="909" w:type="dxa"/>
                  <w:tcBorders>
                    <w:top w:val="nil"/>
                    <w:left w:val="nil"/>
                    <w:bottom w:val="single" w:sz="4" w:space="0" w:color="auto"/>
                    <w:right w:val="single" w:sz="4" w:space="0" w:color="auto"/>
                  </w:tcBorders>
                  <w:shd w:val="clear" w:color="000000" w:fill="FFFF00"/>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5</w:t>
                  </w:r>
                </w:p>
              </w:tc>
              <w:tc>
                <w:tcPr>
                  <w:tcW w:w="891" w:type="dxa"/>
                  <w:tcBorders>
                    <w:top w:val="nil"/>
                    <w:left w:val="nil"/>
                    <w:bottom w:val="single" w:sz="4" w:space="0" w:color="auto"/>
                    <w:right w:val="single" w:sz="4" w:space="0" w:color="auto"/>
                  </w:tcBorders>
                  <w:shd w:val="clear" w:color="000000" w:fill="EBF1DE"/>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7</w:t>
                  </w:r>
                </w:p>
              </w:tc>
              <w:tc>
                <w:tcPr>
                  <w:tcW w:w="1802" w:type="dxa"/>
                  <w:tcBorders>
                    <w:top w:val="nil"/>
                    <w:left w:val="nil"/>
                    <w:bottom w:val="single" w:sz="4" w:space="0" w:color="auto"/>
                    <w:right w:val="single" w:sz="4" w:space="0" w:color="auto"/>
                  </w:tcBorders>
                  <w:shd w:val="clear" w:color="000000" w:fill="C5D9F1"/>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5</w:t>
                  </w:r>
                </w:p>
              </w:tc>
            </w:tr>
            <w:tr w:rsidR="005C0488" w:rsidRPr="00E42063" w:rsidTr="00BC2CDC">
              <w:trPr>
                <w:trHeight w:val="450"/>
              </w:trPr>
              <w:tc>
                <w:tcPr>
                  <w:tcW w:w="2146" w:type="dxa"/>
                  <w:tcBorders>
                    <w:top w:val="nil"/>
                    <w:left w:val="single" w:sz="4" w:space="0" w:color="auto"/>
                    <w:bottom w:val="single" w:sz="4" w:space="0" w:color="auto"/>
                    <w:right w:val="single" w:sz="4" w:space="0" w:color="auto"/>
                  </w:tcBorders>
                  <w:shd w:val="clear" w:color="000000" w:fill="CCFFCC"/>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Acute Myocardial In</w:t>
                  </w:r>
                  <w:r w:rsidR="00E42063" w:rsidRPr="00BC2CDC">
                    <w:rPr>
                      <w:rFonts w:ascii="Times New Roman" w:eastAsia="Times New Roman" w:hAnsi="Times New Roman" w:cs="Times New Roman"/>
                      <w:sz w:val="18"/>
                      <w:szCs w:val="18"/>
                      <w:lang w:val="en-GB" w:eastAsia="el-GR"/>
                    </w:rPr>
                    <w:t>f</w:t>
                  </w:r>
                  <w:r w:rsidRPr="00BC2CDC">
                    <w:rPr>
                      <w:rFonts w:ascii="Times New Roman" w:eastAsia="Times New Roman" w:hAnsi="Times New Roman" w:cs="Times New Roman"/>
                      <w:sz w:val="18"/>
                      <w:szCs w:val="18"/>
                      <w:lang w:val="en-GB" w:eastAsia="el-GR"/>
                    </w:rPr>
                    <w:t>arction (AMI)</w:t>
                  </w:r>
                </w:p>
              </w:tc>
              <w:tc>
                <w:tcPr>
                  <w:tcW w:w="2894" w:type="dxa"/>
                  <w:tcBorders>
                    <w:top w:val="nil"/>
                    <w:left w:val="nil"/>
                    <w:bottom w:val="single" w:sz="4" w:space="0" w:color="auto"/>
                    <w:right w:val="single" w:sz="4" w:space="0" w:color="auto"/>
                  </w:tcBorders>
                  <w:shd w:val="clear" w:color="000000" w:fill="CCFFCC"/>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Medication (aspirin, atenolol, streptokinase, tissue plasminogen activator)</w:t>
                  </w:r>
                </w:p>
              </w:tc>
              <w:tc>
                <w:tcPr>
                  <w:tcW w:w="909" w:type="dxa"/>
                  <w:tcBorders>
                    <w:top w:val="nil"/>
                    <w:left w:val="nil"/>
                    <w:bottom w:val="single" w:sz="4" w:space="0" w:color="auto"/>
                    <w:right w:val="single" w:sz="4" w:space="0" w:color="auto"/>
                  </w:tcBorders>
                  <w:shd w:val="clear" w:color="000000" w:fill="FFFF00"/>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5</w:t>
                  </w:r>
                </w:p>
              </w:tc>
              <w:tc>
                <w:tcPr>
                  <w:tcW w:w="891" w:type="dxa"/>
                  <w:tcBorders>
                    <w:top w:val="nil"/>
                    <w:left w:val="nil"/>
                    <w:bottom w:val="single" w:sz="4" w:space="0" w:color="auto"/>
                    <w:right w:val="single" w:sz="4" w:space="0" w:color="auto"/>
                  </w:tcBorders>
                  <w:shd w:val="clear" w:color="000000" w:fill="EBF1DE"/>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7</w:t>
                  </w:r>
                </w:p>
              </w:tc>
              <w:tc>
                <w:tcPr>
                  <w:tcW w:w="1802" w:type="dxa"/>
                  <w:tcBorders>
                    <w:top w:val="nil"/>
                    <w:left w:val="nil"/>
                    <w:bottom w:val="single" w:sz="4" w:space="0" w:color="auto"/>
                    <w:right w:val="single" w:sz="4" w:space="0" w:color="auto"/>
                  </w:tcBorders>
                  <w:shd w:val="clear" w:color="000000" w:fill="C5D9F1"/>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5</w:t>
                  </w:r>
                </w:p>
              </w:tc>
            </w:tr>
            <w:tr w:rsidR="005C0488" w:rsidRPr="00E42063" w:rsidTr="00BC2CDC">
              <w:trPr>
                <w:trHeight w:val="675"/>
              </w:trPr>
              <w:tc>
                <w:tcPr>
                  <w:tcW w:w="2146" w:type="dxa"/>
                  <w:tcBorders>
                    <w:top w:val="nil"/>
                    <w:left w:val="single" w:sz="4" w:space="0" w:color="auto"/>
                    <w:bottom w:val="single" w:sz="4" w:space="0" w:color="auto"/>
                    <w:right w:val="single" w:sz="4" w:space="0" w:color="auto"/>
                  </w:tcBorders>
                  <w:shd w:val="clear" w:color="000000" w:fill="CCFFCC"/>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Acute Myocardial In</w:t>
                  </w:r>
                  <w:r w:rsidR="00E42063" w:rsidRPr="00BC2CDC">
                    <w:rPr>
                      <w:rFonts w:ascii="Times New Roman" w:eastAsia="Times New Roman" w:hAnsi="Times New Roman" w:cs="Times New Roman"/>
                      <w:sz w:val="18"/>
                      <w:szCs w:val="18"/>
                      <w:lang w:val="en-GB" w:eastAsia="el-GR"/>
                    </w:rPr>
                    <w:t>f</w:t>
                  </w:r>
                  <w:r w:rsidRPr="00BC2CDC">
                    <w:rPr>
                      <w:rFonts w:ascii="Times New Roman" w:eastAsia="Times New Roman" w:hAnsi="Times New Roman" w:cs="Times New Roman"/>
                      <w:sz w:val="18"/>
                      <w:szCs w:val="18"/>
                      <w:lang w:val="en-GB" w:eastAsia="el-GR"/>
                    </w:rPr>
                    <w:t>arction (AMI)</w:t>
                  </w:r>
                </w:p>
              </w:tc>
              <w:tc>
                <w:tcPr>
                  <w:tcW w:w="2894" w:type="dxa"/>
                  <w:tcBorders>
                    <w:top w:val="nil"/>
                    <w:left w:val="nil"/>
                    <w:bottom w:val="single" w:sz="4" w:space="0" w:color="auto"/>
                    <w:right w:val="single" w:sz="4" w:space="0" w:color="auto"/>
                  </w:tcBorders>
                  <w:shd w:val="clear" w:color="000000" w:fill="CCFFCC"/>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Surgery (Primary angioplasty, primary stenting, percutaneous transluminal coronary angioplasty (PTCA))</w:t>
                  </w:r>
                </w:p>
              </w:tc>
              <w:tc>
                <w:tcPr>
                  <w:tcW w:w="909" w:type="dxa"/>
                  <w:tcBorders>
                    <w:top w:val="nil"/>
                    <w:left w:val="nil"/>
                    <w:bottom w:val="single" w:sz="4" w:space="0" w:color="auto"/>
                    <w:right w:val="single" w:sz="4" w:space="0" w:color="auto"/>
                  </w:tcBorders>
                  <w:shd w:val="clear" w:color="000000" w:fill="FFFF00"/>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5</w:t>
                  </w:r>
                </w:p>
              </w:tc>
              <w:tc>
                <w:tcPr>
                  <w:tcW w:w="891" w:type="dxa"/>
                  <w:tcBorders>
                    <w:top w:val="nil"/>
                    <w:left w:val="nil"/>
                    <w:bottom w:val="single" w:sz="4" w:space="0" w:color="auto"/>
                    <w:right w:val="single" w:sz="4" w:space="0" w:color="auto"/>
                  </w:tcBorders>
                  <w:shd w:val="clear" w:color="000000" w:fill="EBF1DE"/>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7</w:t>
                  </w:r>
                </w:p>
              </w:tc>
              <w:tc>
                <w:tcPr>
                  <w:tcW w:w="1802" w:type="dxa"/>
                  <w:tcBorders>
                    <w:top w:val="nil"/>
                    <w:left w:val="nil"/>
                    <w:bottom w:val="single" w:sz="4" w:space="0" w:color="auto"/>
                    <w:right w:val="single" w:sz="4" w:space="0" w:color="auto"/>
                  </w:tcBorders>
                  <w:shd w:val="clear" w:color="000000" w:fill="C5D9F1"/>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5</w:t>
                  </w:r>
                </w:p>
              </w:tc>
            </w:tr>
            <w:tr w:rsidR="005C0488" w:rsidRPr="00E42063" w:rsidTr="00BC2CDC">
              <w:trPr>
                <w:trHeight w:val="450"/>
              </w:trPr>
              <w:tc>
                <w:tcPr>
                  <w:tcW w:w="2146" w:type="dxa"/>
                  <w:tcBorders>
                    <w:top w:val="nil"/>
                    <w:left w:val="single" w:sz="4" w:space="0" w:color="auto"/>
                    <w:bottom w:val="single" w:sz="4" w:space="0" w:color="auto"/>
                    <w:right w:val="single" w:sz="4" w:space="0" w:color="auto"/>
                  </w:tcBorders>
                  <w:shd w:val="clear" w:color="000000" w:fill="CCFFCC"/>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 xml:space="preserve">Atherosclerosis </w:t>
                  </w:r>
                </w:p>
              </w:tc>
              <w:tc>
                <w:tcPr>
                  <w:tcW w:w="2894" w:type="dxa"/>
                  <w:tcBorders>
                    <w:top w:val="nil"/>
                    <w:left w:val="nil"/>
                    <w:bottom w:val="single" w:sz="4" w:space="0" w:color="auto"/>
                    <w:right w:val="single" w:sz="4" w:space="0" w:color="auto"/>
                  </w:tcBorders>
                  <w:shd w:val="clear" w:color="000000" w:fill="CCFFCC"/>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Medication (aspirin, atenolol, ACE inhibitors, Statins)</w:t>
                  </w:r>
                </w:p>
              </w:tc>
              <w:tc>
                <w:tcPr>
                  <w:tcW w:w="909" w:type="dxa"/>
                  <w:tcBorders>
                    <w:top w:val="nil"/>
                    <w:left w:val="nil"/>
                    <w:bottom w:val="single" w:sz="4" w:space="0" w:color="auto"/>
                    <w:right w:val="single" w:sz="4" w:space="0" w:color="auto"/>
                  </w:tcBorders>
                  <w:shd w:val="clear" w:color="000000" w:fill="FFFF00"/>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5</w:t>
                  </w:r>
                </w:p>
              </w:tc>
              <w:tc>
                <w:tcPr>
                  <w:tcW w:w="891" w:type="dxa"/>
                  <w:tcBorders>
                    <w:top w:val="nil"/>
                    <w:left w:val="nil"/>
                    <w:bottom w:val="single" w:sz="4" w:space="0" w:color="auto"/>
                    <w:right w:val="single" w:sz="4" w:space="0" w:color="auto"/>
                  </w:tcBorders>
                  <w:shd w:val="clear" w:color="000000" w:fill="EBF1DE"/>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7</w:t>
                  </w:r>
                </w:p>
              </w:tc>
              <w:tc>
                <w:tcPr>
                  <w:tcW w:w="1802" w:type="dxa"/>
                  <w:tcBorders>
                    <w:top w:val="nil"/>
                    <w:left w:val="nil"/>
                    <w:bottom w:val="single" w:sz="4" w:space="0" w:color="auto"/>
                    <w:right w:val="single" w:sz="4" w:space="0" w:color="auto"/>
                  </w:tcBorders>
                  <w:shd w:val="clear" w:color="000000" w:fill="C5D9F1"/>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5</w:t>
                  </w:r>
                </w:p>
              </w:tc>
            </w:tr>
            <w:tr w:rsidR="005C0488" w:rsidRPr="00E42063" w:rsidTr="00BC2CDC">
              <w:trPr>
                <w:trHeight w:val="450"/>
              </w:trPr>
              <w:tc>
                <w:tcPr>
                  <w:tcW w:w="2146" w:type="dxa"/>
                  <w:tcBorders>
                    <w:top w:val="nil"/>
                    <w:left w:val="single" w:sz="4" w:space="0" w:color="auto"/>
                    <w:bottom w:val="single" w:sz="4" w:space="0" w:color="auto"/>
                    <w:right w:val="single" w:sz="4" w:space="0" w:color="auto"/>
                  </w:tcBorders>
                  <w:shd w:val="clear" w:color="000000" w:fill="CCFFCC"/>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 xml:space="preserve">Atherosclerosis </w:t>
                  </w:r>
                </w:p>
              </w:tc>
              <w:tc>
                <w:tcPr>
                  <w:tcW w:w="2894" w:type="dxa"/>
                  <w:tcBorders>
                    <w:top w:val="nil"/>
                    <w:left w:val="nil"/>
                    <w:bottom w:val="single" w:sz="4" w:space="0" w:color="auto"/>
                    <w:right w:val="single" w:sz="4" w:space="0" w:color="auto"/>
                  </w:tcBorders>
                  <w:shd w:val="clear" w:color="000000" w:fill="CCFFCC"/>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 xml:space="preserve"> Surgery (percutaneous transluminal coronary angioplasty - PTCA) </w:t>
                  </w:r>
                </w:p>
              </w:tc>
              <w:tc>
                <w:tcPr>
                  <w:tcW w:w="909" w:type="dxa"/>
                  <w:tcBorders>
                    <w:top w:val="nil"/>
                    <w:left w:val="nil"/>
                    <w:bottom w:val="single" w:sz="4" w:space="0" w:color="auto"/>
                    <w:right w:val="single" w:sz="4" w:space="0" w:color="auto"/>
                  </w:tcBorders>
                  <w:shd w:val="clear" w:color="000000" w:fill="FFFF00"/>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5</w:t>
                  </w:r>
                </w:p>
              </w:tc>
              <w:tc>
                <w:tcPr>
                  <w:tcW w:w="891" w:type="dxa"/>
                  <w:tcBorders>
                    <w:top w:val="nil"/>
                    <w:left w:val="nil"/>
                    <w:bottom w:val="single" w:sz="4" w:space="0" w:color="auto"/>
                    <w:right w:val="single" w:sz="4" w:space="0" w:color="auto"/>
                  </w:tcBorders>
                  <w:shd w:val="clear" w:color="000000" w:fill="EBF1DE"/>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7</w:t>
                  </w:r>
                </w:p>
              </w:tc>
              <w:tc>
                <w:tcPr>
                  <w:tcW w:w="1802" w:type="dxa"/>
                  <w:tcBorders>
                    <w:top w:val="nil"/>
                    <w:left w:val="nil"/>
                    <w:bottom w:val="single" w:sz="4" w:space="0" w:color="auto"/>
                    <w:right w:val="single" w:sz="4" w:space="0" w:color="auto"/>
                  </w:tcBorders>
                  <w:shd w:val="clear" w:color="000000" w:fill="C5D9F1"/>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5</w:t>
                  </w:r>
                </w:p>
              </w:tc>
            </w:tr>
            <w:tr w:rsidR="005C0488" w:rsidRPr="00E42063" w:rsidTr="00BC2CDC">
              <w:trPr>
                <w:trHeight w:val="300"/>
              </w:trPr>
              <w:tc>
                <w:tcPr>
                  <w:tcW w:w="2146" w:type="dxa"/>
                  <w:tcBorders>
                    <w:top w:val="nil"/>
                    <w:left w:val="single" w:sz="4" w:space="0" w:color="auto"/>
                    <w:bottom w:val="single" w:sz="4" w:space="0" w:color="auto"/>
                    <w:right w:val="single" w:sz="4" w:space="0" w:color="auto"/>
                  </w:tcBorders>
                  <w:shd w:val="clear" w:color="000000" w:fill="CCFFCC"/>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Angina pectoris (stable angina)</w:t>
                  </w:r>
                </w:p>
              </w:tc>
              <w:tc>
                <w:tcPr>
                  <w:tcW w:w="2894" w:type="dxa"/>
                  <w:tcBorders>
                    <w:top w:val="nil"/>
                    <w:left w:val="nil"/>
                    <w:bottom w:val="single" w:sz="4" w:space="0" w:color="auto"/>
                    <w:right w:val="single" w:sz="4" w:space="0" w:color="auto"/>
                  </w:tcBorders>
                  <w:shd w:val="clear" w:color="000000" w:fill="CCFFCC"/>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Angioplasty, Stenting</w:t>
                  </w:r>
                </w:p>
              </w:tc>
              <w:tc>
                <w:tcPr>
                  <w:tcW w:w="909" w:type="dxa"/>
                  <w:tcBorders>
                    <w:top w:val="nil"/>
                    <w:left w:val="nil"/>
                    <w:bottom w:val="single" w:sz="4" w:space="0" w:color="auto"/>
                    <w:right w:val="single" w:sz="4" w:space="0" w:color="auto"/>
                  </w:tcBorders>
                  <w:shd w:val="clear" w:color="000000" w:fill="FFFF00"/>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5</w:t>
                  </w:r>
                </w:p>
              </w:tc>
              <w:tc>
                <w:tcPr>
                  <w:tcW w:w="891" w:type="dxa"/>
                  <w:tcBorders>
                    <w:top w:val="nil"/>
                    <w:left w:val="nil"/>
                    <w:bottom w:val="single" w:sz="4" w:space="0" w:color="auto"/>
                    <w:right w:val="single" w:sz="4" w:space="0" w:color="auto"/>
                  </w:tcBorders>
                  <w:shd w:val="clear" w:color="000000" w:fill="EBF1DE"/>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7</w:t>
                  </w:r>
                </w:p>
              </w:tc>
              <w:tc>
                <w:tcPr>
                  <w:tcW w:w="1802" w:type="dxa"/>
                  <w:tcBorders>
                    <w:top w:val="nil"/>
                    <w:left w:val="nil"/>
                    <w:bottom w:val="single" w:sz="4" w:space="0" w:color="auto"/>
                    <w:right w:val="single" w:sz="4" w:space="0" w:color="auto"/>
                  </w:tcBorders>
                  <w:shd w:val="clear" w:color="000000" w:fill="C5D9F1"/>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5</w:t>
                  </w:r>
                </w:p>
              </w:tc>
            </w:tr>
            <w:tr w:rsidR="005C0488" w:rsidRPr="00E42063" w:rsidTr="00BC2CDC">
              <w:trPr>
                <w:trHeight w:val="450"/>
              </w:trPr>
              <w:tc>
                <w:tcPr>
                  <w:tcW w:w="2146" w:type="dxa"/>
                  <w:tcBorders>
                    <w:top w:val="nil"/>
                    <w:left w:val="single" w:sz="4" w:space="0" w:color="auto"/>
                    <w:bottom w:val="single" w:sz="4" w:space="0" w:color="auto"/>
                    <w:right w:val="single" w:sz="4" w:space="0" w:color="auto"/>
                  </w:tcBorders>
                  <w:shd w:val="clear" w:color="000000" w:fill="CCFFCC"/>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Angina pectoris (stable angina)</w:t>
                  </w:r>
                </w:p>
              </w:tc>
              <w:tc>
                <w:tcPr>
                  <w:tcW w:w="2894" w:type="dxa"/>
                  <w:tcBorders>
                    <w:top w:val="nil"/>
                    <w:left w:val="nil"/>
                    <w:bottom w:val="single" w:sz="4" w:space="0" w:color="auto"/>
                    <w:right w:val="single" w:sz="4" w:space="0" w:color="auto"/>
                  </w:tcBorders>
                  <w:shd w:val="clear" w:color="000000" w:fill="CCFFCC"/>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Surgery (Coronary artery bypass graft)</w:t>
                  </w:r>
                </w:p>
              </w:tc>
              <w:tc>
                <w:tcPr>
                  <w:tcW w:w="909" w:type="dxa"/>
                  <w:tcBorders>
                    <w:top w:val="nil"/>
                    <w:left w:val="nil"/>
                    <w:bottom w:val="single" w:sz="4" w:space="0" w:color="auto"/>
                    <w:right w:val="single" w:sz="4" w:space="0" w:color="auto"/>
                  </w:tcBorders>
                  <w:shd w:val="clear" w:color="000000" w:fill="FFFF00"/>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5</w:t>
                  </w:r>
                </w:p>
              </w:tc>
              <w:tc>
                <w:tcPr>
                  <w:tcW w:w="891" w:type="dxa"/>
                  <w:tcBorders>
                    <w:top w:val="nil"/>
                    <w:left w:val="nil"/>
                    <w:bottom w:val="single" w:sz="4" w:space="0" w:color="auto"/>
                    <w:right w:val="single" w:sz="4" w:space="0" w:color="auto"/>
                  </w:tcBorders>
                  <w:shd w:val="clear" w:color="000000" w:fill="EBF1DE"/>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7</w:t>
                  </w:r>
                </w:p>
              </w:tc>
              <w:tc>
                <w:tcPr>
                  <w:tcW w:w="1802" w:type="dxa"/>
                  <w:tcBorders>
                    <w:top w:val="nil"/>
                    <w:left w:val="nil"/>
                    <w:bottom w:val="single" w:sz="4" w:space="0" w:color="auto"/>
                    <w:right w:val="single" w:sz="4" w:space="0" w:color="auto"/>
                  </w:tcBorders>
                  <w:shd w:val="clear" w:color="000000" w:fill="C5D9F1"/>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5</w:t>
                  </w:r>
                </w:p>
              </w:tc>
            </w:tr>
            <w:tr w:rsidR="005C0488" w:rsidRPr="00E42063" w:rsidTr="00BC2CDC">
              <w:trPr>
                <w:trHeight w:val="675"/>
              </w:trPr>
              <w:tc>
                <w:tcPr>
                  <w:tcW w:w="2146" w:type="dxa"/>
                  <w:tcBorders>
                    <w:top w:val="nil"/>
                    <w:left w:val="single" w:sz="4" w:space="0" w:color="auto"/>
                    <w:bottom w:val="single" w:sz="4" w:space="0" w:color="auto"/>
                    <w:right w:val="single" w:sz="4" w:space="0" w:color="auto"/>
                  </w:tcBorders>
                  <w:shd w:val="clear" w:color="000000" w:fill="CC99FF"/>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Diabetes mellitus type 2</w:t>
                  </w:r>
                </w:p>
              </w:tc>
              <w:tc>
                <w:tcPr>
                  <w:tcW w:w="2894" w:type="dxa"/>
                  <w:tcBorders>
                    <w:top w:val="nil"/>
                    <w:left w:val="nil"/>
                    <w:bottom w:val="single" w:sz="4" w:space="0" w:color="auto"/>
                    <w:right w:val="single" w:sz="4" w:space="0" w:color="auto"/>
                  </w:tcBorders>
                  <w:shd w:val="clear" w:color="000000" w:fill="CC99FF"/>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 xml:space="preserve">Foot care (patient and provider education, foot examination, foot hygiene, </w:t>
                  </w:r>
                  <w:r w:rsidR="00173A00" w:rsidRPr="00BC2CDC">
                    <w:rPr>
                      <w:rFonts w:ascii="Times New Roman" w:eastAsia="Times New Roman" w:hAnsi="Times New Roman" w:cs="Times New Roman"/>
                      <w:sz w:val="18"/>
                      <w:szCs w:val="18"/>
                      <w:lang w:val="en-GB" w:eastAsia="el-GR"/>
                    </w:rPr>
                    <w:t>appropriate</w:t>
                  </w:r>
                  <w:r w:rsidRPr="00BC2CDC">
                    <w:rPr>
                      <w:rFonts w:ascii="Times New Roman" w:eastAsia="Times New Roman" w:hAnsi="Times New Roman" w:cs="Times New Roman"/>
                      <w:sz w:val="18"/>
                      <w:szCs w:val="18"/>
                      <w:lang w:val="en-GB" w:eastAsia="el-GR"/>
                    </w:rPr>
                    <w:t xml:space="preserve"> footwear)</w:t>
                  </w:r>
                </w:p>
              </w:tc>
              <w:tc>
                <w:tcPr>
                  <w:tcW w:w="909" w:type="dxa"/>
                  <w:tcBorders>
                    <w:top w:val="nil"/>
                    <w:left w:val="nil"/>
                    <w:bottom w:val="single" w:sz="4" w:space="0" w:color="auto"/>
                    <w:right w:val="single" w:sz="4" w:space="0" w:color="auto"/>
                  </w:tcBorders>
                  <w:shd w:val="clear" w:color="000000" w:fill="FFFF00"/>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5</w:t>
                  </w:r>
                </w:p>
              </w:tc>
              <w:tc>
                <w:tcPr>
                  <w:tcW w:w="891" w:type="dxa"/>
                  <w:tcBorders>
                    <w:top w:val="nil"/>
                    <w:left w:val="nil"/>
                    <w:bottom w:val="single" w:sz="4" w:space="0" w:color="auto"/>
                    <w:right w:val="single" w:sz="4" w:space="0" w:color="auto"/>
                  </w:tcBorders>
                  <w:shd w:val="clear" w:color="000000" w:fill="EBF1DE"/>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7</w:t>
                  </w:r>
                </w:p>
              </w:tc>
              <w:tc>
                <w:tcPr>
                  <w:tcW w:w="1802" w:type="dxa"/>
                  <w:tcBorders>
                    <w:top w:val="nil"/>
                    <w:left w:val="nil"/>
                    <w:bottom w:val="single" w:sz="4" w:space="0" w:color="auto"/>
                    <w:right w:val="single" w:sz="4" w:space="0" w:color="auto"/>
                  </w:tcBorders>
                  <w:shd w:val="clear" w:color="000000" w:fill="C5D9F1"/>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5</w:t>
                  </w:r>
                </w:p>
              </w:tc>
            </w:tr>
            <w:tr w:rsidR="005C0488" w:rsidRPr="00E42063" w:rsidTr="00BC2CDC">
              <w:trPr>
                <w:trHeight w:val="300"/>
              </w:trPr>
              <w:tc>
                <w:tcPr>
                  <w:tcW w:w="2146" w:type="dxa"/>
                  <w:tcBorders>
                    <w:top w:val="nil"/>
                    <w:left w:val="single" w:sz="4" w:space="0" w:color="auto"/>
                    <w:bottom w:val="single" w:sz="4" w:space="0" w:color="auto"/>
                    <w:right w:val="single" w:sz="4" w:space="0" w:color="auto"/>
                  </w:tcBorders>
                  <w:shd w:val="clear" w:color="000000" w:fill="CC99FF"/>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Diabetes mellitus type 2</w:t>
                  </w:r>
                </w:p>
              </w:tc>
              <w:tc>
                <w:tcPr>
                  <w:tcW w:w="2894" w:type="dxa"/>
                  <w:tcBorders>
                    <w:top w:val="nil"/>
                    <w:left w:val="nil"/>
                    <w:bottom w:val="single" w:sz="4" w:space="0" w:color="auto"/>
                    <w:right w:val="single" w:sz="4" w:space="0" w:color="auto"/>
                  </w:tcBorders>
                  <w:shd w:val="clear" w:color="000000" w:fill="CC99FF"/>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Education (patient self-</w:t>
                  </w:r>
                  <w:r w:rsidR="00173A00" w:rsidRPr="00BC2CDC">
                    <w:rPr>
                      <w:rFonts w:ascii="Times New Roman" w:eastAsia="Times New Roman" w:hAnsi="Times New Roman" w:cs="Times New Roman"/>
                      <w:sz w:val="18"/>
                      <w:szCs w:val="18"/>
                      <w:lang w:val="en-GB" w:eastAsia="el-GR"/>
                    </w:rPr>
                    <w:t>management</w:t>
                  </w:r>
                  <w:r w:rsidRPr="00BC2CDC">
                    <w:rPr>
                      <w:rFonts w:ascii="Times New Roman" w:eastAsia="Times New Roman" w:hAnsi="Times New Roman" w:cs="Times New Roman"/>
                      <w:sz w:val="18"/>
                      <w:szCs w:val="18"/>
                      <w:lang w:val="en-GB" w:eastAsia="el-GR"/>
                    </w:rPr>
                    <w:t>)</w:t>
                  </w:r>
                </w:p>
              </w:tc>
              <w:tc>
                <w:tcPr>
                  <w:tcW w:w="909" w:type="dxa"/>
                  <w:tcBorders>
                    <w:top w:val="nil"/>
                    <w:left w:val="nil"/>
                    <w:bottom w:val="single" w:sz="4" w:space="0" w:color="auto"/>
                    <w:right w:val="single" w:sz="4" w:space="0" w:color="auto"/>
                  </w:tcBorders>
                  <w:shd w:val="clear" w:color="000000" w:fill="FFFF00"/>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5</w:t>
                  </w:r>
                </w:p>
              </w:tc>
              <w:tc>
                <w:tcPr>
                  <w:tcW w:w="891" w:type="dxa"/>
                  <w:tcBorders>
                    <w:top w:val="nil"/>
                    <w:left w:val="nil"/>
                    <w:bottom w:val="single" w:sz="4" w:space="0" w:color="auto"/>
                    <w:right w:val="single" w:sz="4" w:space="0" w:color="auto"/>
                  </w:tcBorders>
                  <w:shd w:val="clear" w:color="000000" w:fill="EBF1DE"/>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7</w:t>
                  </w:r>
                </w:p>
              </w:tc>
              <w:tc>
                <w:tcPr>
                  <w:tcW w:w="1802" w:type="dxa"/>
                  <w:tcBorders>
                    <w:top w:val="nil"/>
                    <w:left w:val="nil"/>
                    <w:bottom w:val="single" w:sz="4" w:space="0" w:color="auto"/>
                    <w:right w:val="single" w:sz="4" w:space="0" w:color="auto"/>
                  </w:tcBorders>
                  <w:shd w:val="clear" w:color="000000" w:fill="C5D9F1"/>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5</w:t>
                  </w:r>
                </w:p>
              </w:tc>
            </w:tr>
            <w:tr w:rsidR="005C0488" w:rsidRPr="00E42063" w:rsidTr="00BC2CDC">
              <w:trPr>
                <w:trHeight w:val="450"/>
              </w:trPr>
              <w:tc>
                <w:tcPr>
                  <w:tcW w:w="2146" w:type="dxa"/>
                  <w:tcBorders>
                    <w:top w:val="nil"/>
                    <w:left w:val="single" w:sz="4" w:space="0" w:color="auto"/>
                    <w:bottom w:val="single" w:sz="4" w:space="0" w:color="auto"/>
                    <w:right w:val="single" w:sz="4" w:space="0" w:color="auto"/>
                  </w:tcBorders>
                  <w:shd w:val="clear" w:color="000000" w:fill="CCFFCC"/>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Congestive Heart Failure (CHF)</w:t>
                  </w:r>
                </w:p>
              </w:tc>
              <w:tc>
                <w:tcPr>
                  <w:tcW w:w="2894" w:type="dxa"/>
                  <w:tcBorders>
                    <w:top w:val="nil"/>
                    <w:left w:val="nil"/>
                    <w:bottom w:val="single" w:sz="4" w:space="0" w:color="auto"/>
                    <w:right w:val="single" w:sz="4" w:space="0" w:color="auto"/>
                  </w:tcBorders>
                  <w:shd w:val="clear" w:color="000000" w:fill="CCFFCC"/>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Medication (ACE inhibitors, Beta-Blockers)</w:t>
                  </w:r>
                </w:p>
              </w:tc>
              <w:tc>
                <w:tcPr>
                  <w:tcW w:w="909" w:type="dxa"/>
                  <w:tcBorders>
                    <w:top w:val="nil"/>
                    <w:left w:val="nil"/>
                    <w:bottom w:val="single" w:sz="4" w:space="0" w:color="auto"/>
                    <w:right w:val="single" w:sz="4" w:space="0" w:color="auto"/>
                  </w:tcBorders>
                  <w:shd w:val="clear" w:color="000000" w:fill="FFFF00"/>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17</w:t>
                  </w:r>
                </w:p>
              </w:tc>
              <w:tc>
                <w:tcPr>
                  <w:tcW w:w="891" w:type="dxa"/>
                  <w:tcBorders>
                    <w:top w:val="nil"/>
                    <w:left w:val="nil"/>
                    <w:bottom w:val="single" w:sz="4" w:space="0" w:color="auto"/>
                    <w:right w:val="single" w:sz="4" w:space="0" w:color="auto"/>
                  </w:tcBorders>
                  <w:shd w:val="clear" w:color="000000" w:fill="EBF1DE"/>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7</w:t>
                  </w:r>
                </w:p>
              </w:tc>
              <w:tc>
                <w:tcPr>
                  <w:tcW w:w="1802" w:type="dxa"/>
                  <w:tcBorders>
                    <w:top w:val="nil"/>
                    <w:left w:val="nil"/>
                    <w:bottom w:val="single" w:sz="4" w:space="0" w:color="auto"/>
                    <w:right w:val="single" w:sz="4" w:space="0" w:color="auto"/>
                  </w:tcBorders>
                  <w:shd w:val="clear" w:color="000000" w:fill="C5D9F1"/>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17</w:t>
                  </w:r>
                </w:p>
              </w:tc>
            </w:tr>
            <w:tr w:rsidR="005C0488" w:rsidRPr="00E42063" w:rsidTr="00BC2CDC">
              <w:trPr>
                <w:trHeight w:val="450"/>
              </w:trPr>
              <w:tc>
                <w:tcPr>
                  <w:tcW w:w="2146" w:type="dxa"/>
                  <w:tcBorders>
                    <w:top w:val="nil"/>
                    <w:left w:val="single" w:sz="4" w:space="0" w:color="auto"/>
                    <w:bottom w:val="single" w:sz="4" w:space="0" w:color="auto"/>
                    <w:right w:val="single" w:sz="4" w:space="0" w:color="auto"/>
                  </w:tcBorders>
                  <w:shd w:val="clear" w:color="000000" w:fill="FFFF99"/>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Unhealthy diet</w:t>
                  </w:r>
                </w:p>
              </w:tc>
              <w:tc>
                <w:tcPr>
                  <w:tcW w:w="2894" w:type="dxa"/>
                  <w:tcBorders>
                    <w:top w:val="nil"/>
                    <w:left w:val="nil"/>
                    <w:bottom w:val="single" w:sz="4" w:space="0" w:color="auto"/>
                    <w:right w:val="single" w:sz="4" w:space="0" w:color="auto"/>
                  </w:tcBorders>
                  <w:shd w:val="clear" w:color="000000" w:fill="FFFF99"/>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Reduce salt intake</w:t>
                  </w:r>
                </w:p>
              </w:tc>
              <w:tc>
                <w:tcPr>
                  <w:tcW w:w="909" w:type="dxa"/>
                  <w:tcBorders>
                    <w:top w:val="nil"/>
                    <w:left w:val="nil"/>
                    <w:bottom w:val="single" w:sz="4" w:space="0" w:color="auto"/>
                    <w:right w:val="single" w:sz="4" w:space="0" w:color="auto"/>
                  </w:tcBorders>
                  <w:shd w:val="clear" w:color="000000" w:fill="FFFF00"/>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18</w:t>
                  </w:r>
                </w:p>
              </w:tc>
              <w:tc>
                <w:tcPr>
                  <w:tcW w:w="891" w:type="dxa"/>
                  <w:tcBorders>
                    <w:top w:val="nil"/>
                    <w:left w:val="nil"/>
                    <w:bottom w:val="single" w:sz="4" w:space="0" w:color="auto"/>
                    <w:right w:val="single" w:sz="4" w:space="0" w:color="auto"/>
                  </w:tcBorders>
                  <w:shd w:val="clear" w:color="000000" w:fill="EBF1DE"/>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7</w:t>
                  </w:r>
                </w:p>
              </w:tc>
              <w:tc>
                <w:tcPr>
                  <w:tcW w:w="1802" w:type="dxa"/>
                  <w:tcBorders>
                    <w:top w:val="nil"/>
                    <w:left w:val="nil"/>
                    <w:bottom w:val="single" w:sz="4" w:space="0" w:color="auto"/>
                    <w:right w:val="single" w:sz="4" w:space="0" w:color="auto"/>
                  </w:tcBorders>
                  <w:shd w:val="clear" w:color="000000" w:fill="C5D9F1"/>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18</w:t>
                  </w:r>
                </w:p>
              </w:tc>
            </w:tr>
            <w:tr w:rsidR="005C0488" w:rsidRPr="00E42063" w:rsidTr="00BC2CDC">
              <w:trPr>
                <w:trHeight w:val="450"/>
              </w:trPr>
              <w:tc>
                <w:tcPr>
                  <w:tcW w:w="2146" w:type="dxa"/>
                  <w:tcBorders>
                    <w:top w:val="nil"/>
                    <w:left w:val="single" w:sz="4" w:space="0" w:color="auto"/>
                    <w:bottom w:val="single" w:sz="4" w:space="0" w:color="auto"/>
                    <w:right w:val="single" w:sz="4" w:space="0" w:color="auto"/>
                  </w:tcBorders>
                  <w:shd w:val="clear" w:color="000000" w:fill="FFCC99"/>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MN of colon, rectum and anus</w:t>
                  </w:r>
                </w:p>
              </w:tc>
              <w:tc>
                <w:tcPr>
                  <w:tcW w:w="2894" w:type="dxa"/>
                  <w:tcBorders>
                    <w:top w:val="nil"/>
                    <w:left w:val="nil"/>
                    <w:bottom w:val="single" w:sz="4" w:space="0" w:color="auto"/>
                    <w:right w:val="single" w:sz="4" w:space="0" w:color="auto"/>
                  </w:tcBorders>
                  <w:shd w:val="clear" w:color="000000" w:fill="FFCC99"/>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Screening (Fecal occult blood testing (FOBT), Colonoscopy, Sigmoidoscopy)</w:t>
                  </w:r>
                </w:p>
              </w:tc>
              <w:tc>
                <w:tcPr>
                  <w:tcW w:w="909" w:type="dxa"/>
                  <w:tcBorders>
                    <w:top w:val="nil"/>
                    <w:left w:val="nil"/>
                    <w:bottom w:val="single" w:sz="4" w:space="0" w:color="auto"/>
                    <w:right w:val="single" w:sz="4" w:space="0" w:color="auto"/>
                  </w:tcBorders>
                  <w:shd w:val="clear" w:color="000000" w:fill="FFFF00"/>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18</w:t>
                  </w:r>
                </w:p>
              </w:tc>
              <w:tc>
                <w:tcPr>
                  <w:tcW w:w="891" w:type="dxa"/>
                  <w:tcBorders>
                    <w:top w:val="nil"/>
                    <w:left w:val="nil"/>
                    <w:bottom w:val="single" w:sz="4" w:space="0" w:color="auto"/>
                    <w:right w:val="single" w:sz="4" w:space="0" w:color="auto"/>
                  </w:tcBorders>
                  <w:shd w:val="clear" w:color="000000" w:fill="EBF1DE"/>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19</w:t>
                  </w:r>
                </w:p>
              </w:tc>
              <w:tc>
                <w:tcPr>
                  <w:tcW w:w="1802" w:type="dxa"/>
                  <w:tcBorders>
                    <w:top w:val="nil"/>
                    <w:left w:val="nil"/>
                    <w:bottom w:val="single" w:sz="4" w:space="0" w:color="auto"/>
                    <w:right w:val="single" w:sz="4" w:space="0" w:color="auto"/>
                  </w:tcBorders>
                  <w:shd w:val="clear" w:color="000000" w:fill="C5D9F1"/>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18</w:t>
                  </w:r>
                </w:p>
              </w:tc>
            </w:tr>
            <w:tr w:rsidR="005C0488" w:rsidRPr="00E42063" w:rsidTr="00BC2CDC">
              <w:trPr>
                <w:trHeight w:val="450"/>
              </w:trPr>
              <w:tc>
                <w:tcPr>
                  <w:tcW w:w="2146" w:type="dxa"/>
                  <w:tcBorders>
                    <w:top w:val="nil"/>
                    <w:left w:val="single" w:sz="4" w:space="0" w:color="auto"/>
                    <w:bottom w:val="single" w:sz="4" w:space="0" w:color="auto"/>
                    <w:right w:val="single" w:sz="4" w:space="0" w:color="auto"/>
                  </w:tcBorders>
                  <w:shd w:val="clear" w:color="000000" w:fill="FFCC99"/>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 xml:space="preserve">MN of the female breast </w:t>
                  </w:r>
                </w:p>
              </w:tc>
              <w:tc>
                <w:tcPr>
                  <w:tcW w:w="2894" w:type="dxa"/>
                  <w:tcBorders>
                    <w:top w:val="nil"/>
                    <w:left w:val="nil"/>
                    <w:bottom w:val="single" w:sz="4" w:space="0" w:color="auto"/>
                    <w:right w:val="single" w:sz="4" w:space="0" w:color="auto"/>
                  </w:tcBorders>
                  <w:shd w:val="clear" w:color="000000" w:fill="FFCC99"/>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Screening (self-examination, clinical breast examination, ultrasound, mammography)</w:t>
                  </w:r>
                </w:p>
              </w:tc>
              <w:tc>
                <w:tcPr>
                  <w:tcW w:w="909" w:type="dxa"/>
                  <w:tcBorders>
                    <w:top w:val="nil"/>
                    <w:left w:val="nil"/>
                    <w:bottom w:val="single" w:sz="4" w:space="0" w:color="auto"/>
                    <w:right w:val="single" w:sz="4" w:space="0" w:color="auto"/>
                  </w:tcBorders>
                  <w:shd w:val="clear" w:color="000000" w:fill="FFFF00"/>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18</w:t>
                  </w:r>
                </w:p>
              </w:tc>
              <w:tc>
                <w:tcPr>
                  <w:tcW w:w="891" w:type="dxa"/>
                  <w:tcBorders>
                    <w:top w:val="nil"/>
                    <w:left w:val="nil"/>
                    <w:bottom w:val="single" w:sz="4" w:space="0" w:color="auto"/>
                    <w:right w:val="single" w:sz="4" w:space="0" w:color="auto"/>
                  </w:tcBorders>
                  <w:shd w:val="clear" w:color="000000" w:fill="EBF1DE"/>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20</w:t>
                  </w:r>
                </w:p>
              </w:tc>
              <w:tc>
                <w:tcPr>
                  <w:tcW w:w="1802" w:type="dxa"/>
                  <w:tcBorders>
                    <w:top w:val="nil"/>
                    <w:left w:val="nil"/>
                    <w:bottom w:val="single" w:sz="4" w:space="0" w:color="auto"/>
                    <w:right w:val="single" w:sz="4" w:space="0" w:color="auto"/>
                  </w:tcBorders>
                  <w:shd w:val="clear" w:color="000000" w:fill="C5D9F1"/>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18</w:t>
                  </w:r>
                </w:p>
              </w:tc>
            </w:tr>
            <w:tr w:rsidR="005C0488" w:rsidRPr="00E42063" w:rsidTr="00BC2CDC">
              <w:trPr>
                <w:trHeight w:val="450"/>
              </w:trPr>
              <w:tc>
                <w:tcPr>
                  <w:tcW w:w="2146" w:type="dxa"/>
                  <w:tcBorders>
                    <w:top w:val="nil"/>
                    <w:left w:val="single" w:sz="4" w:space="0" w:color="auto"/>
                    <w:bottom w:val="single" w:sz="4" w:space="0" w:color="auto"/>
                    <w:right w:val="single" w:sz="4" w:space="0" w:color="auto"/>
                  </w:tcBorders>
                  <w:shd w:val="clear" w:color="000000" w:fill="FFCC99"/>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 xml:space="preserve">MN of prostate </w:t>
                  </w:r>
                </w:p>
              </w:tc>
              <w:tc>
                <w:tcPr>
                  <w:tcW w:w="2894" w:type="dxa"/>
                  <w:tcBorders>
                    <w:top w:val="nil"/>
                    <w:left w:val="nil"/>
                    <w:bottom w:val="single" w:sz="4" w:space="0" w:color="auto"/>
                    <w:right w:val="single" w:sz="4" w:space="0" w:color="auto"/>
                  </w:tcBorders>
                  <w:shd w:val="clear" w:color="000000" w:fill="FFCC99"/>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Screening (Digital rectal exam (DRE), Prostate specific antigen test (PSA))</w:t>
                  </w:r>
                </w:p>
              </w:tc>
              <w:tc>
                <w:tcPr>
                  <w:tcW w:w="909" w:type="dxa"/>
                  <w:tcBorders>
                    <w:top w:val="nil"/>
                    <w:left w:val="nil"/>
                    <w:bottom w:val="single" w:sz="4" w:space="0" w:color="auto"/>
                    <w:right w:val="single" w:sz="4" w:space="0" w:color="auto"/>
                  </w:tcBorders>
                  <w:shd w:val="clear" w:color="000000" w:fill="FFFF00"/>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18</w:t>
                  </w:r>
                </w:p>
              </w:tc>
              <w:tc>
                <w:tcPr>
                  <w:tcW w:w="891" w:type="dxa"/>
                  <w:tcBorders>
                    <w:top w:val="nil"/>
                    <w:left w:val="nil"/>
                    <w:bottom w:val="single" w:sz="4" w:space="0" w:color="auto"/>
                    <w:right w:val="single" w:sz="4" w:space="0" w:color="auto"/>
                  </w:tcBorders>
                  <w:shd w:val="clear" w:color="000000" w:fill="EBF1DE"/>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21</w:t>
                  </w:r>
                </w:p>
              </w:tc>
              <w:tc>
                <w:tcPr>
                  <w:tcW w:w="1802" w:type="dxa"/>
                  <w:tcBorders>
                    <w:top w:val="nil"/>
                    <w:left w:val="nil"/>
                    <w:bottom w:val="single" w:sz="4" w:space="0" w:color="auto"/>
                    <w:right w:val="single" w:sz="4" w:space="0" w:color="auto"/>
                  </w:tcBorders>
                  <w:shd w:val="clear" w:color="000000" w:fill="C5D9F1"/>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18</w:t>
                  </w:r>
                </w:p>
              </w:tc>
            </w:tr>
            <w:tr w:rsidR="005C0488" w:rsidRPr="00E42063" w:rsidTr="00BC2CDC">
              <w:trPr>
                <w:trHeight w:val="300"/>
              </w:trPr>
              <w:tc>
                <w:tcPr>
                  <w:tcW w:w="2146" w:type="dxa"/>
                  <w:tcBorders>
                    <w:top w:val="nil"/>
                    <w:left w:val="single" w:sz="4" w:space="0" w:color="auto"/>
                    <w:bottom w:val="single" w:sz="4" w:space="0" w:color="auto"/>
                    <w:right w:val="single" w:sz="4" w:space="0" w:color="auto"/>
                  </w:tcBorders>
                  <w:shd w:val="clear" w:color="000000" w:fill="CCFFCC"/>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Hypertension</w:t>
                  </w:r>
                </w:p>
              </w:tc>
              <w:tc>
                <w:tcPr>
                  <w:tcW w:w="2894" w:type="dxa"/>
                  <w:tcBorders>
                    <w:top w:val="nil"/>
                    <w:left w:val="nil"/>
                    <w:bottom w:val="single" w:sz="4" w:space="0" w:color="auto"/>
                    <w:right w:val="single" w:sz="4" w:space="0" w:color="auto"/>
                  </w:tcBorders>
                  <w:shd w:val="clear" w:color="000000" w:fill="CCFFCC"/>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Medication (ACE inhibitors, beta-blockers)</w:t>
                  </w:r>
                </w:p>
              </w:tc>
              <w:tc>
                <w:tcPr>
                  <w:tcW w:w="909" w:type="dxa"/>
                  <w:tcBorders>
                    <w:top w:val="nil"/>
                    <w:left w:val="nil"/>
                    <w:bottom w:val="single" w:sz="4" w:space="0" w:color="auto"/>
                    <w:right w:val="single" w:sz="4" w:space="0" w:color="auto"/>
                  </w:tcBorders>
                  <w:shd w:val="clear" w:color="000000" w:fill="FFFF00"/>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18</w:t>
                  </w:r>
                </w:p>
              </w:tc>
              <w:tc>
                <w:tcPr>
                  <w:tcW w:w="891" w:type="dxa"/>
                  <w:tcBorders>
                    <w:top w:val="nil"/>
                    <w:left w:val="nil"/>
                    <w:bottom w:val="single" w:sz="4" w:space="0" w:color="auto"/>
                    <w:right w:val="single" w:sz="4" w:space="0" w:color="auto"/>
                  </w:tcBorders>
                  <w:shd w:val="clear" w:color="000000" w:fill="EBF1DE"/>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21</w:t>
                  </w:r>
                </w:p>
              </w:tc>
              <w:tc>
                <w:tcPr>
                  <w:tcW w:w="1802" w:type="dxa"/>
                  <w:tcBorders>
                    <w:top w:val="nil"/>
                    <w:left w:val="nil"/>
                    <w:bottom w:val="single" w:sz="4" w:space="0" w:color="auto"/>
                    <w:right w:val="single" w:sz="4" w:space="0" w:color="auto"/>
                  </w:tcBorders>
                  <w:shd w:val="clear" w:color="000000" w:fill="C5D9F1"/>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18</w:t>
                  </w:r>
                </w:p>
              </w:tc>
            </w:tr>
            <w:tr w:rsidR="005C0488" w:rsidRPr="00E42063" w:rsidTr="00BC2CDC">
              <w:trPr>
                <w:trHeight w:val="300"/>
              </w:trPr>
              <w:tc>
                <w:tcPr>
                  <w:tcW w:w="2146" w:type="dxa"/>
                  <w:tcBorders>
                    <w:top w:val="nil"/>
                    <w:left w:val="single" w:sz="4" w:space="0" w:color="auto"/>
                    <w:bottom w:val="single" w:sz="4" w:space="0" w:color="auto"/>
                    <w:right w:val="single" w:sz="4" w:space="0" w:color="auto"/>
                  </w:tcBorders>
                  <w:shd w:val="clear" w:color="000000" w:fill="CCFFCC"/>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 xml:space="preserve">High blood </w:t>
                  </w:r>
                  <w:r w:rsidR="00173A00" w:rsidRPr="00BC2CDC">
                    <w:rPr>
                      <w:rFonts w:ascii="Times New Roman" w:eastAsia="Times New Roman" w:hAnsi="Times New Roman" w:cs="Times New Roman"/>
                      <w:sz w:val="18"/>
                      <w:szCs w:val="18"/>
                      <w:lang w:val="en-GB" w:eastAsia="el-GR"/>
                    </w:rPr>
                    <w:t>cholesterol</w:t>
                  </w:r>
                </w:p>
              </w:tc>
              <w:tc>
                <w:tcPr>
                  <w:tcW w:w="2894" w:type="dxa"/>
                  <w:tcBorders>
                    <w:top w:val="nil"/>
                    <w:left w:val="nil"/>
                    <w:bottom w:val="single" w:sz="4" w:space="0" w:color="auto"/>
                    <w:right w:val="single" w:sz="4" w:space="0" w:color="auto"/>
                  </w:tcBorders>
                  <w:shd w:val="clear" w:color="000000" w:fill="CCFFCC"/>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Medication (Statins)</w:t>
                  </w:r>
                </w:p>
              </w:tc>
              <w:tc>
                <w:tcPr>
                  <w:tcW w:w="909" w:type="dxa"/>
                  <w:tcBorders>
                    <w:top w:val="nil"/>
                    <w:left w:val="nil"/>
                    <w:bottom w:val="single" w:sz="4" w:space="0" w:color="auto"/>
                    <w:right w:val="single" w:sz="4" w:space="0" w:color="auto"/>
                  </w:tcBorders>
                  <w:shd w:val="clear" w:color="000000" w:fill="FFFF00"/>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18</w:t>
                  </w:r>
                </w:p>
              </w:tc>
              <w:tc>
                <w:tcPr>
                  <w:tcW w:w="891" w:type="dxa"/>
                  <w:tcBorders>
                    <w:top w:val="nil"/>
                    <w:left w:val="nil"/>
                    <w:bottom w:val="single" w:sz="4" w:space="0" w:color="auto"/>
                    <w:right w:val="single" w:sz="4" w:space="0" w:color="auto"/>
                  </w:tcBorders>
                  <w:shd w:val="clear" w:color="000000" w:fill="EBF1DE"/>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21</w:t>
                  </w:r>
                </w:p>
              </w:tc>
              <w:tc>
                <w:tcPr>
                  <w:tcW w:w="1802" w:type="dxa"/>
                  <w:tcBorders>
                    <w:top w:val="nil"/>
                    <w:left w:val="nil"/>
                    <w:bottom w:val="single" w:sz="4" w:space="0" w:color="auto"/>
                    <w:right w:val="single" w:sz="4" w:space="0" w:color="auto"/>
                  </w:tcBorders>
                  <w:shd w:val="clear" w:color="000000" w:fill="C5D9F1"/>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18</w:t>
                  </w:r>
                </w:p>
              </w:tc>
            </w:tr>
            <w:tr w:rsidR="005C0488" w:rsidRPr="00E42063" w:rsidTr="00BC2CDC">
              <w:trPr>
                <w:trHeight w:val="450"/>
              </w:trPr>
              <w:tc>
                <w:tcPr>
                  <w:tcW w:w="2146" w:type="dxa"/>
                  <w:tcBorders>
                    <w:top w:val="nil"/>
                    <w:left w:val="single" w:sz="4" w:space="0" w:color="auto"/>
                    <w:bottom w:val="single" w:sz="4" w:space="0" w:color="auto"/>
                    <w:right w:val="single" w:sz="4" w:space="0" w:color="auto"/>
                  </w:tcBorders>
                  <w:shd w:val="clear" w:color="000000" w:fill="CCFFCC"/>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Angina pectoris (stable angina)</w:t>
                  </w:r>
                </w:p>
              </w:tc>
              <w:tc>
                <w:tcPr>
                  <w:tcW w:w="2894" w:type="dxa"/>
                  <w:tcBorders>
                    <w:top w:val="nil"/>
                    <w:left w:val="nil"/>
                    <w:bottom w:val="single" w:sz="4" w:space="0" w:color="auto"/>
                    <w:right w:val="single" w:sz="4" w:space="0" w:color="auto"/>
                  </w:tcBorders>
                  <w:shd w:val="clear" w:color="000000" w:fill="CCFFCC"/>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Medication (Atenolol, ACE inhibitors, Beta-Blockers)</w:t>
                  </w:r>
                </w:p>
              </w:tc>
              <w:tc>
                <w:tcPr>
                  <w:tcW w:w="909" w:type="dxa"/>
                  <w:tcBorders>
                    <w:top w:val="nil"/>
                    <w:left w:val="nil"/>
                    <w:bottom w:val="single" w:sz="4" w:space="0" w:color="auto"/>
                    <w:right w:val="single" w:sz="4" w:space="0" w:color="auto"/>
                  </w:tcBorders>
                  <w:shd w:val="clear" w:color="000000" w:fill="FFFF00"/>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18</w:t>
                  </w:r>
                </w:p>
              </w:tc>
              <w:tc>
                <w:tcPr>
                  <w:tcW w:w="891" w:type="dxa"/>
                  <w:tcBorders>
                    <w:top w:val="nil"/>
                    <w:left w:val="nil"/>
                    <w:bottom w:val="single" w:sz="4" w:space="0" w:color="auto"/>
                    <w:right w:val="single" w:sz="4" w:space="0" w:color="auto"/>
                  </w:tcBorders>
                  <w:shd w:val="clear" w:color="000000" w:fill="EBF1DE"/>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21</w:t>
                  </w:r>
                </w:p>
              </w:tc>
              <w:tc>
                <w:tcPr>
                  <w:tcW w:w="1802" w:type="dxa"/>
                  <w:tcBorders>
                    <w:top w:val="nil"/>
                    <w:left w:val="nil"/>
                    <w:bottom w:val="single" w:sz="4" w:space="0" w:color="auto"/>
                    <w:right w:val="single" w:sz="4" w:space="0" w:color="auto"/>
                  </w:tcBorders>
                  <w:shd w:val="clear" w:color="000000" w:fill="C5D9F1"/>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18</w:t>
                  </w:r>
                </w:p>
              </w:tc>
            </w:tr>
            <w:tr w:rsidR="005C0488" w:rsidRPr="00E42063" w:rsidTr="00BC2CDC">
              <w:trPr>
                <w:trHeight w:val="675"/>
              </w:trPr>
              <w:tc>
                <w:tcPr>
                  <w:tcW w:w="2146" w:type="dxa"/>
                  <w:tcBorders>
                    <w:top w:val="nil"/>
                    <w:left w:val="single" w:sz="4" w:space="0" w:color="auto"/>
                    <w:bottom w:val="single" w:sz="4" w:space="0" w:color="auto"/>
                    <w:right w:val="single" w:sz="4" w:space="0" w:color="auto"/>
                  </w:tcBorders>
                  <w:shd w:val="clear" w:color="000000" w:fill="99CCFF"/>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Asthma control</w:t>
                  </w:r>
                </w:p>
              </w:tc>
              <w:tc>
                <w:tcPr>
                  <w:tcW w:w="2894" w:type="dxa"/>
                  <w:tcBorders>
                    <w:top w:val="nil"/>
                    <w:left w:val="nil"/>
                    <w:bottom w:val="single" w:sz="4" w:space="0" w:color="auto"/>
                    <w:right w:val="single" w:sz="4" w:space="0" w:color="auto"/>
                  </w:tcBorders>
                  <w:shd w:val="clear" w:color="000000" w:fill="99CCFF"/>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Medication (inhaled ipratropium bromide, rapid-acting bronchodilators, inhaled corticosteroid)</w:t>
                  </w:r>
                </w:p>
              </w:tc>
              <w:tc>
                <w:tcPr>
                  <w:tcW w:w="909" w:type="dxa"/>
                  <w:tcBorders>
                    <w:top w:val="nil"/>
                    <w:left w:val="nil"/>
                    <w:bottom w:val="single" w:sz="4" w:space="0" w:color="auto"/>
                    <w:right w:val="single" w:sz="4" w:space="0" w:color="auto"/>
                  </w:tcBorders>
                  <w:shd w:val="clear" w:color="000000" w:fill="FFFF00"/>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18</w:t>
                  </w:r>
                </w:p>
              </w:tc>
              <w:tc>
                <w:tcPr>
                  <w:tcW w:w="891" w:type="dxa"/>
                  <w:tcBorders>
                    <w:top w:val="nil"/>
                    <w:left w:val="nil"/>
                    <w:bottom w:val="single" w:sz="4" w:space="0" w:color="auto"/>
                    <w:right w:val="single" w:sz="4" w:space="0" w:color="auto"/>
                  </w:tcBorders>
                  <w:shd w:val="clear" w:color="000000" w:fill="EBF1DE"/>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21</w:t>
                  </w:r>
                </w:p>
              </w:tc>
              <w:tc>
                <w:tcPr>
                  <w:tcW w:w="1802" w:type="dxa"/>
                  <w:tcBorders>
                    <w:top w:val="nil"/>
                    <w:left w:val="nil"/>
                    <w:bottom w:val="single" w:sz="4" w:space="0" w:color="auto"/>
                    <w:right w:val="single" w:sz="4" w:space="0" w:color="auto"/>
                  </w:tcBorders>
                  <w:shd w:val="clear" w:color="000000" w:fill="C5D9F1"/>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18</w:t>
                  </w:r>
                </w:p>
              </w:tc>
            </w:tr>
            <w:tr w:rsidR="005C0488" w:rsidRPr="00E42063" w:rsidTr="00BC2CDC">
              <w:trPr>
                <w:trHeight w:val="450"/>
              </w:trPr>
              <w:tc>
                <w:tcPr>
                  <w:tcW w:w="2146" w:type="dxa"/>
                  <w:tcBorders>
                    <w:top w:val="nil"/>
                    <w:left w:val="single" w:sz="4" w:space="0" w:color="auto"/>
                    <w:bottom w:val="single" w:sz="4" w:space="0" w:color="auto"/>
                    <w:right w:val="single" w:sz="4" w:space="0" w:color="auto"/>
                  </w:tcBorders>
                  <w:shd w:val="clear" w:color="000000" w:fill="99CCFF"/>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Chronic obstructive pulmonary disease (COPD) - Stage 1-2</w:t>
                  </w:r>
                </w:p>
              </w:tc>
              <w:tc>
                <w:tcPr>
                  <w:tcW w:w="2894" w:type="dxa"/>
                  <w:tcBorders>
                    <w:top w:val="nil"/>
                    <w:left w:val="nil"/>
                    <w:bottom w:val="single" w:sz="4" w:space="0" w:color="auto"/>
                    <w:right w:val="single" w:sz="4" w:space="0" w:color="auto"/>
                  </w:tcBorders>
                  <w:shd w:val="clear" w:color="000000" w:fill="99CCFF"/>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Medication (inhaled ipratropium bromide, rapid-acting bronchodilators, inhaled corticosteroid)</w:t>
                  </w:r>
                </w:p>
              </w:tc>
              <w:tc>
                <w:tcPr>
                  <w:tcW w:w="909" w:type="dxa"/>
                  <w:tcBorders>
                    <w:top w:val="nil"/>
                    <w:left w:val="nil"/>
                    <w:bottom w:val="single" w:sz="4" w:space="0" w:color="auto"/>
                    <w:right w:val="single" w:sz="4" w:space="0" w:color="auto"/>
                  </w:tcBorders>
                  <w:shd w:val="clear" w:color="000000" w:fill="FFFF00"/>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18</w:t>
                  </w:r>
                </w:p>
              </w:tc>
              <w:tc>
                <w:tcPr>
                  <w:tcW w:w="891" w:type="dxa"/>
                  <w:tcBorders>
                    <w:top w:val="nil"/>
                    <w:left w:val="nil"/>
                    <w:bottom w:val="single" w:sz="4" w:space="0" w:color="auto"/>
                    <w:right w:val="single" w:sz="4" w:space="0" w:color="auto"/>
                  </w:tcBorders>
                  <w:shd w:val="clear" w:color="000000" w:fill="EBF1DE"/>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21</w:t>
                  </w:r>
                </w:p>
              </w:tc>
              <w:tc>
                <w:tcPr>
                  <w:tcW w:w="1802" w:type="dxa"/>
                  <w:tcBorders>
                    <w:top w:val="nil"/>
                    <w:left w:val="nil"/>
                    <w:bottom w:val="single" w:sz="4" w:space="0" w:color="auto"/>
                    <w:right w:val="single" w:sz="4" w:space="0" w:color="auto"/>
                  </w:tcBorders>
                  <w:shd w:val="clear" w:color="000000" w:fill="C5D9F1"/>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18</w:t>
                  </w:r>
                </w:p>
              </w:tc>
            </w:tr>
            <w:tr w:rsidR="005C0488" w:rsidRPr="00E42063" w:rsidTr="00BC2CDC">
              <w:trPr>
                <w:trHeight w:val="450"/>
              </w:trPr>
              <w:tc>
                <w:tcPr>
                  <w:tcW w:w="2146" w:type="dxa"/>
                  <w:tcBorders>
                    <w:top w:val="nil"/>
                    <w:left w:val="single" w:sz="4" w:space="0" w:color="auto"/>
                    <w:bottom w:val="single" w:sz="4" w:space="0" w:color="auto"/>
                    <w:right w:val="single" w:sz="4" w:space="0" w:color="auto"/>
                  </w:tcBorders>
                  <w:shd w:val="clear" w:color="000000" w:fill="CC99FF"/>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Diabetes mellitus type 2</w:t>
                  </w:r>
                </w:p>
              </w:tc>
              <w:tc>
                <w:tcPr>
                  <w:tcW w:w="2894" w:type="dxa"/>
                  <w:tcBorders>
                    <w:top w:val="nil"/>
                    <w:left w:val="nil"/>
                    <w:bottom w:val="single" w:sz="4" w:space="0" w:color="auto"/>
                    <w:right w:val="single" w:sz="4" w:space="0" w:color="auto"/>
                  </w:tcBorders>
                  <w:shd w:val="clear" w:color="000000" w:fill="CC99FF"/>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Glucose control (insulin, oral glucose-lowering agents)</w:t>
                  </w:r>
                </w:p>
              </w:tc>
              <w:tc>
                <w:tcPr>
                  <w:tcW w:w="909" w:type="dxa"/>
                  <w:tcBorders>
                    <w:top w:val="nil"/>
                    <w:left w:val="nil"/>
                    <w:bottom w:val="single" w:sz="4" w:space="0" w:color="auto"/>
                    <w:right w:val="single" w:sz="4" w:space="0" w:color="auto"/>
                  </w:tcBorders>
                  <w:shd w:val="clear" w:color="000000" w:fill="FFFF00"/>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18</w:t>
                  </w:r>
                </w:p>
              </w:tc>
              <w:tc>
                <w:tcPr>
                  <w:tcW w:w="891" w:type="dxa"/>
                  <w:tcBorders>
                    <w:top w:val="nil"/>
                    <w:left w:val="nil"/>
                    <w:bottom w:val="single" w:sz="4" w:space="0" w:color="auto"/>
                    <w:right w:val="single" w:sz="4" w:space="0" w:color="auto"/>
                  </w:tcBorders>
                  <w:shd w:val="clear" w:color="000000" w:fill="EBF1DE"/>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21</w:t>
                  </w:r>
                </w:p>
              </w:tc>
              <w:tc>
                <w:tcPr>
                  <w:tcW w:w="1802" w:type="dxa"/>
                  <w:tcBorders>
                    <w:top w:val="nil"/>
                    <w:left w:val="nil"/>
                    <w:bottom w:val="single" w:sz="4" w:space="0" w:color="auto"/>
                    <w:right w:val="single" w:sz="4" w:space="0" w:color="auto"/>
                  </w:tcBorders>
                  <w:shd w:val="clear" w:color="000000" w:fill="C5D9F1"/>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18</w:t>
                  </w:r>
                </w:p>
              </w:tc>
            </w:tr>
            <w:tr w:rsidR="005C0488" w:rsidRPr="00E42063" w:rsidTr="00BC2CDC">
              <w:trPr>
                <w:trHeight w:val="450"/>
              </w:trPr>
              <w:tc>
                <w:tcPr>
                  <w:tcW w:w="2146" w:type="dxa"/>
                  <w:tcBorders>
                    <w:top w:val="nil"/>
                    <w:left w:val="single" w:sz="4" w:space="0" w:color="auto"/>
                    <w:bottom w:val="single" w:sz="4" w:space="0" w:color="auto"/>
                    <w:right w:val="single" w:sz="4" w:space="0" w:color="auto"/>
                  </w:tcBorders>
                  <w:shd w:val="clear" w:color="000000" w:fill="FFFF99"/>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Unhealthy diet</w:t>
                  </w:r>
                </w:p>
              </w:tc>
              <w:tc>
                <w:tcPr>
                  <w:tcW w:w="2894" w:type="dxa"/>
                  <w:tcBorders>
                    <w:top w:val="nil"/>
                    <w:left w:val="nil"/>
                    <w:bottom w:val="single" w:sz="4" w:space="0" w:color="auto"/>
                    <w:right w:val="single" w:sz="4" w:space="0" w:color="auto"/>
                  </w:tcBorders>
                  <w:shd w:val="clear" w:color="000000" w:fill="FFFF99"/>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 xml:space="preserve">Promote healthy eating in school </w:t>
                  </w:r>
                </w:p>
              </w:tc>
              <w:tc>
                <w:tcPr>
                  <w:tcW w:w="909" w:type="dxa"/>
                  <w:tcBorders>
                    <w:top w:val="nil"/>
                    <w:left w:val="nil"/>
                    <w:bottom w:val="single" w:sz="4" w:space="0" w:color="auto"/>
                    <w:right w:val="single" w:sz="4" w:space="0" w:color="auto"/>
                  </w:tcBorders>
                  <w:shd w:val="clear" w:color="000000" w:fill="FFFF00"/>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28</w:t>
                  </w:r>
                </w:p>
              </w:tc>
              <w:tc>
                <w:tcPr>
                  <w:tcW w:w="891" w:type="dxa"/>
                  <w:tcBorders>
                    <w:top w:val="nil"/>
                    <w:left w:val="nil"/>
                    <w:bottom w:val="single" w:sz="4" w:space="0" w:color="auto"/>
                    <w:right w:val="single" w:sz="4" w:space="0" w:color="auto"/>
                  </w:tcBorders>
                  <w:shd w:val="clear" w:color="000000" w:fill="EBF1DE"/>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21</w:t>
                  </w:r>
                </w:p>
              </w:tc>
              <w:tc>
                <w:tcPr>
                  <w:tcW w:w="1802" w:type="dxa"/>
                  <w:tcBorders>
                    <w:top w:val="nil"/>
                    <w:left w:val="nil"/>
                    <w:bottom w:val="single" w:sz="4" w:space="0" w:color="auto"/>
                    <w:right w:val="single" w:sz="4" w:space="0" w:color="auto"/>
                  </w:tcBorders>
                  <w:shd w:val="clear" w:color="000000" w:fill="C5D9F1"/>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28</w:t>
                  </w:r>
                </w:p>
              </w:tc>
            </w:tr>
            <w:tr w:rsidR="005C0488" w:rsidRPr="00E42063" w:rsidTr="00BC2CDC">
              <w:trPr>
                <w:trHeight w:val="300"/>
              </w:trPr>
              <w:tc>
                <w:tcPr>
                  <w:tcW w:w="2146" w:type="dxa"/>
                  <w:tcBorders>
                    <w:top w:val="nil"/>
                    <w:left w:val="single" w:sz="4" w:space="0" w:color="auto"/>
                    <w:bottom w:val="single" w:sz="4" w:space="0" w:color="auto"/>
                    <w:right w:val="single" w:sz="4" w:space="0" w:color="auto"/>
                  </w:tcBorders>
                  <w:shd w:val="clear" w:color="000000" w:fill="FFFF99"/>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Physical Inactivity</w:t>
                  </w:r>
                </w:p>
              </w:tc>
              <w:tc>
                <w:tcPr>
                  <w:tcW w:w="2894" w:type="dxa"/>
                  <w:tcBorders>
                    <w:top w:val="nil"/>
                    <w:left w:val="nil"/>
                    <w:bottom w:val="single" w:sz="4" w:space="0" w:color="auto"/>
                    <w:right w:val="single" w:sz="4" w:space="0" w:color="auto"/>
                  </w:tcBorders>
                  <w:shd w:val="clear" w:color="000000" w:fill="FFFF99"/>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Promote physical activity in schools</w:t>
                  </w:r>
                </w:p>
              </w:tc>
              <w:tc>
                <w:tcPr>
                  <w:tcW w:w="909" w:type="dxa"/>
                  <w:tcBorders>
                    <w:top w:val="nil"/>
                    <w:left w:val="nil"/>
                    <w:bottom w:val="single" w:sz="4" w:space="0" w:color="auto"/>
                    <w:right w:val="single" w:sz="4" w:space="0" w:color="auto"/>
                  </w:tcBorders>
                  <w:shd w:val="clear" w:color="000000" w:fill="FFFF00"/>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28</w:t>
                  </w:r>
                </w:p>
              </w:tc>
              <w:tc>
                <w:tcPr>
                  <w:tcW w:w="891" w:type="dxa"/>
                  <w:tcBorders>
                    <w:top w:val="nil"/>
                    <w:left w:val="nil"/>
                    <w:bottom w:val="single" w:sz="4" w:space="0" w:color="auto"/>
                    <w:right w:val="single" w:sz="4" w:space="0" w:color="auto"/>
                  </w:tcBorders>
                  <w:shd w:val="clear" w:color="000000" w:fill="EBF1DE"/>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21</w:t>
                  </w:r>
                </w:p>
              </w:tc>
              <w:tc>
                <w:tcPr>
                  <w:tcW w:w="1802" w:type="dxa"/>
                  <w:tcBorders>
                    <w:top w:val="nil"/>
                    <w:left w:val="nil"/>
                    <w:bottom w:val="single" w:sz="4" w:space="0" w:color="auto"/>
                    <w:right w:val="single" w:sz="4" w:space="0" w:color="auto"/>
                  </w:tcBorders>
                  <w:shd w:val="clear" w:color="000000" w:fill="C5D9F1"/>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29</w:t>
                  </w:r>
                </w:p>
              </w:tc>
            </w:tr>
            <w:tr w:rsidR="005C0488" w:rsidRPr="00E42063" w:rsidTr="00BC2CDC">
              <w:trPr>
                <w:trHeight w:val="300"/>
              </w:trPr>
              <w:tc>
                <w:tcPr>
                  <w:tcW w:w="2146" w:type="dxa"/>
                  <w:tcBorders>
                    <w:top w:val="nil"/>
                    <w:left w:val="single" w:sz="4" w:space="0" w:color="auto"/>
                    <w:bottom w:val="single" w:sz="4" w:space="0" w:color="auto"/>
                    <w:right w:val="single" w:sz="4" w:space="0" w:color="auto"/>
                  </w:tcBorders>
                  <w:shd w:val="clear" w:color="000000" w:fill="FFFF99"/>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lastRenderedPageBreak/>
                    <w:t>Unhealthy diet</w:t>
                  </w:r>
                </w:p>
              </w:tc>
              <w:tc>
                <w:tcPr>
                  <w:tcW w:w="2894" w:type="dxa"/>
                  <w:tcBorders>
                    <w:top w:val="nil"/>
                    <w:left w:val="nil"/>
                    <w:bottom w:val="single" w:sz="4" w:space="0" w:color="auto"/>
                    <w:right w:val="single" w:sz="4" w:space="0" w:color="auto"/>
                  </w:tcBorders>
                  <w:shd w:val="clear" w:color="000000" w:fill="FFFF99"/>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Provide health education in worksites</w:t>
                  </w:r>
                </w:p>
              </w:tc>
              <w:tc>
                <w:tcPr>
                  <w:tcW w:w="909" w:type="dxa"/>
                  <w:tcBorders>
                    <w:top w:val="nil"/>
                    <w:left w:val="nil"/>
                    <w:bottom w:val="single" w:sz="4" w:space="0" w:color="auto"/>
                    <w:right w:val="single" w:sz="4" w:space="0" w:color="auto"/>
                  </w:tcBorders>
                  <w:shd w:val="clear" w:color="000000" w:fill="FFFF00"/>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30</w:t>
                  </w:r>
                </w:p>
              </w:tc>
              <w:tc>
                <w:tcPr>
                  <w:tcW w:w="891" w:type="dxa"/>
                  <w:tcBorders>
                    <w:top w:val="nil"/>
                    <w:left w:val="nil"/>
                    <w:bottom w:val="single" w:sz="4" w:space="0" w:color="auto"/>
                    <w:right w:val="single" w:sz="4" w:space="0" w:color="auto"/>
                  </w:tcBorders>
                  <w:shd w:val="clear" w:color="000000" w:fill="EBF1DE"/>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21</w:t>
                  </w:r>
                </w:p>
              </w:tc>
              <w:tc>
                <w:tcPr>
                  <w:tcW w:w="1802" w:type="dxa"/>
                  <w:tcBorders>
                    <w:top w:val="nil"/>
                    <w:left w:val="nil"/>
                    <w:bottom w:val="single" w:sz="4" w:space="0" w:color="auto"/>
                    <w:right w:val="single" w:sz="4" w:space="0" w:color="auto"/>
                  </w:tcBorders>
                  <w:shd w:val="clear" w:color="000000" w:fill="C5D9F1"/>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29</w:t>
                  </w:r>
                </w:p>
              </w:tc>
            </w:tr>
            <w:tr w:rsidR="005C0488" w:rsidRPr="00E42063" w:rsidTr="00BC2CDC">
              <w:trPr>
                <w:trHeight w:val="300"/>
              </w:trPr>
              <w:tc>
                <w:tcPr>
                  <w:tcW w:w="2146" w:type="dxa"/>
                  <w:tcBorders>
                    <w:top w:val="nil"/>
                    <w:left w:val="single" w:sz="4" w:space="0" w:color="auto"/>
                    <w:bottom w:val="single" w:sz="4" w:space="0" w:color="auto"/>
                    <w:right w:val="single" w:sz="4" w:space="0" w:color="auto"/>
                  </w:tcBorders>
                  <w:shd w:val="clear" w:color="000000" w:fill="FFCC99"/>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 xml:space="preserve">MN of larynx and trachea, bronchus, lung </w:t>
                  </w:r>
                </w:p>
              </w:tc>
              <w:tc>
                <w:tcPr>
                  <w:tcW w:w="2894" w:type="dxa"/>
                  <w:tcBorders>
                    <w:top w:val="nil"/>
                    <w:left w:val="nil"/>
                    <w:bottom w:val="single" w:sz="4" w:space="0" w:color="auto"/>
                    <w:right w:val="single" w:sz="4" w:space="0" w:color="auto"/>
                  </w:tcBorders>
                  <w:shd w:val="clear" w:color="000000" w:fill="FFCC99"/>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Surgery with/without adjuvant treatment (a)</w:t>
                  </w:r>
                </w:p>
              </w:tc>
              <w:tc>
                <w:tcPr>
                  <w:tcW w:w="909" w:type="dxa"/>
                  <w:tcBorders>
                    <w:top w:val="nil"/>
                    <w:left w:val="nil"/>
                    <w:bottom w:val="single" w:sz="4" w:space="0" w:color="auto"/>
                    <w:right w:val="single" w:sz="4" w:space="0" w:color="auto"/>
                  </w:tcBorders>
                  <w:shd w:val="clear" w:color="000000" w:fill="FFFF00"/>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31</w:t>
                  </w:r>
                </w:p>
              </w:tc>
              <w:tc>
                <w:tcPr>
                  <w:tcW w:w="891" w:type="dxa"/>
                  <w:tcBorders>
                    <w:top w:val="nil"/>
                    <w:left w:val="nil"/>
                    <w:bottom w:val="single" w:sz="4" w:space="0" w:color="auto"/>
                    <w:right w:val="single" w:sz="4" w:space="0" w:color="auto"/>
                  </w:tcBorders>
                  <w:shd w:val="clear" w:color="000000" w:fill="EBF1DE"/>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31</w:t>
                  </w:r>
                </w:p>
              </w:tc>
              <w:tc>
                <w:tcPr>
                  <w:tcW w:w="1802" w:type="dxa"/>
                  <w:tcBorders>
                    <w:top w:val="nil"/>
                    <w:left w:val="nil"/>
                    <w:bottom w:val="single" w:sz="4" w:space="0" w:color="auto"/>
                    <w:right w:val="single" w:sz="4" w:space="0" w:color="auto"/>
                  </w:tcBorders>
                  <w:shd w:val="clear" w:color="000000" w:fill="C5D9F1"/>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31</w:t>
                  </w:r>
                </w:p>
              </w:tc>
            </w:tr>
            <w:tr w:rsidR="005C0488" w:rsidRPr="00E42063" w:rsidTr="00BC2CDC">
              <w:trPr>
                <w:trHeight w:val="450"/>
              </w:trPr>
              <w:tc>
                <w:tcPr>
                  <w:tcW w:w="2146" w:type="dxa"/>
                  <w:tcBorders>
                    <w:top w:val="nil"/>
                    <w:left w:val="single" w:sz="4" w:space="0" w:color="auto"/>
                    <w:bottom w:val="single" w:sz="4" w:space="0" w:color="auto"/>
                    <w:right w:val="single" w:sz="4" w:space="0" w:color="auto"/>
                  </w:tcBorders>
                  <w:shd w:val="clear" w:color="000000" w:fill="99CCFF"/>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Chronic obstructive pulmonary disease (COPD) - Stage 3-4</w:t>
                  </w:r>
                </w:p>
              </w:tc>
              <w:tc>
                <w:tcPr>
                  <w:tcW w:w="2894" w:type="dxa"/>
                  <w:tcBorders>
                    <w:top w:val="nil"/>
                    <w:left w:val="nil"/>
                    <w:bottom w:val="single" w:sz="4" w:space="0" w:color="auto"/>
                    <w:right w:val="single" w:sz="4" w:space="0" w:color="auto"/>
                  </w:tcBorders>
                  <w:shd w:val="clear" w:color="000000" w:fill="99CCFF"/>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Home oxygen therapy</w:t>
                  </w:r>
                </w:p>
              </w:tc>
              <w:tc>
                <w:tcPr>
                  <w:tcW w:w="909" w:type="dxa"/>
                  <w:tcBorders>
                    <w:top w:val="nil"/>
                    <w:left w:val="nil"/>
                    <w:bottom w:val="single" w:sz="4" w:space="0" w:color="auto"/>
                    <w:right w:val="single" w:sz="4" w:space="0" w:color="auto"/>
                  </w:tcBorders>
                  <w:shd w:val="clear" w:color="000000" w:fill="FFFF00"/>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31</w:t>
                  </w:r>
                </w:p>
              </w:tc>
              <w:tc>
                <w:tcPr>
                  <w:tcW w:w="891" w:type="dxa"/>
                  <w:tcBorders>
                    <w:top w:val="nil"/>
                    <w:left w:val="nil"/>
                    <w:bottom w:val="single" w:sz="4" w:space="0" w:color="auto"/>
                    <w:right w:val="single" w:sz="4" w:space="0" w:color="auto"/>
                  </w:tcBorders>
                  <w:shd w:val="clear" w:color="000000" w:fill="EBF1DE"/>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32</w:t>
                  </w:r>
                </w:p>
              </w:tc>
              <w:tc>
                <w:tcPr>
                  <w:tcW w:w="1802" w:type="dxa"/>
                  <w:tcBorders>
                    <w:top w:val="nil"/>
                    <w:left w:val="nil"/>
                    <w:bottom w:val="single" w:sz="4" w:space="0" w:color="auto"/>
                    <w:right w:val="single" w:sz="4" w:space="0" w:color="auto"/>
                  </w:tcBorders>
                  <w:shd w:val="clear" w:color="000000" w:fill="C5D9F1"/>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32</w:t>
                  </w:r>
                </w:p>
              </w:tc>
            </w:tr>
            <w:tr w:rsidR="005C0488" w:rsidRPr="00E42063" w:rsidTr="00BC2CDC">
              <w:trPr>
                <w:trHeight w:val="300"/>
              </w:trPr>
              <w:tc>
                <w:tcPr>
                  <w:tcW w:w="2146" w:type="dxa"/>
                  <w:tcBorders>
                    <w:top w:val="nil"/>
                    <w:left w:val="single" w:sz="4" w:space="0" w:color="auto"/>
                    <w:bottom w:val="single" w:sz="4" w:space="0" w:color="auto"/>
                    <w:right w:val="single" w:sz="4" w:space="0" w:color="auto"/>
                  </w:tcBorders>
                  <w:shd w:val="clear" w:color="000000" w:fill="CCFFCC"/>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Congestive Heart Failure (CHF)</w:t>
                  </w:r>
                </w:p>
              </w:tc>
              <w:tc>
                <w:tcPr>
                  <w:tcW w:w="2894" w:type="dxa"/>
                  <w:tcBorders>
                    <w:top w:val="nil"/>
                    <w:left w:val="nil"/>
                    <w:bottom w:val="single" w:sz="4" w:space="0" w:color="auto"/>
                    <w:right w:val="single" w:sz="4" w:space="0" w:color="auto"/>
                  </w:tcBorders>
                  <w:shd w:val="clear" w:color="000000" w:fill="CCFFCC"/>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Surgery (Coronary artery bypass graft)</w:t>
                  </w:r>
                </w:p>
              </w:tc>
              <w:tc>
                <w:tcPr>
                  <w:tcW w:w="909" w:type="dxa"/>
                  <w:tcBorders>
                    <w:top w:val="nil"/>
                    <w:left w:val="nil"/>
                    <w:bottom w:val="single" w:sz="4" w:space="0" w:color="auto"/>
                    <w:right w:val="single" w:sz="4" w:space="0" w:color="auto"/>
                  </w:tcBorders>
                  <w:shd w:val="clear" w:color="000000" w:fill="FFFF00"/>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33</w:t>
                  </w:r>
                </w:p>
              </w:tc>
              <w:tc>
                <w:tcPr>
                  <w:tcW w:w="891" w:type="dxa"/>
                  <w:tcBorders>
                    <w:top w:val="nil"/>
                    <w:left w:val="nil"/>
                    <w:bottom w:val="single" w:sz="4" w:space="0" w:color="auto"/>
                    <w:right w:val="single" w:sz="4" w:space="0" w:color="auto"/>
                  </w:tcBorders>
                  <w:shd w:val="clear" w:color="000000" w:fill="EBF1DE"/>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32</w:t>
                  </w:r>
                </w:p>
              </w:tc>
              <w:tc>
                <w:tcPr>
                  <w:tcW w:w="1802" w:type="dxa"/>
                  <w:tcBorders>
                    <w:top w:val="nil"/>
                    <w:left w:val="nil"/>
                    <w:bottom w:val="single" w:sz="4" w:space="0" w:color="auto"/>
                    <w:right w:val="single" w:sz="4" w:space="0" w:color="auto"/>
                  </w:tcBorders>
                  <w:shd w:val="clear" w:color="000000" w:fill="C5D9F1"/>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32</w:t>
                  </w:r>
                </w:p>
              </w:tc>
            </w:tr>
            <w:tr w:rsidR="005C0488" w:rsidRPr="00E42063" w:rsidTr="00BC2CDC">
              <w:trPr>
                <w:trHeight w:val="300"/>
              </w:trPr>
              <w:tc>
                <w:tcPr>
                  <w:tcW w:w="2146" w:type="dxa"/>
                  <w:tcBorders>
                    <w:top w:val="nil"/>
                    <w:left w:val="single" w:sz="4" w:space="0" w:color="auto"/>
                    <w:bottom w:val="single" w:sz="4" w:space="0" w:color="auto"/>
                    <w:right w:val="single" w:sz="4" w:space="0" w:color="auto"/>
                  </w:tcBorders>
                  <w:shd w:val="clear" w:color="000000" w:fill="FFFF99"/>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Tobacco use</w:t>
                  </w:r>
                </w:p>
              </w:tc>
              <w:tc>
                <w:tcPr>
                  <w:tcW w:w="2894" w:type="dxa"/>
                  <w:tcBorders>
                    <w:top w:val="nil"/>
                    <w:left w:val="nil"/>
                    <w:bottom w:val="single" w:sz="4" w:space="0" w:color="auto"/>
                    <w:right w:val="single" w:sz="4" w:space="0" w:color="auto"/>
                  </w:tcBorders>
                  <w:shd w:val="clear" w:color="000000" w:fill="FFFF99"/>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Raise tax on tobacco</w:t>
                  </w:r>
                </w:p>
              </w:tc>
              <w:tc>
                <w:tcPr>
                  <w:tcW w:w="909" w:type="dxa"/>
                  <w:tcBorders>
                    <w:top w:val="nil"/>
                    <w:left w:val="nil"/>
                    <w:bottom w:val="single" w:sz="4" w:space="0" w:color="auto"/>
                    <w:right w:val="single" w:sz="4" w:space="0" w:color="auto"/>
                  </w:tcBorders>
                  <w:shd w:val="clear" w:color="000000" w:fill="FFFF00"/>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34</w:t>
                  </w:r>
                </w:p>
              </w:tc>
              <w:tc>
                <w:tcPr>
                  <w:tcW w:w="891" w:type="dxa"/>
                  <w:tcBorders>
                    <w:top w:val="nil"/>
                    <w:left w:val="nil"/>
                    <w:bottom w:val="single" w:sz="4" w:space="0" w:color="auto"/>
                    <w:right w:val="single" w:sz="4" w:space="0" w:color="auto"/>
                  </w:tcBorders>
                  <w:shd w:val="clear" w:color="000000" w:fill="EBF1DE"/>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34</w:t>
                  </w:r>
                </w:p>
              </w:tc>
              <w:tc>
                <w:tcPr>
                  <w:tcW w:w="1802" w:type="dxa"/>
                  <w:tcBorders>
                    <w:top w:val="nil"/>
                    <w:left w:val="nil"/>
                    <w:bottom w:val="single" w:sz="4" w:space="0" w:color="auto"/>
                    <w:right w:val="single" w:sz="4" w:space="0" w:color="auto"/>
                  </w:tcBorders>
                  <w:shd w:val="clear" w:color="000000" w:fill="C5D9F1"/>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34</w:t>
                  </w:r>
                </w:p>
              </w:tc>
            </w:tr>
            <w:tr w:rsidR="005C0488" w:rsidRPr="00E42063" w:rsidTr="00BC2CDC">
              <w:trPr>
                <w:trHeight w:val="450"/>
              </w:trPr>
              <w:tc>
                <w:tcPr>
                  <w:tcW w:w="2146" w:type="dxa"/>
                  <w:tcBorders>
                    <w:top w:val="nil"/>
                    <w:left w:val="single" w:sz="4" w:space="0" w:color="auto"/>
                    <w:bottom w:val="single" w:sz="4" w:space="0" w:color="auto"/>
                    <w:right w:val="single" w:sz="4" w:space="0" w:color="auto"/>
                  </w:tcBorders>
                  <w:shd w:val="clear" w:color="000000" w:fill="FFFF99"/>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Tobacco use</w:t>
                  </w:r>
                </w:p>
              </w:tc>
              <w:tc>
                <w:tcPr>
                  <w:tcW w:w="2894" w:type="dxa"/>
                  <w:tcBorders>
                    <w:top w:val="nil"/>
                    <w:left w:val="nil"/>
                    <w:bottom w:val="single" w:sz="4" w:space="0" w:color="auto"/>
                    <w:right w:val="single" w:sz="4" w:space="0" w:color="auto"/>
                  </w:tcBorders>
                  <w:shd w:val="clear" w:color="000000" w:fill="FFFF99"/>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Enforce bans on tobacco advertising</w:t>
                  </w:r>
                </w:p>
              </w:tc>
              <w:tc>
                <w:tcPr>
                  <w:tcW w:w="909" w:type="dxa"/>
                  <w:tcBorders>
                    <w:top w:val="nil"/>
                    <w:left w:val="nil"/>
                    <w:bottom w:val="single" w:sz="4" w:space="0" w:color="auto"/>
                    <w:right w:val="single" w:sz="4" w:space="0" w:color="auto"/>
                  </w:tcBorders>
                  <w:shd w:val="clear" w:color="000000" w:fill="FFFF00"/>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34</w:t>
                  </w:r>
                </w:p>
              </w:tc>
              <w:tc>
                <w:tcPr>
                  <w:tcW w:w="891" w:type="dxa"/>
                  <w:tcBorders>
                    <w:top w:val="nil"/>
                    <w:left w:val="nil"/>
                    <w:bottom w:val="single" w:sz="4" w:space="0" w:color="auto"/>
                    <w:right w:val="single" w:sz="4" w:space="0" w:color="auto"/>
                  </w:tcBorders>
                  <w:shd w:val="clear" w:color="000000" w:fill="EBF1DE"/>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34</w:t>
                  </w:r>
                </w:p>
              </w:tc>
              <w:tc>
                <w:tcPr>
                  <w:tcW w:w="1802" w:type="dxa"/>
                  <w:tcBorders>
                    <w:top w:val="nil"/>
                    <w:left w:val="nil"/>
                    <w:bottom w:val="single" w:sz="4" w:space="0" w:color="auto"/>
                    <w:right w:val="single" w:sz="4" w:space="0" w:color="auto"/>
                  </w:tcBorders>
                  <w:shd w:val="clear" w:color="000000" w:fill="C5D9F1"/>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35</w:t>
                  </w:r>
                </w:p>
              </w:tc>
            </w:tr>
            <w:tr w:rsidR="005C0488" w:rsidRPr="00E42063" w:rsidTr="00BC2CDC">
              <w:trPr>
                <w:trHeight w:val="450"/>
              </w:trPr>
              <w:tc>
                <w:tcPr>
                  <w:tcW w:w="2146" w:type="dxa"/>
                  <w:tcBorders>
                    <w:top w:val="nil"/>
                    <w:left w:val="single" w:sz="4" w:space="0" w:color="auto"/>
                    <w:bottom w:val="single" w:sz="4" w:space="0" w:color="auto"/>
                    <w:right w:val="single" w:sz="4" w:space="0" w:color="auto"/>
                  </w:tcBorders>
                  <w:shd w:val="clear" w:color="000000" w:fill="FFFF99"/>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Tobacco use</w:t>
                  </w:r>
                </w:p>
              </w:tc>
              <w:tc>
                <w:tcPr>
                  <w:tcW w:w="2894" w:type="dxa"/>
                  <w:tcBorders>
                    <w:top w:val="nil"/>
                    <w:left w:val="nil"/>
                    <w:bottom w:val="single" w:sz="4" w:space="0" w:color="auto"/>
                    <w:right w:val="single" w:sz="4" w:space="0" w:color="auto"/>
                  </w:tcBorders>
                  <w:shd w:val="clear" w:color="000000" w:fill="FFFF99"/>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Enforce clean indoor air law</w:t>
                  </w:r>
                </w:p>
              </w:tc>
              <w:tc>
                <w:tcPr>
                  <w:tcW w:w="909" w:type="dxa"/>
                  <w:tcBorders>
                    <w:top w:val="nil"/>
                    <w:left w:val="nil"/>
                    <w:bottom w:val="single" w:sz="4" w:space="0" w:color="auto"/>
                    <w:right w:val="single" w:sz="4" w:space="0" w:color="auto"/>
                  </w:tcBorders>
                  <w:shd w:val="clear" w:color="000000" w:fill="FFFF00"/>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34</w:t>
                  </w:r>
                </w:p>
              </w:tc>
              <w:tc>
                <w:tcPr>
                  <w:tcW w:w="891" w:type="dxa"/>
                  <w:tcBorders>
                    <w:top w:val="nil"/>
                    <w:left w:val="nil"/>
                    <w:bottom w:val="single" w:sz="4" w:space="0" w:color="auto"/>
                    <w:right w:val="single" w:sz="4" w:space="0" w:color="auto"/>
                  </w:tcBorders>
                  <w:shd w:val="clear" w:color="000000" w:fill="EBF1DE"/>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34</w:t>
                  </w:r>
                </w:p>
              </w:tc>
              <w:tc>
                <w:tcPr>
                  <w:tcW w:w="1802" w:type="dxa"/>
                  <w:tcBorders>
                    <w:top w:val="nil"/>
                    <w:left w:val="nil"/>
                    <w:bottom w:val="single" w:sz="4" w:space="0" w:color="auto"/>
                    <w:right w:val="single" w:sz="4" w:space="0" w:color="auto"/>
                  </w:tcBorders>
                  <w:shd w:val="clear" w:color="000000" w:fill="C5D9F1"/>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36</w:t>
                  </w:r>
                </w:p>
              </w:tc>
            </w:tr>
            <w:tr w:rsidR="005C0488" w:rsidRPr="00E42063" w:rsidTr="00BC2CDC">
              <w:trPr>
                <w:trHeight w:val="450"/>
              </w:trPr>
              <w:tc>
                <w:tcPr>
                  <w:tcW w:w="2146" w:type="dxa"/>
                  <w:tcBorders>
                    <w:top w:val="nil"/>
                    <w:left w:val="single" w:sz="4" w:space="0" w:color="auto"/>
                    <w:bottom w:val="single" w:sz="4" w:space="0" w:color="auto"/>
                    <w:right w:val="single" w:sz="4" w:space="0" w:color="auto"/>
                  </w:tcBorders>
                  <w:shd w:val="clear" w:color="000000" w:fill="FFFF99"/>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 xml:space="preserve">Harmful alcohol use </w:t>
                  </w:r>
                </w:p>
              </w:tc>
              <w:tc>
                <w:tcPr>
                  <w:tcW w:w="2894" w:type="dxa"/>
                  <w:tcBorders>
                    <w:top w:val="nil"/>
                    <w:left w:val="nil"/>
                    <w:bottom w:val="single" w:sz="4" w:space="0" w:color="auto"/>
                    <w:right w:val="single" w:sz="4" w:space="0" w:color="auto"/>
                  </w:tcBorders>
                  <w:shd w:val="clear" w:color="000000" w:fill="FFFF99"/>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Raise tax on alcohol</w:t>
                  </w:r>
                </w:p>
              </w:tc>
              <w:tc>
                <w:tcPr>
                  <w:tcW w:w="909" w:type="dxa"/>
                  <w:tcBorders>
                    <w:top w:val="nil"/>
                    <w:left w:val="nil"/>
                    <w:bottom w:val="single" w:sz="4" w:space="0" w:color="auto"/>
                    <w:right w:val="single" w:sz="4" w:space="0" w:color="auto"/>
                  </w:tcBorders>
                  <w:shd w:val="clear" w:color="000000" w:fill="FFFF00"/>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34</w:t>
                  </w:r>
                </w:p>
              </w:tc>
              <w:tc>
                <w:tcPr>
                  <w:tcW w:w="891" w:type="dxa"/>
                  <w:tcBorders>
                    <w:top w:val="nil"/>
                    <w:left w:val="nil"/>
                    <w:bottom w:val="single" w:sz="4" w:space="0" w:color="auto"/>
                    <w:right w:val="single" w:sz="4" w:space="0" w:color="auto"/>
                  </w:tcBorders>
                  <w:shd w:val="clear" w:color="000000" w:fill="EBF1DE"/>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34</w:t>
                  </w:r>
                </w:p>
              </w:tc>
              <w:tc>
                <w:tcPr>
                  <w:tcW w:w="1802" w:type="dxa"/>
                  <w:tcBorders>
                    <w:top w:val="nil"/>
                    <w:left w:val="nil"/>
                    <w:bottom w:val="single" w:sz="4" w:space="0" w:color="auto"/>
                    <w:right w:val="single" w:sz="4" w:space="0" w:color="auto"/>
                  </w:tcBorders>
                  <w:shd w:val="clear" w:color="000000" w:fill="C5D9F1"/>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37</w:t>
                  </w:r>
                </w:p>
              </w:tc>
            </w:tr>
            <w:tr w:rsidR="005C0488" w:rsidRPr="00E42063" w:rsidTr="00BC2CDC">
              <w:trPr>
                <w:trHeight w:val="450"/>
              </w:trPr>
              <w:tc>
                <w:tcPr>
                  <w:tcW w:w="2146" w:type="dxa"/>
                  <w:tcBorders>
                    <w:top w:val="nil"/>
                    <w:left w:val="single" w:sz="4" w:space="0" w:color="auto"/>
                    <w:bottom w:val="single" w:sz="4" w:space="0" w:color="auto"/>
                    <w:right w:val="single" w:sz="4" w:space="0" w:color="auto"/>
                  </w:tcBorders>
                  <w:shd w:val="clear" w:color="000000" w:fill="FFFF99"/>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 xml:space="preserve">Harmful alcohol use </w:t>
                  </w:r>
                </w:p>
              </w:tc>
              <w:tc>
                <w:tcPr>
                  <w:tcW w:w="2894" w:type="dxa"/>
                  <w:tcBorders>
                    <w:top w:val="nil"/>
                    <w:left w:val="nil"/>
                    <w:bottom w:val="single" w:sz="4" w:space="0" w:color="auto"/>
                    <w:right w:val="single" w:sz="4" w:space="0" w:color="auto"/>
                  </w:tcBorders>
                  <w:shd w:val="clear" w:color="000000" w:fill="FFFF99"/>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Enforce bans on alcohol advertising</w:t>
                  </w:r>
                </w:p>
              </w:tc>
              <w:tc>
                <w:tcPr>
                  <w:tcW w:w="909" w:type="dxa"/>
                  <w:tcBorders>
                    <w:top w:val="nil"/>
                    <w:left w:val="nil"/>
                    <w:bottom w:val="single" w:sz="4" w:space="0" w:color="auto"/>
                    <w:right w:val="single" w:sz="4" w:space="0" w:color="auto"/>
                  </w:tcBorders>
                  <w:shd w:val="clear" w:color="000000" w:fill="FFFF00"/>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34</w:t>
                  </w:r>
                </w:p>
              </w:tc>
              <w:tc>
                <w:tcPr>
                  <w:tcW w:w="891" w:type="dxa"/>
                  <w:tcBorders>
                    <w:top w:val="nil"/>
                    <w:left w:val="nil"/>
                    <w:bottom w:val="single" w:sz="4" w:space="0" w:color="auto"/>
                    <w:right w:val="single" w:sz="4" w:space="0" w:color="auto"/>
                  </w:tcBorders>
                  <w:shd w:val="clear" w:color="000000" w:fill="EBF1DE"/>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34</w:t>
                  </w:r>
                </w:p>
              </w:tc>
              <w:tc>
                <w:tcPr>
                  <w:tcW w:w="1802" w:type="dxa"/>
                  <w:tcBorders>
                    <w:top w:val="nil"/>
                    <w:left w:val="nil"/>
                    <w:bottom w:val="single" w:sz="4" w:space="0" w:color="auto"/>
                    <w:right w:val="single" w:sz="4" w:space="0" w:color="auto"/>
                  </w:tcBorders>
                  <w:shd w:val="clear" w:color="000000" w:fill="C5D9F1"/>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37</w:t>
                  </w:r>
                </w:p>
              </w:tc>
            </w:tr>
            <w:tr w:rsidR="005C0488" w:rsidRPr="00E42063" w:rsidTr="00BC2CDC">
              <w:trPr>
                <w:trHeight w:val="450"/>
              </w:trPr>
              <w:tc>
                <w:tcPr>
                  <w:tcW w:w="2146" w:type="dxa"/>
                  <w:tcBorders>
                    <w:top w:val="nil"/>
                    <w:left w:val="single" w:sz="4" w:space="0" w:color="auto"/>
                    <w:bottom w:val="single" w:sz="4" w:space="0" w:color="auto"/>
                    <w:right w:val="single" w:sz="4" w:space="0" w:color="auto"/>
                  </w:tcBorders>
                  <w:shd w:val="clear" w:color="000000" w:fill="FFFF99"/>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Unhealthy diet</w:t>
                  </w:r>
                </w:p>
              </w:tc>
              <w:tc>
                <w:tcPr>
                  <w:tcW w:w="2894" w:type="dxa"/>
                  <w:tcBorders>
                    <w:top w:val="nil"/>
                    <w:left w:val="nil"/>
                    <w:bottom w:val="single" w:sz="4" w:space="0" w:color="auto"/>
                    <w:right w:val="single" w:sz="4" w:space="0" w:color="auto"/>
                  </w:tcBorders>
                  <w:shd w:val="clear" w:color="000000" w:fill="FFFF99"/>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Promote public awareness about diet</w:t>
                  </w:r>
                </w:p>
              </w:tc>
              <w:tc>
                <w:tcPr>
                  <w:tcW w:w="909" w:type="dxa"/>
                  <w:tcBorders>
                    <w:top w:val="nil"/>
                    <w:left w:val="nil"/>
                    <w:bottom w:val="single" w:sz="4" w:space="0" w:color="auto"/>
                    <w:right w:val="single" w:sz="4" w:space="0" w:color="auto"/>
                  </w:tcBorders>
                  <w:shd w:val="clear" w:color="000000" w:fill="FFFF00"/>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34</w:t>
                  </w:r>
                </w:p>
              </w:tc>
              <w:tc>
                <w:tcPr>
                  <w:tcW w:w="891" w:type="dxa"/>
                  <w:tcBorders>
                    <w:top w:val="nil"/>
                    <w:left w:val="nil"/>
                    <w:bottom w:val="single" w:sz="4" w:space="0" w:color="auto"/>
                    <w:right w:val="single" w:sz="4" w:space="0" w:color="auto"/>
                  </w:tcBorders>
                  <w:shd w:val="clear" w:color="000000" w:fill="EBF1DE"/>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34</w:t>
                  </w:r>
                </w:p>
              </w:tc>
              <w:tc>
                <w:tcPr>
                  <w:tcW w:w="1802" w:type="dxa"/>
                  <w:tcBorders>
                    <w:top w:val="nil"/>
                    <w:left w:val="nil"/>
                    <w:bottom w:val="single" w:sz="4" w:space="0" w:color="auto"/>
                    <w:right w:val="single" w:sz="4" w:space="0" w:color="auto"/>
                  </w:tcBorders>
                  <w:shd w:val="clear" w:color="000000" w:fill="C5D9F1"/>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37</w:t>
                  </w:r>
                </w:p>
              </w:tc>
            </w:tr>
            <w:tr w:rsidR="005C0488" w:rsidRPr="00E42063" w:rsidTr="00BC2CDC">
              <w:trPr>
                <w:trHeight w:val="450"/>
              </w:trPr>
              <w:tc>
                <w:tcPr>
                  <w:tcW w:w="2146" w:type="dxa"/>
                  <w:tcBorders>
                    <w:top w:val="nil"/>
                    <w:left w:val="single" w:sz="4" w:space="0" w:color="auto"/>
                    <w:bottom w:val="single" w:sz="4" w:space="0" w:color="auto"/>
                    <w:right w:val="single" w:sz="4" w:space="0" w:color="auto"/>
                  </w:tcBorders>
                  <w:shd w:val="clear" w:color="000000" w:fill="FFFF99"/>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Physical Inactivity</w:t>
                  </w:r>
                </w:p>
              </w:tc>
              <w:tc>
                <w:tcPr>
                  <w:tcW w:w="2894" w:type="dxa"/>
                  <w:tcBorders>
                    <w:top w:val="nil"/>
                    <w:left w:val="nil"/>
                    <w:bottom w:val="single" w:sz="4" w:space="0" w:color="auto"/>
                    <w:right w:val="single" w:sz="4" w:space="0" w:color="auto"/>
                  </w:tcBorders>
                  <w:shd w:val="clear" w:color="000000" w:fill="FFFF99"/>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Promote physical activity in mass media</w:t>
                  </w:r>
                </w:p>
              </w:tc>
              <w:tc>
                <w:tcPr>
                  <w:tcW w:w="909" w:type="dxa"/>
                  <w:tcBorders>
                    <w:top w:val="nil"/>
                    <w:left w:val="nil"/>
                    <w:bottom w:val="single" w:sz="4" w:space="0" w:color="auto"/>
                    <w:right w:val="single" w:sz="4" w:space="0" w:color="auto"/>
                  </w:tcBorders>
                  <w:shd w:val="clear" w:color="000000" w:fill="FFFF00"/>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34</w:t>
                  </w:r>
                </w:p>
              </w:tc>
              <w:tc>
                <w:tcPr>
                  <w:tcW w:w="891" w:type="dxa"/>
                  <w:tcBorders>
                    <w:top w:val="nil"/>
                    <w:left w:val="nil"/>
                    <w:bottom w:val="single" w:sz="4" w:space="0" w:color="auto"/>
                    <w:right w:val="single" w:sz="4" w:space="0" w:color="auto"/>
                  </w:tcBorders>
                  <w:shd w:val="clear" w:color="000000" w:fill="EBF1DE"/>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34</w:t>
                  </w:r>
                </w:p>
              </w:tc>
              <w:tc>
                <w:tcPr>
                  <w:tcW w:w="1802" w:type="dxa"/>
                  <w:tcBorders>
                    <w:top w:val="nil"/>
                    <w:left w:val="nil"/>
                    <w:bottom w:val="single" w:sz="4" w:space="0" w:color="auto"/>
                    <w:right w:val="single" w:sz="4" w:space="0" w:color="auto"/>
                  </w:tcBorders>
                  <w:shd w:val="clear" w:color="000000" w:fill="C5D9F1"/>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37</w:t>
                  </w:r>
                </w:p>
              </w:tc>
            </w:tr>
            <w:tr w:rsidR="005C0488" w:rsidRPr="00E42063" w:rsidTr="00BC2CDC">
              <w:trPr>
                <w:trHeight w:val="675"/>
              </w:trPr>
              <w:tc>
                <w:tcPr>
                  <w:tcW w:w="2146" w:type="dxa"/>
                  <w:tcBorders>
                    <w:top w:val="nil"/>
                    <w:left w:val="single" w:sz="4" w:space="0" w:color="auto"/>
                    <w:bottom w:val="single" w:sz="4" w:space="0" w:color="auto"/>
                    <w:right w:val="single" w:sz="4" w:space="0" w:color="auto"/>
                  </w:tcBorders>
                  <w:shd w:val="clear" w:color="000000" w:fill="948A54"/>
                  <w:noWrap/>
                  <w:vAlign w:val="bottom"/>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Alzheimer's disease &amp; dementias (Stage 1)</w:t>
                  </w:r>
                </w:p>
              </w:tc>
              <w:tc>
                <w:tcPr>
                  <w:tcW w:w="2894" w:type="dxa"/>
                  <w:tcBorders>
                    <w:top w:val="nil"/>
                    <w:left w:val="nil"/>
                    <w:bottom w:val="single" w:sz="4" w:space="0" w:color="auto"/>
                    <w:right w:val="single" w:sz="4" w:space="0" w:color="auto"/>
                  </w:tcBorders>
                  <w:shd w:val="clear" w:color="000000" w:fill="948A54"/>
                  <w:noWrap/>
                  <w:vAlign w:val="bottom"/>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Comprehensive in-home care</w:t>
                  </w:r>
                </w:p>
              </w:tc>
              <w:tc>
                <w:tcPr>
                  <w:tcW w:w="909" w:type="dxa"/>
                  <w:tcBorders>
                    <w:top w:val="nil"/>
                    <w:left w:val="nil"/>
                    <w:bottom w:val="single" w:sz="4" w:space="0" w:color="auto"/>
                    <w:right w:val="single" w:sz="4" w:space="0" w:color="auto"/>
                  </w:tcBorders>
                  <w:shd w:val="clear" w:color="000000" w:fill="FFFF00"/>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34</w:t>
                  </w:r>
                </w:p>
              </w:tc>
              <w:tc>
                <w:tcPr>
                  <w:tcW w:w="891" w:type="dxa"/>
                  <w:tcBorders>
                    <w:top w:val="nil"/>
                    <w:left w:val="nil"/>
                    <w:bottom w:val="single" w:sz="4" w:space="0" w:color="auto"/>
                    <w:right w:val="single" w:sz="4" w:space="0" w:color="auto"/>
                  </w:tcBorders>
                  <w:shd w:val="clear" w:color="000000" w:fill="EBF1DE"/>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34</w:t>
                  </w:r>
                </w:p>
              </w:tc>
              <w:tc>
                <w:tcPr>
                  <w:tcW w:w="1802" w:type="dxa"/>
                  <w:tcBorders>
                    <w:top w:val="nil"/>
                    <w:left w:val="nil"/>
                    <w:bottom w:val="single" w:sz="4" w:space="0" w:color="auto"/>
                    <w:right w:val="single" w:sz="4" w:space="0" w:color="auto"/>
                  </w:tcBorders>
                  <w:shd w:val="clear" w:color="000000" w:fill="C5D9F1"/>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37</w:t>
                  </w:r>
                </w:p>
              </w:tc>
            </w:tr>
            <w:tr w:rsidR="005C0488" w:rsidRPr="00E42063" w:rsidTr="00BC2CDC">
              <w:trPr>
                <w:trHeight w:val="300"/>
              </w:trPr>
              <w:tc>
                <w:tcPr>
                  <w:tcW w:w="2146" w:type="dxa"/>
                  <w:tcBorders>
                    <w:top w:val="nil"/>
                    <w:left w:val="single" w:sz="4" w:space="0" w:color="auto"/>
                    <w:bottom w:val="single" w:sz="4" w:space="0" w:color="auto"/>
                    <w:right w:val="single" w:sz="4" w:space="0" w:color="auto"/>
                  </w:tcBorders>
                  <w:shd w:val="clear" w:color="000000" w:fill="FFFF99"/>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Physical Inactivity</w:t>
                  </w:r>
                </w:p>
              </w:tc>
              <w:tc>
                <w:tcPr>
                  <w:tcW w:w="2894" w:type="dxa"/>
                  <w:tcBorders>
                    <w:top w:val="nil"/>
                    <w:left w:val="nil"/>
                    <w:bottom w:val="single" w:sz="4" w:space="0" w:color="auto"/>
                    <w:right w:val="single" w:sz="4" w:space="0" w:color="auto"/>
                  </w:tcBorders>
                  <w:shd w:val="clear" w:color="000000" w:fill="FFFF99"/>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Offer counselling in primary care</w:t>
                  </w:r>
                </w:p>
              </w:tc>
              <w:tc>
                <w:tcPr>
                  <w:tcW w:w="909" w:type="dxa"/>
                  <w:tcBorders>
                    <w:top w:val="nil"/>
                    <w:left w:val="nil"/>
                    <w:bottom w:val="single" w:sz="4" w:space="0" w:color="auto"/>
                    <w:right w:val="single" w:sz="4" w:space="0" w:color="auto"/>
                  </w:tcBorders>
                  <w:shd w:val="clear" w:color="000000" w:fill="FFFF00"/>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42</w:t>
                  </w:r>
                </w:p>
              </w:tc>
              <w:tc>
                <w:tcPr>
                  <w:tcW w:w="891" w:type="dxa"/>
                  <w:tcBorders>
                    <w:top w:val="nil"/>
                    <w:left w:val="nil"/>
                    <w:bottom w:val="single" w:sz="4" w:space="0" w:color="auto"/>
                    <w:right w:val="single" w:sz="4" w:space="0" w:color="auto"/>
                  </w:tcBorders>
                  <w:shd w:val="clear" w:color="000000" w:fill="EBF1DE"/>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42</w:t>
                  </w:r>
                </w:p>
              </w:tc>
              <w:tc>
                <w:tcPr>
                  <w:tcW w:w="1802" w:type="dxa"/>
                  <w:tcBorders>
                    <w:top w:val="nil"/>
                    <w:left w:val="nil"/>
                    <w:bottom w:val="single" w:sz="4" w:space="0" w:color="auto"/>
                    <w:right w:val="single" w:sz="4" w:space="0" w:color="auto"/>
                  </w:tcBorders>
                  <w:shd w:val="clear" w:color="000000" w:fill="C5D9F1"/>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37</w:t>
                  </w:r>
                </w:p>
              </w:tc>
            </w:tr>
            <w:tr w:rsidR="005C0488" w:rsidRPr="00E42063" w:rsidTr="00BC2CDC">
              <w:trPr>
                <w:trHeight w:val="300"/>
              </w:trPr>
              <w:tc>
                <w:tcPr>
                  <w:tcW w:w="2146" w:type="dxa"/>
                  <w:tcBorders>
                    <w:top w:val="nil"/>
                    <w:left w:val="single" w:sz="4" w:space="0" w:color="auto"/>
                    <w:bottom w:val="single" w:sz="4" w:space="0" w:color="auto"/>
                    <w:right w:val="single" w:sz="4" w:space="0" w:color="auto"/>
                  </w:tcBorders>
                  <w:shd w:val="clear" w:color="000000" w:fill="CCFFFF"/>
                  <w:noWrap/>
                  <w:vAlign w:val="bottom"/>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Cerebrovascular disease (acute treatment)</w:t>
                  </w:r>
                </w:p>
              </w:tc>
              <w:tc>
                <w:tcPr>
                  <w:tcW w:w="2894" w:type="dxa"/>
                  <w:tcBorders>
                    <w:top w:val="nil"/>
                    <w:left w:val="nil"/>
                    <w:bottom w:val="single" w:sz="4" w:space="0" w:color="auto"/>
                    <w:right w:val="single" w:sz="4" w:space="0" w:color="auto"/>
                  </w:tcBorders>
                  <w:shd w:val="clear" w:color="000000" w:fill="CCFFCC"/>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Medication (Aspirin, Heparin, rt-PA)</w:t>
                  </w:r>
                </w:p>
              </w:tc>
              <w:tc>
                <w:tcPr>
                  <w:tcW w:w="909" w:type="dxa"/>
                  <w:tcBorders>
                    <w:top w:val="nil"/>
                    <w:left w:val="nil"/>
                    <w:bottom w:val="single" w:sz="4" w:space="0" w:color="auto"/>
                    <w:right w:val="single" w:sz="4" w:space="0" w:color="auto"/>
                  </w:tcBorders>
                  <w:shd w:val="clear" w:color="000000" w:fill="FFFF00"/>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43</w:t>
                  </w:r>
                </w:p>
              </w:tc>
              <w:tc>
                <w:tcPr>
                  <w:tcW w:w="891" w:type="dxa"/>
                  <w:tcBorders>
                    <w:top w:val="nil"/>
                    <w:left w:val="nil"/>
                    <w:bottom w:val="single" w:sz="4" w:space="0" w:color="auto"/>
                    <w:right w:val="single" w:sz="4" w:space="0" w:color="auto"/>
                  </w:tcBorders>
                  <w:shd w:val="clear" w:color="000000" w:fill="EBF1DE"/>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43</w:t>
                  </w:r>
                </w:p>
              </w:tc>
              <w:tc>
                <w:tcPr>
                  <w:tcW w:w="1802" w:type="dxa"/>
                  <w:tcBorders>
                    <w:top w:val="nil"/>
                    <w:left w:val="nil"/>
                    <w:bottom w:val="single" w:sz="4" w:space="0" w:color="auto"/>
                    <w:right w:val="single" w:sz="4" w:space="0" w:color="auto"/>
                  </w:tcBorders>
                  <w:shd w:val="clear" w:color="000000" w:fill="C5D9F1"/>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37</w:t>
                  </w:r>
                </w:p>
              </w:tc>
            </w:tr>
            <w:tr w:rsidR="005C0488" w:rsidRPr="00E42063" w:rsidTr="00BC2CDC">
              <w:trPr>
                <w:trHeight w:val="450"/>
              </w:trPr>
              <w:tc>
                <w:tcPr>
                  <w:tcW w:w="2146" w:type="dxa"/>
                  <w:tcBorders>
                    <w:top w:val="nil"/>
                    <w:left w:val="single" w:sz="4" w:space="0" w:color="auto"/>
                    <w:bottom w:val="single" w:sz="4" w:space="0" w:color="auto"/>
                    <w:right w:val="single" w:sz="4" w:space="0" w:color="auto"/>
                  </w:tcBorders>
                  <w:shd w:val="clear" w:color="000000" w:fill="CCFFFF"/>
                  <w:noWrap/>
                  <w:vAlign w:val="bottom"/>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Cerebrovascular disease (prevention of recurrence)</w:t>
                  </w:r>
                </w:p>
              </w:tc>
              <w:tc>
                <w:tcPr>
                  <w:tcW w:w="2894" w:type="dxa"/>
                  <w:tcBorders>
                    <w:top w:val="nil"/>
                    <w:left w:val="nil"/>
                    <w:bottom w:val="single" w:sz="4" w:space="0" w:color="auto"/>
                    <w:right w:val="single" w:sz="4" w:space="0" w:color="auto"/>
                  </w:tcBorders>
                  <w:shd w:val="clear" w:color="000000" w:fill="CCFFCC"/>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Medication (Aspirin, dipyridamole, carotid endarterectomy)</w:t>
                  </w:r>
                </w:p>
              </w:tc>
              <w:tc>
                <w:tcPr>
                  <w:tcW w:w="909" w:type="dxa"/>
                  <w:tcBorders>
                    <w:top w:val="nil"/>
                    <w:left w:val="nil"/>
                    <w:bottom w:val="single" w:sz="4" w:space="0" w:color="auto"/>
                    <w:right w:val="single" w:sz="4" w:space="0" w:color="auto"/>
                  </w:tcBorders>
                  <w:shd w:val="clear" w:color="000000" w:fill="FFFF00"/>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43</w:t>
                  </w:r>
                </w:p>
              </w:tc>
              <w:tc>
                <w:tcPr>
                  <w:tcW w:w="891" w:type="dxa"/>
                  <w:tcBorders>
                    <w:top w:val="nil"/>
                    <w:left w:val="nil"/>
                    <w:bottom w:val="single" w:sz="4" w:space="0" w:color="auto"/>
                    <w:right w:val="single" w:sz="4" w:space="0" w:color="auto"/>
                  </w:tcBorders>
                  <w:shd w:val="clear" w:color="000000" w:fill="EBF1DE"/>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44</w:t>
                  </w:r>
                </w:p>
              </w:tc>
              <w:tc>
                <w:tcPr>
                  <w:tcW w:w="1802" w:type="dxa"/>
                  <w:tcBorders>
                    <w:top w:val="nil"/>
                    <w:left w:val="nil"/>
                    <w:bottom w:val="single" w:sz="4" w:space="0" w:color="auto"/>
                    <w:right w:val="single" w:sz="4" w:space="0" w:color="auto"/>
                  </w:tcBorders>
                  <w:shd w:val="clear" w:color="000000" w:fill="C5D9F1"/>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44</w:t>
                  </w:r>
                </w:p>
              </w:tc>
            </w:tr>
            <w:tr w:rsidR="005C0488" w:rsidRPr="00E42063" w:rsidTr="00BC2CDC">
              <w:trPr>
                <w:trHeight w:val="300"/>
              </w:trPr>
              <w:tc>
                <w:tcPr>
                  <w:tcW w:w="2146" w:type="dxa"/>
                  <w:tcBorders>
                    <w:top w:val="nil"/>
                    <w:left w:val="single" w:sz="4" w:space="0" w:color="auto"/>
                    <w:bottom w:val="single" w:sz="4" w:space="0" w:color="auto"/>
                    <w:right w:val="single" w:sz="4" w:space="0" w:color="auto"/>
                  </w:tcBorders>
                  <w:shd w:val="clear" w:color="000000" w:fill="CCFFCC"/>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Congestive Heart Failure (CHF)</w:t>
                  </w:r>
                </w:p>
              </w:tc>
              <w:tc>
                <w:tcPr>
                  <w:tcW w:w="2894" w:type="dxa"/>
                  <w:tcBorders>
                    <w:top w:val="nil"/>
                    <w:left w:val="nil"/>
                    <w:bottom w:val="single" w:sz="4" w:space="0" w:color="auto"/>
                    <w:right w:val="single" w:sz="4" w:space="0" w:color="auto"/>
                  </w:tcBorders>
                  <w:shd w:val="clear" w:color="000000" w:fill="CCFFCC"/>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Surgery (Heart transplant)</w:t>
                  </w:r>
                </w:p>
              </w:tc>
              <w:tc>
                <w:tcPr>
                  <w:tcW w:w="909" w:type="dxa"/>
                  <w:tcBorders>
                    <w:top w:val="nil"/>
                    <w:left w:val="nil"/>
                    <w:bottom w:val="single" w:sz="4" w:space="0" w:color="auto"/>
                    <w:right w:val="single" w:sz="4" w:space="0" w:color="auto"/>
                  </w:tcBorders>
                  <w:shd w:val="clear" w:color="000000" w:fill="FFFF00"/>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45</w:t>
                  </w:r>
                </w:p>
              </w:tc>
              <w:tc>
                <w:tcPr>
                  <w:tcW w:w="891" w:type="dxa"/>
                  <w:tcBorders>
                    <w:top w:val="nil"/>
                    <w:left w:val="nil"/>
                    <w:bottom w:val="single" w:sz="4" w:space="0" w:color="auto"/>
                    <w:right w:val="single" w:sz="4" w:space="0" w:color="auto"/>
                  </w:tcBorders>
                  <w:shd w:val="clear" w:color="000000" w:fill="EBF1DE"/>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44</w:t>
                  </w:r>
                </w:p>
              </w:tc>
              <w:tc>
                <w:tcPr>
                  <w:tcW w:w="1802" w:type="dxa"/>
                  <w:tcBorders>
                    <w:top w:val="nil"/>
                    <w:left w:val="nil"/>
                    <w:bottom w:val="single" w:sz="4" w:space="0" w:color="auto"/>
                    <w:right w:val="single" w:sz="4" w:space="0" w:color="auto"/>
                  </w:tcBorders>
                  <w:shd w:val="clear" w:color="000000" w:fill="C5D9F1"/>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44</w:t>
                  </w:r>
                </w:p>
              </w:tc>
            </w:tr>
            <w:tr w:rsidR="005C0488" w:rsidRPr="00E42063" w:rsidTr="00BC2CDC">
              <w:trPr>
                <w:trHeight w:val="300"/>
              </w:trPr>
              <w:tc>
                <w:tcPr>
                  <w:tcW w:w="2146" w:type="dxa"/>
                  <w:tcBorders>
                    <w:top w:val="nil"/>
                    <w:left w:val="single" w:sz="4" w:space="0" w:color="auto"/>
                    <w:bottom w:val="single" w:sz="4" w:space="0" w:color="auto"/>
                    <w:right w:val="single" w:sz="4" w:space="0" w:color="auto"/>
                  </w:tcBorders>
                  <w:shd w:val="clear" w:color="000000" w:fill="FFFF99"/>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 xml:space="preserve">Harmful alcohol use </w:t>
                  </w:r>
                </w:p>
              </w:tc>
              <w:tc>
                <w:tcPr>
                  <w:tcW w:w="2894" w:type="dxa"/>
                  <w:tcBorders>
                    <w:top w:val="nil"/>
                    <w:left w:val="nil"/>
                    <w:bottom w:val="single" w:sz="4" w:space="0" w:color="auto"/>
                    <w:right w:val="single" w:sz="4" w:space="0" w:color="auto"/>
                  </w:tcBorders>
                  <w:shd w:val="clear" w:color="000000" w:fill="FFFF99"/>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Enforce drink-driving laws (breath-testing)</w:t>
                  </w:r>
                </w:p>
              </w:tc>
              <w:tc>
                <w:tcPr>
                  <w:tcW w:w="909" w:type="dxa"/>
                  <w:tcBorders>
                    <w:top w:val="nil"/>
                    <w:left w:val="nil"/>
                    <w:bottom w:val="single" w:sz="4" w:space="0" w:color="auto"/>
                    <w:right w:val="single" w:sz="4" w:space="0" w:color="auto"/>
                  </w:tcBorders>
                  <w:shd w:val="clear" w:color="000000" w:fill="FFFF00"/>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46</w:t>
                  </w:r>
                </w:p>
              </w:tc>
              <w:tc>
                <w:tcPr>
                  <w:tcW w:w="891" w:type="dxa"/>
                  <w:tcBorders>
                    <w:top w:val="nil"/>
                    <w:left w:val="nil"/>
                    <w:bottom w:val="single" w:sz="4" w:space="0" w:color="auto"/>
                    <w:right w:val="single" w:sz="4" w:space="0" w:color="auto"/>
                  </w:tcBorders>
                  <w:shd w:val="clear" w:color="000000" w:fill="EBF1DE"/>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46</w:t>
                  </w:r>
                </w:p>
              </w:tc>
              <w:tc>
                <w:tcPr>
                  <w:tcW w:w="1802" w:type="dxa"/>
                  <w:tcBorders>
                    <w:top w:val="nil"/>
                    <w:left w:val="nil"/>
                    <w:bottom w:val="single" w:sz="4" w:space="0" w:color="auto"/>
                    <w:right w:val="single" w:sz="4" w:space="0" w:color="auto"/>
                  </w:tcBorders>
                  <w:shd w:val="clear" w:color="000000" w:fill="C5D9F1"/>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46</w:t>
                  </w:r>
                </w:p>
              </w:tc>
            </w:tr>
            <w:tr w:rsidR="005C0488" w:rsidRPr="00E42063" w:rsidTr="00BC2CDC">
              <w:trPr>
                <w:trHeight w:val="300"/>
              </w:trPr>
              <w:tc>
                <w:tcPr>
                  <w:tcW w:w="2146" w:type="dxa"/>
                  <w:tcBorders>
                    <w:top w:val="nil"/>
                    <w:left w:val="single" w:sz="4" w:space="0" w:color="auto"/>
                    <w:bottom w:val="single" w:sz="4" w:space="0" w:color="auto"/>
                    <w:right w:val="single" w:sz="4" w:space="0" w:color="auto"/>
                  </w:tcBorders>
                  <w:shd w:val="clear" w:color="000000" w:fill="948A54"/>
                  <w:noWrap/>
                  <w:vAlign w:val="bottom"/>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Alzheimer's disease &amp; dementias (Stage 2)</w:t>
                  </w:r>
                </w:p>
              </w:tc>
              <w:tc>
                <w:tcPr>
                  <w:tcW w:w="2894" w:type="dxa"/>
                  <w:tcBorders>
                    <w:top w:val="nil"/>
                    <w:left w:val="nil"/>
                    <w:bottom w:val="single" w:sz="4" w:space="0" w:color="auto"/>
                    <w:right w:val="single" w:sz="4" w:space="0" w:color="auto"/>
                  </w:tcBorders>
                  <w:shd w:val="clear" w:color="000000" w:fill="948A54"/>
                  <w:noWrap/>
                  <w:vAlign w:val="bottom"/>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Nursing home/hospital care</w:t>
                  </w:r>
                </w:p>
              </w:tc>
              <w:tc>
                <w:tcPr>
                  <w:tcW w:w="909" w:type="dxa"/>
                  <w:tcBorders>
                    <w:top w:val="nil"/>
                    <w:left w:val="nil"/>
                    <w:bottom w:val="single" w:sz="4" w:space="0" w:color="auto"/>
                    <w:right w:val="single" w:sz="4" w:space="0" w:color="auto"/>
                  </w:tcBorders>
                  <w:shd w:val="clear" w:color="000000" w:fill="FFFF00"/>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46</w:t>
                  </w:r>
                </w:p>
              </w:tc>
              <w:tc>
                <w:tcPr>
                  <w:tcW w:w="891" w:type="dxa"/>
                  <w:tcBorders>
                    <w:top w:val="nil"/>
                    <w:left w:val="nil"/>
                    <w:bottom w:val="single" w:sz="4" w:space="0" w:color="auto"/>
                    <w:right w:val="single" w:sz="4" w:space="0" w:color="auto"/>
                  </w:tcBorders>
                  <w:shd w:val="clear" w:color="000000" w:fill="EBF1DE"/>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46</w:t>
                  </w:r>
                </w:p>
              </w:tc>
              <w:tc>
                <w:tcPr>
                  <w:tcW w:w="1802" w:type="dxa"/>
                  <w:tcBorders>
                    <w:top w:val="nil"/>
                    <w:left w:val="nil"/>
                    <w:bottom w:val="single" w:sz="4" w:space="0" w:color="auto"/>
                    <w:right w:val="single" w:sz="4" w:space="0" w:color="auto"/>
                  </w:tcBorders>
                  <w:shd w:val="clear" w:color="000000" w:fill="C5D9F1"/>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46</w:t>
                  </w:r>
                </w:p>
              </w:tc>
            </w:tr>
            <w:tr w:rsidR="005C0488" w:rsidRPr="00E42063" w:rsidTr="00BC2CDC">
              <w:trPr>
                <w:trHeight w:val="450"/>
              </w:trPr>
              <w:tc>
                <w:tcPr>
                  <w:tcW w:w="2146" w:type="dxa"/>
                  <w:tcBorders>
                    <w:top w:val="nil"/>
                    <w:left w:val="single" w:sz="4" w:space="0" w:color="auto"/>
                    <w:bottom w:val="single" w:sz="4" w:space="0" w:color="auto"/>
                    <w:right w:val="single" w:sz="4" w:space="0" w:color="auto"/>
                  </w:tcBorders>
                  <w:shd w:val="clear" w:color="000000" w:fill="99CCFF"/>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Chronic obstructive pulmonary disease (COPD) - Stage 3-4</w:t>
                  </w:r>
                </w:p>
              </w:tc>
              <w:tc>
                <w:tcPr>
                  <w:tcW w:w="2894" w:type="dxa"/>
                  <w:tcBorders>
                    <w:top w:val="nil"/>
                    <w:left w:val="nil"/>
                    <w:bottom w:val="single" w:sz="4" w:space="0" w:color="auto"/>
                    <w:right w:val="single" w:sz="4" w:space="0" w:color="auto"/>
                  </w:tcBorders>
                  <w:shd w:val="clear" w:color="000000" w:fill="99CCFF"/>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Surgery (Lung volume reduction, lung transplant)</w:t>
                  </w:r>
                </w:p>
              </w:tc>
              <w:tc>
                <w:tcPr>
                  <w:tcW w:w="909" w:type="dxa"/>
                  <w:tcBorders>
                    <w:top w:val="nil"/>
                    <w:left w:val="nil"/>
                    <w:bottom w:val="single" w:sz="4" w:space="0" w:color="auto"/>
                    <w:right w:val="single" w:sz="4" w:space="0" w:color="auto"/>
                  </w:tcBorders>
                  <w:shd w:val="clear" w:color="000000" w:fill="FFFF00"/>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48</w:t>
                  </w:r>
                </w:p>
              </w:tc>
              <w:tc>
                <w:tcPr>
                  <w:tcW w:w="891" w:type="dxa"/>
                  <w:tcBorders>
                    <w:top w:val="nil"/>
                    <w:left w:val="nil"/>
                    <w:bottom w:val="single" w:sz="4" w:space="0" w:color="auto"/>
                    <w:right w:val="single" w:sz="4" w:space="0" w:color="auto"/>
                  </w:tcBorders>
                  <w:shd w:val="clear" w:color="000000" w:fill="EBF1DE"/>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48</w:t>
                  </w:r>
                </w:p>
              </w:tc>
              <w:tc>
                <w:tcPr>
                  <w:tcW w:w="1802" w:type="dxa"/>
                  <w:tcBorders>
                    <w:top w:val="nil"/>
                    <w:left w:val="nil"/>
                    <w:bottom w:val="single" w:sz="4" w:space="0" w:color="auto"/>
                    <w:right w:val="single" w:sz="4" w:space="0" w:color="auto"/>
                  </w:tcBorders>
                  <w:shd w:val="clear" w:color="000000" w:fill="C5D9F1"/>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48</w:t>
                  </w:r>
                </w:p>
              </w:tc>
            </w:tr>
          </w:tbl>
          <w:p w:rsidR="005C0488" w:rsidRPr="00E42063" w:rsidRDefault="005C0488" w:rsidP="00A42699">
            <w:pPr>
              <w:rPr>
                <w:rFonts w:ascii="Times New Roman" w:hAnsi="Times New Roman" w:cs="Times New Roman"/>
                <w:b/>
                <w:sz w:val="16"/>
                <w:szCs w:val="16"/>
                <w:u w:val="single"/>
                <w:lang w:val="en-GB"/>
              </w:rPr>
            </w:pPr>
          </w:p>
        </w:tc>
      </w:tr>
    </w:tbl>
    <w:p w:rsidR="005C0488" w:rsidRPr="00277328" w:rsidRDefault="005C0488" w:rsidP="00A42699">
      <w:pPr>
        <w:rPr>
          <w:b/>
          <w:sz w:val="24"/>
          <w:szCs w:val="24"/>
          <w:u w:val="single"/>
          <w:lang w:val="en-GB"/>
        </w:rPr>
      </w:pPr>
    </w:p>
    <w:p w:rsidR="005C0488" w:rsidRPr="00277328" w:rsidRDefault="005C0488" w:rsidP="005C0488">
      <w:pPr>
        <w:rPr>
          <w:szCs w:val="24"/>
          <w:lang w:val="en-GB"/>
        </w:rPr>
      </w:pPr>
      <w:r w:rsidRPr="00277328">
        <w:rPr>
          <w:szCs w:val="24"/>
          <w:lang w:val="en-GB"/>
        </w:rPr>
        <w:t>Overall, interventions targeting mental disorders exhibit the highest ranking scores, with those targeting suicide and intentional self-harm attempts ranking first. This is true not only for the country as a whole but also for each region examined. Interventions targeting neoplasia diseases follow, with the exception of Cantabria/Valencia, which gives higher priority to interventions addressing risk</w:t>
      </w:r>
      <w:r w:rsidRPr="00277328">
        <w:rPr>
          <w:sz w:val="20"/>
          <w:szCs w:val="24"/>
          <w:lang w:val="en-GB"/>
        </w:rPr>
        <w:t xml:space="preserve"> </w:t>
      </w:r>
      <w:r w:rsidRPr="00277328">
        <w:rPr>
          <w:szCs w:val="24"/>
          <w:lang w:val="en-GB"/>
        </w:rPr>
        <w:t xml:space="preserve">factors. Disease areas such as cardiovascular (CVD) and endocrinology diseases are ranked similarly. The rankings of interventions for the three regions are highly comparable, meaning that CLT calculations give similar results.  </w:t>
      </w:r>
    </w:p>
    <w:p w:rsidR="005C0488" w:rsidRPr="00277328" w:rsidRDefault="005C0488" w:rsidP="005C0488">
      <w:pPr>
        <w:rPr>
          <w:szCs w:val="24"/>
          <w:lang w:val="en-GB"/>
        </w:rPr>
      </w:pPr>
      <w:r w:rsidRPr="00277328">
        <w:rPr>
          <w:szCs w:val="24"/>
          <w:lang w:val="en-GB"/>
        </w:rPr>
        <w:t xml:space="preserve">An exception is age-specific interventions, such as initiatives promoting healthy nutrition in schools which target only young age groups; medication and surgery for congestive heart failure targeting only the young and the elderly; and drug and hospital treatment for mental disorders, which vary according to the age group. It should be noted however, that several interventions examined exhibit similar characteristics with respect to the equity/efficiency attributes. That is, composite index calculations give relatively similar results and therefore, rankings of interventions do not significantly vary among the regions. </w:t>
      </w:r>
    </w:p>
    <w:p w:rsidR="005C0488" w:rsidRPr="00277328" w:rsidRDefault="005C0488" w:rsidP="005C0488">
      <w:pPr>
        <w:rPr>
          <w:szCs w:val="24"/>
          <w:lang w:val="en-GB"/>
        </w:rPr>
      </w:pPr>
      <w:r w:rsidRPr="00277328">
        <w:rPr>
          <w:szCs w:val="24"/>
          <w:lang w:val="en-GB"/>
        </w:rPr>
        <w:lastRenderedPageBreak/>
        <w:t>Results are relatively similar when rankings for each age category are compared. In particular, mental disorders seem to be the most highly ranked in young and middle age categories. Nevertheless, this is not the case for elderly groups, wher</w:t>
      </w:r>
      <w:r w:rsidR="009C7662">
        <w:rPr>
          <w:szCs w:val="24"/>
          <w:lang w:val="en-GB"/>
        </w:rPr>
        <w:t>e CVDs are most highly prioritis</w:t>
      </w:r>
      <w:r w:rsidRPr="00277328">
        <w:rPr>
          <w:szCs w:val="24"/>
          <w:lang w:val="en-GB"/>
        </w:rPr>
        <w:t xml:space="preserve">ed. Endocrinology and neoplasia diseases are also important disease areas, although differences are being noticed depending on the type of illness and the intervention. Finally, risk factors concerning alcohol overuse and unhealthy diet are highly taken into consideration. Results are almost equivalent for the regions of Catalonia/Basque Country and Cantabria/Valencia. Some minor differences are being observed in the rankings for Madrid. </w:t>
      </w:r>
    </w:p>
    <w:p w:rsidR="005C0488" w:rsidRPr="00277328" w:rsidRDefault="005C0488" w:rsidP="005C0488">
      <w:pPr>
        <w:rPr>
          <w:sz w:val="24"/>
          <w:szCs w:val="24"/>
          <w:lang w:val="en-GB"/>
        </w:rPr>
      </w:pPr>
    </w:p>
    <w:p w:rsidR="005C0488" w:rsidRPr="00277328" w:rsidRDefault="006573F1" w:rsidP="005C0488">
      <w:pPr>
        <w:rPr>
          <w:b/>
          <w:u w:val="single"/>
          <w:lang w:val="en-GB"/>
        </w:rPr>
      </w:pPr>
      <w:r>
        <w:rPr>
          <w:b/>
          <w:u w:val="single"/>
          <w:lang w:val="en-GB"/>
        </w:rPr>
        <w:t>Table 13</w:t>
      </w:r>
      <w:r w:rsidR="005C0488" w:rsidRPr="00277328">
        <w:rPr>
          <w:b/>
          <w:u w:val="single"/>
          <w:lang w:val="en-GB"/>
        </w:rPr>
        <w:t xml:space="preserve">: Composite league table </w:t>
      </w:r>
      <w:r w:rsidR="00BC2CDC">
        <w:rPr>
          <w:b/>
          <w:u w:val="single"/>
          <w:lang w:val="en-GB"/>
        </w:rPr>
        <w:t xml:space="preserve">rankings </w:t>
      </w:r>
      <w:r w:rsidR="005C0488" w:rsidRPr="00277328">
        <w:rPr>
          <w:b/>
          <w:u w:val="single"/>
          <w:lang w:val="en-GB"/>
        </w:rPr>
        <w:t>for interventions targeting young age</w:t>
      </w:r>
      <w:r w:rsidR="00BA330C" w:rsidRPr="00277328">
        <w:rPr>
          <w:b/>
          <w:u w:val="single"/>
          <w:lang w:val="en-GB"/>
        </w:rPr>
        <w:t xml:space="preserve"> groups</w:t>
      </w:r>
    </w:p>
    <w:tbl>
      <w:tblPr>
        <w:tblStyle w:val="TableGrid"/>
        <w:tblW w:w="0" w:type="auto"/>
        <w:tblLayout w:type="fixed"/>
        <w:tblLook w:val="04A0"/>
      </w:tblPr>
      <w:tblGrid>
        <w:gridCol w:w="8522"/>
      </w:tblGrid>
      <w:tr w:rsidR="005C0488" w:rsidRPr="00E42063" w:rsidTr="009E2704">
        <w:tc>
          <w:tcPr>
            <w:tcW w:w="8522" w:type="dxa"/>
          </w:tcPr>
          <w:tbl>
            <w:tblPr>
              <w:tblW w:w="8500" w:type="dxa"/>
              <w:tblLayout w:type="fixed"/>
              <w:tblLook w:val="04A0"/>
            </w:tblPr>
            <w:tblGrid>
              <w:gridCol w:w="2271"/>
              <w:gridCol w:w="4812"/>
              <w:gridCol w:w="425"/>
              <w:gridCol w:w="425"/>
              <w:gridCol w:w="567"/>
            </w:tblGrid>
            <w:tr w:rsidR="005C0488" w:rsidRPr="00E42063" w:rsidTr="009E2704">
              <w:trPr>
                <w:trHeight w:val="690"/>
              </w:trPr>
              <w:tc>
                <w:tcPr>
                  <w:tcW w:w="2271"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5C0488" w:rsidRPr="00BC2CDC" w:rsidRDefault="005C0488" w:rsidP="005C0488">
                  <w:pPr>
                    <w:spacing w:after="0" w:line="240" w:lineRule="auto"/>
                    <w:rPr>
                      <w:rFonts w:ascii="Times New Roman" w:eastAsia="Times New Roman" w:hAnsi="Times New Roman" w:cs="Times New Roman"/>
                      <w:b/>
                      <w:bCs/>
                      <w:sz w:val="18"/>
                      <w:szCs w:val="18"/>
                      <w:lang w:val="en-GB" w:eastAsia="el-GR"/>
                    </w:rPr>
                  </w:pPr>
                  <w:r w:rsidRPr="00BC2CDC">
                    <w:rPr>
                      <w:rFonts w:ascii="Times New Roman" w:eastAsia="Times New Roman" w:hAnsi="Times New Roman" w:cs="Times New Roman"/>
                      <w:b/>
                      <w:bCs/>
                      <w:sz w:val="18"/>
                      <w:szCs w:val="18"/>
                      <w:lang w:val="en-GB" w:eastAsia="el-GR"/>
                    </w:rPr>
                    <w:t>CLINICAL CONDITION</w:t>
                  </w:r>
                </w:p>
              </w:tc>
              <w:tc>
                <w:tcPr>
                  <w:tcW w:w="4812" w:type="dxa"/>
                  <w:tcBorders>
                    <w:top w:val="single" w:sz="4" w:space="0" w:color="auto"/>
                    <w:left w:val="nil"/>
                    <w:bottom w:val="single" w:sz="4" w:space="0" w:color="auto"/>
                    <w:right w:val="single" w:sz="4" w:space="0" w:color="auto"/>
                  </w:tcBorders>
                  <w:shd w:val="clear" w:color="000000" w:fill="EBF1DE"/>
                  <w:noWrap/>
                  <w:vAlign w:val="center"/>
                  <w:hideMark/>
                </w:tcPr>
                <w:p w:rsidR="005C0488" w:rsidRPr="00BC2CDC" w:rsidRDefault="005C0488" w:rsidP="005C0488">
                  <w:pPr>
                    <w:spacing w:after="0" w:line="240" w:lineRule="auto"/>
                    <w:rPr>
                      <w:rFonts w:ascii="Times New Roman" w:eastAsia="Times New Roman" w:hAnsi="Times New Roman" w:cs="Times New Roman"/>
                      <w:b/>
                      <w:bCs/>
                      <w:sz w:val="18"/>
                      <w:szCs w:val="18"/>
                      <w:lang w:val="en-GB" w:eastAsia="el-GR"/>
                    </w:rPr>
                  </w:pPr>
                  <w:r w:rsidRPr="00BC2CDC">
                    <w:rPr>
                      <w:rFonts w:ascii="Times New Roman" w:eastAsia="Times New Roman" w:hAnsi="Times New Roman" w:cs="Times New Roman"/>
                      <w:b/>
                      <w:bCs/>
                      <w:sz w:val="18"/>
                      <w:szCs w:val="18"/>
                      <w:lang w:val="en-GB" w:eastAsia="el-GR"/>
                    </w:rPr>
                    <w:t>Intervention</w:t>
                  </w:r>
                </w:p>
              </w:tc>
              <w:tc>
                <w:tcPr>
                  <w:tcW w:w="425" w:type="dxa"/>
                  <w:tcBorders>
                    <w:top w:val="single" w:sz="4" w:space="0" w:color="auto"/>
                    <w:left w:val="nil"/>
                    <w:bottom w:val="single" w:sz="4" w:space="0" w:color="auto"/>
                    <w:right w:val="single" w:sz="4" w:space="0" w:color="auto"/>
                  </w:tcBorders>
                  <w:shd w:val="clear" w:color="000000" w:fill="EBF1DE"/>
                  <w:vAlign w:val="bottom"/>
                  <w:hideMark/>
                </w:tcPr>
                <w:p w:rsidR="005C0488" w:rsidRPr="00BC2CDC" w:rsidRDefault="006A5A0D" w:rsidP="005C0488">
                  <w:pPr>
                    <w:spacing w:after="0" w:line="240" w:lineRule="auto"/>
                    <w:rPr>
                      <w:rFonts w:ascii="Times New Roman" w:eastAsia="Times New Roman" w:hAnsi="Times New Roman" w:cs="Times New Roman"/>
                      <w:b/>
                      <w:bCs/>
                      <w:color w:val="000000"/>
                      <w:sz w:val="18"/>
                      <w:szCs w:val="18"/>
                      <w:lang w:val="en-GB" w:eastAsia="el-GR"/>
                    </w:rPr>
                  </w:pPr>
                  <w:r w:rsidRPr="00BC2CDC">
                    <w:rPr>
                      <w:rFonts w:ascii="Times New Roman" w:eastAsia="Times New Roman" w:hAnsi="Times New Roman" w:cs="Times New Roman"/>
                      <w:b/>
                      <w:bCs/>
                      <w:color w:val="000000"/>
                      <w:sz w:val="18"/>
                      <w:szCs w:val="18"/>
                      <w:lang w:val="en-GB" w:eastAsia="el-GR"/>
                    </w:rPr>
                    <w:t>Rank C/B</w:t>
                  </w:r>
                </w:p>
              </w:tc>
              <w:tc>
                <w:tcPr>
                  <w:tcW w:w="425" w:type="dxa"/>
                  <w:tcBorders>
                    <w:top w:val="single" w:sz="4" w:space="0" w:color="auto"/>
                    <w:left w:val="nil"/>
                    <w:bottom w:val="single" w:sz="4" w:space="0" w:color="auto"/>
                    <w:right w:val="single" w:sz="4" w:space="0" w:color="auto"/>
                  </w:tcBorders>
                  <w:shd w:val="clear" w:color="000000" w:fill="EBF1DE"/>
                  <w:vAlign w:val="bottom"/>
                  <w:hideMark/>
                </w:tcPr>
                <w:p w:rsidR="0005028C" w:rsidRPr="00BC2CDC" w:rsidRDefault="006A5A0D" w:rsidP="0005028C">
                  <w:pPr>
                    <w:spacing w:after="0" w:line="240" w:lineRule="auto"/>
                    <w:rPr>
                      <w:rFonts w:ascii="Times New Roman" w:eastAsia="Times New Roman" w:hAnsi="Times New Roman" w:cs="Times New Roman"/>
                      <w:b/>
                      <w:bCs/>
                      <w:color w:val="000000"/>
                      <w:sz w:val="18"/>
                      <w:szCs w:val="18"/>
                      <w:lang w:val="en-GB" w:eastAsia="el-GR"/>
                    </w:rPr>
                  </w:pPr>
                  <w:r w:rsidRPr="00BC2CDC">
                    <w:rPr>
                      <w:rFonts w:ascii="Times New Roman" w:eastAsia="Times New Roman" w:hAnsi="Times New Roman" w:cs="Times New Roman"/>
                      <w:b/>
                      <w:bCs/>
                      <w:color w:val="000000"/>
                      <w:sz w:val="18"/>
                      <w:szCs w:val="18"/>
                      <w:lang w:val="en-GB" w:eastAsia="el-GR"/>
                    </w:rPr>
                    <w:t>Rank</w:t>
                  </w:r>
                </w:p>
                <w:p w:rsidR="005C0488" w:rsidRPr="00BC2CDC" w:rsidRDefault="0005028C" w:rsidP="0005028C">
                  <w:pPr>
                    <w:spacing w:after="0" w:line="240" w:lineRule="auto"/>
                    <w:rPr>
                      <w:rFonts w:ascii="Times New Roman" w:eastAsia="Times New Roman" w:hAnsi="Times New Roman" w:cs="Times New Roman"/>
                      <w:b/>
                      <w:bCs/>
                      <w:color w:val="000000"/>
                      <w:sz w:val="18"/>
                      <w:szCs w:val="18"/>
                      <w:lang w:val="en-GB" w:eastAsia="el-GR"/>
                    </w:rPr>
                  </w:pPr>
                  <w:r w:rsidRPr="00BC2CDC">
                    <w:rPr>
                      <w:rFonts w:ascii="Times New Roman" w:eastAsia="Times New Roman" w:hAnsi="Times New Roman" w:cs="Times New Roman"/>
                      <w:b/>
                      <w:bCs/>
                      <w:color w:val="000000"/>
                      <w:sz w:val="18"/>
                      <w:szCs w:val="18"/>
                      <w:lang w:val="en-GB" w:eastAsia="el-GR"/>
                    </w:rPr>
                    <w:t>C/V</w:t>
                  </w:r>
                </w:p>
              </w:tc>
              <w:tc>
                <w:tcPr>
                  <w:tcW w:w="567" w:type="dxa"/>
                  <w:tcBorders>
                    <w:top w:val="single" w:sz="4" w:space="0" w:color="auto"/>
                    <w:left w:val="nil"/>
                    <w:bottom w:val="single" w:sz="4" w:space="0" w:color="auto"/>
                    <w:right w:val="single" w:sz="4" w:space="0" w:color="auto"/>
                  </w:tcBorders>
                  <w:shd w:val="clear" w:color="000000" w:fill="EBF1DE"/>
                  <w:hideMark/>
                </w:tcPr>
                <w:p w:rsidR="005C0488" w:rsidRPr="00BC2CDC" w:rsidRDefault="006A5A0D" w:rsidP="0005028C">
                  <w:pPr>
                    <w:spacing w:after="0" w:line="240" w:lineRule="auto"/>
                    <w:rPr>
                      <w:rFonts w:ascii="Times New Roman" w:eastAsia="Times New Roman" w:hAnsi="Times New Roman" w:cs="Times New Roman"/>
                      <w:b/>
                      <w:bCs/>
                      <w:color w:val="000000"/>
                      <w:sz w:val="18"/>
                      <w:szCs w:val="18"/>
                      <w:lang w:val="en-GB" w:eastAsia="el-GR"/>
                    </w:rPr>
                  </w:pPr>
                  <w:r w:rsidRPr="00BC2CDC">
                    <w:rPr>
                      <w:rFonts w:ascii="Times New Roman" w:eastAsia="Times New Roman" w:hAnsi="Times New Roman" w:cs="Times New Roman"/>
                      <w:b/>
                      <w:bCs/>
                      <w:color w:val="000000"/>
                      <w:sz w:val="18"/>
                      <w:szCs w:val="18"/>
                      <w:lang w:val="en-GB" w:eastAsia="el-GR"/>
                    </w:rPr>
                    <w:t>Rank Madrid</w:t>
                  </w:r>
                </w:p>
              </w:tc>
            </w:tr>
            <w:tr w:rsidR="005C0488" w:rsidRPr="00E42063" w:rsidTr="009E2704">
              <w:trPr>
                <w:trHeight w:val="300"/>
              </w:trPr>
              <w:tc>
                <w:tcPr>
                  <w:tcW w:w="2271" w:type="dxa"/>
                  <w:tcBorders>
                    <w:top w:val="nil"/>
                    <w:left w:val="single" w:sz="4" w:space="0" w:color="auto"/>
                    <w:bottom w:val="single" w:sz="4" w:space="0" w:color="auto"/>
                    <w:right w:val="single" w:sz="4" w:space="0" w:color="auto"/>
                  </w:tcBorders>
                  <w:shd w:val="clear" w:color="000000" w:fill="948A54"/>
                  <w:noWrap/>
                  <w:vAlign w:val="bottom"/>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Major depressive disorder</w:t>
                  </w:r>
                </w:p>
              </w:tc>
              <w:tc>
                <w:tcPr>
                  <w:tcW w:w="4812" w:type="dxa"/>
                  <w:tcBorders>
                    <w:top w:val="nil"/>
                    <w:left w:val="nil"/>
                    <w:bottom w:val="single" w:sz="4" w:space="0" w:color="auto"/>
                    <w:right w:val="single" w:sz="4" w:space="0" w:color="auto"/>
                  </w:tcBorders>
                  <w:shd w:val="clear" w:color="000000" w:fill="948A54"/>
                  <w:noWrap/>
                  <w:vAlign w:val="bottom"/>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Older antidepressant drug medication (TCA)</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w:t>
                  </w:r>
                </w:p>
              </w:tc>
              <w:tc>
                <w:tcPr>
                  <w:tcW w:w="567"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w:t>
                  </w:r>
                </w:p>
              </w:tc>
            </w:tr>
            <w:tr w:rsidR="005C0488" w:rsidRPr="00E42063" w:rsidTr="009E2704">
              <w:trPr>
                <w:trHeight w:val="300"/>
              </w:trPr>
              <w:tc>
                <w:tcPr>
                  <w:tcW w:w="2271" w:type="dxa"/>
                  <w:tcBorders>
                    <w:top w:val="nil"/>
                    <w:left w:val="single" w:sz="4" w:space="0" w:color="auto"/>
                    <w:bottom w:val="single" w:sz="4" w:space="0" w:color="auto"/>
                    <w:right w:val="single" w:sz="4" w:space="0" w:color="auto"/>
                  </w:tcBorders>
                  <w:shd w:val="clear" w:color="000000" w:fill="948A54"/>
                  <w:noWrap/>
                  <w:vAlign w:val="bottom"/>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Major depressive disorder</w:t>
                  </w:r>
                </w:p>
              </w:tc>
              <w:tc>
                <w:tcPr>
                  <w:tcW w:w="4812" w:type="dxa"/>
                  <w:tcBorders>
                    <w:top w:val="nil"/>
                    <w:left w:val="nil"/>
                    <w:bottom w:val="single" w:sz="4" w:space="0" w:color="auto"/>
                    <w:right w:val="single" w:sz="4" w:space="0" w:color="auto"/>
                  </w:tcBorders>
                  <w:shd w:val="clear" w:color="000000" w:fill="948A54"/>
                  <w:noWrap/>
                  <w:vAlign w:val="bottom"/>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 xml:space="preserve">Newer antidepressant drug medication </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w:t>
                  </w:r>
                </w:p>
              </w:tc>
              <w:tc>
                <w:tcPr>
                  <w:tcW w:w="567"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w:t>
                  </w:r>
                </w:p>
              </w:tc>
            </w:tr>
            <w:tr w:rsidR="005C0488" w:rsidRPr="00E42063" w:rsidTr="009E2704">
              <w:trPr>
                <w:trHeight w:val="300"/>
              </w:trPr>
              <w:tc>
                <w:tcPr>
                  <w:tcW w:w="2271" w:type="dxa"/>
                  <w:tcBorders>
                    <w:top w:val="nil"/>
                    <w:left w:val="single" w:sz="4" w:space="0" w:color="auto"/>
                    <w:bottom w:val="single" w:sz="4" w:space="0" w:color="auto"/>
                    <w:right w:val="single" w:sz="4" w:space="0" w:color="auto"/>
                  </w:tcBorders>
                  <w:shd w:val="clear" w:color="000000" w:fill="948A54"/>
                  <w:noWrap/>
                  <w:vAlign w:val="bottom"/>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Major depressive disorder</w:t>
                  </w:r>
                </w:p>
              </w:tc>
              <w:tc>
                <w:tcPr>
                  <w:tcW w:w="4812" w:type="dxa"/>
                  <w:tcBorders>
                    <w:top w:val="nil"/>
                    <w:left w:val="nil"/>
                    <w:bottom w:val="single" w:sz="4" w:space="0" w:color="auto"/>
                    <w:right w:val="single" w:sz="4" w:space="0" w:color="auto"/>
                  </w:tcBorders>
                  <w:shd w:val="clear" w:color="000000" w:fill="948A54"/>
                  <w:noWrap/>
                  <w:vAlign w:val="bottom"/>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Psychosocial treatment</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w:t>
                  </w:r>
                </w:p>
              </w:tc>
              <w:tc>
                <w:tcPr>
                  <w:tcW w:w="567"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w:t>
                  </w:r>
                </w:p>
              </w:tc>
            </w:tr>
            <w:tr w:rsidR="005C0488" w:rsidRPr="00E42063" w:rsidTr="009E2704">
              <w:trPr>
                <w:trHeight w:val="300"/>
              </w:trPr>
              <w:tc>
                <w:tcPr>
                  <w:tcW w:w="2271" w:type="dxa"/>
                  <w:tcBorders>
                    <w:top w:val="nil"/>
                    <w:left w:val="single" w:sz="4" w:space="0" w:color="auto"/>
                    <w:bottom w:val="single" w:sz="4" w:space="0" w:color="auto"/>
                    <w:right w:val="single" w:sz="4" w:space="0" w:color="auto"/>
                  </w:tcBorders>
                  <w:shd w:val="clear" w:color="000000" w:fill="CCFFCC"/>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Acute Myocardial In</w:t>
                  </w:r>
                  <w:r w:rsidR="00E42063" w:rsidRPr="00BC2CDC">
                    <w:rPr>
                      <w:rFonts w:ascii="Times New Roman" w:eastAsia="Times New Roman" w:hAnsi="Times New Roman" w:cs="Times New Roman"/>
                      <w:sz w:val="18"/>
                      <w:szCs w:val="18"/>
                      <w:lang w:val="en-GB" w:eastAsia="el-GR"/>
                    </w:rPr>
                    <w:t>f</w:t>
                  </w:r>
                  <w:r w:rsidRPr="00BC2CDC">
                    <w:rPr>
                      <w:rFonts w:ascii="Times New Roman" w:eastAsia="Times New Roman" w:hAnsi="Times New Roman" w:cs="Times New Roman"/>
                      <w:sz w:val="18"/>
                      <w:szCs w:val="18"/>
                      <w:lang w:val="en-GB" w:eastAsia="el-GR"/>
                    </w:rPr>
                    <w:t>arction (AMI)</w:t>
                  </w:r>
                </w:p>
              </w:tc>
              <w:tc>
                <w:tcPr>
                  <w:tcW w:w="4812" w:type="dxa"/>
                  <w:tcBorders>
                    <w:top w:val="nil"/>
                    <w:left w:val="nil"/>
                    <w:bottom w:val="single" w:sz="4" w:space="0" w:color="auto"/>
                    <w:right w:val="single" w:sz="4" w:space="0" w:color="auto"/>
                  </w:tcBorders>
                  <w:shd w:val="clear" w:color="000000" w:fill="CCFFCC"/>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Medication (aspirin, atenolol, streptokinase, tissue plasminogen activator)</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567"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r>
            <w:tr w:rsidR="005C0488" w:rsidRPr="00E42063" w:rsidTr="009E2704">
              <w:trPr>
                <w:trHeight w:val="300"/>
              </w:trPr>
              <w:tc>
                <w:tcPr>
                  <w:tcW w:w="2271" w:type="dxa"/>
                  <w:tcBorders>
                    <w:top w:val="nil"/>
                    <w:left w:val="single" w:sz="4" w:space="0" w:color="auto"/>
                    <w:bottom w:val="single" w:sz="4" w:space="0" w:color="auto"/>
                    <w:right w:val="single" w:sz="4" w:space="0" w:color="auto"/>
                  </w:tcBorders>
                  <w:shd w:val="clear" w:color="000000" w:fill="CCFFCC"/>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Acute Myocardial In</w:t>
                  </w:r>
                  <w:r w:rsidR="00E42063" w:rsidRPr="00BC2CDC">
                    <w:rPr>
                      <w:rFonts w:ascii="Times New Roman" w:eastAsia="Times New Roman" w:hAnsi="Times New Roman" w:cs="Times New Roman"/>
                      <w:sz w:val="18"/>
                      <w:szCs w:val="18"/>
                      <w:lang w:val="en-GB" w:eastAsia="el-GR"/>
                    </w:rPr>
                    <w:t>f</w:t>
                  </w:r>
                  <w:r w:rsidRPr="00BC2CDC">
                    <w:rPr>
                      <w:rFonts w:ascii="Times New Roman" w:eastAsia="Times New Roman" w:hAnsi="Times New Roman" w:cs="Times New Roman"/>
                      <w:sz w:val="18"/>
                      <w:szCs w:val="18"/>
                      <w:lang w:val="en-GB" w:eastAsia="el-GR"/>
                    </w:rPr>
                    <w:t>arction (AMI)</w:t>
                  </w:r>
                </w:p>
              </w:tc>
              <w:tc>
                <w:tcPr>
                  <w:tcW w:w="4812" w:type="dxa"/>
                  <w:tcBorders>
                    <w:top w:val="nil"/>
                    <w:left w:val="nil"/>
                    <w:bottom w:val="single" w:sz="4" w:space="0" w:color="auto"/>
                    <w:right w:val="single" w:sz="4" w:space="0" w:color="auto"/>
                  </w:tcBorders>
                  <w:shd w:val="clear" w:color="000000" w:fill="CCFFCC"/>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Surgery (Primary angioplasty, primary stenting, percutaneous transluminal coronary angioplasty (PTCA))</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567"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r>
            <w:tr w:rsidR="005C0488" w:rsidRPr="00E42063" w:rsidTr="009E2704">
              <w:trPr>
                <w:trHeight w:val="300"/>
              </w:trPr>
              <w:tc>
                <w:tcPr>
                  <w:tcW w:w="2271" w:type="dxa"/>
                  <w:tcBorders>
                    <w:top w:val="nil"/>
                    <w:left w:val="single" w:sz="4" w:space="0" w:color="auto"/>
                    <w:bottom w:val="single" w:sz="4" w:space="0" w:color="auto"/>
                    <w:right w:val="single" w:sz="4" w:space="0" w:color="auto"/>
                  </w:tcBorders>
                  <w:shd w:val="clear" w:color="000000" w:fill="CCFFCC"/>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Angina pectoris (stable angina)</w:t>
                  </w:r>
                </w:p>
              </w:tc>
              <w:tc>
                <w:tcPr>
                  <w:tcW w:w="4812" w:type="dxa"/>
                  <w:tcBorders>
                    <w:top w:val="nil"/>
                    <w:left w:val="nil"/>
                    <w:bottom w:val="single" w:sz="4" w:space="0" w:color="auto"/>
                    <w:right w:val="single" w:sz="4" w:space="0" w:color="auto"/>
                  </w:tcBorders>
                  <w:shd w:val="clear" w:color="000000" w:fill="CCFFCC"/>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Angioplasty, Stenting</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567"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r>
            <w:tr w:rsidR="005C0488" w:rsidRPr="00E42063" w:rsidTr="009E2704">
              <w:trPr>
                <w:trHeight w:val="300"/>
              </w:trPr>
              <w:tc>
                <w:tcPr>
                  <w:tcW w:w="2271" w:type="dxa"/>
                  <w:tcBorders>
                    <w:top w:val="nil"/>
                    <w:left w:val="single" w:sz="4" w:space="0" w:color="auto"/>
                    <w:bottom w:val="single" w:sz="4" w:space="0" w:color="auto"/>
                    <w:right w:val="single" w:sz="4" w:space="0" w:color="auto"/>
                  </w:tcBorders>
                  <w:shd w:val="clear" w:color="000000" w:fill="CCFFCC"/>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Angina pectoris (stable angina)</w:t>
                  </w:r>
                </w:p>
              </w:tc>
              <w:tc>
                <w:tcPr>
                  <w:tcW w:w="4812" w:type="dxa"/>
                  <w:tcBorders>
                    <w:top w:val="nil"/>
                    <w:left w:val="nil"/>
                    <w:bottom w:val="single" w:sz="4" w:space="0" w:color="auto"/>
                    <w:right w:val="single" w:sz="4" w:space="0" w:color="auto"/>
                  </w:tcBorders>
                  <w:shd w:val="clear" w:color="000000" w:fill="CCFFCC"/>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Surgery (Coronary artery bypass graft)</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567"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r>
            <w:tr w:rsidR="005C0488" w:rsidRPr="00E42063" w:rsidTr="009E2704">
              <w:trPr>
                <w:trHeight w:val="300"/>
              </w:trPr>
              <w:tc>
                <w:tcPr>
                  <w:tcW w:w="2271" w:type="dxa"/>
                  <w:tcBorders>
                    <w:top w:val="nil"/>
                    <w:left w:val="single" w:sz="4" w:space="0" w:color="auto"/>
                    <w:bottom w:val="single" w:sz="4" w:space="0" w:color="auto"/>
                    <w:right w:val="single" w:sz="4" w:space="0" w:color="auto"/>
                  </w:tcBorders>
                  <w:shd w:val="clear" w:color="000000" w:fill="CCFFCC"/>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 xml:space="preserve">Atherosclerosis </w:t>
                  </w:r>
                </w:p>
              </w:tc>
              <w:tc>
                <w:tcPr>
                  <w:tcW w:w="4812" w:type="dxa"/>
                  <w:tcBorders>
                    <w:top w:val="nil"/>
                    <w:left w:val="nil"/>
                    <w:bottom w:val="single" w:sz="4" w:space="0" w:color="auto"/>
                    <w:right w:val="single" w:sz="4" w:space="0" w:color="auto"/>
                  </w:tcBorders>
                  <w:shd w:val="clear" w:color="000000" w:fill="CCFFCC"/>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Medication (aspirin, atenolol, ACE inhibitors, Statins)</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567"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r>
            <w:tr w:rsidR="005C0488" w:rsidRPr="00E42063" w:rsidTr="009E2704">
              <w:trPr>
                <w:trHeight w:val="300"/>
              </w:trPr>
              <w:tc>
                <w:tcPr>
                  <w:tcW w:w="2271" w:type="dxa"/>
                  <w:tcBorders>
                    <w:top w:val="nil"/>
                    <w:left w:val="single" w:sz="4" w:space="0" w:color="auto"/>
                    <w:bottom w:val="single" w:sz="4" w:space="0" w:color="auto"/>
                    <w:right w:val="single" w:sz="4" w:space="0" w:color="auto"/>
                  </w:tcBorders>
                  <w:shd w:val="clear" w:color="000000" w:fill="CCFFCC"/>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 xml:space="preserve">Atherosclerosis </w:t>
                  </w:r>
                </w:p>
              </w:tc>
              <w:tc>
                <w:tcPr>
                  <w:tcW w:w="4812" w:type="dxa"/>
                  <w:tcBorders>
                    <w:top w:val="nil"/>
                    <w:left w:val="nil"/>
                    <w:bottom w:val="single" w:sz="4" w:space="0" w:color="auto"/>
                    <w:right w:val="single" w:sz="4" w:space="0" w:color="auto"/>
                  </w:tcBorders>
                  <w:shd w:val="clear" w:color="000000" w:fill="CCFFCC"/>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 xml:space="preserve"> Surgery (percutaneous transluminal coronary angioplasty - PTCA) </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567"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r>
            <w:tr w:rsidR="005C0488" w:rsidRPr="00E42063" w:rsidTr="009E2704">
              <w:trPr>
                <w:trHeight w:val="300"/>
              </w:trPr>
              <w:tc>
                <w:tcPr>
                  <w:tcW w:w="2271" w:type="dxa"/>
                  <w:tcBorders>
                    <w:top w:val="nil"/>
                    <w:left w:val="single" w:sz="4" w:space="0" w:color="auto"/>
                    <w:bottom w:val="single" w:sz="4" w:space="0" w:color="auto"/>
                    <w:right w:val="single" w:sz="4" w:space="0" w:color="auto"/>
                  </w:tcBorders>
                  <w:shd w:val="clear" w:color="000000" w:fill="CC99FF"/>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Diabetes mellitus type 2</w:t>
                  </w:r>
                </w:p>
              </w:tc>
              <w:tc>
                <w:tcPr>
                  <w:tcW w:w="4812" w:type="dxa"/>
                  <w:tcBorders>
                    <w:top w:val="nil"/>
                    <w:left w:val="nil"/>
                    <w:bottom w:val="single" w:sz="4" w:space="0" w:color="auto"/>
                    <w:right w:val="single" w:sz="4" w:space="0" w:color="auto"/>
                  </w:tcBorders>
                  <w:shd w:val="clear" w:color="000000" w:fill="CC99FF"/>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 xml:space="preserve">Foot care (patient and provider education, foot examination, foot hygiene, </w:t>
                  </w:r>
                  <w:r w:rsidR="00173A00" w:rsidRPr="00BC2CDC">
                    <w:rPr>
                      <w:rFonts w:ascii="Times New Roman" w:eastAsia="Times New Roman" w:hAnsi="Times New Roman" w:cs="Times New Roman"/>
                      <w:sz w:val="18"/>
                      <w:szCs w:val="18"/>
                      <w:lang w:val="en-GB" w:eastAsia="el-GR"/>
                    </w:rPr>
                    <w:t>appropriate</w:t>
                  </w:r>
                  <w:r w:rsidRPr="00BC2CDC">
                    <w:rPr>
                      <w:rFonts w:ascii="Times New Roman" w:eastAsia="Times New Roman" w:hAnsi="Times New Roman" w:cs="Times New Roman"/>
                      <w:sz w:val="18"/>
                      <w:szCs w:val="18"/>
                      <w:lang w:val="en-GB" w:eastAsia="el-GR"/>
                    </w:rPr>
                    <w:t xml:space="preserve"> footwear)</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567"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r>
            <w:tr w:rsidR="005C0488" w:rsidRPr="00E42063" w:rsidTr="009E2704">
              <w:trPr>
                <w:trHeight w:val="300"/>
              </w:trPr>
              <w:tc>
                <w:tcPr>
                  <w:tcW w:w="2271" w:type="dxa"/>
                  <w:tcBorders>
                    <w:top w:val="nil"/>
                    <w:left w:val="single" w:sz="4" w:space="0" w:color="auto"/>
                    <w:bottom w:val="single" w:sz="4" w:space="0" w:color="auto"/>
                    <w:right w:val="single" w:sz="4" w:space="0" w:color="auto"/>
                  </w:tcBorders>
                  <w:shd w:val="clear" w:color="000000" w:fill="CC99FF"/>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Diabetes mellitus type 2</w:t>
                  </w:r>
                </w:p>
              </w:tc>
              <w:tc>
                <w:tcPr>
                  <w:tcW w:w="4812" w:type="dxa"/>
                  <w:tcBorders>
                    <w:top w:val="nil"/>
                    <w:left w:val="nil"/>
                    <w:bottom w:val="single" w:sz="4" w:space="0" w:color="auto"/>
                    <w:right w:val="single" w:sz="4" w:space="0" w:color="auto"/>
                  </w:tcBorders>
                  <w:shd w:val="clear" w:color="000000" w:fill="CC99FF"/>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Education (patient self-</w:t>
                  </w:r>
                  <w:r w:rsidR="00173A00" w:rsidRPr="00BC2CDC">
                    <w:rPr>
                      <w:rFonts w:ascii="Times New Roman" w:eastAsia="Times New Roman" w:hAnsi="Times New Roman" w:cs="Times New Roman"/>
                      <w:sz w:val="18"/>
                      <w:szCs w:val="18"/>
                      <w:lang w:val="en-GB" w:eastAsia="el-GR"/>
                    </w:rPr>
                    <w:t>management</w:t>
                  </w:r>
                  <w:r w:rsidRPr="00BC2CDC">
                    <w:rPr>
                      <w:rFonts w:ascii="Times New Roman" w:eastAsia="Times New Roman" w:hAnsi="Times New Roman" w:cs="Times New Roman"/>
                      <w:sz w:val="18"/>
                      <w:szCs w:val="18"/>
                      <w:lang w:val="en-GB" w:eastAsia="el-GR"/>
                    </w:rPr>
                    <w:t>)</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567"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r>
            <w:tr w:rsidR="005C0488" w:rsidRPr="00E42063" w:rsidTr="009E2704">
              <w:trPr>
                <w:trHeight w:val="300"/>
              </w:trPr>
              <w:tc>
                <w:tcPr>
                  <w:tcW w:w="2271" w:type="dxa"/>
                  <w:tcBorders>
                    <w:top w:val="nil"/>
                    <w:left w:val="single" w:sz="4" w:space="0" w:color="auto"/>
                    <w:bottom w:val="single" w:sz="4" w:space="0" w:color="auto"/>
                    <w:right w:val="single" w:sz="4" w:space="0" w:color="auto"/>
                  </w:tcBorders>
                  <w:shd w:val="clear" w:color="000000" w:fill="FFCC99"/>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 xml:space="preserve">MN of colon, rectum and anus </w:t>
                  </w:r>
                </w:p>
              </w:tc>
              <w:tc>
                <w:tcPr>
                  <w:tcW w:w="4812" w:type="dxa"/>
                  <w:tcBorders>
                    <w:top w:val="nil"/>
                    <w:left w:val="nil"/>
                    <w:bottom w:val="single" w:sz="4" w:space="0" w:color="auto"/>
                    <w:right w:val="single" w:sz="4" w:space="0" w:color="auto"/>
                  </w:tcBorders>
                  <w:shd w:val="clear" w:color="000000" w:fill="FFCC99"/>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Surgery with/without adjuvant treatment (a)</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567"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r>
            <w:tr w:rsidR="005C0488" w:rsidRPr="00E42063" w:rsidTr="009E2704">
              <w:trPr>
                <w:trHeight w:val="300"/>
              </w:trPr>
              <w:tc>
                <w:tcPr>
                  <w:tcW w:w="2271" w:type="dxa"/>
                  <w:tcBorders>
                    <w:top w:val="nil"/>
                    <w:left w:val="single" w:sz="4" w:space="0" w:color="auto"/>
                    <w:bottom w:val="single" w:sz="4" w:space="0" w:color="auto"/>
                    <w:right w:val="single" w:sz="4" w:space="0" w:color="auto"/>
                  </w:tcBorders>
                  <w:shd w:val="clear" w:color="000000" w:fill="FFCC99"/>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 xml:space="preserve">MN of prostate </w:t>
                  </w:r>
                </w:p>
              </w:tc>
              <w:tc>
                <w:tcPr>
                  <w:tcW w:w="4812" w:type="dxa"/>
                  <w:tcBorders>
                    <w:top w:val="nil"/>
                    <w:left w:val="nil"/>
                    <w:bottom w:val="single" w:sz="4" w:space="0" w:color="auto"/>
                    <w:right w:val="single" w:sz="4" w:space="0" w:color="auto"/>
                  </w:tcBorders>
                  <w:shd w:val="clear" w:color="000000" w:fill="FFCC99"/>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Monitor cancer (Watchful Waiting, Active Surveillance)</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567"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r>
            <w:tr w:rsidR="005C0488" w:rsidRPr="00E42063" w:rsidTr="009E2704">
              <w:trPr>
                <w:trHeight w:val="300"/>
              </w:trPr>
              <w:tc>
                <w:tcPr>
                  <w:tcW w:w="2271" w:type="dxa"/>
                  <w:tcBorders>
                    <w:top w:val="nil"/>
                    <w:left w:val="single" w:sz="4" w:space="0" w:color="auto"/>
                    <w:bottom w:val="single" w:sz="4" w:space="0" w:color="auto"/>
                    <w:right w:val="single" w:sz="4" w:space="0" w:color="auto"/>
                  </w:tcBorders>
                  <w:shd w:val="clear" w:color="000000" w:fill="FFCC99"/>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 xml:space="preserve">MN of prostate </w:t>
                  </w:r>
                </w:p>
              </w:tc>
              <w:tc>
                <w:tcPr>
                  <w:tcW w:w="4812" w:type="dxa"/>
                  <w:tcBorders>
                    <w:top w:val="nil"/>
                    <w:left w:val="nil"/>
                    <w:bottom w:val="single" w:sz="4" w:space="0" w:color="auto"/>
                    <w:right w:val="single" w:sz="4" w:space="0" w:color="auto"/>
                  </w:tcBorders>
                  <w:shd w:val="clear" w:color="000000" w:fill="FFCC99"/>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Surgery with/without adjuvant treatment (c)</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567"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r>
            <w:tr w:rsidR="005C0488" w:rsidRPr="00E42063" w:rsidTr="009E2704">
              <w:trPr>
                <w:trHeight w:val="300"/>
              </w:trPr>
              <w:tc>
                <w:tcPr>
                  <w:tcW w:w="2271" w:type="dxa"/>
                  <w:tcBorders>
                    <w:top w:val="nil"/>
                    <w:left w:val="single" w:sz="4" w:space="0" w:color="auto"/>
                    <w:bottom w:val="single" w:sz="4" w:space="0" w:color="auto"/>
                    <w:right w:val="single" w:sz="4" w:space="0" w:color="auto"/>
                  </w:tcBorders>
                  <w:shd w:val="clear" w:color="000000" w:fill="FFCC99"/>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 xml:space="preserve">MN of the female breast </w:t>
                  </w:r>
                </w:p>
              </w:tc>
              <w:tc>
                <w:tcPr>
                  <w:tcW w:w="4812" w:type="dxa"/>
                  <w:tcBorders>
                    <w:top w:val="nil"/>
                    <w:left w:val="nil"/>
                    <w:bottom w:val="single" w:sz="4" w:space="0" w:color="auto"/>
                    <w:right w:val="single" w:sz="4" w:space="0" w:color="auto"/>
                  </w:tcBorders>
                  <w:shd w:val="clear" w:color="000000" w:fill="FFCC99"/>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Surgery (</w:t>
                  </w:r>
                  <w:r w:rsidR="001D3A0A" w:rsidRPr="00BC2CDC">
                    <w:rPr>
                      <w:rFonts w:ascii="Times New Roman" w:eastAsia="Times New Roman" w:hAnsi="Times New Roman" w:cs="Times New Roman"/>
                      <w:sz w:val="18"/>
                      <w:szCs w:val="18"/>
                      <w:lang w:val="en-GB" w:eastAsia="el-GR"/>
                    </w:rPr>
                    <w:t>Lumpectomy</w:t>
                  </w:r>
                  <w:r w:rsidRPr="00BC2CDC">
                    <w:rPr>
                      <w:rFonts w:ascii="Times New Roman" w:eastAsia="Times New Roman" w:hAnsi="Times New Roman" w:cs="Times New Roman"/>
                      <w:sz w:val="18"/>
                      <w:szCs w:val="18"/>
                      <w:lang w:val="en-GB" w:eastAsia="el-GR"/>
                    </w:rPr>
                    <w:t>, Mastectomy) with adjuvant treatment (b)</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567"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r>
            <w:tr w:rsidR="005C0488" w:rsidRPr="00E42063" w:rsidTr="009E2704">
              <w:trPr>
                <w:trHeight w:val="300"/>
              </w:trPr>
              <w:tc>
                <w:tcPr>
                  <w:tcW w:w="2271" w:type="dxa"/>
                  <w:tcBorders>
                    <w:top w:val="nil"/>
                    <w:left w:val="single" w:sz="4" w:space="0" w:color="auto"/>
                    <w:bottom w:val="single" w:sz="4" w:space="0" w:color="auto"/>
                    <w:right w:val="single" w:sz="4" w:space="0" w:color="auto"/>
                  </w:tcBorders>
                  <w:shd w:val="clear" w:color="000000" w:fill="CCFFCC"/>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Angina pectoris (stable angina)</w:t>
                  </w:r>
                </w:p>
              </w:tc>
              <w:tc>
                <w:tcPr>
                  <w:tcW w:w="4812" w:type="dxa"/>
                  <w:tcBorders>
                    <w:top w:val="nil"/>
                    <w:left w:val="nil"/>
                    <w:bottom w:val="single" w:sz="4" w:space="0" w:color="auto"/>
                    <w:right w:val="single" w:sz="4" w:space="0" w:color="auto"/>
                  </w:tcBorders>
                  <w:shd w:val="clear" w:color="000000" w:fill="CCFFCC"/>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Medication (Atenolol, ACE inhibitors, Beta-Blockers)</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16</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16</w:t>
                  </w:r>
                </w:p>
              </w:tc>
              <w:tc>
                <w:tcPr>
                  <w:tcW w:w="567"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16</w:t>
                  </w:r>
                </w:p>
              </w:tc>
            </w:tr>
            <w:tr w:rsidR="005C0488" w:rsidRPr="00E42063" w:rsidTr="009E2704">
              <w:trPr>
                <w:trHeight w:val="300"/>
              </w:trPr>
              <w:tc>
                <w:tcPr>
                  <w:tcW w:w="2271" w:type="dxa"/>
                  <w:tcBorders>
                    <w:top w:val="nil"/>
                    <w:left w:val="single" w:sz="4" w:space="0" w:color="auto"/>
                    <w:bottom w:val="single" w:sz="4" w:space="0" w:color="auto"/>
                    <w:right w:val="single" w:sz="4" w:space="0" w:color="auto"/>
                  </w:tcBorders>
                  <w:shd w:val="clear" w:color="000000" w:fill="99CCFF"/>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Asthma control</w:t>
                  </w:r>
                </w:p>
              </w:tc>
              <w:tc>
                <w:tcPr>
                  <w:tcW w:w="4812" w:type="dxa"/>
                  <w:tcBorders>
                    <w:top w:val="nil"/>
                    <w:left w:val="nil"/>
                    <w:bottom w:val="single" w:sz="4" w:space="0" w:color="auto"/>
                    <w:right w:val="single" w:sz="4" w:space="0" w:color="auto"/>
                  </w:tcBorders>
                  <w:shd w:val="clear" w:color="000000" w:fill="99CCFF"/>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Medication (inhaled ipratropium bromide, rapid-acting bronchodilators, inhaled corticosteroid)</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16</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16</w:t>
                  </w:r>
                </w:p>
              </w:tc>
              <w:tc>
                <w:tcPr>
                  <w:tcW w:w="567"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16</w:t>
                  </w:r>
                </w:p>
              </w:tc>
            </w:tr>
            <w:tr w:rsidR="005C0488" w:rsidRPr="00E42063" w:rsidTr="009E2704">
              <w:trPr>
                <w:trHeight w:val="300"/>
              </w:trPr>
              <w:tc>
                <w:tcPr>
                  <w:tcW w:w="2271" w:type="dxa"/>
                  <w:tcBorders>
                    <w:top w:val="nil"/>
                    <w:left w:val="single" w:sz="4" w:space="0" w:color="auto"/>
                    <w:bottom w:val="single" w:sz="4" w:space="0" w:color="auto"/>
                    <w:right w:val="single" w:sz="4" w:space="0" w:color="auto"/>
                  </w:tcBorders>
                  <w:shd w:val="clear" w:color="000000" w:fill="99CCFF"/>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Chronic obstructive pulmonary disease (COPD) - Stage 1-2</w:t>
                  </w:r>
                </w:p>
              </w:tc>
              <w:tc>
                <w:tcPr>
                  <w:tcW w:w="4812" w:type="dxa"/>
                  <w:tcBorders>
                    <w:top w:val="nil"/>
                    <w:left w:val="nil"/>
                    <w:bottom w:val="single" w:sz="4" w:space="0" w:color="auto"/>
                    <w:right w:val="single" w:sz="4" w:space="0" w:color="auto"/>
                  </w:tcBorders>
                  <w:shd w:val="clear" w:color="000000" w:fill="99CCFF"/>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Medication (inhaled ipratropium bromide, rapid-acting bronchodilators, inhaled corticosteroid)</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16</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16</w:t>
                  </w:r>
                </w:p>
              </w:tc>
              <w:tc>
                <w:tcPr>
                  <w:tcW w:w="567"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16</w:t>
                  </w:r>
                </w:p>
              </w:tc>
            </w:tr>
            <w:tr w:rsidR="005C0488" w:rsidRPr="00E42063" w:rsidTr="009E2704">
              <w:trPr>
                <w:trHeight w:val="300"/>
              </w:trPr>
              <w:tc>
                <w:tcPr>
                  <w:tcW w:w="2271" w:type="dxa"/>
                  <w:tcBorders>
                    <w:top w:val="nil"/>
                    <w:left w:val="single" w:sz="4" w:space="0" w:color="auto"/>
                    <w:bottom w:val="single" w:sz="4" w:space="0" w:color="auto"/>
                    <w:right w:val="single" w:sz="4" w:space="0" w:color="auto"/>
                  </w:tcBorders>
                  <w:shd w:val="clear" w:color="000000" w:fill="CCFFCC"/>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Congestive Heart Failure (CHF)</w:t>
                  </w:r>
                </w:p>
              </w:tc>
              <w:tc>
                <w:tcPr>
                  <w:tcW w:w="4812" w:type="dxa"/>
                  <w:tcBorders>
                    <w:top w:val="nil"/>
                    <w:left w:val="nil"/>
                    <w:bottom w:val="single" w:sz="4" w:space="0" w:color="auto"/>
                    <w:right w:val="single" w:sz="4" w:space="0" w:color="auto"/>
                  </w:tcBorders>
                  <w:shd w:val="clear" w:color="000000" w:fill="CCFFCC"/>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Medication (ACE inhibitors, Beta-Blockers)</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16</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16</w:t>
                  </w:r>
                </w:p>
              </w:tc>
              <w:tc>
                <w:tcPr>
                  <w:tcW w:w="567"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16</w:t>
                  </w:r>
                </w:p>
              </w:tc>
            </w:tr>
            <w:tr w:rsidR="005C0488" w:rsidRPr="00E42063" w:rsidTr="009E2704">
              <w:trPr>
                <w:trHeight w:val="300"/>
              </w:trPr>
              <w:tc>
                <w:tcPr>
                  <w:tcW w:w="2271" w:type="dxa"/>
                  <w:tcBorders>
                    <w:top w:val="nil"/>
                    <w:left w:val="single" w:sz="4" w:space="0" w:color="auto"/>
                    <w:bottom w:val="single" w:sz="4" w:space="0" w:color="auto"/>
                    <w:right w:val="single" w:sz="4" w:space="0" w:color="auto"/>
                  </w:tcBorders>
                  <w:shd w:val="clear" w:color="000000" w:fill="CC99FF"/>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Diabetes mellitus type 2</w:t>
                  </w:r>
                </w:p>
              </w:tc>
              <w:tc>
                <w:tcPr>
                  <w:tcW w:w="4812" w:type="dxa"/>
                  <w:tcBorders>
                    <w:top w:val="nil"/>
                    <w:left w:val="nil"/>
                    <w:bottom w:val="single" w:sz="4" w:space="0" w:color="auto"/>
                    <w:right w:val="single" w:sz="4" w:space="0" w:color="auto"/>
                  </w:tcBorders>
                  <w:shd w:val="clear" w:color="000000" w:fill="CC99FF"/>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Glucose control (insulin, oral glucose-lowering agents)</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16</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16</w:t>
                  </w:r>
                </w:p>
              </w:tc>
              <w:tc>
                <w:tcPr>
                  <w:tcW w:w="567"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16</w:t>
                  </w:r>
                </w:p>
              </w:tc>
            </w:tr>
            <w:tr w:rsidR="005C0488" w:rsidRPr="00E42063" w:rsidTr="009E2704">
              <w:trPr>
                <w:trHeight w:val="300"/>
              </w:trPr>
              <w:tc>
                <w:tcPr>
                  <w:tcW w:w="2271" w:type="dxa"/>
                  <w:tcBorders>
                    <w:top w:val="nil"/>
                    <w:left w:val="single" w:sz="4" w:space="0" w:color="auto"/>
                    <w:bottom w:val="single" w:sz="4" w:space="0" w:color="auto"/>
                    <w:right w:val="single" w:sz="4" w:space="0" w:color="auto"/>
                  </w:tcBorders>
                  <w:shd w:val="clear" w:color="000000" w:fill="CCFFCC"/>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 xml:space="preserve">High blood </w:t>
                  </w:r>
                  <w:r w:rsidR="00173A00" w:rsidRPr="00BC2CDC">
                    <w:rPr>
                      <w:rFonts w:ascii="Times New Roman" w:eastAsia="Times New Roman" w:hAnsi="Times New Roman" w:cs="Times New Roman"/>
                      <w:sz w:val="18"/>
                      <w:szCs w:val="18"/>
                      <w:lang w:val="en-GB" w:eastAsia="el-GR"/>
                    </w:rPr>
                    <w:t>cholesterol</w:t>
                  </w:r>
                </w:p>
              </w:tc>
              <w:tc>
                <w:tcPr>
                  <w:tcW w:w="4812" w:type="dxa"/>
                  <w:tcBorders>
                    <w:top w:val="nil"/>
                    <w:left w:val="nil"/>
                    <w:bottom w:val="single" w:sz="4" w:space="0" w:color="auto"/>
                    <w:right w:val="single" w:sz="4" w:space="0" w:color="auto"/>
                  </w:tcBorders>
                  <w:shd w:val="clear" w:color="000000" w:fill="CCFFCC"/>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Medication (Statins)</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16</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16</w:t>
                  </w:r>
                </w:p>
              </w:tc>
              <w:tc>
                <w:tcPr>
                  <w:tcW w:w="567"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16</w:t>
                  </w:r>
                </w:p>
              </w:tc>
            </w:tr>
            <w:tr w:rsidR="005C0488" w:rsidRPr="00E42063" w:rsidTr="009E2704">
              <w:trPr>
                <w:trHeight w:val="300"/>
              </w:trPr>
              <w:tc>
                <w:tcPr>
                  <w:tcW w:w="2271" w:type="dxa"/>
                  <w:tcBorders>
                    <w:top w:val="nil"/>
                    <w:left w:val="single" w:sz="4" w:space="0" w:color="auto"/>
                    <w:bottom w:val="single" w:sz="4" w:space="0" w:color="auto"/>
                    <w:right w:val="single" w:sz="4" w:space="0" w:color="auto"/>
                  </w:tcBorders>
                  <w:shd w:val="clear" w:color="000000" w:fill="CCFFCC"/>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Hypertension</w:t>
                  </w:r>
                </w:p>
              </w:tc>
              <w:tc>
                <w:tcPr>
                  <w:tcW w:w="4812" w:type="dxa"/>
                  <w:tcBorders>
                    <w:top w:val="nil"/>
                    <w:left w:val="nil"/>
                    <w:bottom w:val="single" w:sz="4" w:space="0" w:color="auto"/>
                    <w:right w:val="single" w:sz="4" w:space="0" w:color="auto"/>
                  </w:tcBorders>
                  <w:shd w:val="clear" w:color="000000" w:fill="CCFFCC"/>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Medication (ACE inhibitors, beta-blockers)</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16</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16</w:t>
                  </w:r>
                </w:p>
              </w:tc>
              <w:tc>
                <w:tcPr>
                  <w:tcW w:w="567"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16</w:t>
                  </w:r>
                </w:p>
              </w:tc>
            </w:tr>
            <w:tr w:rsidR="005C0488" w:rsidRPr="00E42063" w:rsidTr="009E2704">
              <w:trPr>
                <w:trHeight w:val="300"/>
              </w:trPr>
              <w:tc>
                <w:tcPr>
                  <w:tcW w:w="2271" w:type="dxa"/>
                  <w:tcBorders>
                    <w:top w:val="nil"/>
                    <w:left w:val="single" w:sz="4" w:space="0" w:color="auto"/>
                    <w:bottom w:val="single" w:sz="4" w:space="0" w:color="auto"/>
                    <w:right w:val="single" w:sz="4" w:space="0" w:color="auto"/>
                  </w:tcBorders>
                  <w:shd w:val="clear" w:color="000000" w:fill="FFCC99"/>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MN of colon, rectum and anus</w:t>
                  </w:r>
                </w:p>
              </w:tc>
              <w:tc>
                <w:tcPr>
                  <w:tcW w:w="4812" w:type="dxa"/>
                  <w:tcBorders>
                    <w:top w:val="nil"/>
                    <w:left w:val="nil"/>
                    <w:bottom w:val="single" w:sz="4" w:space="0" w:color="auto"/>
                    <w:right w:val="single" w:sz="4" w:space="0" w:color="auto"/>
                  </w:tcBorders>
                  <w:shd w:val="clear" w:color="000000" w:fill="FFCC99"/>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Screening (Fecal occult blood testing (FOBT), Colonoscopy, Sigmoidoscopy)</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16</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16</w:t>
                  </w:r>
                </w:p>
              </w:tc>
              <w:tc>
                <w:tcPr>
                  <w:tcW w:w="567"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16</w:t>
                  </w:r>
                </w:p>
              </w:tc>
            </w:tr>
            <w:tr w:rsidR="005C0488" w:rsidRPr="00E42063" w:rsidTr="009E2704">
              <w:trPr>
                <w:trHeight w:val="300"/>
              </w:trPr>
              <w:tc>
                <w:tcPr>
                  <w:tcW w:w="2271" w:type="dxa"/>
                  <w:tcBorders>
                    <w:top w:val="nil"/>
                    <w:left w:val="single" w:sz="4" w:space="0" w:color="auto"/>
                    <w:bottom w:val="single" w:sz="4" w:space="0" w:color="auto"/>
                    <w:right w:val="single" w:sz="4" w:space="0" w:color="auto"/>
                  </w:tcBorders>
                  <w:shd w:val="clear" w:color="000000" w:fill="FFCC99"/>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lastRenderedPageBreak/>
                    <w:t xml:space="preserve">MN of the female breast </w:t>
                  </w:r>
                </w:p>
              </w:tc>
              <w:tc>
                <w:tcPr>
                  <w:tcW w:w="4812" w:type="dxa"/>
                  <w:tcBorders>
                    <w:top w:val="nil"/>
                    <w:left w:val="nil"/>
                    <w:bottom w:val="single" w:sz="4" w:space="0" w:color="auto"/>
                    <w:right w:val="single" w:sz="4" w:space="0" w:color="auto"/>
                  </w:tcBorders>
                  <w:shd w:val="clear" w:color="000000" w:fill="FFCC99"/>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Screening (self-examination, clinical breast examination, ultrasound, mammography)</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16</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16</w:t>
                  </w:r>
                </w:p>
              </w:tc>
              <w:tc>
                <w:tcPr>
                  <w:tcW w:w="567"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16</w:t>
                  </w:r>
                </w:p>
              </w:tc>
            </w:tr>
            <w:tr w:rsidR="005C0488" w:rsidRPr="00E42063" w:rsidTr="009E2704">
              <w:trPr>
                <w:trHeight w:val="300"/>
              </w:trPr>
              <w:tc>
                <w:tcPr>
                  <w:tcW w:w="2271" w:type="dxa"/>
                  <w:tcBorders>
                    <w:top w:val="nil"/>
                    <w:left w:val="single" w:sz="4" w:space="0" w:color="auto"/>
                    <w:bottom w:val="single" w:sz="4" w:space="0" w:color="auto"/>
                    <w:right w:val="single" w:sz="4" w:space="0" w:color="auto"/>
                  </w:tcBorders>
                  <w:shd w:val="clear" w:color="000000" w:fill="FFFF99"/>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Unhealthy diet</w:t>
                  </w:r>
                </w:p>
              </w:tc>
              <w:tc>
                <w:tcPr>
                  <w:tcW w:w="4812" w:type="dxa"/>
                  <w:tcBorders>
                    <w:top w:val="nil"/>
                    <w:left w:val="nil"/>
                    <w:bottom w:val="single" w:sz="4" w:space="0" w:color="auto"/>
                    <w:right w:val="single" w:sz="4" w:space="0" w:color="auto"/>
                  </w:tcBorders>
                  <w:shd w:val="clear" w:color="000000" w:fill="FFFF99"/>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Reduce salt intake</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16</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16</w:t>
                  </w:r>
                </w:p>
              </w:tc>
              <w:tc>
                <w:tcPr>
                  <w:tcW w:w="567"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16</w:t>
                  </w:r>
                </w:p>
              </w:tc>
            </w:tr>
            <w:tr w:rsidR="005C0488" w:rsidRPr="00E42063" w:rsidTr="009E2704">
              <w:trPr>
                <w:trHeight w:val="300"/>
              </w:trPr>
              <w:tc>
                <w:tcPr>
                  <w:tcW w:w="2271" w:type="dxa"/>
                  <w:tcBorders>
                    <w:top w:val="nil"/>
                    <w:left w:val="single" w:sz="4" w:space="0" w:color="auto"/>
                    <w:bottom w:val="single" w:sz="4" w:space="0" w:color="auto"/>
                    <w:right w:val="single" w:sz="4" w:space="0" w:color="auto"/>
                  </w:tcBorders>
                  <w:shd w:val="clear" w:color="000000" w:fill="99CCFF"/>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Chronic obstructive pulmonary disease (COPD) - Stage 3-4</w:t>
                  </w:r>
                </w:p>
              </w:tc>
              <w:tc>
                <w:tcPr>
                  <w:tcW w:w="4812" w:type="dxa"/>
                  <w:tcBorders>
                    <w:top w:val="nil"/>
                    <w:left w:val="nil"/>
                    <w:bottom w:val="single" w:sz="4" w:space="0" w:color="auto"/>
                    <w:right w:val="single" w:sz="4" w:space="0" w:color="auto"/>
                  </w:tcBorders>
                  <w:shd w:val="clear" w:color="000000" w:fill="99CCFF"/>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Home oxygen therapy</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26</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26</w:t>
                  </w:r>
                </w:p>
              </w:tc>
              <w:tc>
                <w:tcPr>
                  <w:tcW w:w="567"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27</w:t>
                  </w:r>
                </w:p>
              </w:tc>
            </w:tr>
            <w:tr w:rsidR="005C0488" w:rsidRPr="00E42063" w:rsidTr="009E2704">
              <w:trPr>
                <w:trHeight w:val="300"/>
              </w:trPr>
              <w:tc>
                <w:tcPr>
                  <w:tcW w:w="2271" w:type="dxa"/>
                  <w:tcBorders>
                    <w:top w:val="nil"/>
                    <w:left w:val="single" w:sz="4" w:space="0" w:color="auto"/>
                    <w:bottom w:val="single" w:sz="4" w:space="0" w:color="auto"/>
                    <w:right w:val="single" w:sz="4" w:space="0" w:color="auto"/>
                  </w:tcBorders>
                  <w:shd w:val="clear" w:color="000000" w:fill="FFCC99"/>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 xml:space="preserve">MN of larynx and trachea, bronchus, lung </w:t>
                  </w:r>
                </w:p>
              </w:tc>
              <w:tc>
                <w:tcPr>
                  <w:tcW w:w="4812" w:type="dxa"/>
                  <w:tcBorders>
                    <w:top w:val="nil"/>
                    <w:left w:val="nil"/>
                    <w:bottom w:val="single" w:sz="4" w:space="0" w:color="auto"/>
                    <w:right w:val="single" w:sz="4" w:space="0" w:color="auto"/>
                  </w:tcBorders>
                  <w:shd w:val="clear" w:color="000000" w:fill="FFCC99"/>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Surgery with/without adjuvant treatment (a)</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26</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26</w:t>
                  </w:r>
                </w:p>
              </w:tc>
              <w:tc>
                <w:tcPr>
                  <w:tcW w:w="567"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27</w:t>
                  </w:r>
                </w:p>
              </w:tc>
            </w:tr>
            <w:tr w:rsidR="005C0488" w:rsidRPr="00E42063" w:rsidTr="009E2704">
              <w:trPr>
                <w:trHeight w:val="300"/>
              </w:trPr>
              <w:tc>
                <w:tcPr>
                  <w:tcW w:w="2271" w:type="dxa"/>
                  <w:tcBorders>
                    <w:top w:val="nil"/>
                    <w:left w:val="single" w:sz="4" w:space="0" w:color="auto"/>
                    <w:bottom w:val="single" w:sz="4" w:space="0" w:color="auto"/>
                    <w:right w:val="single" w:sz="4" w:space="0" w:color="auto"/>
                  </w:tcBorders>
                  <w:shd w:val="clear" w:color="000000" w:fill="CCFFCC"/>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Congestive Heart Failure (CHF)</w:t>
                  </w:r>
                </w:p>
              </w:tc>
              <w:tc>
                <w:tcPr>
                  <w:tcW w:w="4812" w:type="dxa"/>
                  <w:tcBorders>
                    <w:top w:val="nil"/>
                    <w:left w:val="nil"/>
                    <w:bottom w:val="single" w:sz="4" w:space="0" w:color="auto"/>
                    <w:right w:val="single" w:sz="4" w:space="0" w:color="auto"/>
                  </w:tcBorders>
                  <w:shd w:val="clear" w:color="000000" w:fill="CCFFCC"/>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Surgery (Coronary artery bypass graft)</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28</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28</w:t>
                  </w:r>
                </w:p>
              </w:tc>
              <w:tc>
                <w:tcPr>
                  <w:tcW w:w="567"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26</w:t>
                  </w:r>
                </w:p>
              </w:tc>
            </w:tr>
            <w:tr w:rsidR="005C0488" w:rsidRPr="00E42063" w:rsidTr="009E2704">
              <w:trPr>
                <w:trHeight w:val="300"/>
              </w:trPr>
              <w:tc>
                <w:tcPr>
                  <w:tcW w:w="2271" w:type="dxa"/>
                  <w:tcBorders>
                    <w:top w:val="nil"/>
                    <w:left w:val="single" w:sz="4" w:space="0" w:color="auto"/>
                    <w:bottom w:val="single" w:sz="4" w:space="0" w:color="auto"/>
                    <w:right w:val="single" w:sz="4" w:space="0" w:color="auto"/>
                  </w:tcBorders>
                  <w:shd w:val="clear" w:color="000000" w:fill="FFFF99"/>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 xml:space="preserve">Harmful alcohol use </w:t>
                  </w:r>
                </w:p>
              </w:tc>
              <w:tc>
                <w:tcPr>
                  <w:tcW w:w="4812" w:type="dxa"/>
                  <w:tcBorders>
                    <w:top w:val="nil"/>
                    <w:left w:val="nil"/>
                    <w:bottom w:val="single" w:sz="4" w:space="0" w:color="auto"/>
                    <w:right w:val="single" w:sz="4" w:space="0" w:color="auto"/>
                  </w:tcBorders>
                  <w:shd w:val="clear" w:color="000000" w:fill="FFFF99"/>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Raise tax on alcohol</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29</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29</w:t>
                  </w:r>
                </w:p>
              </w:tc>
              <w:tc>
                <w:tcPr>
                  <w:tcW w:w="567"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33</w:t>
                  </w:r>
                </w:p>
              </w:tc>
            </w:tr>
            <w:tr w:rsidR="005C0488" w:rsidRPr="00E42063" w:rsidTr="009E2704">
              <w:trPr>
                <w:trHeight w:val="300"/>
              </w:trPr>
              <w:tc>
                <w:tcPr>
                  <w:tcW w:w="2271" w:type="dxa"/>
                  <w:tcBorders>
                    <w:top w:val="nil"/>
                    <w:left w:val="single" w:sz="4" w:space="0" w:color="auto"/>
                    <w:bottom w:val="single" w:sz="4" w:space="0" w:color="auto"/>
                    <w:right w:val="single" w:sz="4" w:space="0" w:color="auto"/>
                  </w:tcBorders>
                  <w:shd w:val="clear" w:color="000000" w:fill="FFFF99"/>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 xml:space="preserve">Harmful alcohol use </w:t>
                  </w:r>
                </w:p>
              </w:tc>
              <w:tc>
                <w:tcPr>
                  <w:tcW w:w="4812" w:type="dxa"/>
                  <w:tcBorders>
                    <w:top w:val="nil"/>
                    <w:left w:val="nil"/>
                    <w:bottom w:val="single" w:sz="4" w:space="0" w:color="auto"/>
                    <w:right w:val="single" w:sz="4" w:space="0" w:color="auto"/>
                  </w:tcBorders>
                  <w:shd w:val="clear" w:color="000000" w:fill="FFFF99"/>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Enforce bans on alcohol advertising</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29</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29</w:t>
                  </w:r>
                </w:p>
              </w:tc>
              <w:tc>
                <w:tcPr>
                  <w:tcW w:w="567"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33</w:t>
                  </w:r>
                </w:p>
              </w:tc>
            </w:tr>
            <w:tr w:rsidR="005C0488" w:rsidRPr="00E42063" w:rsidTr="009E2704">
              <w:trPr>
                <w:trHeight w:val="300"/>
              </w:trPr>
              <w:tc>
                <w:tcPr>
                  <w:tcW w:w="2271" w:type="dxa"/>
                  <w:tcBorders>
                    <w:top w:val="nil"/>
                    <w:left w:val="single" w:sz="4" w:space="0" w:color="auto"/>
                    <w:bottom w:val="single" w:sz="4" w:space="0" w:color="auto"/>
                    <w:right w:val="single" w:sz="4" w:space="0" w:color="auto"/>
                  </w:tcBorders>
                  <w:shd w:val="clear" w:color="000000" w:fill="FFFF99"/>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Physical Inactivity</w:t>
                  </w:r>
                </w:p>
              </w:tc>
              <w:tc>
                <w:tcPr>
                  <w:tcW w:w="4812" w:type="dxa"/>
                  <w:tcBorders>
                    <w:top w:val="nil"/>
                    <w:left w:val="nil"/>
                    <w:bottom w:val="single" w:sz="4" w:space="0" w:color="auto"/>
                    <w:right w:val="single" w:sz="4" w:space="0" w:color="auto"/>
                  </w:tcBorders>
                  <w:shd w:val="clear" w:color="000000" w:fill="FFFF99"/>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Promote physical activity in mass media</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29</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29</w:t>
                  </w:r>
                </w:p>
              </w:tc>
              <w:tc>
                <w:tcPr>
                  <w:tcW w:w="567"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33</w:t>
                  </w:r>
                </w:p>
              </w:tc>
            </w:tr>
            <w:tr w:rsidR="005C0488" w:rsidRPr="00E42063" w:rsidTr="009E2704">
              <w:trPr>
                <w:trHeight w:val="300"/>
              </w:trPr>
              <w:tc>
                <w:tcPr>
                  <w:tcW w:w="2271" w:type="dxa"/>
                  <w:tcBorders>
                    <w:top w:val="nil"/>
                    <w:left w:val="single" w:sz="4" w:space="0" w:color="auto"/>
                    <w:bottom w:val="single" w:sz="4" w:space="0" w:color="auto"/>
                    <w:right w:val="single" w:sz="4" w:space="0" w:color="auto"/>
                  </w:tcBorders>
                  <w:shd w:val="clear" w:color="000000" w:fill="FFFF99"/>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Tobacco use</w:t>
                  </w:r>
                </w:p>
              </w:tc>
              <w:tc>
                <w:tcPr>
                  <w:tcW w:w="4812" w:type="dxa"/>
                  <w:tcBorders>
                    <w:top w:val="nil"/>
                    <w:left w:val="nil"/>
                    <w:bottom w:val="single" w:sz="4" w:space="0" w:color="auto"/>
                    <w:right w:val="single" w:sz="4" w:space="0" w:color="auto"/>
                  </w:tcBorders>
                  <w:shd w:val="clear" w:color="000000" w:fill="FFFF99"/>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Raise tax on tobacco</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29</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29</w:t>
                  </w:r>
                </w:p>
              </w:tc>
              <w:tc>
                <w:tcPr>
                  <w:tcW w:w="567"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33</w:t>
                  </w:r>
                </w:p>
              </w:tc>
            </w:tr>
            <w:tr w:rsidR="005C0488" w:rsidRPr="00E42063" w:rsidTr="009E2704">
              <w:trPr>
                <w:trHeight w:val="300"/>
              </w:trPr>
              <w:tc>
                <w:tcPr>
                  <w:tcW w:w="2271" w:type="dxa"/>
                  <w:tcBorders>
                    <w:top w:val="nil"/>
                    <w:left w:val="single" w:sz="4" w:space="0" w:color="auto"/>
                    <w:bottom w:val="single" w:sz="4" w:space="0" w:color="auto"/>
                    <w:right w:val="single" w:sz="4" w:space="0" w:color="auto"/>
                  </w:tcBorders>
                  <w:shd w:val="clear" w:color="000000" w:fill="FFFF99"/>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Tobacco use</w:t>
                  </w:r>
                </w:p>
              </w:tc>
              <w:tc>
                <w:tcPr>
                  <w:tcW w:w="4812" w:type="dxa"/>
                  <w:tcBorders>
                    <w:top w:val="nil"/>
                    <w:left w:val="nil"/>
                    <w:bottom w:val="single" w:sz="4" w:space="0" w:color="auto"/>
                    <w:right w:val="single" w:sz="4" w:space="0" w:color="auto"/>
                  </w:tcBorders>
                  <w:shd w:val="clear" w:color="000000" w:fill="FFFF99"/>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Enforce bans on tobacco advertising</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29</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29</w:t>
                  </w:r>
                </w:p>
              </w:tc>
              <w:tc>
                <w:tcPr>
                  <w:tcW w:w="567"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33</w:t>
                  </w:r>
                </w:p>
              </w:tc>
            </w:tr>
            <w:tr w:rsidR="005C0488" w:rsidRPr="00E42063" w:rsidTr="009E2704">
              <w:trPr>
                <w:trHeight w:val="300"/>
              </w:trPr>
              <w:tc>
                <w:tcPr>
                  <w:tcW w:w="2271" w:type="dxa"/>
                  <w:tcBorders>
                    <w:top w:val="nil"/>
                    <w:left w:val="single" w:sz="4" w:space="0" w:color="auto"/>
                    <w:bottom w:val="single" w:sz="4" w:space="0" w:color="auto"/>
                    <w:right w:val="single" w:sz="4" w:space="0" w:color="auto"/>
                  </w:tcBorders>
                  <w:shd w:val="clear" w:color="000000" w:fill="FFFF99"/>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Tobacco use</w:t>
                  </w:r>
                </w:p>
              </w:tc>
              <w:tc>
                <w:tcPr>
                  <w:tcW w:w="4812" w:type="dxa"/>
                  <w:tcBorders>
                    <w:top w:val="nil"/>
                    <w:left w:val="nil"/>
                    <w:bottom w:val="single" w:sz="4" w:space="0" w:color="auto"/>
                    <w:right w:val="single" w:sz="4" w:space="0" w:color="auto"/>
                  </w:tcBorders>
                  <w:shd w:val="clear" w:color="000000" w:fill="FFFF99"/>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Enforce clean indoor air law</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29</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29</w:t>
                  </w:r>
                </w:p>
              </w:tc>
              <w:tc>
                <w:tcPr>
                  <w:tcW w:w="567"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33</w:t>
                  </w:r>
                </w:p>
              </w:tc>
            </w:tr>
            <w:tr w:rsidR="005C0488" w:rsidRPr="00E42063" w:rsidTr="009E2704">
              <w:trPr>
                <w:trHeight w:val="300"/>
              </w:trPr>
              <w:tc>
                <w:tcPr>
                  <w:tcW w:w="2271" w:type="dxa"/>
                  <w:tcBorders>
                    <w:top w:val="nil"/>
                    <w:left w:val="single" w:sz="4" w:space="0" w:color="auto"/>
                    <w:bottom w:val="single" w:sz="4" w:space="0" w:color="auto"/>
                    <w:right w:val="single" w:sz="4" w:space="0" w:color="auto"/>
                  </w:tcBorders>
                  <w:shd w:val="clear" w:color="000000" w:fill="FFFF99"/>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Unhealthy diet</w:t>
                  </w:r>
                </w:p>
              </w:tc>
              <w:tc>
                <w:tcPr>
                  <w:tcW w:w="4812" w:type="dxa"/>
                  <w:tcBorders>
                    <w:top w:val="nil"/>
                    <w:left w:val="nil"/>
                    <w:bottom w:val="single" w:sz="4" w:space="0" w:color="auto"/>
                    <w:right w:val="single" w:sz="4" w:space="0" w:color="auto"/>
                  </w:tcBorders>
                  <w:shd w:val="clear" w:color="000000" w:fill="FFFF99"/>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Promote public awareness about diet</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29</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29</w:t>
                  </w:r>
                </w:p>
              </w:tc>
              <w:tc>
                <w:tcPr>
                  <w:tcW w:w="567"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33</w:t>
                  </w:r>
                </w:p>
              </w:tc>
            </w:tr>
            <w:tr w:rsidR="005C0488" w:rsidRPr="00E42063" w:rsidTr="009E2704">
              <w:trPr>
                <w:trHeight w:val="300"/>
              </w:trPr>
              <w:tc>
                <w:tcPr>
                  <w:tcW w:w="2271" w:type="dxa"/>
                  <w:tcBorders>
                    <w:top w:val="nil"/>
                    <w:left w:val="single" w:sz="4" w:space="0" w:color="auto"/>
                    <w:bottom w:val="single" w:sz="4" w:space="0" w:color="auto"/>
                    <w:right w:val="single" w:sz="4" w:space="0" w:color="auto"/>
                  </w:tcBorders>
                  <w:shd w:val="clear" w:color="000000" w:fill="FFFF99"/>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Physical Inactivity</w:t>
                  </w:r>
                </w:p>
              </w:tc>
              <w:tc>
                <w:tcPr>
                  <w:tcW w:w="4812" w:type="dxa"/>
                  <w:tcBorders>
                    <w:top w:val="nil"/>
                    <w:left w:val="nil"/>
                    <w:bottom w:val="single" w:sz="4" w:space="0" w:color="auto"/>
                    <w:right w:val="single" w:sz="4" w:space="0" w:color="auto"/>
                  </w:tcBorders>
                  <w:shd w:val="clear" w:color="000000" w:fill="FFFF99"/>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Offer counselling in primary care</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36</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36</w:t>
                  </w:r>
                </w:p>
              </w:tc>
              <w:tc>
                <w:tcPr>
                  <w:tcW w:w="567"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29</w:t>
                  </w:r>
                </w:p>
              </w:tc>
            </w:tr>
            <w:tr w:rsidR="005C0488" w:rsidRPr="00E42063" w:rsidTr="009E2704">
              <w:trPr>
                <w:trHeight w:val="300"/>
              </w:trPr>
              <w:tc>
                <w:tcPr>
                  <w:tcW w:w="2271" w:type="dxa"/>
                  <w:tcBorders>
                    <w:top w:val="nil"/>
                    <w:left w:val="single" w:sz="4" w:space="0" w:color="auto"/>
                    <w:bottom w:val="single" w:sz="4" w:space="0" w:color="auto"/>
                    <w:right w:val="single" w:sz="4" w:space="0" w:color="auto"/>
                  </w:tcBorders>
                  <w:shd w:val="clear" w:color="000000" w:fill="FFFF99"/>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Physical Inactivity</w:t>
                  </w:r>
                </w:p>
              </w:tc>
              <w:tc>
                <w:tcPr>
                  <w:tcW w:w="4812" w:type="dxa"/>
                  <w:tcBorders>
                    <w:top w:val="nil"/>
                    <w:left w:val="nil"/>
                    <w:bottom w:val="single" w:sz="4" w:space="0" w:color="auto"/>
                    <w:right w:val="single" w:sz="4" w:space="0" w:color="auto"/>
                  </w:tcBorders>
                  <w:shd w:val="clear" w:color="000000" w:fill="FFFF99"/>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Promote physical activity in schools</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36</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36</w:t>
                  </w:r>
                </w:p>
              </w:tc>
              <w:tc>
                <w:tcPr>
                  <w:tcW w:w="567"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29</w:t>
                  </w:r>
                </w:p>
              </w:tc>
            </w:tr>
            <w:tr w:rsidR="005C0488" w:rsidRPr="00E42063" w:rsidTr="009E2704">
              <w:trPr>
                <w:trHeight w:val="300"/>
              </w:trPr>
              <w:tc>
                <w:tcPr>
                  <w:tcW w:w="2271" w:type="dxa"/>
                  <w:tcBorders>
                    <w:top w:val="nil"/>
                    <w:left w:val="single" w:sz="4" w:space="0" w:color="auto"/>
                    <w:bottom w:val="single" w:sz="4" w:space="0" w:color="auto"/>
                    <w:right w:val="single" w:sz="4" w:space="0" w:color="auto"/>
                  </w:tcBorders>
                  <w:shd w:val="clear" w:color="000000" w:fill="FFFF99"/>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Unhealthy diet</w:t>
                  </w:r>
                </w:p>
              </w:tc>
              <w:tc>
                <w:tcPr>
                  <w:tcW w:w="4812" w:type="dxa"/>
                  <w:tcBorders>
                    <w:top w:val="nil"/>
                    <w:left w:val="nil"/>
                    <w:bottom w:val="single" w:sz="4" w:space="0" w:color="auto"/>
                    <w:right w:val="single" w:sz="4" w:space="0" w:color="auto"/>
                  </w:tcBorders>
                  <w:shd w:val="clear" w:color="000000" w:fill="FFFF99"/>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 xml:space="preserve">Promote healthy eating in school </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36</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36</w:t>
                  </w:r>
                </w:p>
              </w:tc>
              <w:tc>
                <w:tcPr>
                  <w:tcW w:w="567"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29</w:t>
                  </w:r>
                </w:p>
              </w:tc>
            </w:tr>
            <w:tr w:rsidR="005C0488" w:rsidRPr="00E42063" w:rsidTr="009E2704">
              <w:trPr>
                <w:trHeight w:val="300"/>
              </w:trPr>
              <w:tc>
                <w:tcPr>
                  <w:tcW w:w="2271" w:type="dxa"/>
                  <w:tcBorders>
                    <w:top w:val="nil"/>
                    <w:left w:val="single" w:sz="4" w:space="0" w:color="auto"/>
                    <w:bottom w:val="single" w:sz="4" w:space="0" w:color="auto"/>
                    <w:right w:val="single" w:sz="4" w:space="0" w:color="auto"/>
                  </w:tcBorders>
                  <w:shd w:val="clear" w:color="000000" w:fill="CCFFFF"/>
                  <w:noWrap/>
                  <w:vAlign w:val="bottom"/>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Cerebrovascular disease (acute treatment)</w:t>
                  </w:r>
                </w:p>
              </w:tc>
              <w:tc>
                <w:tcPr>
                  <w:tcW w:w="4812" w:type="dxa"/>
                  <w:tcBorders>
                    <w:top w:val="nil"/>
                    <w:left w:val="nil"/>
                    <w:bottom w:val="single" w:sz="4" w:space="0" w:color="auto"/>
                    <w:right w:val="single" w:sz="4" w:space="0" w:color="auto"/>
                  </w:tcBorders>
                  <w:shd w:val="clear" w:color="000000" w:fill="CCFFCC"/>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Medication (Aspirin, Heparin, rt-PA)</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39</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39</w:t>
                  </w:r>
                </w:p>
              </w:tc>
              <w:tc>
                <w:tcPr>
                  <w:tcW w:w="567"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40</w:t>
                  </w:r>
                </w:p>
              </w:tc>
            </w:tr>
            <w:tr w:rsidR="005C0488" w:rsidRPr="00E42063" w:rsidTr="009E2704">
              <w:trPr>
                <w:trHeight w:val="300"/>
              </w:trPr>
              <w:tc>
                <w:tcPr>
                  <w:tcW w:w="2271" w:type="dxa"/>
                  <w:tcBorders>
                    <w:top w:val="nil"/>
                    <w:left w:val="single" w:sz="4" w:space="0" w:color="auto"/>
                    <w:bottom w:val="single" w:sz="4" w:space="0" w:color="auto"/>
                    <w:right w:val="single" w:sz="4" w:space="0" w:color="auto"/>
                  </w:tcBorders>
                  <w:shd w:val="clear" w:color="000000" w:fill="CCFFFF"/>
                  <w:noWrap/>
                  <w:vAlign w:val="bottom"/>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Cerebrovascular disease (prevention of recurrence)</w:t>
                  </w:r>
                </w:p>
              </w:tc>
              <w:tc>
                <w:tcPr>
                  <w:tcW w:w="4812" w:type="dxa"/>
                  <w:tcBorders>
                    <w:top w:val="nil"/>
                    <w:left w:val="nil"/>
                    <w:bottom w:val="single" w:sz="4" w:space="0" w:color="auto"/>
                    <w:right w:val="single" w:sz="4" w:space="0" w:color="auto"/>
                  </w:tcBorders>
                  <w:shd w:val="clear" w:color="000000" w:fill="CCFFCC"/>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Medication (Aspirin, dipyridamole, carotid endarterectomy)</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39</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39</w:t>
                  </w:r>
                </w:p>
              </w:tc>
              <w:tc>
                <w:tcPr>
                  <w:tcW w:w="567"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40</w:t>
                  </w:r>
                </w:p>
              </w:tc>
            </w:tr>
            <w:tr w:rsidR="005C0488" w:rsidRPr="00E42063" w:rsidTr="009E2704">
              <w:trPr>
                <w:trHeight w:val="300"/>
              </w:trPr>
              <w:tc>
                <w:tcPr>
                  <w:tcW w:w="2271" w:type="dxa"/>
                  <w:tcBorders>
                    <w:top w:val="nil"/>
                    <w:left w:val="single" w:sz="4" w:space="0" w:color="auto"/>
                    <w:bottom w:val="single" w:sz="4" w:space="0" w:color="auto"/>
                    <w:right w:val="single" w:sz="4" w:space="0" w:color="auto"/>
                  </w:tcBorders>
                  <w:shd w:val="clear" w:color="000000" w:fill="CCFFCC"/>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Congestive Heart Failure (CHF)</w:t>
                  </w:r>
                </w:p>
              </w:tc>
              <w:tc>
                <w:tcPr>
                  <w:tcW w:w="4812" w:type="dxa"/>
                  <w:tcBorders>
                    <w:top w:val="nil"/>
                    <w:left w:val="nil"/>
                    <w:bottom w:val="single" w:sz="4" w:space="0" w:color="auto"/>
                    <w:right w:val="single" w:sz="4" w:space="0" w:color="auto"/>
                  </w:tcBorders>
                  <w:shd w:val="clear" w:color="000000" w:fill="CCFFCC"/>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Surgery (Heart transplant)</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41</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41</w:t>
                  </w:r>
                </w:p>
              </w:tc>
              <w:tc>
                <w:tcPr>
                  <w:tcW w:w="567"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32</w:t>
                  </w:r>
                </w:p>
              </w:tc>
            </w:tr>
            <w:tr w:rsidR="005C0488" w:rsidRPr="00E42063" w:rsidTr="009E2704">
              <w:trPr>
                <w:trHeight w:val="300"/>
              </w:trPr>
              <w:tc>
                <w:tcPr>
                  <w:tcW w:w="2271" w:type="dxa"/>
                  <w:tcBorders>
                    <w:top w:val="nil"/>
                    <w:left w:val="single" w:sz="4" w:space="0" w:color="auto"/>
                    <w:bottom w:val="single" w:sz="4" w:space="0" w:color="auto"/>
                    <w:right w:val="single" w:sz="4" w:space="0" w:color="auto"/>
                  </w:tcBorders>
                  <w:shd w:val="clear" w:color="000000" w:fill="FFFF99"/>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 xml:space="preserve">Harmful alcohol use </w:t>
                  </w:r>
                </w:p>
              </w:tc>
              <w:tc>
                <w:tcPr>
                  <w:tcW w:w="4812" w:type="dxa"/>
                  <w:tcBorders>
                    <w:top w:val="nil"/>
                    <w:left w:val="nil"/>
                    <w:bottom w:val="single" w:sz="4" w:space="0" w:color="auto"/>
                    <w:right w:val="single" w:sz="4" w:space="0" w:color="auto"/>
                  </w:tcBorders>
                  <w:shd w:val="clear" w:color="000000" w:fill="FFFF99"/>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Enforce drink-driving laws (breath-testing)</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42</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42</w:t>
                  </w:r>
                </w:p>
              </w:tc>
              <w:tc>
                <w:tcPr>
                  <w:tcW w:w="567"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42</w:t>
                  </w:r>
                </w:p>
              </w:tc>
            </w:tr>
            <w:tr w:rsidR="005C0488" w:rsidRPr="00E42063" w:rsidTr="009E2704">
              <w:trPr>
                <w:trHeight w:val="300"/>
              </w:trPr>
              <w:tc>
                <w:tcPr>
                  <w:tcW w:w="2271" w:type="dxa"/>
                  <w:tcBorders>
                    <w:top w:val="nil"/>
                    <w:left w:val="single" w:sz="4" w:space="0" w:color="auto"/>
                    <w:bottom w:val="single" w:sz="4" w:space="0" w:color="auto"/>
                    <w:right w:val="single" w:sz="4" w:space="0" w:color="auto"/>
                  </w:tcBorders>
                  <w:shd w:val="clear" w:color="000000" w:fill="99CCFF"/>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Chronic obstructive pulmonary disease (COPD) - Stage 3-4</w:t>
                  </w:r>
                </w:p>
              </w:tc>
              <w:tc>
                <w:tcPr>
                  <w:tcW w:w="4812" w:type="dxa"/>
                  <w:tcBorders>
                    <w:top w:val="nil"/>
                    <w:left w:val="nil"/>
                    <w:bottom w:val="single" w:sz="4" w:space="0" w:color="auto"/>
                    <w:right w:val="single" w:sz="4" w:space="0" w:color="auto"/>
                  </w:tcBorders>
                  <w:shd w:val="clear" w:color="000000" w:fill="99CCFF"/>
                  <w:noWrap/>
                  <w:hideMark/>
                </w:tcPr>
                <w:p w:rsidR="005C0488" w:rsidRPr="00BC2CDC" w:rsidRDefault="005C0488"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Surgery (Lung volume reduction, lung transplant)</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43</w:t>
                  </w:r>
                </w:p>
              </w:tc>
              <w:tc>
                <w:tcPr>
                  <w:tcW w:w="425"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43</w:t>
                  </w:r>
                </w:p>
              </w:tc>
              <w:tc>
                <w:tcPr>
                  <w:tcW w:w="567" w:type="dxa"/>
                  <w:tcBorders>
                    <w:top w:val="nil"/>
                    <w:left w:val="nil"/>
                    <w:bottom w:val="single" w:sz="4" w:space="0" w:color="auto"/>
                    <w:right w:val="single" w:sz="4" w:space="0" w:color="auto"/>
                  </w:tcBorders>
                  <w:shd w:val="clear" w:color="000000" w:fill="FFFF99"/>
                  <w:noWrap/>
                  <w:vAlign w:val="bottom"/>
                  <w:hideMark/>
                </w:tcPr>
                <w:p w:rsidR="005C0488" w:rsidRPr="00BC2CDC" w:rsidRDefault="005C0488"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43</w:t>
                  </w:r>
                </w:p>
              </w:tc>
            </w:tr>
          </w:tbl>
          <w:p w:rsidR="005C0488" w:rsidRPr="00E42063" w:rsidRDefault="005C0488" w:rsidP="005C0488">
            <w:pPr>
              <w:rPr>
                <w:rFonts w:ascii="Times New Roman" w:hAnsi="Times New Roman" w:cs="Times New Roman"/>
                <w:b/>
                <w:sz w:val="16"/>
                <w:szCs w:val="16"/>
                <w:u w:val="single"/>
                <w:lang w:val="en-GB"/>
              </w:rPr>
            </w:pPr>
          </w:p>
        </w:tc>
      </w:tr>
    </w:tbl>
    <w:p w:rsidR="00A42699" w:rsidRPr="00E42063" w:rsidRDefault="00A42699" w:rsidP="00A42699">
      <w:pPr>
        <w:rPr>
          <w:rFonts w:ascii="Times New Roman" w:hAnsi="Times New Roman" w:cs="Times New Roman"/>
          <w:sz w:val="16"/>
          <w:szCs w:val="16"/>
          <w:lang w:val="en-GB"/>
        </w:rPr>
      </w:pPr>
    </w:p>
    <w:p w:rsidR="00A42699" w:rsidRPr="00E42063" w:rsidRDefault="00A42699" w:rsidP="00A42699">
      <w:pPr>
        <w:rPr>
          <w:rFonts w:ascii="Times New Roman" w:hAnsi="Times New Roman" w:cs="Times New Roman"/>
          <w:sz w:val="16"/>
          <w:szCs w:val="16"/>
          <w:lang w:val="en-GB"/>
        </w:rPr>
      </w:pPr>
    </w:p>
    <w:p w:rsidR="005C0488" w:rsidRPr="002966E2" w:rsidRDefault="006573F1" w:rsidP="00A42699">
      <w:pPr>
        <w:rPr>
          <w:rFonts w:cs="Times New Roman"/>
          <w:b/>
          <w:u w:val="single"/>
          <w:lang w:val="en-GB"/>
        </w:rPr>
      </w:pPr>
      <w:r>
        <w:rPr>
          <w:rFonts w:cs="Times New Roman"/>
          <w:b/>
          <w:u w:val="single"/>
          <w:lang w:val="en-GB"/>
        </w:rPr>
        <w:t>Table 14</w:t>
      </w:r>
      <w:r w:rsidR="005C0488" w:rsidRPr="002966E2">
        <w:rPr>
          <w:rFonts w:cs="Times New Roman"/>
          <w:b/>
          <w:u w:val="single"/>
          <w:lang w:val="en-GB"/>
        </w:rPr>
        <w:t xml:space="preserve">: Composite league table </w:t>
      </w:r>
      <w:r w:rsidR="00BC2CDC">
        <w:rPr>
          <w:rFonts w:cs="Times New Roman"/>
          <w:b/>
          <w:u w:val="single"/>
          <w:lang w:val="en-GB"/>
        </w:rPr>
        <w:t xml:space="preserve">rankings </w:t>
      </w:r>
      <w:r w:rsidR="005C0488" w:rsidRPr="002966E2">
        <w:rPr>
          <w:rFonts w:cs="Times New Roman"/>
          <w:b/>
          <w:u w:val="single"/>
          <w:lang w:val="en-GB"/>
        </w:rPr>
        <w:t>for interventions targeting middle age</w:t>
      </w:r>
      <w:r w:rsidR="00BA330C" w:rsidRPr="002966E2">
        <w:rPr>
          <w:rFonts w:cs="Times New Roman"/>
          <w:b/>
          <w:u w:val="single"/>
          <w:lang w:val="en-GB"/>
        </w:rPr>
        <w:t xml:space="preserve"> groups</w:t>
      </w:r>
    </w:p>
    <w:tbl>
      <w:tblPr>
        <w:tblStyle w:val="TableGrid"/>
        <w:tblW w:w="0" w:type="auto"/>
        <w:tblLook w:val="04A0"/>
      </w:tblPr>
      <w:tblGrid>
        <w:gridCol w:w="8522"/>
      </w:tblGrid>
      <w:tr w:rsidR="00BA330C" w:rsidRPr="00E42063" w:rsidTr="00BA330C">
        <w:tc>
          <w:tcPr>
            <w:tcW w:w="8522" w:type="dxa"/>
          </w:tcPr>
          <w:tbl>
            <w:tblPr>
              <w:tblW w:w="8296" w:type="dxa"/>
              <w:tblLook w:val="04A0"/>
            </w:tblPr>
            <w:tblGrid>
              <w:gridCol w:w="2766"/>
              <w:gridCol w:w="3557"/>
              <w:gridCol w:w="605"/>
              <w:gridCol w:w="605"/>
              <w:gridCol w:w="763"/>
            </w:tblGrid>
            <w:tr w:rsidR="0005028C" w:rsidRPr="00E42063" w:rsidTr="0005028C">
              <w:trPr>
                <w:trHeight w:val="621"/>
              </w:trPr>
              <w:tc>
                <w:tcPr>
                  <w:tcW w:w="2972"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05028C" w:rsidRPr="00BC2CDC" w:rsidRDefault="0005028C" w:rsidP="005C0488">
                  <w:pPr>
                    <w:spacing w:after="0" w:line="240" w:lineRule="auto"/>
                    <w:rPr>
                      <w:rFonts w:ascii="Times New Roman" w:eastAsia="Times New Roman" w:hAnsi="Times New Roman" w:cs="Times New Roman"/>
                      <w:b/>
                      <w:bCs/>
                      <w:sz w:val="18"/>
                      <w:szCs w:val="18"/>
                      <w:lang w:val="en-GB" w:eastAsia="el-GR"/>
                    </w:rPr>
                  </w:pPr>
                  <w:r w:rsidRPr="00BC2CDC">
                    <w:rPr>
                      <w:rFonts w:ascii="Times New Roman" w:eastAsia="Times New Roman" w:hAnsi="Times New Roman" w:cs="Times New Roman"/>
                      <w:b/>
                      <w:bCs/>
                      <w:sz w:val="18"/>
                      <w:szCs w:val="18"/>
                      <w:lang w:val="en-GB" w:eastAsia="el-GR"/>
                    </w:rPr>
                    <w:t>CLINICAL CONDITION</w:t>
                  </w:r>
                </w:p>
              </w:tc>
              <w:tc>
                <w:tcPr>
                  <w:tcW w:w="3827" w:type="dxa"/>
                  <w:tcBorders>
                    <w:top w:val="single" w:sz="4" w:space="0" w:color="auto"/>
                    <w:left w:val="nil"/>
                    <w:bottom w:val="single" w:sz="4" w:space="0" w:color="auto"/>
                    <w:right w:val="single" w:sz="4" w:space="0" w:color="auto"/>
                  </w:tcBorders>
                  <w:shd w:val="clear" w:color="000000" w:fill="EEECE1"/>
                  <w:noWrap/>
                  <w:vAlign w:val="center"/>
                  <w:hideMark/>
                </w:tcPr>
                <w:p w:rsidR="0005028C" w:rsidRPr="00BC2CDC" w:rsidRDefault="0005028C" w:rsidP="005C0488">
                  <w:pPr>
                    <w:spacing w:after="0" w:line="240" w:lineRule="auto"/>
                    <w:rPr>
                      <w:rFonts w:ascii="Times New Roman" w:eastAsia="Times New Roman" w:hAnsi="Times New Roman" w:cs="Times New Roman"/>
                      <w:b/>
                      <w:bCs/>
                      <w:sz w:val="18"/>
                      <w:szCs w:val="18"/>
                      <w:lang w:val="en-GB" w:eastAsia="el-GR"/>
                    </w:rPr>
                  </w:pPr>
                  <w:r w:rsidRPr="00BC2CDC">
                    <w:rPr>
                      <w:rFonts w:ascii="Times New Roman" w:eastAsia="Times New Roman" w:hAnsi="Times New Roman" w:cs="Times New Roman"/>
                      <w:b/>
                      <w:bCs/>
                      <w:sz w:val="18"/>
                      <w:szCs w:val="18"/>
                      <w:lang w:val="en-GB" w:eastAsia="el-GR"/>
                    </w:rPr>
                    <w:t>Intervention</w:t>
                  </w:r>
                </w:p>
              </w:tc>
              <w:tc>
                <w:tcPr>
                  <w:tcW w:w="565" w:type="dxa"/>
                  <w:tcBorders>
                    <w:top w:val="single" w:sz="4" w:space="0" w:color="auto"/>
                    <w:left w:val="nil"/>
                    <w:bottom w:val="single" w:sz="4" w:space="0" w:color="auto"/>
                    <w:right w:val="single" w:sz="4" w:space="0" w:color="auto"/>
                  </w:tcBorders>
                  <w:shd w:val="clear" w:color="000000" w:fill="EEECE1"/>
                  <w:vAlign w:val="bottom"/>
                  <w:hideMark/>
                </w:tcPr>
                <w:p w:rsidR="0005028C" w:rsidRPr="00BC2CDC" w:rsidRDefault="006A5A0D" w:rsidP="00386191">
                  <w:pPr>
                    <w:spacing w:after="0" w:line="240" w:lineRule="auto"/>
                    <w:rPr>
                      <w:rFonts w:ascii="Times New Roman" w:eastAsia="Times New Roman" w:hAnsi="Times New Roman" w:cs="Times New Roman"/>
                      <w:b/>
                      <w:bCs/>
                      <w:color w:val="000000"/>
                      <w:sz w:val="18"/>
                      <w:szCs w:val="18"/>
                      <w:lang w:val="en-GB" w:eastAsia="el-GR"/>
                    </w:rPr>
                  </w:pPr>
                  <w:r w:rsidRPr="00BC2CDC">
                    <w:rPr>
                      <w:rFonts w:ascii="Times New Roman" w:eastAsia="Times New Roman" w:hAnsi="Times New Roman" w:cs="Times New Roman"/>
                      <w:b/>
                      <w:bCs/>
                      <w:color w:val="000000"/>
                      <w:sz w:val="18"/>
                      <w:szCs w:val="18"/>
                      <w:lang w:val="en-GB" w:eastAsia="el-GR"/>
                    </w:rPr>
                    <w:t>Rank C/B</w:t>
                  </w:r>
                </w:p>
              </w:tc>
              <w:tc>
                <w:tcPr>
                  <w:tcW w:w="513" w:type="dxa"/>
                  <w:tcBorders>
                    <w:top w:val="single" w:sz="4" w:space="0" w:color="auto"/>
                    <w:left w:val="nil"/>
                    <w:bottom w:val="single" w:sz="4" w:space="0" w:color="auto"/>
                    <w:right w:val="single" w:sz="4" w:space="0" w:color="auto"/>
                  </w:tcBorders>
                  <w:shd w:val="clear" w:color="000000" w:fill="EBF1DE"/>
                  <w:vAlign w:val="bottom"/>
                  <w:hideMark/>
                </w:tcPr>
                <w:p w:rsidR="0005028C" w:rsidRPr="00BC2CDC" w:rsidRDefault="006A5A0D" w:rsidP="00386191">
                  <w:pPr>
                    <w:spacing w:after="0" w:line="240" w:lineRule="auto"/>
                    <w:rPr>
                      <w:rFonts w:ascii="Times New Roman" w:eastAsia="Times New Roman" w:hAnsi="Times New Roman" w:cs="Times New Roman"/>
                      <w:b/>
                      <w:bCs/>
                      <w:color w:val="000000"/>
                      <w:sz w:val="18"/>
                      <w:szCs w:val="18"/>
                      <w:lang w:val="en-GB" w:eastAsia="el-GR"/>
                    </w:rPr>
                  </w:pPr>
                  <w:r w:rsidRPr="00BC2CDC">
                    <w:rPr>
                      <w:rFonts w:ascii="Times New Roman" w:eastAsia="Times New Roman" w:hAnsi="Times New Roman" w:cs="Times New Roman"/>
                      <w:b/>
                      <w:bCs/>
                      <w:color w:val="000000"/>
                      <w:sz w:val="18"/>
                      <w:szCs w:val="18"/>
                      <w:lang w:val="en-GB" w:eastAsia="el-GR"/>
                    </w:rPr>
                    <w:t>Rank C/V</w:t>
                  </w:r>
                </w:p>
              </w:tc>
              <w:tc>
                <w:tcPr>
                  <w:tcW w:w="419" w:type="dxa"/>
                  <w:tcBorders>
                    <w:top w:val="single" w:sz="4" w:space="0" w:color="auto"/>
                    <w:left w:val="nil"/>
                    <w:bottom w:val="single" w:sz="4" w:space="0" w:color="auto"/>
                    <w:right w:val="single" w:sz="4" w:space="0" w:color="auto"/>
                  </w:tcBorders>
                  <w:shd w:val="clear" w:color="000000" w:fill="EBF1DE"/>
                  <w:hideMark/>
                </w:tcPr>
                <w:p w:rsidR="0005028C" w:rsidRPr="00BC2CDC" w:rsidRDefault="006A5A0D" w:rsidP="00386191">
                  <w:pPr>
                    <w:spacing w:after="0" w:line="240" w:lineRule="auto"/>
                    <w:rPr>
                      <w:rFonts w:ascii="Times New Roman" w:eastAsia="Times New Roman" w:hAnsi="Times New Roman" w:cs="Times New Roman"/>
                      <w:b/>
                      <w:bCs/>
                      <w:color w:val="000000"/>
                      <w:sz w:val="18"/>
                      <w:szCs w:val="18"/>
                      <w:lang w:val="en-GB" w:eastAsia="el-GR"/>
                    </w:rPr>
                  </w:pPr>
                  <w:r w:rsidRPr="00BC2CDC">
                    <w:rPr>
                      <w:rFonts w:ascii="Times New Roman" w:eastAsia="Times New Roman" w:hAnsi="Times New Roman" w:cs="Times New Roman"/>
                      <w:b/>
                      <w:bCs/>
                      <w:color w:val="000000"/>
                      <w:sz w:val="18"/>
                      <w:szCs w:val="18"/>
                      <w:lang w:val="en-GB" w:eastAsia="el-GR"/>
                    </w:rPr>
                    <w:t>Rank Madrid</w:t>
                  </w:r>
                </w:p>
              </w:tc>
            </w:tr>
            <w:tr w:rsidR="0005028C" w:rsidRPr="00E42063" w:rsidTr="0005028C">
              <w:trPr>
                <w:trHeight w:val="300"/>
              </w:trPr>
              <w:tc>
                <w:tcPr>
                  <w:tcW w:w="2972" w:type="dxa"/>
                  <w:tcBorders>
                    <w:top w:val="nil"/>
                    <w:left w:val="single" w:sz="4" w:space="0" w:color="auto"/>
                    <w:bottom w:val="single" w:sz="4" w:space="0" w:color="auto"/>
                    <w:right w:val="single" w:sz="4" w:space="0" w:color="auto"/>
                  </w:tcBorders>
                  <w:shd w:val="clear" w:color="000000" w:fill="948A54"/>
                  <w:noWrap/>
                  <w:vAlign w:val="bottom"/>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Alzheimer's disease &amp; dementias (Stage 1)</w:t>
                  </w:r>
                </w:p>
              </w:tc>
              <w:tc>
                <w:tcPr>
                  <w:tcW w:w="3827" w:type="dxa"/>
                  <w:tcBorders>
                    <w:top w:val="nil"/>
                    <w:left w:val="nil"/>
                    <w:bottom w:val="single" w:sz="4" w:space="0" w:color="auto"/>
                    <w:right w:val="single" w:sz="4" w:space="0" w:color="auto"/>
                  </w:tcBorders>
                  <w:shd w:val="clear" w:color="000000" w:fill="948A54"/>
                  <w:noWrap/>
                  <w:vAlign w:val="bottom"/>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Comprehensive in-home care</w:t>
                  </w:r>
                </w:p>
              </w:tc>
              <w:tc>
                <w:tcPr>
                  <w:tcW w:w="565"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w:t>
                  </w:r>
                </w:p>
              </w:tc>
              <w:tc>
                <w:tcPr>
                  <w:tcW w:w="513"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w:t>
                  </w:r>
                </w:p>
              </w:tc>
              <w:tc>
                <w:tcPr>
                  <w:tcW w:w="419"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w:t>
                  </w:r>
                </w:p>
              </w:tc>
            </w:tr>
            <w:tr w:rsidR="0005028C" w:rsidRPr="00E42063" w:rsidTr="0005028C">
              <w:trPr>
                <w:trHeight w:val="300"/>
              </w:trPr>
              <w:tc>
                <w:tcPr>
                  <w:tcW w:w="2972" w:type="dxa"/>
                  <w:tcBorders>
                    <w:top w:val="nil"/>
                    <w:left w:val="single" w:sz="4" w:space="0" w:color="auto"/>
                    <w:bottom w:val="single" w:sz="4" w:space="0" w:color="auto"/>
                    <w:right w:val="single" w:sz="4" w:space="0" w:color="auto"/>
                  </w:tcBorders>
                  <w:shd w:val="clear" w:color="000000" w:fill="CCFFFF"/>
                  <w:noWrap/>
                  <w:vAlign w:val="bottom"/>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Cerebrovascular disease (acute treatment)</w:t>
                  </w:r>
                </w:p>
              </w:tc>
              <w:tc>
                <w:tcPr>
                  <w:tcW w:w="3827" w:type="dxa"/>
                  <w:tcBorders>
                    <w:top w:val="nil"/>
                    <w:left w:val="nil"/>
                    <w:bottom w:val="single" w:sz="4" w:space="0" w:color="auto"/>
                    <w:right w:val="single" w:sz="4" w:space="0" w:color="auto"/>
                  </w:tcBorders>
                  <w:shd w:val="clear" w:color="000000" w:fill="CCFFCC"/>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Medication (Aspirin, Heparin, rt-PA)</w:t>
                  </w:r>
                </w:p>
              </w:tc>
              <w:tc>
                <w:tcPr>
                  <w:tcW w:w="565"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w:t>
                  </w:r>
                </w:p>
              </w:tc>
              <w:tc>
                <w:tcPr>
                  <w:tcW w:w="513"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w:t>
                  </w:r>
                </w:p>
              </w:tc>
              <w:tc>
                <w:tcPr>
                  <w:tcW w:w="419"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w:t>
                  </w:r>
                </w:p>
              </w:tc>
            </w:tr>
            <w:tr w:rsidR="0005028C" w:rsidRPr="00E42063" w:rsidTr="0005028C">
              <w:trPr>
                <w:trHeight w:val="450"/>
              </w:trPr>
              <w:tc>
                <w:tcPr>
                  <w:tcW w:w="2972" w:type="dxa"/>
                  <w:tcBorders>
                    <w:top w:val="nil"/>
                    <w:left w:val="single" w:sz="4" w:space="0" w:color="auto"/>
                    <w:bottom w:val="single" w:sz="4" w:space="0" w:color="auto"/>
                    <w:right w:val="single" w:sz="4" w:space="0" w:color="auto"/>
                  </w:tcBorders>
                  <w:shd w:val="clear" w:color="000000" w:fill="CCFFFF"/>
                  <w:noWrap/>
                  <w:vAlign w:val="bottom"/>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Cerebrovascular disease (prevention of recurrence)</w:t>
                  </w:r>
                </w:p>
              </w:tc>
              <w:tc>
                <w:tcPr>
                  <w:tcW w:w="3827" w:type="dxa"/>
                  <w:tcBorders>
                    <w:top w:val="nil"/>
                    <w:left w:val="nil"/>
                    <w:bottom w:val="single" w:sz="4" w:space="0" w:color="auto"/>
                    <w:right w:val="single" w:sz="4" w:space="0" w:color="auto"/>
                  </w:tcBorders>
                  <w:shd w:val="clear" w:color="000000" w:fill="CCFFCC"/>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Medication (Aspirin, dipyridamole, carotid endarterectomy)</w:t>
                  </w:r>
                </w:p>
              </w:tc>
              <w:tc>
                <w:tcPr>
                  <w:tcW w:w="565"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w:t>
                  </w:r>
                </w:p>
              </w:tc>
              <w:tc>
                <w:tcPr>
                  <w:tcW w:w="513"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w:t>
                  </w:r>
                </w:p>
              </w:tc>
              <w:tc>
                <w:tcPr>
                  <w:tcW w:w="419"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w:t>
                  </w:r>
                </w:p>
              </w:tc>
            </w:tr>
            <w:tr w:rsidR="0005028C" w:rsidRPr="00E42063" w:rsidTr="0005028C">
              <w:trPr>
                <w:trHeight w:val="300"/>
              </w:trPr>
              <w:tc>
                <w:tcPr>
                  <w:tcW w:w="2972" w:type="dxa"/>
                  <w:tcBorders>
                    <w:top w:val="nil"/>
                    <w:left w:val="single" w:sz="4" w:space="0" w:color="auto"/>
                    <w:bottom w:val="single" w:sz="4" w:space="0" w:color="auto"/>
                    <w:right w:val="single" w:sz="4" w:space="0" w:color="auto"/>
                  </w:tcBorders>
                  <w:shd w:val="clear" w:color="000000" w:fill="CCFFCC"/>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Angina pectoris (stable angina)</w:t>
                  </w:r>
                </w:p>
              </w:tc>
              <w:tc>
                <w:tcPr>
                  <w:tcW w:w="3827" w:type="dxa"/>
                  <w:tcBorders>
                    <w:top w:val="nil"/>
                    <w:left w:val="nil"/>
                    <w:bottom w:val="single" w:sz="4" w:space="0" w:color="auto"/>
                    <w:right w:val="single" w:sz="4" w:space="0" w:color="auto"/>
                  </w:tcBorders>
                  <w:shd w:val="clear" w:color="000000" w:fill="CCFFCC"/>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Angioplasty, Stenting</w:t>
                  </w:r>
                </w:p>
              </w:tc>
              <w:tc>
                <w:tcPr>
                  <w:tcW w:w="565"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513"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419"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r>
            <w:tr w:rsidR="0005028C" w:rsidRPr="00E42063" w:rsidTr="0005028C">
              <w:trPr>
                <w:trHeight w:val="300"/>
              </w:trPr>
              <w:tc>
                <w:tcPr>
                  <w:tcW w:w="2972" w:type="dxa"/>
                  <w:tcBorders>
                    <w:top w:val="nil"/>
                    <w:left w:val="single" w:sz="4" w:space="0" w:color="auto"/>
                    <w:bottom w:val="single" w:sz="4" w:space="0" w:color="auto"/>
                    <w:right w:val="single" w:sz="4" w:space="0" w:color="auto"/>
                  </w:tcBorders>
                  <w:shd w:val="clear" w:color="000000" w:fill="CC99FF"/>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Diabetes mellitus type 2</w:t>
                  </w:r>
                </w:p>
              </w:tc>
              <w:tc>
                <w:tcPr>
                  <w:tcW w:w="3827" w:type="dxa"/>
                  <w:tcBorders>
                    <w:top w:val="nil"/>
                    <w:left w:val="nil"/>
                    <w:bottom w:val="single" w:sz="4" w:space="0" w:color="auto"/>
                    <w:right w:val="single" w:sz="4" w:space="0" w:color="auto"/>
                  </w:tcBorders>
                  <w:shd w:val="clear" w:color="000000" w:fill="CC99FF"/>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Education (patient self-manag</w:t>
                  </w:r>
                  <w:r w:rsidR="00E42063" w:rsidRPr="00BC2CDC">
                    <w:rPr>
                      <w:rFonts w:ascii="Times New Roman" w:eastAsia="Times New Roman" w:hAnsi="Times New Roman" w:cs="Times New Roman"/>
                      <w:sz w:val="18"/>
                      <w:szCs w:val="18"/>
                      <w:lang w:val="en-GB" w:eastAsia="el-GR"/>
                    </w:rPr>
                    <w:t>e</w:t>
                  </w:r>
                  <w:r w:rsidRPr="00BC2CDC">
                    <w:rPr>
                      <w:rFonts w:ascii="Times New Roman" w:eastAsia="Times New Roman" w:hAnsi="Times New Roman" w:cs="Times New Roman"/>
                      <w:sz w:val="18"/>
                      <w:szCs w:val="18"/>
                      <w:lang w:val="en-GB" w:eastAsia="el-GR"/>
                    </w:rPr>
                    <w:t>ment)</w:t>
                  </w:r>
                </w:p>
              </w:tc>
              <w:tc>
                <w:tcPr>
                  <w:tcW w:w="565"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513"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419"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r>
            <w:tr w:rsidR="0005028C" w:rsidRPr="00E42063" w:rsidTr="0005028C">
              <w:trPr>
                <w:trHeight w:val="300"/>
              </w:trPr>
              <w:tc>
                <w:tcPr>
                  <w:tcW w:w="2972" w:type="dxa"/>
                  <w:tcBorders>
                    <w:top w:val="nil"/>
                    <w:left w:val="single" w:sz="4" w:space="0" w:color="auto"/>
                    <w:bottom w:val="single" w:sz="4" w:space="0" w:color="auto"/>
                    <w:right w:val="single" w:sz="4" w:space="0" w:color="auto"/>
                  </w:tcBorders>
                  <w:shd w:val="clear" w:color="000000" w:fill="FFFF99"/>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Unhealthy diet</w:t>
                  </w:r>
                </w:p>
              </w:tc>
              <w:tc>
                <w:tcPr>
                  <w:tcW w:w="3827" w:type="dxa"/>
                  <w:tcBorders>
                    <w:top w:val="nil"/>
                    <w:left w:val="nil"/>
                    <w:bottom w:val="single" w:sz="4" w:space="0" w:color="auto"/>
                    <w:right w:val="single" w:sz="4" w:space="0" w:color="auto"/>
                  </w:tcBorders>
                  <w:shd w:val="clear" w:color="000000" w:fill="FFFF99"/>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Reduce salt intake</w:t>
                  </w:r>
                </w:p>
              </w:tc>
              <w:tc>
                <w:tcPr>
                  <w:tcW w:w="565"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513"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419"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r>
            <w:tr w:rsidR="0005028C" w:rsidRPr="00E42063" w:rsidTr="0005028C">
              <w:trPr>
                <w:trHeight w:val="450"/>
              </w:trPr>
              <w:tc>
                <w:tcPr>
                  <w:tcW w:w="2972" w:type="dxa"/>
                  <w:tcBorders>
                    <w:top w:val="nil"/>
                    <w:left w:val="single" w:sz="4" w:space="0" w:color="auto"/>
                    <w:bottom w:val="single" w:sz="4" w:space="0" w:color="auto"/>
                    <w:right w:val="single" w:sz="4" w:space="0" w:color="auto"/>
                  </w:tcBorders>
                  <w:shd w:val="clear" w:color="000000" w:fill="FFCC99"/>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MN of colon, rectum and anus</w:t>
                  </w:r>
                </w:p>
              </w:tc>
              <w:tc>
                <w:tcPr>
                  <w:tcW w:w="3827" w:type="dxa"/>
                  <w:tcBorders>
                    <w:top w:val="nil"/>
                    <w:left w:val="nil"/>
                    <w:bottom w:val="single" w:sz="4" w:space="0" w:color="auto"/>
                    <w:right w:val="single" w:sz="4" w:space="0" w:color="auto"/>
                  </w:tcBorders>
                  <w:shd w:val="clear" w:color="000000" w:fill="FFCC99"/>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Screening (Fecal occult blood testing (FOBT), Colonoscopy, Sigmoidoscopy)</w:t>
                  </w:r>
                </w:p>
              </w:tc>
              <w:tc>
                <w:tcPr>
                  <w:tcW w:w="565"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513"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419"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r>
            <w:tr w:rsidR="0005028C" w:rsidRPr="00E42063" w:rsidTr="0005028C">
              <w:trPr>
                <w:trHeight w:val="300"/>
              </w:trPr>
              <w:tc>
                <w:tcPr>
                  <w:tcW w:w="2972" w:type="dxa"/>
                  <w:tcBorders>
                    <w:top w:val="nil"/>
                    <w:left w:val="single" w:sz="4" w:space="0" w:color="auto"/>
                    <w:bottom w:val="single" w:sz="4" w:space="0" w:color="auto"/>
                    <w:right w:val="single" w:sz="4" w:space="0" w:color="auto"/>
                  </w:tcBorders>
                  <w:shd w:val="clear" w:color="000000" w:fill="CCFFCC"/>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Hypertension</w:t>
                  </w:r>
                </w:p>
              </w:tc>
              <w:tc>
                <w:tcPr>
                  <w:tcW w:w="3827" w:type="dxa"/>
                  <w:tcBorders>
                    <w:top w:val="nil"/>
                    <w:left w:val="nil"/>
                    <w:bottom w:val="single" w:sz="4" w:space="0" w:color="auto"/>
                    <w:right w:val="single" w:sz="4" w:space="0" w:color="auto"/>
                  </w:tcBorders>
                  <w:shd w:val="clear" w:color="000000" w:fill="CCFFCC"/>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Medication (ACE inhibitors, beta-blockers)</w:t>
                  </w:r>
                </w:p>
              </w:tc>
              <w:tc>
                <w:tcPr>
                  <w:tcW w:w="565"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513"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419"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r>
            <w:tr w:rsidR="0005028C" w:rsidRPr="00E42063" w:rsidTr="0005028C">
              <w:trPr>
                <w:trHeight w:val="300"/>
              </w:trPr>
              <w:tc>
                <w:tcPr>
                  <w:tcW w:w="2972" w:type="dxa"/>
                  <w:tcBorders>
                    <w:top w:val="nil"/>
                    <w:left w:val="single" w:sz="4" w:space="0" w:color="auto"/>
                    <w:bottom w:val="single" w:sz="4" w:space="0" w:color="auto"/>
                    <w:right w:val="single" w:sz="4" w:space="0" w:color="auto"/>
                  </w:tcBorders>
                  <w:shd w:val="clear" w:color="000000" w:fill="CCFFCC"/>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 xml:space="preserve">High blood </w:t>
                  </w:r>
                  <w:r w:rsidR="00173A00" w:rsidRPr="00BC2CDC">
                    <w:rPr>
                      <w:rFonts w:ascii="Times New Roman" w:eastAsia="Times New Roman" w:hAnsi="Times New Roman" w:cs="Times New Roman"/>
                      <w:sz w:val="18"/>
                      <w:szCs w:val="18"/>
                      <w:lang w:val="en-GB" w:eastAsia="el-GR"/>
                    </w:rPr>
                    <w:t>cholesterol</w:t>
                  </w:r>
                </w:p>
              </w:tc>
              <w:tc>
                <w:tcPr>
                  <w:tcW w:w="3827" w:type="dxa"/>
                  <w:tcBorders>
                    <w:top w:val="nil"/>
                    <w:left w:val="nil"/>
                    <w:bottom w:val="single" w:sz="4" w:space="0" w:color="auto"/>
                    <w:right w:val="single" w:sz="4" w:space="0" w:color="auto"/>
                  </w:tcBorders>
                  <w:shd w:val="clear" w:color="000000" w:fill="CCFFCC"/>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Medication (Statins)</w:t>
                  </w:r>
                </w:p>
              </w:tc>
              <w:tc>
                <w:tcPr>
                  <w:tcW w:w="565"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513"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419"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r>
            <w:tr w:rsidR="0005028C" w:rsidRPr="00E42063" w:rsidTr="0005028C">
              <w:trPr>
                <w:trHeight w:val="450"/>
              </w:trPr>
              <w:tc>
                <w:tcPr>
                  <w:tcW w:w="2972" w:type="dxa"/>
                  <w:tcBorders>
                    <w:top w:val="nil"/>
                    <w:left w:val="single" w:sz="4" w:space="0" w:color="auto"/>
                    <w:bottom w:val="single" w:sz="4" w:space="0" w:color="auto"/>
                    <w:right w:val="single" w:sz="4" w:space="0" w:color="auto"/>
                  </w:tcBorders>
                  <w:shd w:val="clear" w:color="000000" w:fill="CCFFCC"/>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Angina pectoris (stable angina)</w:t>
                  </w:r>
                </w:p>
              </w:tc>
              <w:tc>
                <w:tcPr>
                  <w:tcW w:w="3827" w:type="dxa"/>
                  <w:tcBorders>
                    <w:top w:val="nil"/>
                    <w:left w:val="nil"/>
                    <w:bottom w:val="single" w:sz="4" w:space="0" w:color="auto"/>
                    <w:right w:val="single" w:sz="4" w:space="0" w:color="auto"/>
                  </w:tcBorders>
                  <w:shd w:val="clear" w:color="000000" w:fill="CCFFCC"/>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Medication (Atenolol, ACE inhibitors, Beta-Blockers)</w:t>
                  </w:r>
                </w:p>
              </w:tc>
              <w:tc>
                <w:tcPr>
                  <w:tcW w:w="565"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513"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419"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r>
            <w:tr w:rsidR="0005028C" w:rsidRPr="00E42063" w:rsidTr="0005028C">
              <w:trPr>
                <w:trHeight w:val="450"/>
              </w:trPr>
              <w:tc>
                <w:tcPr>
                  <w:tcW w:w="2972" w:type="dxa"/>
                  <w:tcBorders>
                    <w:top w:val="nil"/>
                    <w:left w:val="single" w:sz="4" w:space="0" w:color="auto"/>
                    <w:bottom w:val="single" w:sz="4" w:space="0" w:color="auto"/>
                    <w:right w:val="single" w:sz="4" w:space="0" w:color="auto"/>
                  </w:tcBorders>
                  <w:shd w:val="clear" w:color="000000" w:fill="99CCFF"/>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Asthma control</w:t>
                  </w:r>
                </w:p>
              </w:tc>
              <w:tc>
                <w:tcPr>
                  <w:tcW w:w="3827" w:type="dxa"/>
                  <w:tcBorders>
                    <w:top w:val="nil"/>
                    <w:left w:val="nil"/>
                    <w:bottom w:val="single" w:sz="4" w:space="0" w:color="auto"/>
                    <w:right w:val="single" w:sz="4" w:space="0" w:color="auto"/>
                  </w:tcBorders>
                  <w:shd w:val="clear" w:color="000000" w:fill="99CCFF"/>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Medication (inhaled ipratropium bromide, rapid-acting bronchodilators, inhaled corticosteroid)</w:t>
                  </w:r>
                </w:p>
              </w:tc>
              <w:tc>
                <w:tcPr>
                  <w:tcW w:w="565"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513"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419"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r>
            <w:tr w:rsidR="0005028C" w:rsidRPr="00E42063" w:rsidTr="0005028C">
              <w:trPr>
                <w:trHeight w:val="450"/>
              </w:trPr>
              <w:tc>
                <w:tcPr>
                  <w:tcW w:w="2972" w:type="dxa"/>
                  <w:tcBorders>
                    <w:top w:val="nil"/>
                    <w:left w:val="single" w:sz="4" w:space="0" w:color="auto"/>
                    <w:bottom w:val="single" w:sz="4" w:space="0" w:color="auto"/>
                    <w:right w:val="single" w:sz="4" w:space="0" w:color="auto"/>
                  </w:tcBorders>
                  <w:shd w:val="clear" w:color="000000" w:fill="CC99FF"/>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lastRenderedPageBreak/>
                    <w:t>Diabetes mellitus type 2</w:t>
                  </w:r>
                </w:p>
              </w:tc>
              <w:tc>
                <w:tcPr>
                  <w:tcW w:w="3827" w:type="dxa"/>
                  <w:tcBorders>
                    <w:top w:val="nil"/>
                    <w:left w:val="nil"/>
                    <w:bottom w:val="single" w:sz="4" w:space="0" w:color="auto"/>
                    <w:right w:val="single" w:sz="4" w:space="0" w:color="auto"/>
                  </w:tcBorders>
                  <w:shd w:val="clear" w:color="000000" w:fill="CC99FF"/>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Glucose control (insulin, oral glucose-lowering agents)</w:t>
                  </w:r>
                </w:p>
              </w:tc>
              <w:tc>
                <w:tcPr>
                  <w:tcW w:w="565"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513"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419"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r>
            <w:tr w:rsidR="0005028C" w:rsidRPr="00E42063" w:rsidTr="0005028C">
              <w:trPr>
                <w:trHeight w:val="300"/>
              </w:trPr>
              <w:tc>
                <w:tcPr>
                  <w:tcW w:w="2972" w:type="dxa"/>
                  <w:tcBorders>
                    <w:top w:val="nil"/>
                    <w:left w:val="single" w:sz="4" w:space="0" w:color="auto"/>
                    <w:bottom w:val="single" w:sz="4" w:space="0" w:color="auto"/>
                    <w:right w:val="single" w:sz="4" w:space="0" w:color="auto"/>
                  </w:tcBorders>
                  <w:shd w:val="clear" w:color="000000" w:fill="FFCC99"/>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 xml:space="preserve">MN of larynx and trachea, bronchus, lung </w:t>
                  </w:r>
                </w:p>
              </w:tc>
              <w:tc>
                <w:tcPr>
                  <w:tcW w:w="3827" w:type="dxa"/>
                  <w:tcBorders>
                    <w:top w:val="nil"/>
                    <w:left w:val="nil"/>
                    <w:bottom w:val="single" w:sz="4" w:space="0" w:color="auto"/>
                    <w:right w:val="single" w:sz="4" w:space="0" w:color="auto"/>
                  </w:tcBorders>
                  <w:shd w:val="clear" w:color="000000" w:fill="FFCC99"/>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Surgery with/without adjuvant treatment (a)</w:t>
                  </w:r>
                </w:p>
              </w:tc>
              <w:tc>
                <w:tcPr>
                  <w:tcW w:w="565"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513"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419"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r>
            <w:tr w:rsidR="0005028C" w:rsidRPr="00E42063" w:rsidTr="0005028C">
              <w:trPr>
                <w:trHeight w:val="300"/>
              </w:trPr>
              <w:tc>
                <w:tcPr>
                  <w:tcW w:w="2972" w:type="dxa"/>
                  <w:tcBorders>
                    <w:top w:val="nil"/>
                    <w:left w:val="single" w:sz="4" w:space="0" w:color="auto"/>
                    <w:bottom w:val="single" w:sz="4" w:space="0" w:color="auto"/>
                    <w:right w:val="single" w:sz="4" w:space="0" w:color="auto"/>
                  </w:tcBorders>
                  <w:shd w:val="clear" w:color="000000" w:fill="FFFF99"/>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Unhealthy diet</w:t>
                  </w:r>
                </w:p>
              </w:tc>
              <w:tc>
                <w:tcPr>
                  <w:tcW w:w="3827" w:type="dxa"/>
                  <w:tcBorders>
                    <w:top w:val="nil"/>
                    <w:left w:val="nil"/>
                    <w:bottom w:val="single" w:sz="4" w:space="0" w:color="auto"/>
                    <w:right w:val="single" w:sz="4" w:space="0" w:color="auto"/>
                  </w:tcBorders>
                  <w:shd w:val="clear" w:color="000000" w:fill="FFFF99"/>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Promote public awareness about diet</w:t>
                  </w:r>
                </w:p>
              </w:tc>
              <w:tc>
                <w:tcPr>
                  <w:tcW w:w="565"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513"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419"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r>
            <w:tr w:rsidR="0005028C" w:rsidRPr="00E42063" w:rsidTr="0005028C">
              <w:trPr>
                <w:trHeight w:val="300"/>
              </w:trPr>
              <w:tc>
                <w:tcPr>
                  <w:tcW w:w="2972" w:type="dxa"/>
                  <w:tcBorders>
                    <w:top w:val="nil"/>
                    <w:left w:val="single" w:sz="4" w:space="0" w:color="auto"/>
                    <w:bottom w:val="single" w:sz="4" w:space="0" w:color="auto"/>
                    <w:right w:val="single" w:sz="4" w:space="0" w:color="auto"/>
                  </w:tcBorders>
                  <w:shd w:val="clear" w:color="000000" w:fill="FFFF99"/>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Physical Inactivity</w:t>
                  </w:r>
                </w:p>
              </w:tc>
              <w:tc>
                <w:tcPr>
                  <w:tcW w:w="3827" w:type="dxa"/>
                  <w:tcBorders>
                    <w:top w:val="nil"/>
                    <w:left w:val="nil"/>
                    <w:bottom w:val="single" w:sz="4" w:space="0" w:color="auto"/>
                    <w:right w:val="single" w:sz="4" w:space="0" w:color="auto"/>
                  </w:tcBorders>
                  <w:shd w:val="clear" w:color="000000" w:fill="FFFF99"/>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Promote physical activity in mass media</w:t>
                  </w:r>
                </w:p>
              </w:tc>
              <w:tc>
                <w:tcPr>
                  <w:tcW w:w="565"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513"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419"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r>
            <w:tr w:rsidR="0005028C" w:rsidRPr="00E42063" w:rsidTr="0005028C">
              <w:trPr>
                <w:trHeight w:val="300"/>
              </w:trPr>
              <w:tc>
                <w:tcPr>
                  <w:tcW w:w="2972" w:type="dxa"/>
                  <w:tcBorders>
                    <w:top w:val="nil"/>
                    <w:left w:val="single" w:sz="4" w:space="0" w:color="auto"/>
                    <w:bottom w:val="single" w:sz="4" w:space="0" w:color="auto"/>
                    <w:right w:val="single" w:sz="4" w:space="0" w:color="auto"/>
                  </w:tcBorders>
                  <w:shd w:val="clear" w:color="000000" w:fill="FFFF99"/>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 xml:space="preserve">Harmful alcohol use </w:t>
                  </w:r>
                </w:p>
              </w:tc>
              <w:tc>
                <w:tcPr>
                  <w:tcW w:w="3827" w:type="dxa"/>
                  <w:tcBorders>
                    <w:top w:val="nil"/>
                    <w:left w:val="nil"/>
                    <w:bottom w:val="single" w:sz="4" w:space="0" w:color="auto"/>
                    <w:right w:val="single" w:sz="4" w:space="0" w:color="auto"/>
                  </w:tcBorders>
                  <w:shd w:val="clear" w:color="000000" w:fill="FFFF99"/>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Enforce drink-driving laws (breath-testing)</w:t>
                  </w:r>
                </w:p>
              </w:tc>
              <w:tc>
                <w:tcPr>
                  <w:tcW w:w="565"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513"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419"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r>
            <w:tr w:rsidR="0005028C" w:rsidRPr="00E42063" w:rsidTr="0005028C">
              <w:trPr>
                <w:trHeight w:val="300"/>
              </w:trPr>
              <w:tc>
                <w:tcPr>
                  <w:tcW w:w="2972" w:type="dxa"/>
                  <w:tcBorders>
                    <w:top w:val="nil"/>
                    <w:left w:val="single" w:sz="4" w:space="0" w:color="auto"/>
                    <w:bottom w:val="single" w:sz="4" w:space="0" w:color="auto"/>
                    <w:right w:val="single" w:sz="4" w:space="0" w:color="auto"/>
                  </w:tcBorders>
                  <w:shd w:val="clear" w:color="000000" w:fill="FFCC99"/>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 xml:space="preserve">MN of prostate </w:t>
                  </w:r>
                </w:p>
              </w:tc>
              <w:tc>
                <w:tcPr>
                  <w:tcW w:w="3827" w:type="dxa"/>
                  <w:tcBorders>
                    <w:top w:val="nil"/>
                    <w:left w:val="nil"/>
                    <w:bottom w:val="single" w:sz="4" w:space="0" w:color="auto"/>
                    <w:right w:val="single" w:sz="4" w:space="0" w:color="auto"/>
                  </w:tcBorders>
                  <w:shd w:val="clear" w:color="000000" w:fill="FFCC99"/>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Surgery with/without adjuvant treatment (c)</w:t>
                  </w:r>
                </w:p>
              </w:tc>
              <w:tc>
                <w:tcPr>
                  <w:tcW w:w="565"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17</w:t>
                  </w:r>
                </w:p>
              </w:tc>
              <w:tc>
                <w:tcPr>
                  <w:tcW w:w="513"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17</w:t>
                  </w:r>
                </w:p>
              </w:tc>
              <w:tc>
                <w:tcPr>
                  <w:tcW w:w="419"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17</w:t>
                  </w:r>
                </w:p>
              </w:tc>
            </w:tr>
            <w:tr w:rsidR="0005028C" w:rsidRPr="00E42063" w:rsidTr="0005028C">
              <w:trPr>
                <w:trHeight w:val="450"/>
              </w:trPr>
              <w:tc>
                <w:tcPr>
                  <w:tcW w:w="2972" w:type="dxa"/>
                  <w:tcBorders>
                    <w:top w:val="nil"/>
                    <w:left w:val="single" w:sz="4" w:space="0" w:color="auto"/>
                    <w:bottom w:val="single" w:sz="4" w:space="0" w:color="auto"/>
                    <w:right w:val="single" w:sz="4" w:space="0" w:color="auto"/>
                  </w:tcBorders>
                  <w:shd w:val="clear" w:color="000000" w:fill="CCFFCC"/>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 xml:space="preserve">Atherosclerosis </w:t>
                  </w:r>
                </w:p>
              </w:tc>
              <w:tc>
                <w:tcPr>
                  <w:tcW w:w="3827" w:type="dxa"/>
                  <w:tcBorders>
                    <w:top w:val="nil"/>
                    <w:left w:val="nil"/>
                    <w:bottom w:val="single" w:sz="4" w:space="0" w:color="auto"/>
                    <w:right w:val="single" w:sz="4" w:space="0" w:color="auto"/>
                  </w:tcBorders>
                  <w:shd w:val="clear" w:color="000000" w:fill="CCFFCC"/>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 xml:space="preserve"> Surgery (percutaneous transluminal coronary angioplasty - PTCA) </w:t>
                  </w:r>
                </w:p>
              </w:tc>
              <w:tc>
                <w:tcPr>
                  <w:tcW w:w="565"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17</w:t>
                  </w:r>
                </w:p>
              </w:tc>
              <w:tc>
                <w:tcPr>
                  <w:tcW w:w="513"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17</w:t>
                  </w:r>
                </w:p>
              </w:tc>
              <w:tc>
                <w:tcPr>
                  <w:tcW w:w="419"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17</w:t>
                  </w:r>
                </w:p>
              </w:tc>
            </w:tr>
            <w:tr w:rsidR="0005028C" w:rsidRPr="00E42063" w:rsidTr="0005028C">
              <w:trPr>
                <w:trHeight w:val="450"/>
              </w:trPr>
              <w:tc>
                <w:tcPr>
                  <w:tcW w:w="2972" w:type="dxa"/>
                  <w:tcBorders>
                    <w:top w:val="nil"/>
                    <w:left w:val="single" w:sz="4" w:space="0" w:color="auto"/>
                    <w:bottom w:val="single" w:sz="4" w:space="0" w:color="auto"/>
                    <w:right w:val="single" w:sz="4" w:space="0" w:color="auto"/>
                  </w:tcBorders>
                  <w:shd w:val="clear" w:color="000000" w:fill="CC99FF"/>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Diabetes mellitus type 2</w:t>
                  </w:r>
                </w:p>
              </w:tc>
              <w:tc>
                <w:tcPr>
                  <w:tcW w:w="3827" w:type="dxa"/>
                  <w:tcBorders>
                    <w:top w:val="nil"/>
                    <w:left w:val="nil"/>
                    <w:bottom w:val="single" w:sz="4" w:space="0" w:color="auto"/>
                    <w:right w:val="single" w:sz="4" w:space="0" w:color="auto"/>
                  </w:tcBorders>
                  <w:shd w:val="clear" w:color="000000" w:fill="CC99FF"/>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Foot care (patient and provider education, foot examin</w:t>
                  </w:r>
                  <w:r w:rsidR="00E42063" w:rsidRPr="00BC2CDC">
                    <w:rPr>
                      <w:rFonts w:ascii="Times New Roman" w:eastAsia="Times New Roman" w:hAnsi="Times New Roman" w:cs="Times New Roman"/>
                      <w:sz w:val="18"/>
                      <w:szCs w:val="18"/>
                      <w:lang w:val="en-GB" w:eastAsia="el-GR"/>
                    </w:rPr>
                    <w:t>ation, foot hygiene, appropriate</w:t>
                  </w:r>
                  <w:r w:rsidRPr="00BC2CDC">
                    <w:rPr>
                      <w:rFonts w:ascii="Times New Roman" w:eastAsia="Times New Roman" w:hAnsi="Times New Roman" w:cs="Times New Roman"/>
                      <w:sz w:val="18"/>
                      <w:szCs w:val="18"/>
                      <w:lang w:val="en-GB" w:eastAsia="el-GR"/>
                    </w:rPr>
                    <w:t xml:space="preserve"> footwear)</w:t>
                  </w:r>
                </w:p>
              </w:tc>
              <w:tc>
                <w:tcPr>
                  <w:tcW w:w="565"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17</w:t>
                  </w:r>
                </w:p>
              </w:tc>
              <w:tc>
                <w:tcPr>
                  <w:tcW w:w="513"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17</w:t>
                  </w:r>
                </w:p>
              </w:tc>
              <w:tc>
                <w:tcPr>
                  <w:tcW w:w="419"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17</w:t>
                  </w:r>
                </w:p>
              </w:tc>
            </w:tr>
            <w:tr w:rsidR="0005028C" w:rsidRPr="00E42063" w:rsidTr="0005028C">
              <w:trPr>
                <w:trHeight w:val="465"/>
              </w:trPr>
              <w:tc>
                <w:tcPr>
                  <w:tcW w:w="2972" w:type="dxa"/>
                  <w:tcBorders>
                    <w:top w:val="nil"/>
                    <w:left w:val="single" w:sz="4" w:space="0" w:color="auto"/>
                    <w:bottom w:val="single" w:sz="4" w:space="0" w:color="auto"/>
                    <w:right w:val="single" w:sz="4" w:space="0" w:color="auto"/>
                  </w:tcBorders>
                  <w:shd w:val="clear" w:color="000000" w:fill="948A54"/>
                  <w:noWrap/>
                  <w:vAlign w:val="bottom"/>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 xml:space="preserve">Suicide and intentional self-harm </w:t>
                  </w:r>
                </w:p>
              </w:tc>
              <w:tc>
                <w:tcPr>
                  <w:tcW w:w="3827" w:type="dxa"/>
                  <w:tcBorders>
                    <w:top w:val="nil"/>
                    <w:left w:val="nil"/>
                    <w:bottom w:val="single" w:sz="4" w:space="0" w:color="auto"/>
                    <w:right w:val="single" w:sz="4" w:space="0" w:color="auto"/>
                  </w:tcBorders>
                  <w:shd w:val="clear" w:color="000000" w:fill="948A54"/>
                  <w:vAlign w:val="bottom"/>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Education, promote individual, family, community connectedness</w:t>
                  </w:r>
                </w:p>
              </w:tc>
              <w:tc>
                <w:tcPr>
                  <w:tcW w:w="565"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17</w:t>
                  </w:r>
                </w:p>
              </w:tc>
              <w:tc>
                <w:tcPr>
                  <w:tcW w:w="513"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17</w:t>
                  </w:r>
                </w:p>
              </w:tc>
              <w:tc>
                <w:tcPr>
                  <w:tcW w:w="419"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17</w:t>
                  </w:r>
                </w:p>
              </w:tc>
            </w:tr>
            <w:tr w:rsidR="0005028C" w:rsidRPr="00E42063" w:rsidTr="0005028C">
              <w:trPr>
                <w:trHeight w:val="450"/>
              </w:trPr>
              <w:tc>
                <w:tcPr>
                  <w:tcW w:w="2972" w:type="dxa"/>
                  <w:tcBorders>
                    <w:top w:val="nil"/>
                    <w:left w:val="single" w:sz="4" w:space="0" w:color="auto"/>
                    <w:bottom w:val="single" w:sz="4" w:space="0" w:color="auto"/>
                    <w:right w:val="single" w:sz="4" w:space="0" w:color="auto"/>
                  </w:tcBorders>
                  <w:shd w:val="clear" w:color="000000" w:fill="FFCC99"/>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 xml:space="preserve">MN of the female breast </w:t>
                  </w:r>
                </w:p>
              </w:tc>
              <w:tc>
                <w:tcPr>
                  <w:tcW w:w="3827" w:type="dxa"/>
                  <w:tcBorders>
                    <w:top w:val="nil"/>
                    <w:left w:val="nil"/>
                    <w:bottom w:val="single" w:sz="4" w:space="0" w:color="auto"/>
                    <w:right w:val="single" w:sz="4" w:space="0" w:color="auto"/>
                  </w:tcBorders>
                  <w:shd w:val="clear" w:color="000000" w:fill="FFCC99"/>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Screening (self-examination, clinical breast examination, ultrasound, mammography)</w:t>
                  </w:r>
                </w:p>
              </w:tc>
              <w:tc>
                <w:tcPr>
                  <w:tcW w:w="565"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17</w:t>
                  </w:r>
                </w:p>
              </w:tc>
              <w:tc>
                <w:tcPr>
                  <w:tcW w:w="513"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17</w:t>
                  </w:r>
                </w:p>
              </w:tc>
              <w:tc>
                <w:tcPr>
                  <w:tcW w:w="419"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17</w:t>
                  </w:r>
                </w:p>
              </w:tc>
            </w:tr>
            <w:tr w:rsidR="0005028C" w:rsidRPr="00E42063" w:rsidTr="0005028C">
              <w:trPr>
                <w:trHeight w:val="450"/>
              </w:trPr>
              <w:tc>
                <w:tcPr>
                  <w:tcW w:w="2972" w:type="dxa"/>
                  <w:tcBorders>
                    <w:top w:val="nil"/>
                    <w:left w:val="single" w:sz="4" w:space="0" w:color="auto"/>
                    <w:bottom w:val="single" w:sz="4" w:space="0" w:color="auto"/>
                    <w:right w:val="single" w:sz="4" w:space="0" w:color="auto"/>
                  </w:tcBorders>
                  <w:shd w:val="clear" w:color="000000" w:fill="FFCC99"/>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 xml:space="preserve">MN of prostate </w:t>
                  </w:r>
                </w:p>
              </w:tc>
              <w:tc>
                <w:tcPr>
                  <w:tcW w:w="3827" w:type="dxa"/>
                  <w:tcBorders>
                    <w:top w:val="nil"/>
                    <w:left w:val="nil"/>
                    <w:bottom w:val="single" w:sz="4" w:space="0" w:color="auto"/>
                    <w:right w:val="single" w:sz="4" w:space="0" w:color="auto"/>
                  </w:tcBorders>
                  <w:shd w:val="clear" w:color="000000" w:fill="FFCC99"/>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Screening (Digital rectal exam (DRE), Prostate specific antigen test (PSA))</w:t>
                  </w:r>
                </w:p>
              </w:tc>
              <w:tc>
                <w:tcPr>
                  <w:tcW w:w="565"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17</w:t>
                  </w:r>
                </w:p>
              </w:tc>
              <w:tc>
                <w:tcPr>
                  <w:tcW w:w="513"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17</w:t>
                  </w:r>
                </w:p>
              </w:tc>
              <w:tc>
                <w:tcPr>
                  <w:tcW w:w="419"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17</w:t>
                  </w:r>
                </w:p>
              </w:tc>
            </w:tr>
            <w:tr w:rsidR="0005028C" w:rsidRPr="00E42063" w:rsidTr="0005028C">
              <w:trPr>
                <w:trHeight w:val="450"/>
              </w:trPr>
              <w:tc>
                <w:tcPr>
                  <w:tcW w:w="2972" w:type="dxa"/>
                  <w:tcBorders>
                    <w:top w:val="nil"/>
                    <w:left w:val="single" w:sz="4" w:space="0" w:color="auto"/>
                    <w:bottom w:val="single" w:sz="4" w:space="0" w:color="auto"/>
                    <w:right w:val="single" w:sz="4" w:space="0" w:color="auto"/>
                  </w:tcBorders>
                  <w:shd w:val="clear" w:color="000000" w:fill="99CCFF"/>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Chronic obstructive pulmonary disease (COPD) - Stage 1-2</w:t>
                  </w:r>
                </w:p>
              </w:tc>
              <w:tc>
                <w:tcPr>
                  <w:tcW w:w="3827" w:type="dxa"/>
                  <w:tcBorders>
                    <w:top w:val="nil"/>
                    <w:left w:val="nil"/>
                    <w:bottom w:val="single" w:sz="4" w:space="0" w:color="auto"/>
                    <w:right w:val="single" w:sz="4" w:space="0" w:color="auto"/>
                  </w:tcBorders>
                  <w:shd w:val="clear" w:color="000000" w:fill="99CCFF"/>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Medication (inhaled ipratropium bromide, rapid-acting bronchodilators, inhaled corticosteroid)</w:t>
                  </w:r>
                </w:p>
              </w:tc>
              <w:tc>
                <w:tcPr>
                  <w:tcW w:w="565"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17</w:t>
                  </w:r>
                </w:p>
              </w:tc>
              <w:tc>
                <w:tcPr>
                  <w:tcW w:w="513"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17</w:t>
                  </w:r>
                </w:p>
              </w:tc>
              <w:tc>
                <w:tcPr>
                  <w:tcW w:w="419"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17</w:t>
                  </w:r>
                </w:p>
              </w:tc>
            </w:tr>
            <w:tr w:rsidR="0005028C" w:rsidRPr="00E42063" w:rsidTr="0005028C">
              <w:trPr>
                <w:trHeight w:val="300"/>
              </w:trPr>
              <w:tc>
                <w:tcPr>
                  <w:tcW w:w="2972" w:type="dxa"/>
                  <w:tcBorders>
                    <w:top w:val="nil"/>
                    <w:left w:val="single" w:sz="4" w:space="0" w:color="auto"/>
                    <w:bottom w:val="single" w:sz="4" w:space="0" w:color="auto"/>
                    <w:right w:val="single" w:sz="4" w:space="0" w:color="auto"/>
                  </w:tcBorders>
                  <w:shd w:val="clear" w:color="000000" w:fill="FFFF99"/>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Tobacco use</w:t>
                  </w:r>
                </w:p>
              </w:tc>
              <w:tc>
                <w:tcPr>
                  <w:tcW w:w="3827" w:type="dxa"/>
                  <w:tcBorders>
                    <w:top w:val="nil"/>
                    <w:left w:val="nil"/>
                    <w:bottom w:val="single" w:sz="4" w:space="0" w:color="auto"/>
                    <w:right w:val="single" w:sz="4" w:space="0" w:color="auto"/>
                  </w:tcBorders>
                  <w:shd w:val="clear" w:color="000000" w:fill="FFFF99"/>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Raise tax on tobacco</w:t>
                  </w:r>
                </w:p>
              </w:tc>
              <w:tc>
                <w:tcPr>
                  <w:tcW w:w="565"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17</w:t>
                  </w:r>
                </w:p>
              </w:tc>
              <w:tc>
                <w:tcPr>
                  <w:tcW w:w="513"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17</w:t>
                  </w:r>
                </w:p>
              </w:tc>
              <w:tc>
                <w:tcPr>
                  <w:tcW w:w="419"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17</w:t>
                  </w:r>
                </w:p>
              </w:tc>
            </w:tr>
            <w:tr w:rsidR="0005028C" w:rsidRPr="00E42063" w:rsidTr="0005028C">
              <w:trPr>
                <w:trHeight w:val="300"/>
              </w:trPr>
              <w:tc>
                <w:tcPr>
                  <w:tcW w:w="2972" w:type="dxa"/>
                  <w:tcBorders>
                    <w:top w:val="nil"/>
                    <w:left w:val="single" w:sz="4" w:space="0" w:color="auto"/>
                    <w:bottom w:val="single" w:sz="4" w:space="0" w:color="auto"/>
                    <w:right w:val="single" w:sz="4" w:space="0" w:color="auto"/>
                  </w:tcBorders>
                  <w:shd w:val="clear" w:color="000000" w:fill="FFFF99"/>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Tobacco use</w:t>
                  </w:r>
                </w:p>
              </w:tc>
              <w:tc>
                <w:tcPr>
                  <w:tcW w:w="3827" w:type="dxa"/>
                  <w:tcBorders>
                    <w:top w:val="nil"/>
                    <w:left w:val="nil"/>
                    <w:bottom w:val="single" w:sz="4" w:space="0" w:color="auto"/>
                    <w:right w:val="single" w:sz="4" w:space="0" w:color="auto"/>
                  </w:tcBorders>
                  <w:shd w:val="clear" w:color="000000" w:fill="FFFF99"/>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Enforce bans on tobacco advertising</w:t>
                  </w:r>
                </w:p>
              </w:tc>
              <w:tc>
                <w:tcPr>
                  <w:tcW w:w="565"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17</w:t>
                  </w:r>
                </w:p>
              </w:tc>
              <w:tc>
                <w:tcPr>
                  <w:tcW w:w="513"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17</w:t>
                  </w:r>
                </w:p>
              </w:tc>
              <w:tc>
                <w:tcPr>
                  <w:tcW w:w="419"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17</w:t>
                  </w:r>
                </w:p>
              </w:tc>
            </w:tr>
            <w:tr w:rsidR="0005028C" w:rsidRPr="00E42063" w:rsidTr="0005028C">
              <w:trPr>
                <w:trHeight w:val="300"/>
              </w:trPr>
              <w:tc>
                <w:tcPr>
                  <w:tcW w:w="2972" w:type="dxa"/>
                  <w:tcBorders>
                    <w:top w:val="nil"/>
                    <w:left w:val="single" w:sz="4" w:space="0" w:color="auto"/>
                    <w:bottom w:val="single" w:sz="4" w:space="0" w:color="auto"/>
                    <w:right w:val="single" w:sz="4" w:space="0" w:color="auto"/>
                  </w:tcBorders>
                  <w:shd w:val="clear" w:color="000000" w:fill="FFFF99"/>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 xml:space="preserve">Harmful alcohol use </w:t>
                  </w:r>
                </w:p>
              </w:tc>
              <w:tc>
                <w:tcPr>
                  <w:tcW w:w="3827" w:type="dxa"/>
                  <w:tcBorders>
                    <w:top w:val="nil"/>
                    <w:left w:val="nil"/>
                    <w:bottom w:val="single" w:sz="4" w:space="0" w:color="auto"/>
                    <w:right w:val="single" w:sz="4" w:space="0" w:color="auto"/>
                  </w:tcBorders>
                  <w:shd w:val="clear" w:color="000000" w:fill="FFFF99"/>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Enforce bans on alcohol advertising</w:t>
                  </w:r>
                </w:p>
              </w:tc>
              <w:tc>
                <w:tcPr>
                  <w:tcW w:w="565"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17</w:t>
                  </w:r>
                </w:p>
              </w:tc>
              <w:tc>
                <w:tcPr>
                  <w:tcW w:w="513"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17</w:t>
                  </w:r>
                </w:p>
              </w:tc>
              <w:tc>
                <w:tcPr>
                  <w:tcW w:w="419"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17</w:t>
                  </w:r>
                </w:p>
              </w:tc>
            </w:tr>
            <w:tr w:rsidR="0005028C" w:rsidRPr="00E42063" w:rsidTr="0005028C">
              <w:trPr>
                <w:trHeight w:val="300"/>
              </w:trPr>
              <w:tc>
                <w:tcPr>
                  <w:tcW w:w="2972" w:type="dxa"/>
                  <w:tcBorders>
                    <w:top w:val="nil"/>
                    <w:left w:val="single" w:sz="4" w:space="0" w:color="auto"/>
                    <w:bottom w:val="single" w:sz="4" w:space="0" w:color="auto"/>
                    <w:right w:val="single" w:sz="4" w:space="0" w:color="auto"/>
                  </w:tcBorders>
                  <w:shd w:val="clear" w:color="000000" w:fill="CCFFCC"/>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Angina pectoris (stable angina)</w:t>
                  </w:r>
                </w:p>
              </w:tc>
              <w:tc>
                <w:tcPr>
                  <w:tcW w:w="3827" w:type="dxa"/>
                  <w:tcBorders>
                    <w:top w:val="nil"/>
                    <w:left w:val="nil"/>
                    <w:bottom w:val="single" w:sz="4" w:space="0" w:color="auto"/>
                    <w:right w:val="single" w:sz="4" w:space="0" w:color="auto"/>
                  </w:tcBorders>
                  <w:shd w:val="clear" w:color="000000" w:fill="CCFFCC"/>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Surgery (Coronary artery bypass graft)</w:t>
                  </w:r>
                </w:p>
              </w:tc>
              <w:tc>
                <w:tcPr>
                  <w:tcW w:w="565"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27</w:t>
                  </w:r>
                </w:p>
              </w:tc>
              <w:tc>
                <w:tcPr>
                  <w:tcW w:w="513"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27</w:t>
                  </w:r>
                </w:p>
              </w:tc>
              <w:tc>
                <w:tcPr>
                  <w:tcW w:w="419"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27</w:t>
                  </w:r>
                </w:p>
              </w:tc>
            </w:tr>
            <w:tr w:rsidR="0005028C" w:rsidRPr="00E42063" w:rsidTr="0005028C">
              <w:trPr>
                <w:trHeight w:val="300"/>
              </w:trPr>
              <w:tc>
                <w:tcPr>
                  <w:tcW w:w="2972" w:type="dxa"/>
                  <w:tcBorders>
                    <w:top w:val="nil"/>
                    <w:left w:val="single" w:sz="4" w:space="0" w:color="auto"/>
                    <w:bottom w:val="single" w:sz="4" w:space="0" w:color="auto"/>
                    <w:right w:val="single" w:sz="4" w:space="0" w:color="auto"/>
                  </w:tcBorders>
                  <w:shd w:val="clear" w:color="000000" w:fill="FFFF99"/>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Tobacco use</w:t>
                  </w:r>
                </w:p>
              </w:tc>
              <w:tc>
                <w:tcPr>
                  <w:tcW w:w="3827" w:type="dxa"/>
                  <w:tcBorders>
                    <w:top w:val="nil"/>
                    <w:left w:val="nil"/>
                    <w:bottom w:val="single" w:sz="4" w:space="0" w:color="auto"/>
                    <w:right w:val="single" w:sz="4" w:space="0" w:color="auto"/>
                  </w:tcBorders>
                  <w:shd w:val="clear" w:color="000000" w:fill="FFFF99"/>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Enforce clean indoor air law</w:t>
                  </w:r>
                </w:p>
              </w:tc>
              <w:tc>
                <w:tcPr>
                  <w:tcW w:w="565"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27</w:t>
                  </w:r>
                </w:p>
              </w:tc>
              <w:tc>
                <w:tcPr>
                  <w:tcW w:w="513"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27</w:t>
                  </w:r>
                </w:p>
              </w:tc>
              <w:tc>
                <w:tcPr>
                  <w:tcW w:w="419"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27</w:t>
                  </w:r>
                </w:p>
              </w:tc>
            </w:tr>
            <w:tr w:rsidR="0005028C" w:rsidRPr="00E42063" w:rsidTr="0005028C">
              <w:trPr>
                <w:trHeight w:val="300"/>
              </w:trPr>
              <w:tc>
                <w:tcPr>
                  <w:tcW w:w="2972" w:type="dxa"/>
                  <w:tcBorders>
                    <w:top w:val="nil"/>
                    <w:left w:val="single" w:sz="4" w:space="0" w:color="auto"/>
                    <w:bottom w:val="single" w:sz="4" w:space="0" w:color="auto"/>
                    <w:right w:val="single" w:sz="4" w:space="0" w:color="auto"/>
                  </w:tcBorders>
                  <w:shd w:val="clear" w:color="000000" w:fill="948A54"/>
                  <w:noWrap/>
                  <w:vAlign w:val="bottom"/>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Major depressive disorder</w:t>
                  </w:r>
                </w:p>
              </w:tc>
              <w:tc>
                <w:tcPr>
                  <w:tcW w:w="3827" w:type="dxa"/>
                  <w:tcBorders>
                    <w:top w:val="nil"/>
                    <w:left w:val="nil"/>
                    <w:bottom w:val="single" w:sz="4" w:space="0" w:color="auto"/>
                    <w:right w:val="single" w:sz="4" w:space="0" w:color="auto"/>
                  </w:tcBorders>
                  <w:shd w:val="clear" w:color="000000" w:fill="948A54"/>
                  <w:noWrap/>
                  <w:vAlign w:val="bottom"/>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Older antidepressant drug medication (TCA)</w:t>
                  </w:r>
                </w:p>
              </w:tc>
              <w:tc>
                <w:tcPr>
                  <w:tcW w:w="565"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29</w:t>
                  </w:r>
                </w:p>
              </w:tc>
              <w:tc>
                <w:tcPr>
                  <w:tcW w:w="513"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29</w:t>
                  </w:r>
                </w:p>
              </w:tc>
              <w:tc>
                <w:tcPr>
                  <w:tcW w:w="419"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30</w:t>
                  </w:r>
                </w:p>
              </w:tc>
            </w:tr>
            <w:tr w:rsidR="0005028C" w:rsidRPr="00E42063" w:rsidTr="0005028C">
              <w:trPr>
                <w:trHeight w:val="300"/>
              </w:trPr>
              <w:tc>
                <w:tcPr>
                  <w:tcW w:w="2972" w:type="dxa"/>
                  <w:tcBorders>
                    <w:top w:val="nil"/>
                    <w:left w:val="single" w:sz="4" w:space="0" w:color="auto"/>
                    <w:bottom w:val="single" w:sz="4" w:space="0" w:color="auto"/>
                    <w:right w:val="single" w:sz="4" w:space="0" w:color="auto"/>
                  </w:tcBorders>
                  <w:shd w:val="clear" w:color="000000" w:fill="948A54"/>
                  <w:noWrap/>
                  <w:vAlign w:val="bottom"/>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Major depressive disorder</w:t>
                  </w:r>
                </w:p>
              </w:tc>
              <w:tc>
                <w:tcPr>
                  <w:tcW w:w="3827" w:type="dxa"/>
                  <w:tcBorders>
                    <w:top w:val="nil"/>
                    <w:left w:val="nil"/>
                    <w:bottom w:val="single" w:sz="4" w:space="0" w:color="auto"/>
                    <w:right w:val="single" w:sz="4" w:space="0" w:color="auto"/>
                  </w:tcBorders>
                  <w:shd w:val="clear" w:color="000000" w:fill="948A54"/>
                  <w:noWrap/>
                  <w:vAlign w:val="bottom"/>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 xml:space="preserve">Newer antidepressant drug medication </w:t>
                  </w:r>
                </w:p>
              </w:tc>
              <w:tc>
                <w:tcPr>
                  <w:tcW w:w="565"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29</w:t>
                  </w:r>
                </w:p>
              </w:tc>
              <w:tc>
                <w:tcPr>
                  <w:tcW w:w="513"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29</w:t>
                  </w:r>
                </w:p>
              </w:tc>
              <w:tc>
                <w:tcPr>
                  <w:tcW w:w="419"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30</w:t>
                  </w:r>
                </w:p>
              </w:tc>
            </w:tr>
            <w:tr w:rsidR="0005028C" w:rsidRPr="00E42063" w:rsidTr="0005028C">
              <w:trPr>
                <w:trHeight w:val="300"/>
              </w:trPr>
              <w:tc>
                <w:tcPr>
                  <w:tcW w:w="2972" w:type="dxa"/>
                  <w:tcBorders>
                    <w:top w:val="nil"/>
                    <w:left w:val="single" w:sz="4" w:space="0" w:color="auto"/>
                    <w:bottom w:val="single" w:sz="4" w:space="0" w:color="auto"/>
                    <w:right w:val="single" w:sz="4" w:space="0" w:color="auto"/>
                  </w:tcBorders>
                  <w:shd w:val="clear" w:color="000000" w:fill="948A54"/>
                  <w:noWrap/>
                  <w:vAlign w:val="bottom"/>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Major depressive disorder</w:t>
                  </w:r>
                </w:p>
              </w:tc>
              <w:tc>
                <w:tcPr>
                  <w:tcW w:w="3827" w:type="dxa"/>
                  <w:tcBorders>
                    <w:top w:val="nil"/>
                    <w:left w:val="nil"/>
                    <w:bottom w:val="single" w:sz="4" w:space="0" w:color="auto"/>
                    <w:right w:val="single" w:sz="4" w:space="0" w:color="auto"/>
                  </w:tcBorders>
                  <w:shd w:val="clear" w:color="000000" w:fill="948A54"/>
                  <w:noWrap/>
                  <w:vAlign w:val="bottom"/>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Psychosocial treatment</w:t>
                  </w:r>
                </w:p>
              </w:tc>
              <w:tc>
                <w:tcPr>
                  <w:tcW w:w="565"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29</w:t>
                  </w:r>
                </w:p>
              </w:tc>
              <w:tc>
                <w:tcPr>
                  <w:tcW w:w="513"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29</w:t>
                  </w:r>
                </w:p>
              </w:tc>
              <w:tc>
                <w:tcPr>
                  <w:tcW w:w="419"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30</w:t>
                  </w:r>
                </w:p>
              </w:tc>
            </w:tr>
            <w:tr w:rsidR="0005028C" w:rsidRPr="00E42063" w:rsidTr="0005028C">
              <w:trPr>
                <w:trHeight w:val="300"/>
              </w:trPr>
              <w:tc>
                <w:tcPr>
                  <w:tcW w:w="2972" w:type="dxa"/>
                  <w:tcBorders>
                    <w:top w:val="nil"/>
                    <w:left w:val="single" w:sz="4" w:space="0" w:color="auto"/>
                    <w:bottom w:val="single" w:sz="4" w:space="0" w:color="auto"/>
                    <w:right w:val="single" w:sz="4" w:space="0" w:color="auto"/>
                  </w:tcBorders>
                  <w:shd w:val="clear" w:color="000000" w:fill="FFCC99"/>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 xml:space="preserve">MN of colon, rectum and anus </w:t>
                  </w:r>
                </w:p>
              </w:tc>
              <w:tc>
                <w:tcPr>
                  <w:tcW w:w="3827" w:type="dxa"/>
                  <w:tcBorders>
                    <w:top w:val="nil"/>
                    <w:left w:val="nil"/>
                    <w:bottom w:val="single" w:sz="4" w:space="0" w:color="auto"/>
                    <w:right w:val="single" w:sz="4" w:space="0" w:color="auto"/>
                  </w:tcBorders>
                  <w:shd w:val="clear" w:color="000000" w:fill="FFCC99"/>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Surgery with/without adjuvant treatment (a)</w:t>
                  </w:r>
                </w:p>
              </w:tc>
              <w:tc>
                <w:tcPr>
                  <w:tcW w:w="565"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29</w:t>
                  </w:r>
                </w:p>
              </w:tc>
              <w:tc>
                <w:tcPr>
                  <w:tcW w:w="513"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29</w:t>
                  </w:r>
                </w:p>
              </w:tc>
              <w:tc>
                <w:tcPr>
                  <w:tcW w:w="419"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30</w:t>
                  </w:r>
                </w:p>
              </w:tc>
            </w:tr>
            <w:tr w:rsidR="0005028C" w:rsidRPr="00E42063" w:rsidTr="0005028C">
              <w:trPr>
                <w:trHeight w:val="450"/>
              </w:trPr>
              <w:tc>
                <w:tcPr>
                  <w:tcW w:w="2972" w:type="dxa"/>
                  <w:tcBorders>
                    <w:top w:val="nil"/>
                    <w:left w:val="single" w:sz="4" w:space="0" w:color="auto"/>
                    <w:bottom w:val="single" w:sz="4" w:space="0" w:color="auto"/>
                    <w:right w:val="single" w:sz="4" w:space="0" w:color="auto"/>
                  </w:tcBorders>
                  <w:shd w:val="clear" w:color="000000" w:fill="FFCC99"/>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 xml:space="preserve">MN of the female breast </w:t>
                  </w:r>
                </w:p>
              </w:tc>
              <w:tc>
                <w:tcPr>
                  <w:tcW w:w="3827" w:type="dxa"/>
                  <w:tcBorders>
                    <w:top w:val="nil"/>
                    <w:left w:val="nil"/>
                    <w:bottom w:val="single" w:sz="4" w:space="0" w:color="auto"/>
                    <w:right w:val="single" w:sz="4" w:space="0" w:color="auto"/>
                  </w:tcBorders>
                  <w:shd w:val="clear" w:color="000000" w:fill="FFCC99"/>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Surgery (</w:t>
                  </w:r>
                  <w:r w:rsidR="001D3A0A" w:rsidRPr="00BC2CDC">
                    <w:rPr>
                      <w:rFonts w:ascii="Times New Roman" w:eastAsia="Times New Roman" w:hAnsi="Times New Roman" w:cs="Times New Roman"/>
                      <w:sz w:val="18"/>
                      <w:szCs w:val="18"/>
                      <w:lang w:val="en-GB" w:eastAsia="el-GR"/>
                    </w:rPr>
                    <w:t>Lumpectomy</w:t>
                  </w:r>
                  <w:r w:rsidRPr="00BC2CDC">
                    <w:rPr>
                      <w:rFonts w:ascii="Times New Roman" w:eastAsia="Times New Roman" w:hAnsi="Times New Roman" w:cs="Times New Roman"/>
                      <w:sz w:val="18"/>
                      <w:szCs w:val="18"/>
                      <w:lang w:val="en-GB" w:eastAsia="el-GR"/>
                    </w:rPr>
                    <w:t>, Mastectomy) with adjuvant treatment (b)</w:t>
                  </w:r>
                </w:p>
              </w:tc>
              <w:tc>
                <w:tcPr>
                  <w:tcW w:w="565"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29</w:t>
                  </w:r>
                </w:p>
              </w:tc>
              <w:tc>
                <w:tcPr>
                  <w:tcW w:w="513"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29</w:t>
                  </w:r>
                </w:p>
              </w:tc>
              <w:tc>
                <w:tcPr>
                  <w:tcW w:w="419"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30</w:t>
                  </w:r>
                </w:p>
              </w:tc>
            </w:tr>
            <w:tr w:rsidR="0005028C" w:rsidRPr="00E42063" w:rsidTr="0005028C">
              <w:trPr>
                <w:trHeight w:val="450"/>
              </w:trPr>
              <w:tc>
                <w:tcPr>
                  <w:tcW w:w="2972" w:type="dxa"/>
                  <w:tcBorders>
                    <w:top w:val="nil"/>
                    <w:left w:val="single" w:sz="4" w:space="0" w:color="auto"/>
                    <w:bottom w:val="single" w:sz="4" w:space="0" w:color="auto"/>
                    <w:right w:val="single" w:sz="4" w:space="0" w:color="auto"/>
                  </w:tcBorders>
                  <w:shd w:val="clear" w:color="000000" w:fill="CCFFCC"/>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Acute Myocardial In</w:t>
                  </w:r>
                  <w:r w:rsidR="00E42063" w:rsidRPr="00BC2CDC">
                    <w:rPr>
                      <w:rFonts w:ascii="Times New Roman" w:eastAsia="Times New Roman" w:hAnsi="Times New Roman" w:cs="Times New Roman"/>
                      <w:sz w:val="18"/>
                      <w:szCs w:val="18"/>
                      <w:lang w:val="en-GB" w:eastAsia="el-GR"/>
                    </w:rPr>
                    <w:t>f</w:t>
                  </w:r>
                  <w:r w:rsidRPr="00BC2CDC">
                    <w:rPr>
                      <w:rFonts w:ascii="Times New Roman" w:eastAsia="Times New Roman" w:hAnsi="Times New Roman" w:cs="Times New Roman"/>
                      <w:sz w:val="18"/>
                      <w:szCs w:val="18"/>
                      <w:lang w:val="en-GB" w:eastAsia="el-GR"/>
                    </w:rPr>
                    <w:t>arction (AMI)</w:t>
                  </w:r>
                </w:p>
              </w:tc>
              <w:tc>
                <w:tcPr>
                  <w:tcW w:w="3827" w:type="dxa"/>
                  <w:tcBorders>
                    <w:top w:val="nil"/>
                    <w:left w:val="nil"/>
                    <w:bottom w:val="single" w:sz="4" w:space="0" w:color="auto"/>
                    <w:right w:val="single" w:sz="4" w:space="0" w:color="auto"/>
                  </w:tcBorders>
                  <w:shd w:val="clear" w:color="000000" w:fill="CCFFCC"/>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Medication (aspirin, atenolol, streptokinase, tissue plasminogen activator)</w:t>
                  </w:r>
                </w:p>
              </w:tc>
              <w:tc>
                <w:tcPr>
                  <w:tcW w:w="565"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29</w:t>
                  </w:r>
                </w:p>
              </w:tc>
              <w:tc>
                <w:tcPr>
                  <w:tcW w:w="513"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29</w:t>
                  </w:r>
                </w:p>
              </w:tc>
              <w:tc>
                <w:tcPr>
                  <w:tcW w:w="419"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30</w:t>
                  </w:r>
                </w:p>
              </w:tc>
            </w:tr>
            <w:tr w:rsidR="0005028C" w:rsidRPr="00E42063" w:rsidTr="0005028C">
              <w:trPr>
                <w:trHeight w:val="450"/>
              </w:trPr>
              <w:tc>
                <w:tcPr>
                  <w:tcW w:w="2972" w:type="dxa"/>
                  <w:tcBorders>
                    <w:top w:val="nil"/>
                    <w:left w:val="single" w:sz="4" w:space="0" w:color="auto"/>
                    <w:bottom w:val="single" w:sz="4" w:space="0" w:color="auto"/>
                    <w:right w:val="single" w:sz="4" w:space="0" w:color="auto"/>
                  </w:tcBorders>
                  <w:shd w:val="clear" w:color="000000" w:fill="CCFFCC"/>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 xml:space="preserve">Atherosclerosis </w:t>
                  </w:r>
                </w:p>
              </w:tc>
              <w:tc>
                <w:tcPr>
                  <w:tcW w:w="3827" w:type="dxa"/>
                  <w:tcBorders>
                    <w:top w:val="nil"/>
                    <w:left w:val="nil"/>
                    <w:bottom w:val="single" w:sz="4" w:space="0" w:color="auto"/>
                    <w:right w:val="single" w:sz="4" w:space="0" w:color="auto"/>
                  </w:tcBorders>
                  <w:shd w:val="clear" w:color="000000" w:fill="CCFFCC"/>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Medication (aspirin, atenolol, ACE inhibitors, Statins)</w:t>
                  </w:r>
                </w:p>
              </w:tc>
              <w:tc>
                <w:tcPr>
                  <w:tcW w:w="565"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29</w:t>
                  </w:r>
                </w:p>
              </w:tc>
              <w:tc>
                <w:tcPr>
                  <w:tcW w:w="513"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29</w:t>
                  </w:r>
                </w:p>
              </w:tc>
              <w:tc>
                <w:tcPr>
                  <w:tcW w:w="419"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30</w:t>
                  </w:r>
                </w:p>
              </w:tc>
            </w:tr>
            <w:tr w:rsidR="0005028C" w:rsidRPr="00E42063" w:rsidTr="0005028C">
              <w:trPr>
                <w:trHeight w:val="300"/>
              </w:trPr>
              <w:tc>
                <w:tcPr>
                  <w:tcW w:w="2972" w:type="dxa"/>
                  <w:tcBorders>
                    <w:top w:val="nil"/>
                    <w:left w:val="single" w:sz="4" w:space="0" w:color="auto"/>
                    <w:bottom w:val="single" w:sz="4" w:space="0" w:color="auto"/>
                    <w:right w:val="single" w:sz="4" w:space="0" w:color="auto"/>
                  </w:tcBorders>
                  <w:shd w:val="clear" w:color="000000" w:fill="948A54"/>
                  <w:noWrap/>
                  <w:vAlign w:val="bottom"/>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Alzheimer's disease &amp; dementias (Stage 2)</w:t>
                  </w:r>
                </w:p>
              </w:tc>
              <w:tc>
                <w:tcPr>
                  <w:tcW w:w="3827" w:type="dxa"/>
                  <w:tcBorders>
                    <w:top w:val="nil"/>
                    <w:left w:val="nil"/>
                    <w:bottom w:val="single" w:sz="4" w:space="0" w:color="auto"/>
                    <w:right w:val="single" w:sz="4" w:space="0" w:color="auto"/>
                  </w:tcBorders>
                  <w:shd w:val="clear" w:color="000000" w:fill="948A54"/>
                  <w:noWrap/>
                  <w:vAlign w:val="bottom"/>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Nursing home/hospital care</w:t>
                  </w:r>
                </w:p>
              </w:tc>
              <w:tc>
                <w:tcPr>
                  <w:tcW w:w="565"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29</w:t>
                  </w:r>
                </w:p>
              </w:tc>
              <w:tc>
                <w:tcPr>
                  <w:tcW w:w="513"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29</w:t>
                  </w:r>
                </w:p>
              </w:tc>
              <w:tc>
                <w:tcPr>
                  <w:tcW w:w="419"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30</w:t>
                  </w:r>
                </w:p>
              </w:tc>
            </w:tr>
            <w:tr w:rsidR="0005028C" w:rsidRPr="00E42063" w:rsidTr="0005028C">
              <w:trPr>
                <w:trHeight w:val="675"/>
              </w:trPr>
              <w:tc>
                <w:tcPr>
                  <w:tcW w:w="2972" w:type="dxa"/>
                  <w:tcBorders>
                    <w:top w:val="nil"/>
                    <w:left w:val="single" w:sz="4" w:space="0" w:color="auto"/>
                    <w:bottom w:val="single" w:sz="4" w:space="0" w:color="auto"/>
                    <w:right w:val="single" w:sz="4" w:space="0" w:color="auto"/>
                  </w:tcBorders>
                  <w:shd w:val="clear" w:color="000000" w:fill="CCFFCC"/>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Acute Myocardial In</w:t>
                  </w:r>
                  <w:r w:rsidR="00E42063" w:rsidRPr="00BC2CDC">
                    <w:rPr>
                      <w:rFonts w:ascii="Times New Roman" w:eastAsia="Times New Roman" w:hAnsi="Times New Roman" w:cs="Times New Roman"/>
                      <w:sz w:val="18"/>
                      <w:szCs w:val="18"/>
                      <w:lang w:val="en-GB" w:eastAsia="el-GR"/>
                    </w:rPr>
                    <w:t>f</w:t>
                  </w:r>
                  <w:r w:rsidRPr="00BC2CDC">
                    <w:rPr>
                      <w:rFonts w:ascii="Times New Roman" w:eastAsia="Times New Roman" w:hAnsi="Times New Roman" w:cs="Times New Roman"/>
                      <w:sz w:val="18"/>
                      <w:szCs w:val="18"/>
                      <w:lang w:val="en-GB" w:eastAsia="el-GR"/>
                    </w:rPr>
                    <w:t>arction (AMI)</w:t>
                  </w:r>
                </w:p>
              </w:tc>
              <w:tc>
                <w:tcPr>
                  <w:tcW w:w="3827" w:type="dxa"/>
                  <w:tcBorders>
                    <w:top w:val="nil"/>
                    <w:left w:val="nil"/>
                    <w:bottom w:val="single" w:sz="4" w:space="0" w:color="auto"/>
                    <w:right w:val="single" w:sz="4" w:space="0" w:color="auto"/>
                  </w:tcBorders>
                  <w:shd w:val="clear" w:color="000000" w:fill="CCFFCC"/>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Surgery (Primary angioplasty, primary stenting, percutaneous transluminal coronary angioplasty (PTCA))</w:t>
                  </w:r>
                </w:p>
              </w:tc>
              <w:tc>
                <w:tcPr>
                  <w:tcW w:w="565"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37</w:t>
                  </w:r>
                </w:p>
              </w:tc>
              <w:tc>
                <w:tcPr>
                  <w:tcW w:w="513"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37</w:t>
                  </w:r>
                </w:p>
              </w:tc>
              <w:tc>
                <w:tcPr>
                  <w:tcW w:w="419"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29</w:t>
                  </w:r>
                </w:p>
              </w:tc>
            </w:tr>
            <w:tr w:rsidR="0005028C" w:rsidRPr="00E42063" w:rsidTr="0005028C">
              <w:trPr>
                <w:trHeight w:val="450"/>
              </w:trPr>
              <w:tc>
                <w:tcPr>
                  <w:tcW w:w="2972" w:type="dxa"/>
                  <w:tcBorders>
                    <w:top w:val="nil"/>
                    <w:left w:val="single" w:sz="4" w:space="0" w:color="auto"/>
                    <w:bottom w:val="single" w:sz="4" w:space="0" w:color="auto"/>
                    <w:right w:val="single" w:sz="4" w:space="0" w:color="auto"/>
                  </w:tcBorders>
                  <w:shd w:val="clear" w:color="000000" w:fill="99CCFF"/>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Chronic obstructive pulmonary disease (COPD) - Stage 3-4</w:t>
                  </w:r>
                </w:p>
              </w:tc>
              <w:tc>
                <w:tcPr>
                  <w:tcW w:w="3827" w:type="dxa"/>
                  <w:tcBorders>
                    <w:top w:val="nil"/>
                    <w:left w:val="nil"/>
                    <w:bottom w:val="single" w:sz="4" w:space="0" w:color="auto"/>
                    <w:right w:val="single" w:sz="4" w:space="0" w:color="auto"/>
                  </w:tcBorders>
                  <w:shd w:val="clear" w:color="000000" w:fill="99CCFF"/>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Home oxygen therapy</w:t>
                  </w:r>
                </w:p>
              </w:tc>
              <w:tc>
                <w:tcPr>
                  <w:tcW w:w="565"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38</w:t>
                  </w:r>
                </w:p>
              </w:tc>
              <w:tc>
                <w:tcPr>
                  <w:tcW w:w="513"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38</w:t>
                  </w:r>
                </w:p>
              </w:tc>
              <w:tc>
                <w:tcPr>
                  <w:tcW w:w="419"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38</w:t>
                  </w:r>
                </w:p>
              </w:tc>
            </w:tr>
            <w:tr w:rsidR="0005028C" w:rsidRPr="00E42063" w:rsidTr="0005028C">
              <w:trPr>
                <w:trHeight w:val="300"/>
              </w:trPr>
              <w:tc>
                <w:tcPr>
                  <w:tcW w:w="2972" w:type="dxa"/>
                  <w:tcBorders>
                    <w:top w:val="nil"/>
                    <w:left w:val="single" w:sz="4" w:space="0" w:color="auto"/>
                    <w:bottom w:val="single" w:sz="4" w:space="0" w:color="auto"/>
                    <w:right w:val="single" w:sz="4" w:space="0" w:color="auto"/>
                  </w:tcBorders>
                  <w:shd w:val="clear" w:color="000000" w:fill="FFFF99"/>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Unhealthy diet</w:t>
                  </w:r>
                </w:p>
              </w:tc>
              <w:tc>
                <w:tcPr>
                  <w:tcW w:w="3827" w:type="dxa"/>
                  <w:tcBorders>
                    <w:top w:val="nil"/>
                    <w:left w:val="nil"/>
                    <w:bottom w:val="single" w:sz="4" w:space="0" w:color="auto"/>
                    <w:right w:val="single" w:sz="4" w:space="0" w:color="auto"/>
                  </w:tcBorders>
                  <w:shd w:val="clear" w:color="000000" w:fill="FFFF99"/>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Provide health education in worksites</w:t>
                  </w:r>
                </w:p>
              </w:tc>
              <w:tc>
                <w:tcPr>
                  <w:tcW w:w="565"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38</w:t>
                  </w:r>
                </w:p>
              </w:tc>
              <w:tc>
                <w:tcPr>
                  <w:tcW w:w="513"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38</w:t>
                  </w:r>
                </w:p>
              </w:tc>
              <w:tc>
                <w:tcPr>
                  <w:tcW w:w="419"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38</w:t>
                  </w:r>
                </w:p>
              </w:tc>
            </w:tr>
            <w:tr w:rsidR="0005028C" w:rsidRPr="00E42063" w:rsidTr="0005028C">
              <w:trPr>
                <w:trHeight w:val="450"/>
              </w:trPr>
              <w:tc>
                <w:tcPr>
                  <w:tcW w:w="2972" w:type="dxa"/>
                  <w:tcBorders>
                    <w:top w:val="nil"/>
                    <w:left w:val="single" w:sz="4" w:space="0" w:color="auto"/>
                    <w:bottom w:val="single" w:sz="4" w:space="0" w:color="auto"/>
                    <w:right w:val="single" w:sz="4" w:space="0" w:color="auto"/>
                  </w:tcBorders>
                  <w:shd w:val="clear" w:color="000000" w:fill="FFCC99"/>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 xml:space="preserve">MN of prostate </w:t>
                  </w:r>
                </w:p>
              </w:tc>
              <w:tc>
                <w:tcPr>
                  <w:tcW w:w="3827" w:type="dxa"/>
                  <w:tcBorders>
                    <w:top w:val="nil"/>
                    <w:left w:val="nil"/>
                    <w:bottom w:val="single" w:sz="4" w:space="0" w:color="auto"/>
                    <w:right w:val="single" w:sz="4" w:space="0" w:color="auto"/>
                  </w:tcBorders>
                  <w:shd w:val="clear" w:color="000000" w:fill="FFCC99"/>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Monitor cancer (Watchful Waiting, Active Surveillance)</w:t>
                  </w:r>
                </w:p>
              </w:tc>
              <w:tc>
                <w:tcPr>
                  <w:tcW w:w="565"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40</w:t>
                  </w:r>
                </w:p>
              </w:tc>
              <w:tc>
                <w:tcPr>
                  <w:tcW w:w="513"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40</w:t>
                  </w:r>
                </w:p>
              </w:tc>
              <w:tc>
                <w:tcPr>
                  <w:tcW w:w="419"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40</w:t>
                  </w:r>
                </w:p>
              </w:tc>
            </w:tr>
            <w:tr w:rsidR="0005028C" w:rsidRPr="00E42063" w:rsidTr="0005028C">
              <w:trPr>
                <w:trHeight w:val="450"/>
              </w:trPr>
              <w:tc>
                <w:tcPr>
                  <w:tcW w:w="2972" w:type="dxa"/>
                  <w:tcBorders>
                    <w:top w:val="nil"/>
                    <w:left w:val="single" w:sz="4" w:space="0" w:color="auto"/>
                    <w:bottom w:val="single" w:sz="4" w:space="0" w:color="auto"/>
                    <w:right w:val="single" w:sz="4" w:space="0" w:color="auto"/>
                  </w:tcBorders>
                  <w:shd w:val="clear" w:color="000000" w:fill="99CCFF"/>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Chronic obstructive pulmonary disease (COPD) - Stage 3-4</w:t>
                  </w:r>
                </w:p>
              </w:tc>
              <w:tc>
                <w:tcPr>
                  <w:tcW w:w="3827" w:type="dxa"/>
                  <w:tcBorders>
                    <w:top w:val="nil"/>
                    <w:left w:val="nil"/>
                    <w:bottom w:val="single" w:sz="4" w:space="0" w:color="auto"/>
                    <w:right w:val="single" w:sz="4" w:space="0" w:color="auto"/>
                  </w:tcBorders>
                  <w:shd w:val="clear" w:color="000000" w:fill="99CCFF"/>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Surgery (Lung volume reduction, lung transplant)</w:t>
                  </w:r>
                </w:p>
              </w:tc>
              <w:tc>
                <w:tcPr>
                  <w:tcW w:w="565"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40</w:t>
                  </w:r>
                </w:p>
              </w:tc>
              <w:tc>
                <w:tcPr>
                  <w:tcW w:w="513"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40</w:t>
                  </w:r>
                </w:p>
              </w:tc>
              <w:tc>
                <w:tcPr>
                  <w:tcW w:w="419"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40</w:t>
                  </w:r>
                </w:p>
              </w:tc>
            </w:tr>
            <w:tr w:rsidR="0005028C" w:rsidRPr="00E42063" w:rsidTr="0005028C">
              <w:trPr>
                <w:trHeight w:val="300"/>
              </w:trPr>
              <w:tc>
                <w:tcPr>
                  <w:tcW w:w="2972" w:type="dxa"/>
                  <w:tcBorders>
                    <w:top w:val="nil"/>
                    <w:left w:val="single" w:sz="4" w:space="0" w:color="auto"/>
                    <w:bottom w:val="single" w:sz="4" w:space="0" w:color="auto"/>
                    <w:right w:val="single" w:sz="4" w:space="0" w:color="auto"/>
                  </w:tcBorders>
                  <w:shd w:val="clear" w:color="000000" w:fill="FFFF99"/>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 xml:space="preserve">Harmful alcohol use </w:t>
                  </w:r>
                </w:p>
              </w:tc>
              <w:tc>
                <w:tcPr>
                  <w:tcW w:w="3827" w:type="dxa"/>
                  <w:tcBorders>
                    <w:top w:val="nil"/>
                    <w:left w:val="nil"/>
                    <w:bottom w:val="single" w:sz="4" w:space="0" w:color="auto"/>
                    <w:right w:val="single" w:sz="4" w:space="0" w:color="auto"/>
                  </w:tcBorders>
                  <w:shd w:val="clear" w:color="000000" w:fill="FFFF99"/>
                  <w:hideMark/>
                </w:tcPr>
                <w:p w:rsidR="00BA330C" w:rsidRPr="00BC2CDC" w:rsidRDefault="00BA330C" w:rsidP="005C0488">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Raise tax on alcohol</w:t>
                  </w:r>
                </w:p>
              </w:tc>
              <w:tc>
                <w:tcPr>
                  <w:tcW w:w="565"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42</w:t>
                  </w:r>
                </w:p>
              </w:tc>
              <w:tc>
                <w:tcPr>
                  <w:tcW w:w="513"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42</w:t>
                  </w:r>
                </w:p>
              </w:tc>
              <w:tc>
                <w:tcPr>
                  <w:tcW w:w="419"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5C0488">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42</w:t>
                  </w:r>
                </w:p>
              </w:tc>
            </w:tr>
          </w:tbl>
          <w:p w:rsidR="00BA330C" w:rsidRPr="00E42063" w:rsidRDefault="00BA330C" w:rsidP="00A42699">
            <w:pPr>
              <w:rPr>
                <w:rFonts w:ascii="Times New Roman" w:hAnsi="Times New Roman" w:cs="Times New Roman"/>
                <w:b/>
                <w:sz w:val="16"/>
                <w:szCs w:val="16"/>
                <w:u w:val="single"/>
                <w:lang w:val="en-GB"/>
              </w:rPr>
            </w:pPr>
          </w:p>
        </w:tc>
      </w:tr>
    </w:tbl>
    <w:p w:rsidR="00BA330C" w:rsidRDefault="00BA330C" w:rsidP="00A42699">
      <w:pPr>
        <w:rPr>
          <w:rFonts w:ascii="Times New Roman" w:hAnsi="Times New Roman" w:cs="Times New Roman"/>
          <w:b/>
          <w:sz w:val="16"/>
          <w:szCs w:val="16"/>
          <w:u w:val="single"/>
          <w:lang w:val="en-GB"/>
        </w:rPr>
      </w:pPr>
    </w:p>
    <w:p w:rsidR="006F01CF" w:rsidRDefault="006F01CF">
      <w:pPr>
        <w:rPr>
          <w:rFonts w:ascii="Times New Roman" w:hAnsi="Times New Roman" w:cs="Times New Roman"/>
          <w:b/>
          <w:sz w:val="16"/>
          <w:szCs w:val="16"/>
          <w:u w:val="single"/>
          <w:lang w:val="en-GB"/>
        </w:rPr>
      </w:pPr>
      <w:r>
        <w:rPr>
          <w:rFonts w:ascii="Times New Roman" w:hAnsi="Times New Roman" w:cs="Times New Roman"/>
          <w:b/>
          <w:sz w:val="16"/>
          <w:szCs w:val="16"/>
          <w:u w:val="single"/>
          <w:lang w:val="en-GB"/>
        </w:rPr>
        <w:br w:type="page"/>
      </w:r>
    </w:p>
    <w:p w:rsidR="006F01CF" w:rsidRDefault="006F01CF" w:rsidP="00A42699">
      <w:pPr>
        <w:rPr>
          <w:rFonts w:ascii="Times New Roman" w:hAnsi="Times New Roman" w:cs="Times New Roman"/>
          <w:b/>
          <w:sz w:val="16"/>
          <w:szCs w:val="16"/>
          <w:u w:val="single"/>
          <w:lang w:val="en-GB"/>
        </w:rPr>
      </w:pPr>
      <w:bookmarkStart w:id="33" w:name="_GoBack"/>
      <w:bookmarkEnd w:id="33"/>
    </w:p>
    <w:p w:rsidR="00A42699" w:rsidRPr="006573F1" w:rsidRDefault="006573F1" w:rsidP="00A42699">
      <w:pPr>
        <w:rPr>
          <w:rFonts w:ascii="Times New Roman" w:hAnsi="Times New Roman" w:cs="Times New Roman"/>
          <w:b/>
          <w:sz w:val="16"/>
          <w:szCs w:val="16"/>
          <w:u w:val="single"/>
          <w:lang w:val="en-GB"/>
        </w:rPr>
      </w:pPr>
      <w:r>
        <w:rPr>
          <w:rFonts w:cs="Times New Roman"/>
          <w:b/>
          <w:u w:val="single"/>
          <w:lang w:val="en-GB"/>
        </w:rPr>
        <w:t>Table 15</w:t>
      </w:r>
      <w:r w:rsidR="00BA330C" w:rsidRPr="002966E2">
        <w:rPr>
          <w:rFonts w:cs="Times New Roman"/>
          <w:b/>
          <w:u w:val="single"/>
          <w:lang w:val="en-GB"/>
        </w:rPr>
        <w:t xml:space="preserve">: Composite league table </w:t>
      </w:r>
      <w:r w:rsidR="00BC2CDC">
        <w:rPr>
          <w:rFonts w:cs="Times New Roman"/>
          <w:b/>
          <w:u w:val="single"/>
          <w:lang w:val="en-GB"/>
        </w:rPr>
        <w:t xml:space="preserve">rankings </w:t>
      </w:r>
      <w:r w:rsidR="00BA330C" w:rsidRPr="002966E2">
        <w:rPr>
          <w:rFonts w:cs="Times New Roman"/>
          <w:b/>
          <w:u w:val="single"/>
          <w:lang w:val="en-GB"/>
        </w:rPr>
        <w:t>for interventions targeting old age groups</w:t>
      </w:r>
    </w:p>
    <w:tbl>
      <w:tblPr>
        <w:tblStyle w:val="TableGrid"/>
        <w:tblW w:w="0" w:type="auto"/>
        <w:tblLook w:val="04A0"/>
      </w:tblPr>
      <w:tblGrid>
        <w:gridCol w:w="8522"/>
      </w:tblGrid>
      <w:tr w:rsidR="00BA330C" w:rsidRPr="00E42063" w:rsidTr="00BA330C">
        <w:tc>
          <w:tcPr>
            <w:tcW w:w="8522" w:type="dxa"/>
          </w:tcPr>
          <w:tbl>
            <w:tblPr>
              <w:tblW w:w="8296" w:type="dxa"/>
              <w:tblLook w:val="04A0"/>
            </w:tblPr>
            <w:tblGrid>
              <w:gridCol w:w="2347"/>
              <w:gridCol w:w="2809"/>
              <w:gridCol w:w="1088"/>
              <w:gridCol w:w="627"/>
              <w:gridCol w:w="489"/>
              <w:gridCol w:w="143"/>
              <w:gridCol w:w="793"/>
            </w:tblGrid>
            <w:tr w:rsidR="00BC2CDC" w:rsidRPr="00E42063" w:rsidTr="00BC2CDC">
              <w:trPr>
                <w:trHeight w:val="480"/>
              </w:trPr>
              <w:tc>
                <w:tcPr>
                  <w:tcW w:w="2400"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05028C" w:rsidRPr="00BC2CDC" w:rsidRDefault="0005028C" w:rsidP="00BA330C">
                  <w:pPr>
                    <w:spacing w:after="0" w:line="240" w:lineRule="auto"/>
                    <w:rPr>
                      <w:rFonts w:ascii="Times New Roman" w:eastAsia="Times New Roman" w:hAnsi="Times New Roman" w:cs="Times New Roman"/>
                      <w:b/>
                      <w:bCs/>
                      <w:sz w:val="18"/>
                      <w:szCs w:val="18"/>
                      <w:lang w:val="en-GB" w:eastAsia="el-GR"/>
                    </w:rPr>
                  </w:pPr>
                  <w:r w:rsidRPr="00BC2CDC">
                    <w:rPr>
                      <w:rFonts w:ascii="Times New Roman" w:eastAsia="Times New Roman" w:hAnsi="Times New Roman" w:cs="Times New Roman"/>
                      <w:b/>
                      <w:bCs/>
                      <w:sz w:val="18"/>
                      <w:szCs w:val="18"/>
                      <w:lang w:val="en-GB" w:eastAsia="el-GR"/>
                    </w:rPr>
                    <w:t>CLINICAL CONDITION</w:t>
                  </w:r>
                </w:p>
              </w:tc>
              <w:tc>
                <w:tcPr>
                  <w:tcW w:w="3983" w:type="dxa"/>
                  <w:gridSpan w:val="2"/>
                  <w:tcBorders>
                    <w:top w:val="single" w:sz="4" w:space="0" w:color="auto"/>
                    <w:left w:val="nil"/>
                    <w:bottom w:val="single" w:sz="4" w:space="0" w:color="auto"/>
                    <w:right w:val="single" w:sz="4" w:space="0" w:color="auto"/>
                  </w:tcBorders>
                  <w:shd w:val="clear" w:color="000000" w:fill="EEECE1"/>
                  <w:noWrap/>
                  <w:vAlign w:val="center"/>
                  <w:hideMark/>
                </w:tcPr>
                <w:p w:rsidR="0005028C" w:rsidRPr="00BC2CDC" w:rsidRDefault="0005028C" w:rsidP="00BA330C">
                  <w:pPr>
                    <w:spacing w:after="0" w:line="240" w:lineRule="auto"/>
                    <w:rPr>
                      <w:rFonts w:ascii="Times New Roman" w:eastAsia="Times New Roman" w:hAnsi="Times New Roman" w:cs="Times New Roman"/>
                      <w:b/>
                      <w:bCs/>
                      <w:sz w:val="18"/>
                      <w:szCs w:val="18"/>
                      <w:lang w:val="en-GB" w:eastAsia="el-GR"/>
                    </w:rPr>
                  </w:pPr>
                  <w:r w:rsidRPr="00BC2CDC">
                    <w:rPr>
                      <w:rFonts w:ascii="Times New Roman" w:eastAsia="Times New Roman" w:hAnsi="Times New Roman" w:cs="Times New Roman"/>
                      <w:b/>
                      <w:bCs/>
                      <w:sz w:val="18"/>
                      <w:szCs w:val="18"/>
                      <w:lang w:val="en-GB" w:eastAsia="el-GR"/>
                    </w:rPr>
                    <w:t>Intervention</w:t>
                  </w:r>
                </w:p>
              </w:tc>
              <w:tc>
                <w:tcPr>
                  <w:tcW w:w="587" w:type="dxa"/>
                  <w:tcBorders>
                    <w:top w:val="single" w:sz="4" w:space="0" w:color="auto"/>
                    <w:left w:val="nil"/>
                    <w:bottom w:val="single" w:sz="4" w:space="0" w:color="auto"/>
                    <w:right w:val="single" w:sz="4" w:space="0" w:color="auto"/>
                  </w:tcBorders>
                  <w:shd w:val="clear" w:color="000000" w:fill="EEECE1"/>
                  <w:vAlign w:val="bottom"/>
                  <w:hideMark/>
                </w:tcPr>
                <w:p w:rsidR="006A5A0D" w:rsidRPr="00BC2CDC" w:rsidRDefault="006A5A0D" w:rsidP="006A5A0D">
                  <w:pPr>
                    <w:spacing w:after="0" w:line="240" w:lineRule="auto"/>
                    <w:rPr>
                      <w:rFonts w:ascii="Times New Roman" w:eastAsia="Times New Roman" w:hAnsi="Times New Roman" w:cs="Times New Roman"/>
                      <w:b/>
                      <w:bCs/>
                      <w:color w:val="000000"/>
                      <w:sz w:val="18"/>
                      <w:szCs w:val="18"/>
                      <w:lang w:val="en-GB" w:eastAsia="el-GR"/>
                    </w:rPr>
                  </w:pPr>
                  <w:r w:rsidRPr="00BC2CDC">
                    <w:rPr>
                      <w:rFonts w:ascii="Times New Roman" w:eastAsia="Times New Roman" w:hAnsi="Times New Roman" w:cs="Times New Roman"/>
                      <w:b/>
                      <w:bCs/>
                      <w:color w:val="000000"/>
                      <w:sz w:val="18"/>
                      <w:szCs w:val="18"/>
                      <w:lang w:val="en-GB" w:eastAsia="el-GR"/>
                    </w:rPr>
                    <w:t>Rank C/B</w:t>
                  </w:r>
                </w:p>
                <w:p w:rsidR="0005028C" w:rsidRPr="00BC2CDC" w:rsidRDefault="0005028C" w:rsidP="00386191">
                  <w:pPr>
                    <w:spacing w:after="0" w:line="240" w:lineRule="auto"/>
                    <w:rPr>
                      <w:rFonts w:ascii="Times New Roman" w:eastAsia="Times New Roman" w:hAnsi="Times New Roman" w:cs="Times New Roman"/>
                      <w:b/>
                      <w:bCs/>
                      <w:color w:val="000000"/>
                      <w:sz w:val="18"/>
                      <w:szCs w:val="18"/>
                      <w:lang w:val="en-GB" w:eastAsia="el-GR"/>
                    </w:rPr>
                  </w:pPr>
                </w:p>
              </w:tc>
              <w:tc>
                <w:tcPr>
                  <w:tcW w:w="590" w:type="dxa"/>
                  <w:gridSpan w:val="2"/>
                  <w:tcBorders>
                    <w:top w:val="single" w:sz="4" w:space="0" w:color="auto"/>
                    <w:left w:val="nil"/>
                    <w:bottom w:val="single" w:sz="4" w:space="0" w:color="auto"/>
                    <w:right w:val="single" w:sz="4" w:space="0" w:color="auto"/>
                  </w:tcBorders>
                  <w:shd w:val="clear" w:color="000000" w:fill="EBF1DE"/>
                  <w:vAlign w:val="bottom"/>
                  <w:hideMark/>
                </w:tcPr>
                <w:p w:rsidR="0005028C" w:rsidRPr="00BC2CDC" w:rsidRDefault="006A5A0D" w:rsidP="00386191">
                  <w:pPr>
                    <w:spacing w:after="0" w:line="240" w:lineRule="auto"/>
                    <w:rPr>
                      <w:rFonts w:ascii="Times New Roman" w:eastAsia="Times New Roman" w:hAnsi="Times New Roman" w:cs="Times New Roman"/>
                      <w:b/>
                      <w:bCs/>
                      <w:color w:val="000000"/>
                      <w:sz w:val="18"/>
                      <w:szCs w:val="18"/>
                      <w:lang w:val="en-GB" w:eastAsia="el-GR"/>
                    </w:rPr>
                  </w:pPr>
                  <w:r w:rsidRPr="00BC2CDC">
                    <w:rPr>
                      <w:rFonts w:ascii="Times New Roman" w:eastAsia="Times New Roman" w:hAnsi="Times New Roman" w:cs="Times New Roman"/>
                      <w:b/>
                      <w:bCs/>
                      <w:color w:val="000000"/>
                      <w:sz w:val="18"/>
                      <w:szCs w:val="18"/>
                      <w:lang w:val="en-GB" w:eastAsia="el-GR"/>
                    </w:rPr>
                    <w:t xml:space="preserve">Rank </w:t>
                  </w:r>
                  <w:r w:rsidR="00BC2CDC" w:rsidRPr="00BC2CDC">
                    <w:rPr>
                      <w:rFonts w:ascii="Times New Roman" w:eastAsia="Times New Roman" w:hAnsi="Times New Roman" w:cs="Times New Roman"/>
                      <w:b/>
                      <w:bCs/>
                      <w:color w:val="000000"/>
                      <w:sz w:val="18"/>
                      <w:szCs w:val="18"/>
                      <w:lang w:val="en-GB" w:eastAsia="el-GR"/>
                    </w:rPr>
                    <w:t xml:space="preserve">C/V </w:t>
                  </w:r>
                </w:p>
              </w:tc>
              <w:tc>
                <w:tcPr>
                  <w:tcW w:w="736" w:type="dxa"/>
                  <w:tcBorders>
                    <w:top w:val="single" w:sz="4" w:space="0" w:color="auto"/>
                    <w:left w:val="nil"/>
                    <w:bottom w:val="single" w:sz="4" w:space="0" w:color="auto"/>
                    <w:right w:val="single" w:sz="4" w:space="0" w:color="auto"/>
                  </w:tcBorders>
                  <w:shd w:val="clear" w:color="000000" w:fill="EBF1DE"/>
                  <w:hideMark/>
                </w:tcPr>
                <w:p w:rsidR="0005028C" w:rsidRPr="00BC2CDC" w:rsidRDefault="00BC2CDC" w:rsidP="00BC2CDC">
                  <w:pPr>
                    <w:spacing w:after="0" w:line="240" w:lineRule="auto"/>
                    <w:rPr>
                      <w:rFonts w:ascii="Times New Roman" w:eastAsia="Times New Roman" w:hAnsi="Times New Roman" w:cs="Times New Roman"/>
                      <w:b/>
                      <w:bCs/>
                      <w:color w:val="000000"/>
                      <w:sz w:val="18"/>
                      <w:szCs w:val="18"/>
                      <w:lang w:val="en-GB" w:eastAsia="el-GR"/>
                    </w:rPr>
                  </w:pPr>
                  <w:r w:rsidRPr="00BC2CDC">
                    <w:rPr>
                      <w:rFonts w:ascii="Times New Roman" w:eastAsia="Times New Roman" w:hAnsi="Times New Roman" w:cs="Times New Roman"/>
                      <w:b/>
                      <w:bCs/>
                      <w:color w:val="000000"/>
                      <w:sz w:val="18"/>
                      <w:szCs w:val="18"/>
                      <w:lang w:val="en-GB" w:eastAsia="el-GR"/>
                    </w:rPr>
                    <w:t>Rank Madrid</w:t>
                  </w:r>
                </w:p>
              </w:tc>
            </w:tr>
            <w:tr w:rsidR="00BC2CDC" w:rsidRPr="00E42063" w:rsidTr="00BC2CDC">
              <w:trPr>
                <w:trHeight w:val="300"/>
              </w:trPr>
              <w:tc>
                <w:tcPr>
                  <w:tcW w:w="2400" w:type="dxa"/>
                  <w:tcBorders>
                    <w:top w:val="nil"/>
                    <w:left w:val="single" w:sz="4" w:space="0" w:color="auto"/>
                    <w:bottom w:val="single" w:sz="4" w:space="0" w:color="auto"/>
                    <w:right w:val="single" w:sz="4" w:space="0" w:color="auto"/>
                  </w:tcBorders>
                  <w:shd w:val="clear" w:color="000000" w:fill="CCFFFF"/>
                  <w:noWrap/>
                  <w:vAlign w:val="bottom"/>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Cerebrovascular disease (acute treatment)</w:t>
                  </w:r>
                </w:p>
              </w:tc>
              <w:tc>
                <w:tcPr>
                  <w:tcW w:w="2873" w:type="dxa"/>
                  <w:tcBorders>
                    <w:top w:val="nil"/>
                    <w:left w:val="nil"/>
                    <w:bottom w:val="single" w:sz="4" w:space="0" w:color="auto"/>
                    <w:right w:val="single" w:sz="4" w:space="0" w:color="auto"/>
                  </w:tcBorders>
                  <w:shd w:val="clear" w:color="000000" w:fill="CCFFCC"/>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Medication (Aspirin, Heparin, rt-PA)</w:t>
                  </w:r>
                </w:p>
              </w:tc>
              <w:tc>
                <w:tcPr>
                  <w:tcW w:w="1110"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w:t>
                  </w:r>
                </w:p>
              </w:tc>
              <w:tc>
                <w:tcPr>
                  <w:tcW w:w="1049"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w:t>
                  </w:r>
                </w:p>
              </w:tc>
              <w:tc>
                <w:tcPr>
                  <w:tcW w:w="864"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w:t>
                  </w:r>
                </w:p>
              </w:tc>
            </w:tr>
            <w:tr w:rsidR="00BC2CDC" w:rsidRPr="00E42063" w:rsidTr="00BC2CDC">
              <w:trPr>
                <w:trHeight w:val="450"/>
              </w:trPr>
              <w:tc>
                <w:tcPr>
                  <w:tcW w:w="2400" w:type="dxa"/>
                  <w:tcBorders>
                    <w:top w:val="nil"/>
                    <w:left w:val="single" w:sz="4" w:space="0" w:color="auto"/>
                    <w:bottom w:val="single" w:sz="4" w:space="0" w:color="auto"/>
                    <w:right w:val="single" w:sz="4" w:space="0" w:color="auto"/>
                  </w:tcBorders>
                  <w:shd w:val="clear" w:color="000000" w:fill="CCFFFF"/>
                  <w:noWrap/>
                  <w:vAlign w:val="bottom"/>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Cerebrovascular disease (prevention of recurrence)</w:t>
                  </w:r>
                </w:p>
              </w:tc>
              <w:tc>
                <w:tcPr>
                  <w:tcW w:w="2873" w:type="dxa"/>
                  <w:tcBorders>
                    <w:top w:val="nil"/>
                    <w:left w:val="nil"/>
                    <w:bottom w:val="single" w:sz="4" w:space="0" w:color="auto"/>
                    <w:right w:val="single" w:sz="4" w:space="0" w:color="auto"/>
                  </w:tcBorders>
                  <w:shd w:val="clear" w:color="000000" w:fill="CCFFCC"/>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Medication (Aspirin, dipyridamole, carotid endarterectomy)</w:t>
                  </w:r>
                </w:p>
              </w:tc>
              <w:tc>
                <w:tcPr>
                  <w:tcW w:w="1110"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w:t>
                  </w:r>
                </w:p>
              </w:tc>
              <w:tc>
                <w:tcPr>
                  <w:tcW w:w="1049"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w:t>
                  </w:r>
                </w:p>
              </w:tc>
              <w:tc>
                <w:tcPr>
                  <w:tcW w:w="864"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w:t>
                  </w:r>
                </w:p>
              </w:tc>
            </w:tr>
            <w:tr w:rsidR="00BC2CDC" w:rsidRPr="00E42063" w:rsidTr="00BC2CDC">
              <w:trPr>
                <w:trHeight w:val="300"/>
              </w:trPr>
              <w:tc>
                <w:tcPr>
                  <w:tcW w:w="2400" w:type="dxa"/>
                  <w:tcBorders>
                    <w:top w:val="nil"/>
                    <w:left w:val="single" w:sz="4" w:space="0" w:color="auto"/>
                    <w:bottom w:val="single" w:sz="4" w:space="0" w:color="auto"/>
                    <w:right w:val="single" w:sz="4" w:space="0" w:color="auto"/>
                  </w:tcBorders>
                  <w:shd w:val="clear" w:color="000000" w:fill="FFFF99"/>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 xml:space="preserve">Harmful alcohol use </w:t>
                  </w:r>
                </w:p>
              </w:tc>
              <w:tc>
                <w:tcPr>
                  <w:tcW w:w="2873" w:type="dxa"/>
                  <w:tcBorders>
                    <w:top w:val="nil"/>
                    <w:left w:val="nil"/>
                    <w:bottom w:val="single" w:sz="4" w:space="0" w:color="auto"/>
                    <w:right w:val="single" w:sz="4" w:space="0" w:color="auto"/>
                  </w:tcBorders>
                  <w:shd w:val="clear" w:color="000000" w:fill="FFFF99"/>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Enforce drink-driving laws (breath-testing)</w:t>
                  </w:r>
                </w:p>
              </w:tc>
              <w:tc>
                <w:tcPr>
                  <w:tcW w:w="1110"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w:t>
                  </w:r>
                </w:p>
              </w:tc>
              <w:tc>
                <w:tcPr>
                  <w:tcW w:w="1049"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w:t>
                  </w:r>
                </w:p>
              </w:tc>
              <w:tc>
                <w:tcPr>
                  <w:tcW w:w="864"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w:t>
                  </w:r>
                </w:p>
              </w:tc>
            </w:tr>
            <w:tr w:rsidR="00BC2CDC" w:rsidRPr="00E42063" w:rsidTr="00BC2CDC">
              <w:trPr>
                <w:trHeight w:val="450"/>
              </w:trPr>
              <w:tc>
                <w:tcPr>
                  <w:tcW w:w="2400" w:type="dxa"/>
                  <w:tcBorders>
                    <w:top w:val="nil"/>
                    <w:left w:val="single" w:sz="4" w:space="0" w:color="auto"/>
                    <w:bottom w:val="single" w:sz="4" w:space="0" w:color="auto"/>
                    <w:right w:val="single" w:sz="4" w:space="0" w:color="auto"/>
                  </w:tcBorders>
                  <w:shd w:val="clear" w:color="000000" w:fill="CCFFCC"/>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 xml:space="preserve">Atherosclerosis </w:t>
                  </w:r>
                </w:p>
              </w:tc>
              <w:tc>
                <w:tcPr>
                  <w:tcW w:w="2873" w:type="dxa"/>
                  <w:tcBorders>
                    <w:top w:val="nil"/>
                    <w:left w:val="nil"/>
                    <w:bottom w:val="single" w:sz="4" w:space="0" w:color="auto"/>
                    <w:right w:val="single" w:sz="4" w:space="0" w:color="auto"/>
                  </w:tcBorders>
                  <w:shd w:val="clear" w:color="000000" w:fill="CCFFCC"/>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 xml:space="preserve"> Surgery (percutaneous transluminal coronary angioplasty - PTCA) </w:t>
                  </w:r>
                </w:p>
              </w:tc>
              <w:tc>
                <w:tcPr>
                  <w:tcW w:w="1110"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1049"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864"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r>
            <w:tr w:rsidR="00BC2CDC" w:rsidRPr="00E42063" w:rsidTr="00BC2CDC">
              <w:trPr>
                <w:trHeight w:val="675"/>
              </w:trPr>
              <w:tc>
                <w:tcPr>
                  <w:tcW w:w="2400" w:type="dxa"/>
                  <w:tcBorders>
                    <w:top w:val="nil"/>
                    <w:left w:val="single" w:sz="4" w:space="0" w:color="auto"/>
                    <w:bottom w:val="single" w:sz="4" w:space="0" w:color="auto"/>
                    <w:right w:val="single" w:sz="4" w:space="0" w:color="auto"/>
                  </w:tcBorders>
                  <w:shd w:val="clear" w:color="000000" w:fill="CC99FF"/>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Diabetes mellitus type 2</w:t>
                  </w:r>
                </w:p>
              </w:tc>
              <w:tc>
                <w:tcPr>
                  <w:tcW w:w="2873" w:type="dxa"/>
                  <w:tcBorders>
                    <w:top w:val="nil"/>
                    <w:left w:val="nil"/>
                    <w:bottom w:val="single" w:sz="4" w:space="0" w:color="auto"/>
                    <w:right w:val="single" w:sz="4" w:space="0" w:color="auto"/>
                  </w:tcBorders>
                  <w:shd w:val="clear" w:color="000000" w:fill="CC99FF"/>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Foot care (patient and provider education, foot examin</w:t>
                  </w:r>
                  <w:r w:rsidR="00E42063" w:rsidRPr="00BC2CDC">
                    <w:rPr>
                      <w:rFonts w:ascii="Times New Roman" w:eastAsia="Times New Roman" w:hAnsi="Times New Roman" w:cs="Times New Roman"/>
                      <w:sz w:val="18"/>
                      <w:szCs w:val="18"/>
                      <w:lang w:val="en-GB" w:eastAsia="el-GR"/>
                    </w:rPr>
                    <w:t>ation, foot hygiene, appropriate</w:t>
                  </w:r>
                  <w:r w:rsidRPr="00BC2CDC">
                    <w:rPr>
                      <w:rFonts w:ascii="Times New Roman" w:eastAsia="Times New Roman" w:hAnsi="Times New Roman" w:cs="Times New Roman"/>
                      <w:sz w:val="18"/>
                      <w:szCs w:val="18"/>
                      <w:lang w:val="en-GB" w:eastAsia="el-GR"/>
                    </w:rPr>
                    <w:t xml:space="preserve"> footwear)</w:t>
                  </w:r>
                </w:p>
              </w:tc>
              <w:tc>
                <w:tcPr>
                  <w:tcW w:w="1110"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1049"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864"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r>
            <w:tr w:rsidR="00BC2CDC" w:rsidRPr="00E42063" w:rsidTr="00BC2CDC">
              <w:trPr>
                <w:trHeight w:val="300"/>
              </w:trPr>
              <w:tc>
                <w:tcPr>
                  <w:tcW w:w="2400" w:type="dxa"/>
                  <w:tcBorders>
                    <w:top w:val="nil"/>
                    <w:left w:val="single" w:sz="4" w:space="0" w:color="auto"/>
                    <w:bottom w:val="single" w:sz="4" w:space="0" w:color="auto"/>
                    <w:right w:val="single" w:sz="4" w:space="0" w:color="auto"/>
                  </w:tcBorders>
                  <w:shd w:val="clear" w:color="000000" w:fill="FFFF99"/>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Unhealthy diet</w:t>
                  </w:r>
                </w:p>
              </w:tc>
              <w:tc>
                <w:tcPr>
                  <w:tcW w:w="2873" w:type="dxa"/>
                  <w:tcBorders>
                    <w:top w:val="nil"/>
                    <w:left w:val="nil"/>
                    <w:bottom w:val="single" w:sz="4" w:space="0" w:color="auto"/>
                    <w:right w:val="single" w:sz="4" w:space="0" w:color="auto"/>
                  </w:tcBorders>
                  <w:shd w:val="clear" w:color="000000" w:fill="FFFF99"/>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Reduce salt intake</w:t>
                  </w:r>
                </w:p>
              </w:tc>
              <w:tc>
                <w:tcPr>
                  <w:tcW w:w="1110"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1049"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864"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r>
            <w:tr w:rsidR="00BC2CDC" w:rsidRPr="00E42063" w:rsidTr="00BC2CDC">
              <w:trPr>
                <w:trHeight w:val="450"/>
              </w:trPr>
              <w:tc>
                <w:tcPr>
                  <w:tcW w:w="2400" w:type="dxa"/>
                  <w:tcBorders>
                    <w:top w:val="nil"/>
                    <w:left w:val="single" w:sz="4" w:space="0" w:color="auto"/>
                    <w:bottom w:val="single" w:sz="4" w:space="0" w:color="auto"/>
                    <w:right w:val="single" w:sz="4" w:space="0" w:color="auto"/>
                  </w:tcBorders>
                  <w:shd w:val="clear" w:color="000000" w:fill="FFCC99"/>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MN of colon, rectum and anus</w:t>
                  </w:r>
                </w:p>
              </w:tc>
              <w:tc>
                <w:tcPr>
                  <w:tcW w:w="2873" w:type="dxa"/>
                  <w:tcBorders>
                    <w:top w:val="nil"/>
                    <w:left w:val="nil"/>
                    <w:bottom w:val="single" w:sz="4" w:space="0" w:color="auto"/>
                    <w:right w:val="single" w:sz="4" w:space="0" w:color="auto"/>
                  </w:tcBorders>
                  <w:shd w:val="clear" w:color="000000" w:fill="FFCC99"/>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Screening (Fecal occult blood testing (FOBT), Colonoscopy, Sigmoidoscopy)</w:t>
                  </w:r>
                </w:p>
              </w:tc>
              <w:tc>
                <w:tcPr>
                  <w:tcW w:w="1110"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1049"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864"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r>
            <w:tr w:rsidR="00BC2CDC" w:rsidRPr="00E42063" w:rsidTr="00BC2CDC">
              <w:trPr>
                <w:trHeight w:val="300"/>
              </w:trPr>
              <w:tc>
                <w:tcPr>
                  <w:tcW w:w="2400" w:type="dxa"/>
                  <w:tcBorders>
                    <w:top w:val="nil"/>
                    <w:left w:val="single" w:sz="4" w:space="0" w:color="auto"/>
                    <w:bottom w:val="single" w:sz="4" w:space="0" w:color="auto"/>
                    <w:right w:val="single" w:sz="4" w:space="0" w:color="auto"/>
                  </w:tcBorders>
                  <w:shd w:val="clear" w:color="000000" w:fill="CCFFCC"/>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Hypertension</w:t>
                  </w:r>
                </w:p>
              </w:tc>
              <w:tc>
                <w:tcPr>
                  <w:tcW w:w="2873" w:type="dxa"/>
                  <w:tcBorders>
                    <w:top w:val="nil"/>
                    <w:left w:val="nil"/>
                    <w:bottom w:val="single" w:sz="4" w:space="0" w:color="auto"/>
                    <w:right w:val="single" w:sz="4" w:space="0" w:color="auto"/>
                  </w:tcBorders>
                  <w:shd w:val="clear" w:color="000000" w:fill="CCFFCC"/>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Medication (ACE inhibitors, beta-blockers)</w:t>
                  </w:r>
                </w:p>
              </w:tc>
              <w:tc>
                <w:tcPr>
                  <w:tcW w:w="1110"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1049"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864"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r>
            <w:tr w:rsidR="00BC2CDC" w:rsidRPr="00E42063" w:rsidTr="00BC2CDC">
              <w:trPr>
                <w:trHeight w:val="300"/>
              </w:trPr>
              <w:tc>
                <w:tcPr>
                  <w:tcW w:w="2400" w:type="dxa"/>
                  <w:tcBorders>
                    <w:top w:val="nil"/>
                    <w:left w:val="single" w:sz="4" w:space="0" w:color="auto"/>
                    <w:bottom w:val="single" w:sz="4" w:space="0" w:color="auto"/>
                    <w:right w:val="single" w:sz="4" w:space="0" w:color="auto"/>
                  </w:tcBorders>
                  <w:shd w:val="clear" w:color="000000" w:fill="CCFFCC"/>
                  <w:hideMark/>
                </w:tcPr>
                <w:p w:rsidR="00BA330C" w:rsidRPr="00BC2CDC" w:rsidRDefault="00E42063"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High blood chole</w:t>
                  </w:r>
                  <w:r w:rsidR="00BA330C" w:rsidRPr="00BC2CDC">
                    <w:rPr>
                      <w:rFonts w:ascii="Times New Roman" w:eastAsia="Times New Roman" w:hAnsi="Times New Roman" w:cs="Times New Roman"/>
                      <w:sz w:val="18"/>
                      <w:szCs w:val="18"/>
                      <w:lang w:val="en-GB" w:eastAsia="el-GR"/>
                    </w:rPr>
                    <w:t>sterol</w:t>
                  </w:r>
                </w:p>
              </w:tc>
              <w:tc>
                <w:tcPr>
                  <w:tcW w:w="2873" w:type="dxa"/>
                  <w:tcBorders>
                    <w:top w:val="nil"/>
                    <w:left w:val="nil"/>
                    <w:bottom w:val="single" w:sz="4" w:space="0" w:color="auto"/>
                    <w:right w:val="single" w:sz="4" w:space="0" w:color="auto"/>
                  </w:tcBorders>
                  <w:shd w:val="clear" w:color="000000" w:fill="CCFFCC"/>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Medication (Statins)</w:t>
                  </w:r>
                </w:p>
              </w:tc>
              <w:tc>
                <w:tcPr>
                  <w:tcW w:w="1110"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1049"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864"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r>
            <w:tr w:rsidR="00BC2CDC" w:rsidRPr="00E42063" w:rsidTr="00BC2CDC">
              <w:trPr>
                <w:trHeight w:val="450"/>
              </w:trPr>
              <w:tc>
                <w:tcPr>
                  <w:tcW w:w="2400" w:type="dxa"/>
                  <w:tcBorders>
                    <w:top w:val="nil"/>
                    <w:left w:val="single" w:sz="4" w:space="0" w:color="auto"/>
                    <w:bottom w:val="single" w:sz="4" w:space="0" w:color="auto"/>
                    <w:right w:val="single" w:sz="4" w:space="0" w:color="auto"/>
                  </w:tcBorders>
                  <w:shd w:val="clear" w:color="000000" w:fill="CCFFCC"/>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Angina pectoris (stable angina)</w:t>
                  </w:r>
                </w:p>
              </w:tc>
              <w:tc>
                <w:tcPr>
                  <w:tcW w:w="2873" w:type="dxa"/>
                  <w:tcBorders>
                    <w:top w:val="nil"/>
                    <w:left w:val="nil"/>
                    <w:bottom w:val="single" w:sz="4" w:space="0" w:color="auto"/>
                    <w:right w:val="single" w:sz="4" w:space="0" w:color="auto"/>
                  </w:tcBorders>
                  <w:shd w:val="clear" w:color="000000" w:fill="CCFFCC"/>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Medication (Atenolol, ACE inhibitors, Beta-Blockers)</w:t>
                  </w:r>
                </w:p>
              </w:tc>
              <w:tc>
                <w:tcPr>
                  <w:tcW w:w="1110"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1049"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864"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r>
            <w:tr w:rsidR="00BC2CDC" w:rsidRPr="00E42063" w:rsidTr="00BC2CDC">
              <w:trPr>
                <w:trHeight w:val="300"/>
              </w:trPr>
              <w:tc>
                <w:tcPr>
                  <w:tcW w:w="2400" w:type="dxa"/>
                  <w:tcBorders>
                    <w:top w:val="nil"/>
                    <w:left w:val="single" w:sz="4" w:space="0" w:color="auto"/>
                    <w:bottom w:val="single" w:sz="4" w:space="0" w:color="auto"/>
                    <w:right w:val="single" w:sz="4" w:space="0" w:color="auto"/>
                  </w:tcBorders>
                  <w:shd w:val="clear" w:color="000000" w:fill="CCFFCC"/>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Congestive Heart Failure (CHF)</w:t>
                  </w:r>
                </w:p>
              </w:tc>
              <w:tc>
                <w:tcPr>
                  <w:tcW w:w="2873" w:type="dxa"/>
                  <w:tcBorders>
                    <w:top w:val="nil"/>
                    <w:left w:val="nil"/>
                    <w:bottom w:val="single" w:sz="4" w:space="0" w:color="auto"/>
                    <w:right w:val="single" w:sz="4" w:space="0" w:color="auto"/>
                  </w:tcBorders>
                  <w:shd w:val="clear" w:color="000000" w:fill="CCFFCC"/>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Medication (ACE inhibitors, Beta-Blockers)</w:t>
                  </w:r>
                </w:p>
              </w:tc>
              <w:tc>
                <w:tcPr>
                  <w:tcW w:w="1110"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1049"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864"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r>
            <w:tr w:rsidR="00BC2CDC" w:rsidRPr="00E42063" w:rsidTr="00BC2CDC">
              <w:trPr>
                <w:trHeight w:val="450"/>
              </w:trPr>
              <w:tc>
                <w:tcPr>
                  <w:tcW w:w="2400" w:type="dxa"/>
                  <w:tcBorders>
                    <w:top w:val="nil"/>
                    <w:left w:val="single" w:sz="4" w:space="0" w:color="auto"/>
                    <w:bottom w:val="single" w:sz="4" w:space="0" w:color="auto"/>
                    <w:right w:val="single" w:sz="4" w:space="0" w:color="auto"/>
                  </w:tcBorders>
                  <w:shd w:val="clear" w:color="000000" w:fill="99CCFF"/>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Chronic obstructive pulmonary disease (COPD) - Stage 1-2</w:t>
                  </w:r>
                </w:p>
              </w:tc>
              <w:tc>
                <w:tcPr>
                  <w:tcW w:w="2873" w:type="dxa"/>
                  <w:tcBorders>
                    <w:top w:val="nil"/>
                    <w:left w:val="nil"/>
                    <w:bottom w:val="single" w:sz="4" w:space="0" w:color="auto"/>
                    <w:right w:val="single" w:sz="4" w:space="0" w:color="auto"/>
                  </w:tcBorders>
                  <w:shd w:val="clear" w:color="000000" w:fill="99CCFF"/>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Medication (inhaled ipratropium bromide, rapid-acting bronchodilators, inhaled corticosteroid)</w:t>
                  </w:r>
                </w:p>
              </w:tc>
              <w:tc>
                <w:tcPr>
                  <w:tcW w:w="1110"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1049"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864"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r>
            <w:tr w:rsidR="00BC2CDC" w:rsidRPr="00E42063" w:rsidTr="00BC2CDC">
              <w:trPr>
                <w:trHeight w:val="450"/>
              </w:trPr>
              <w:tc>
                <w:tcPr>
                  <w:tcW w:w="2400" w:type="dxa"/>
                  <w:tcBorders>
                    <w:top w:val="nil"/>
                    <w:left w:val="single" w:sz="4" w:space="0" w:color="auto"/>
                    <w:bottom w:val="single" w:sz="4" w:space="0" w:color="auto"/>
                    <w:right w:val="single" w:sz="4" w:space="0" w:color="auto"/>
                  </w:tcBorders>
                  <w:shd w:val="clear" w:color="000000" w:fill="CC99FF"/>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Diabetes mellitus type 2</w:t>
                  </w:r>
                </w:p>
              </w:tc>
              <w:tc>
                <w:tcPr>
                  <w:tcW w:w="2873" w:type="dxa"/>
                  <w:tcBorders>
                    <w:top w:val="nil"/>
                    <w:left w:val="nil"/>
                    <w:bottom w:val="single" w:sz="4" w:space="0" w:color="auto"/>
                    <w:right w:val="single" w:sz="4" w:space="0" w:color="auto"/>
                  </w:tcBorders>
                  <w:shd w:val="clear" w:color="000000" w:fill="CC99FF"/>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Glucose control (insulin, oral glucose-lowering agents)</w:t>
                  </w:r>
                </w:p>
              </w:tc>
              <w:tc>
                <w:tcPr>
                  <w:tcW w:w="1110"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1049"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864"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r>
            <w:tr w:rsidR="00BC2CDC" w:rsidRPr="00E42063" w:rsidTr="00BC2CDC">
              <w:trPr>
                <w:trHeight w:val="300"/>
              </w:trPr>
              <w:tc>
                <w:tcPr>
                  <w:tcW w:w="2400" w:type="dxa"/>
                  <w:tcBorders>
                    <w:top w:val="nil"/>
                    <w:left w:val="single" w:sz="4" w:space="0" w:color="auto"/>
                    <w:bottom w:val="single" w:sz="4" w:space="0" w:color="auto"/>
                    <w:right w:val="single" w:sz="4" w:space="0" w:color="auto"/>
                  </w:tcBorders>
                  <w:shd w:val="clear" w:color="000000" w:fill="FFFF99"/>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Physical Inactivity</w:t>
                  </w:r>
                </w:p>
              </w:tc>
              <w:tc>
                <w:tcPr>
                  <w:tcW w:w="2873" w:type="dxa"/>
                  <w:tcBorders>
                    <w:top w:val="nil"/>
                    <w:left w:val="nil"/>
                    <w:bottom w:val="single" w:sz="4" w:space="0" w:color="auto"/>
                    <w:right w:val="single" w:sz="4" w:space="0" w:color="auto"/>
                  </w:tcBorders>
                  <w:shd w:val="clear" w:color="000000" w:fill="FFFF99"/>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Promote physical activity in mass media</w:t>
                  </w:r>
                </w:p>
              </w:tc>
              <w:tc>
                <w:tcPr>
                  <w:tcW w:w="1110"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1049"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864"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r>
            <w:tr w:rsidR="00BC2CDC" w:rsidRPr="00E42063" w:rsidTr="00BC2CDC">
              <w:trPr>
                <w:trHeight w:val="300"/>
              </w:trPr>
              <w:tc>
                <w:tcPr>
                  <w:tcW w:w="2400" w:type="dxa"/>
                  <w:tcBorders>
                    <w:top w:val="nil"/>
                    <w:left w:val="single" w:sz="4" w:space="0" w:color="auto"/>
                    <w:bottom w:val="single" w:sz="4" w:space="0" w:color="auto"/>
                    <w:right w:val="single" w:sz="4" w:space="0" w:color="auto"/>
                  </w:tcBorders>
                  <w:shd w:val="clear" w:color="000000" w:fill="948A54"/>
                  <w:noWrap/>
                  <w:vAlign w:val="bottom"/>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Alzheimer's disease &amp; dementias (Stage 1)</w:t>
                  </w:r>
                </w:p>
              </w:tc>
              <w:tc>
                <w:tcPr>
                  <w:tcW w:w="2873" w:type="dxa"/>
                  <w:tcBorders>
                    <w:top w:val="nil"/>
                    <w:left w:val="nil"/>
                    <w:bottom w:val="single" w:sz="4" w:space="0" w:color="auto"/>
                    <w:right w:val="single" w:sz="4" w:space="0" w:color="auto"/>
                  </w:tcBorders>
                  <w:shd w:val="clear" w:color="000000" w:fill="948A54"/>
                  <w:noWrap/>
                  <w:vAlign w:val="bottom"/>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Comprehensive in-home care</w:t>
                  </w:r>
                </w:p>
              </w:tc>
              <w:tc>
                <w:tcPr>
                  <w:tcW w:w="1110"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1049"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c>
                <w:tcPr>
                  <w:tcW w:w="864"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w:t>
                  </w:r>
                </w:p>
              </w:tc>
            </w:tr>
            <w:tr w:rsidR="00BC2CDC" w:rsidRPr="00E42063" w:rsidTr="00BC2CDC">
              <w:trPr>
                <w:trHeight w:val="300"/>
              </w:trPr>
              <w:tc>
                <w:tcPr>
                  <w:tcW w:w="2400" w:type="dxa"/>
                  <w:tcBorders>
                    <w:top w:val="nil"/>
                    <w:left w:val="single" w:sz="4" w:space="0" w:color="auto"/>
                    <w:bottom w:val="single" w:sz="4" w:space="0" w:color="auto"/>
                    <w:right w:val="single" w:sz="4" w:space="0" w:color="auto"/>
                  </w:tcBorders>
                  <w:shd w:val="clear" w:color="000000" w:fill="FFCC99"/>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 xml:space="preserve">MN of prostate </w:t>
                  </w:r>
                </w:p>
              </w:tc>
              <w:tc>
                <w:tcPr>
                  <w:tcW w:w="2873" w:type="dxa"/>
                  <w:tcBorders>
                    <w:top w:val="nil"/>
                    <w:left w:val="nil"/>
                    <w:bottom w:val="single" w:sz="4" w:space="0" w:color="auto"/>
                    <w:right w:val="single" w:sz="4" w:space="0" w:color="auto"/>
                  </w:tcBorders>
                  <w:shd w:val="clear" w:color="000000" w:fill="FFCC99"/>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Surgery with/without adjuvant treatment (c)</w:t>
                  </w:r>
                </w:p>
              </w:tc>
              <w:tc>
                <w:tcPr>
                  <w:tcW w:w="1110"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16</w:t>
                  </w:r>
                </w:p>
              </w:tc>
              <w:tc>
                <w:tcPr>
                  <w:tcW w:w="1049"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16</w:t>
                  </w:r>
                </w:p>
              </w:tc>
              <w:tc>
                <w:tcPr>
                  <w:tcW w:w="864"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16</w:t>
                  </w:r>
                </w:p>
              </w:tc>
            </w:tr>
            <w:tr w:rsidR="00BC2CDC" w:rsidRPr="00E42063" w:rsidTr="00BC2CDC">
              <w:trPr>
                <w:trHeight w:val="450"/>
              </w:trPr>
              <w:tc>
                <w:tcPr>
                  <w:tcW w:w="2400" w:type="dxa"/>
                  <w:tcBorders>
                    <w:top w:val="nil"/>
                    <w:left w:val="single" w:sz="4" w:space="0" w:color="auto"/>
                    <w:bottom w:val="single" w:sz="4" w:space="0" w:color="auto"/>
                    <w:right w:val="single" w:sz="4" w:space="0" w:color="auto"/>
                  </w:tcBorders>
                  <w:shd w:val="clear" w:color="000000" w:fill="CCFFCC"/>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 xml:space="preserve">Atherosclerosis </w:t>
                  </w:r>
                </w:p>
              </w:tc>
              <w:tc>
                <w:tcPr>
                  <w:tcW w:w="2873" w:type="dxa"/>
                  <w:tcBorders>
                    <w:top w:val="nil"/>
                    <w:left w:val="nil"/>
                    <w:bottom w:val="single" w:sz="4" w:space="0" w:color="auto"/>
                    <w:right w:val="single" w:sz="4" w:space="0" w:color="auto"/>
                  </w:tcBorders>
                  <w:shd w:val="clear" w:color="000000" w:fill="CCFFCC"/>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Medication (aspirin, atenolol, ACE inhibitors, Statins)</w:t>
                  </w:r>
                </w:p>
              </w:tc>
              <w:tc>
                <w:tcPr>
                  <w:tcW w:w="1110"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16</w:t>
                  </w:r>
                </w:p>
              </w:tc>
              <w:tc>
                <w:tcPr>
                  <w:tcW w:w="1049"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16</w:t>
                  </w:r>
                </w:p>
              </w:tc>
              <w:tc>
                <w:tcPr>
                  <w:tcW w:w="864"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16</w:t>
                  </w:r>
                </w:p>
              </w:tc>
            </w:tr>
            <w:tr w:rsidR="00BC2CDC" w:rsidRPr="00E42063" w:rsidTr="00BC2CDC">
              <w:trPr>
                <w:trHeight w:val="300"/>
              </w:trPr>
              <w:tc>
                <w:tcPr>
                  <w:tcW w:w="2400" w:type="dxa"/>
                  <w:tcBorders>
                    <w:top w:val="nil"/>
                    <w:left w:val="single" w:sz="4" w:space="0" w:color="auto"/>
                    <w:bottom w:val="single" w:sz="4" w:space="0" w:color="auto"/>
                    <w:right w:val="single" w:sz="4" w:space="0" w:color="auto"/>
                  </w:tcBorders>
                  <w:shd w:val="clear" w:color="000000" w:fill="CCFFCC"/>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Angina pectoris (stable angina)</w:t>
                  </w:r>
                </w:p>
              </w:tc>
              <w:tc>
                <w:tcPr>
                  <w:tcW w:w="2873" w:type="dxa"/>
                  <w:tcBorders>
                    <w:top w:val="nil"/>
                    <w:left w:val="nil"/>
                    <w:bottom w:val="single" w:sz="4" w:space="0" w:color="auto"/>
                    <w:right w:val="single" w:sz="4" w:space="0" w:color="auto"/>
                  </w:tcBorders>
                  <w:shd w:val="clear" w:color="000000" w:fill="CCFFCC"/>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Surgery (Coronary artery bypass graft)</w:t>
                  </w:r>
                </w:p>
              </w:tc>
              <w:tc>
                <w:tcPr>
                  <w:tcW w:w="1110"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16</w:t>
                  </w:r>
                </w:p>
              </w:tc>
              <w:tc>
                <w:tcPr>
                  <w:tcW w:w="1049"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16</w:t>
                  </w:r>
                </w:p>
              </w:tc>
              <w:tc>
                <w:tcPr>
                  <w:tcW w:w="864"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16</w:t>
                  </w:r>
                </w:p>
              </w:tc>
            </w:tr>
            <w:tr w:rsidR="00BC2CDC" w:rsidRPr="00E42063" w:rsidTr="00BC2CDC">
              <w:trPr>
                <w:trHeight w:val="300"/>
              </w:trPr>
              <w:tc>
                <w:tcPr>
                  <w:tcW w:w="2400" w:type="dxa"/>
                  <w:tcBorders>
                    <w:top w:val="nil"/>
                    <w:left w:val="single" w:sz="4" w:space="0" w:color="auto"/>
                    <w:bottom w:val="single" w:sz="4" w:space="0" w:color="auto"/>
                    <w:right w:val="single" w:sz="4" w:space="0" w:color="auto"/>
                  </w:tcBorders>
                  <w:shd w:val="clear" w:color="000000" w:fill="CC99FF"/>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Diabetes mellitus type 2</w:t>
                  </w:r>
                </w:p>
              </w:tc>
              <w:tc>
                <w:tcPr>
                  <w:tcW w:w="2873" w:type="dxa"/>
                  <w:tcBorders>
                    <w:top w:val="nil"/>
                    <w:left w:val="nil"/>
                    <w:bottom w:val="single" w:sz="4" w:space="0" w:color="auto"/>
                    <w:right w:val="single" w:sz="4" w:space="0" w:color="auto"/>
                  </w:tcBorders>
                  <w:shd w:val="clear" w:color="000000" w:fill="CC99FF"/>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Education (patient self-manag</w:t>
                  </w:r>
                  <w:r w:rsidR="00E42063" w:rsidRPr="00BC2CDC">
                    <w:rPr>
                      <w:rFonts w:ascii="Times New Roman" w:eastAsia="Times New Roman" w:hAnsi="Times New Roman" w:cs="Times New Roman"/>
                      <w:sz w:val="18"/>
                      <w:szCs w:val="18"/>
                      <w:lang w:val="en-GB" w:eastAsia="el-GR"/>
                    </w:rPr>
                    <w:t>e</w:t>
                  </w:r>
                  <w:r w:rsidRPr="00BC2CDC">
                    <w:rPr>
                      <w:rFonts w:ascii="Times New Roman" w:eastAsia="Times New Roman" w:hAnsi="Times New Roman" w:cs="Times New Roman"/>
                      <w:sz w:val="18"/>
                      <w:szCs w:val="18"/>
                      <w:lang w:val="en-GB" w:eastAsia="el-GR"/>
                    </w:rPr>
                    <w:t>ment)</w:t>
                  </w:r>
                </w:p>
              </w:tc>
              <w:tc>
                <w:tcPr>
                  <w:tcW w:w="1110"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16</w:t>
                  </w:r>
                </w:p>
              </w:tc>
              <w:tc>
                <w:tcPr>
                  <w:tcW w:w="1049"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16</w:t>
                  </w:r>
                </w:p>
              </w:tc>
              <w:tc>
                <w:tcPr>
                  <w:tcW w:w="864"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16</w:t>
                  </w:r>
                </w:p>
              </w:tc>
            </w:tr>
            <w:tr w:rsidR="00BC2CDC" w:rsidRPr="00E42063" w:rsidTr="00BC2CDC">
              <w:trPr>
                <w:trHeight w:val="450"/>
              </w:trPr>
              <w:tc>
                <w:tcPr>
                  <w:tcW w:w="2400" w:type="dxa"/>
                  <w:tcBorders>
                    <w:top w:val="nil"/>
                    <w:left w:val="single" w:sz="4" w:space="0" w:color="auto"/>
                    <w:bottom w:val="single" w:sz="4" w:space="0" w:color="auto"/>
                    <w:right w:val="single" w:sz="4" w:space="0" w:color="auto"/>
                  </w:tcBorders>
                  <w:shd w:val="clear" w:color="000000" w:fill="FFCC99"/>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 xml:space="preserve">MN of the female breast </w:t>
                  </w:r>
                </w:p>
              </w:tc>
              <w:tc>
                <w:tcPr>
                  <w:tcW w:w="2873" w:type="dxa"/>
                  <w:tcBorders>
                    <w:top w:val="nil"/>
                    <w:left w:val="nil"/>
                    <w:bottom w:val="single" w:sz="4" w:space="0" w:color="auto"/>
                    <w:right w:val="single" w:sz="4" w:space="0" w:color="auto"/>
                  </w:tcBorders>
                  <w:shd w:val="clear" w:color="000000" w:fill="FFCC99"/>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Screening (self-examination, clinical breast examination, ultrasound, mammography)</w:t>
                  </w:r>
                </w:p>
              </w:tc>
              <w:tc>
                <w:tcPr>
                  <w:tcW w:w="1110"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16</w:t>
                  </w:r>
                </w:p>
              </w:tc>
              <w:tc>
                <w:tcPr>
                  <w:tcW w:w="1049"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16</w:t>
                  </w:r>
                </w:p>
              </w:tc>
              <w:tc>
                <w:tcPr>
                  <w:tcW w:w="864"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16</w:t>
                  </w:r>
                </w:p>
              </w:tc>
            </w:tr>
            <w:tr w:rsidR="00BC2CDC" w:rsidRPr="00E42063" w:rsidTr="00BC2CDC">
              <w:trPr>
                <w:trHeight w:val="450"/>
              </w:trPr>
              <w:tc>
                <w:tcPr>
                  <w:tcW w:w="2400" w:type="dxa"/>
                  <w:tcBorders>
                    <w:top w:val="nil"/>
                    <w:left w:val="single" w:sz="4" w:space="0" w:color="auto"/>
                    <w:bottom w:val="single" w:sz="4" w:space="0" w:color="auto"/>
                    <w:right w:val="single" w:sz="4" w:space="0" w:color="auto"/>
                  </w:tcBorders>
                  <w:shd w:val="clear" w:color="000000" w:fill="FFCC99"/>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 xml:space="preserve">MN of prostate </w:t>
                  </w:r>
                </w:p>
              </w:tc>
              <w:tc>
                <w:tcPr>
                  <w:tcW w:w="2873" w:type="dxa"/>
                  <w:tcBorders>
                    <w:top w:val="nil"/>
                    <w:left w:val="nil"/>
                    <w:bottom w:val="single" w:sz="4" w:space="0" w:color="auto"/>
                    <w:right w:val="single" w:sz="4" w:space="0" w:color="auto"/>
                  </w:tcBorders>
                  <w:shd w:val="clear" w:color="000000" w:fill="FFCC99"/>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Screening (Digital rectal exam (DRE), Prostate specific antigen test (PSA))</w:t>
                  </w:r>
                </w:p>
              </w:tc>
              <w:tc>
                <w:tcPr>
                  <w:tcW w:w="1110"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16</w:t>
                  </w:r>
                </w:p>
              </w:tc>
              <w:tc>
                <w:tcPr>
                  <w:tcW w:w="1049"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16</w:t>
                  </w:r>
                </w:p>
              </w:tc>
              <w:tc>
                <w:tcPr>
                  <w:tcW w:w="864"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16</w:t>
                  </w:r>
                </w:p>
              </w:tc>
            </w:tr>
            <w:tr w:rsidR="00BC2CDC" w:rsidRPr="00E42063" w:rsidTr="00BC2CDC">
              <w:trPr>
                <w:trHeight w:val="450"/>
              </w:trPr>
              <w:tc>
                <w:tcPr>
                  <w:tcW w:w="2400" w:type="dxa"/>
                  <w:tcBorders>
                    <w:top w:val="nil"/>
                    <w:left w:val="single" w:sz="4" w:space="0" w:color="auto"/>
                    <w:bottom w:val="single" w:sz="4" w:space="0" w:color="auto"/>
                    <w:right w:val="single" w:sz="4" w:space="0" w:color="auto"/>
                  </w:tcBorders>
                  <w:shd w:val="clear" w:color="000000" w:fill="99CCFF"/>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Asthma control</w:t>
                  </w:r>
                </w:p>
              </w:tc>
              <w:tc>
                <w:tcPr>
                  <w:tcW w:w="2873" w:type="dxa"/>
                  <w:tcBorders>
                    <w:top w:val="nil"/>
                    <w:left w:val="nil"/>
                    <w:bottom w:val="single" w:sz="4" w:space="0" w:color="auto"/>
                    <w:right w:val="single" w:sz="4" w:space="0" w:color="auto"/>
                  </w:tcBorders>
                  <w:shd w:val="clear" w:color="000000" w:fill="99CCFF"/>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Medication (inhaled ipratropium bromide, rapid-acting bronchodilators, inhaled corticosteroid)</w:t>
                  </w:r>
                </w:p>
              </w:tc>
              <w:tc>
                <w:tcPr>
                  <w:tcW w:w="1110"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16</w:t>
                  </w:r>
                </w:p>
              </w:tc>
              <w:tc>
                <w:tcPr>
                  <w:tcW w:w="1049"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16</w:t>
                  </w:r>
                </w:p>
              </w:tc>
              <w:tc>
                <w:tcPr>
                  <w:tcW w:w="864"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16</w:t>
                  </w:r>
                </w:p>
              </w:tc>
            </w:tr>
            <w:tr w:rsidR="00BC2CDC" w:rsidRPr="00E42063" w:rsidTr="00BC2CDC">
              <w:trPr>
                <w:trHeight w:val="300"/>
              </w:trPr>
              <w:tc>
                <w:tcPr>
                  <w:tcW w:w="2400" w:type="dxa"/>
                  <w:tcBorders>
                    <w:top w:val="nil"/>
                    <w:left w:val="single" w:sz="4" w:space="0" w:color="auto"/>
                    <w:bottom w:val="single" w:sz="4" w:space="0" w:color="auto"/>
                    <w:right w:val="single" w:sz="4" w:space="0" w:color="auto"/>
                  </w:tcBorders>
                  <w:shd w:val="clear" w:color="000000" w:fill="CCFFCC"/>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Congestive Heart Failure (CHF)</w:t>
                  </w:r>
                </w:p>
              </w:tc>
              <w:tc>
                <w:tcPr>
                  <w:tcW w:w="2873" w:type="dxa"/>
                  <w:tcBorders>
                    <w:top w:val="nil"/>
                    <w:left w:val="nil"/>
                    <w:bottom w:val="single" w:sz="4" w:space="0" w:color="auto"/>
                    <w:right w:val="single" w:sz="4" w:space="0" w:color="auto"/>
                  </w:tcBorders>
                  <w:shd w:val="clear" w:color="000000" w:fill="CCFFCC"/>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Surgery (Coronary artery bypass graft)</w:t>
                  </w:r>
                </w:p>
              </w:tc>
              <w:tc>
                <w:tcPr>
                  <w:tcW w:w="1110"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16</w:t>
                  </w:r>
                </w:p>
              </w:tc>
              <w:tc>
                <w:tcPr>
                  <w:tcW w:w="1049"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16</w:t>
                  </w:r>
                </w:p>
              </w:tc>
              <w:tc>
                <w:tcPr>
                  <w:tcW w:w="864"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16</w:t>
                  </w:r>
                </w:p>
              </w:tc>
            </w:tr>
            <w:tr w:rsidR="00BC2CDC" w:rsidRPr="00E42063" w:rsidTr="00BC2CDC">
              <w:trPr>
                <w:trHeight w:val="300"/>
              </w:trPr>
              <w:tc>
                <w:tcPr>
                  <w:tcW w:w="2400" w:type="dxa"/>
                  <w:tcBorders>
                    <w:top w:val="nil"/>
                    <w:left w:val="single" w:sz="4" w:space="0" w:color="auto"/>
                    <w:bottom w:val="single" w:sz="4" w:space="0" w:color="auto"/>
                    <w:right w:val="single" w:sz="4" w:space="0" w:color="auto"/>
                  </w:tcBorders>
                  <w:shd w:val="clear" w:color="000000" w:fill="FFFF99"/>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Tobacco use</w:t>
                  </w:r>
                </w:p>
              </w:tc>
              <w:tc>
                <w:tcPr>
                  <w:tcW w:w="2873" w:type="dxa"/>
                  <w:tcBorders>
                    <w:top w:val="nil"/>
                    <w:left w:val="nil"/>
                    <w:bottom w:val="single" w:sz="4" w:space="0" w:color="auto"/>
                    <w:right w:val="single" w:sz="4" w:space="0" w:color="auto"/>
                  </w:tcBorders>
                  <w:shd w:val="clear" w:color="000000" w:fill="FFFF99"/>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Enforce bans on tobacco advertising</w:t>
                  </w:r>
                </w:p>
              </w:tc>
              <w:tc>
                <w:tcPr>
                  <w:tcW w:w="1110"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16</w:t>
                  </w:r>
                </w:p>
              </w:tc>
              <w:tc>
                <w:tcPr>
                  <w:tcW w:w="1049"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16</w:t>
                  </w:r>
                </w:p>
              </w:tc>
              <w:tc>
                <w:tcPr>
                  <w:tcW w:w="864"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16</w:t>
                  </w:r>
                </w:p>
              </w:tc>
            </w:tr>
            <w:tr w:rsidR="00BC2CDC" w:rsidRPr="00E42063" w:rsidTr="00BC2CDC">
              <w:trPr>
                <w:trHeight w:val="300"/>
              </w:trPr>
              <w:tc>
                <w:tcPr>
                  <w:tcW w:w="2400" w:type="dxa"/>
                  <w:tcBorders>
                    <w:top w:val="nil"/>
                    <w:left w:val="single" w:sz="4" w:space="0" w:color="auto"/>
                    <w:bottom w:val="single" w:sz="4" w:space="0" w:color="auto"/>
                    <w:right w:val="single" w:sz="4" w:space="0" w:color="auto"/>
                  </w:tcBorders>
                  <w:shd w:val="clear" w:color="000000" w:fill="FFFF99"/>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lastRenderedPageBreak/>
                    <w:t>Tobacco use</w:t>
                  </w:r>
                </w:p>
              </w:tc>
              <w:tc>
                <w:tcPr>
                  <w:tcW w:w="2873" w:type="dxa"/>
                  <w:tcBorders>
                    <w:top w:val="nil"/>
                    <w:left w:val="nil"/>
                    <w:bottom w:val="single" w:sz="4" w:space="0" w:color="auto"/>
                    <w:right w:val="single" w:sz="4" w:space="0" w:color="auto"/>
                  </w:tcBorders>
                  <w:shd w:val="clear" w:color="000000" w:fill="FFFF99"/>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Enforce clean indoor air law</w:t>
                  </w:r>
                </w:p>
              </w:tc>
              <w:tc>
                <w:tcPr>
                  <w:tcW w:w="1110"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16</w:t>
                  </w:r>
                </w:p>
              </w:tc>
              <w:tc>
                <w:tcPr>
                  <w:tcW w:w="1049"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16</w:t>
                  </w:r>
                </w:p>
              </w:tc>
              <w:tc>
                <w:tcPr>
                  <w:tcW w:w="864"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16</w:t>
                  </w:r>
                </w:p>
              </w:tc>
            </w:tr>
            <w:tr w:rsidR="00BC2CDC" w:rsidRPr="00E42063" w:rsidTr="00BC2CDC">
              <w:trPr>
                <w:trHeight w:val="300"/>
              </w:trPr>
              <w:tc>
                <w:tcPr>
                  <w:tcW w:w="2400" w:type="dxa"/>
                  <w:tcBorders>
                    <w:top w:val="nil"/>
                    <w:left w:val="single" w:sz="4" w:space="0" w:color="auto"/>
                    <w:bottom w:val="single" w:sz="4" w:space="0" w:color="auto"/>
                    <w:right w:val="single" w:sz="4" w:space="0" w:color="auto"/>
                  </w:tcBorders>
                  <w:shd w:val="clear" w:color="000000" w:fill="FFFF99"/>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Unhealthy diet</w:t>
                  </w:r>
                </w:p>
              </w:tc>
              <w:tc>
                <w:tcPr>
                  <w:tcW w:w="2873" w:type="dxa"/>
                  <w:tcBorders>
                    <w:top w:val="nil"/>
                    <w:left w:val="nil"/>
                    <w:bottom w:val="single" w:sz="4" w:space="0" w:color="auto"/>
                    <w:right w:val="single" w:sz="4" w:space="0" w:color="auto"/>
                  </w:tcBorders>
                  <w:shd w:val="clear" w:color="000000" w:fill="FFFF99"/>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Promote public awareness about diet</w:t>
                  </w:r>
                </w:p>
              </w:tc>
              <w:tc>
                <w:tcPr>
                  <w:tcW w:w="1110"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16</w:t>
                  </w:r>
                </w:p>
              </w:tc>
              <w:tc>
                <w:tcPr>
                  <w:tcW w:w="1049"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16</w:t>
                  </w:r>
                </w:p>
              </w:tc>
              <w:tc>
                <w:tcPr>
                  <w:tcW w:w="864"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16</w:t>
                  </w:r>
                </w:p>
              </w:tc>
            </w:tr>
            <w:tr w:rsidR="00BC2CDC" w:rsidRPr="00E42063" w:rsidTr="00BC2CDC">
              <w:trPr>
                <w:trHeight w:val="300"/>
              </w:trPr>
              <w:tc>
                <w:tcPr>
                  <w:tcW w:w="2400" w:type="dxa"/>
                  <w:tcBorders>
                    <w:top w:val="nil"/>
                    <w:left w:val="single" w:sz="4" w:space="0" w:color="auto"/>
                    <w:bottom w:val="single" w:sz="4" w:space="0" w:color="auto"/>
                    <w:right w:val="single" w:sz="4" w:space="0" w:color="auto"/>
                  </w:tcBorders>
                  <w:shd w:val="clear" w:color="000000" w:fill="CCFFCC"/>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Angina pectoris (stable angina)</w:t>
                  </w:r>
                </w:p>
              </w:tc>
              <w:tc>
                <w:tcPr>
                  <w:tcW w:w="2873" w:type="dxa"/>
                  <w:tcBorders>
                    <w:top w:val="nil"/>
                    <w:left w:val="nil"/>
                    <w:bottom w:val="single" w:sz="4" w:space="0" w:color="auto"/>
                    <w:right w:val="single" w:sz="4" w:space="0" w:color="auto"/>
                  </w:tcBorders>
                  <w:shd w:val="clear" w:color="000000" w:fill="CCFFCC"/>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Angioplasty, Stenting</w:t>
                  </w:r>
                </w:p>
              </w:tc>
              <w:tc>
                <w:tcPr>
                  <w:tcW w:w="1110"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27</w:t>
                  </w:r>
                </w:p>
              </w:tc>
              <w:tc>
                <w:tcPr>
                  <w:tcW w:w="1049"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27</w:t>
                  </w:r>
                </w:p>
              </w:tc>
              <w:tc>
                <w:tcPr>
                  <w:tcW w:w="864"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28</w:t>
                  </w:r>
                </w:p>
              </w:tc>
            </w:tr>
            <w:tr w:rsidR="00BC2CDC" w:rsidRPr="00E42063" w:rsidTr="00BC2CDC">
              <w:trPr>
                <w:trHeight w:val="300"/>
              </w:trPr>
              <w:tc>
                <w:tcPr>
                  <w:tcW w:w="2400" w:type="dxa"/>
                  <w:tcBorders>
                    <w:top w:val="nil"/>
                    <w:left w:val="single" w:sz="4" w:space="0" w:color="auto"/>
                    <w:bottom w:val="single" w:sz="4" w:space="0" w:color="auto"/>
                    <w:right w:val="single" w:sz="4" w:space="0" w:color="auto"/>
                  </w:tcBorders>
                  <w:shd w:val="clear" w:color="000000" w:fill="FFFF99"/>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 xml:space="preserve">Harmful alcohol use </w:t>
                  </w:r>
                </w:p>
              </w:tc>
              <w:tc>
                <w:tcPr>
                  <w:tcW w:w="2873" w:type="dxa"/>
                  <w:tcBorders>
                    <w:top w:val="nil"/>
                    <w:left w:val="nil"/>
                    <w:bottom w:val="single" w:sz="4" w:space="0" w:color="auto"/>
                    <w:right w:val="single" w:sz="4" w:space="0" w:color="auto"/>
                  </w:tcBorders>
                  <w:shd w:val="clear" w:color="000000" w:fill="FFFF99"/>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Raise tax on alcohol</w:t>
                  </w:r>
                </w:p>
              </w:tc>
              <w:tc>
                <w:tcPr>
                  <w:tcW w:w="1110"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27</w:t>
                  </w:r>
                </w:p>
              </w:tc>
              <w:tc>
                <w:tcPr>
                  <w:tcW w:w="1049"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27</w:t>
                  </w:r>
                </w:p>
              </w:tc>
              <w:tc>
                <w:tcPr>
                  <w:tcW w:w="864"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28</w:t>
                  </w:r>
                </w:p>
              </w:tc>
            </w:tr>
            <w:tr w:rsidR="00BC2CDC" w:rsidRPr="00E42063" w:rsidTr="00BC2CDC">
              <w:trPr>
                <w:trHeight w:val="300"/>
              </w:trPr>
              <w:tc>
                <w:tcPr>
                  <w:tcW w:w="2400" w:type="dxa"/>
                  <w:tcBorders>
                    <w:top w:val="nil"/>
                    <w:left w:val="single" w:sz="4" w:space="0" w:color="auto"/>
                    <w:bottom w:val="single" w:sz="4" w:space="0" w:color="auto"/>
                    <w:right w:val="single" w:sz="4" w:space="0" w:color="auto"/>
                  </w:tcBorders>
                  <w:shd w:val="clear" w:color="000000" w:fill="FFCC99"/>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 xml:space="preserve">MN of larynx and trachea, bronchus, lung </w:t>
                  </w:r>
                </w:p>
              </w:tc>
              <w:tc>
                <w:tcPr>
                  <w:tcW w:w="2873" w:type="dxa"/>
                  <w:tcBorders>
                    <w:top w:val="nil"/>
                    <w:left w:val="nil"/>
                    <w:bottom w:val="single" w:sz="4" w:space="0" w:color="auto"/>
                    <w:right w:val="single" w:sz="4" w:space="0" w:color="auto"/>
                  </w:tcBorders>
                  <w:shd w:val="clear" w:color="000000" w:fill="FFCC99"/>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Surgery with/without adjuvant treatment (a)</w:t>
                  </w:r>
                </w:p>
              </w:tc>
              <w:tc>
                <w:tcPr>
                  <w:tcW w:w="1110"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29</w:t>
                  </w:r>
                </w:p>
              </w:tc>
              <w:tc>
                <w:tcPr>
                  <w:tcW w:w="1049"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29</w:t>
                  </w:r>
                </w:p>
              </w:tc>
              <w:tc>
                <w:tcPr>
                  <w:tcW w:w="864"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27</w:t>
                  </w:r>
                </w:p>
              </w:tc>
            </w:tr>
            <w:tr w:rsidR="00BC2CDC" w:rsidRPr="00E42063" w:rsidTr="00BC2CDC">
              <w:trPr>
                <w:trHeight w:val="300"/>
              </w:trPr>
              <w:tc>
                <w:tcPr>
                  <w:tcW w:w="2400" w:type="dxa"/>
                  <w:tcBorders>
                    <w:top w:val="nil"/>
                    <w:left w:val="single" w:sz="4" w:space="0" w:color="auto"/>
                    <w:bottom w:val="single" w:sz="4" w:space="0" w:color="auto"/>
                    <w:right w:val="single" w:sz="4" w:space="0" w:color="auto"/>
                  </w:tcBorders>
                  <w:shd w:val="clear" w:color="000000" w:fill="948A54"/>
                  <w:noWrap/>
                  <w:vAlign w:val="bottom"/>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Major depressive disorder</w:t>
                  </w:r>
                </w:p>
              </w:tc>
              <w:tc>
                <w:tcPr>
                  <w:tcW w:w="2873" w:type="dxa"/>
                  <w:tcBorders>
                    <w:top w:val="nil"/>
                    <w:left w:val="nil"/>
                    <w:bottom w:val="single" w:sz="4" w:space="0" w:color="auto"/>
                    <w:right w:val="single" w:sz="4" w:space="0" w:color="auto"/>
                  </w:tcBorders>
                  <w:shd w:val="clear" w:color="000000" w:fill="948A54"/>
                  <w:noWrap/>
                  <w:vAlign w:val="bottom"/>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Older antidepressant drug medication (TCA)</w:t>
                  </w:r>
                </w:p>
              </w:tc>
              <w:tc>
                <w:tcPr>
                  <w:tcW w:w="1110"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30</w:t>
                  </w:r>
                </w:p>
              </w:tc>
              <w:tc>
                <w:tcPr>
                  <w:tcW w:w="1049"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30</w:t>
                  </w:r>
                </w:p>
              </w:tc>
              <w:tc>
                <w:tcPr>
                  <w:tcW w:w="864"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31</w:t>
                  </w:r>
                </w:p>
              </w:tc>
            </w:tr>
            <w:tr w:rsidR="00BC2CDC" w:rsidRPr="00E42063" w:rsidTr="00BC2CDC">
              <w:trPr>
                <w:trHeight w:val="300"/>
              </w:trPr>
              <w:tc>
                <w:tcPr>
                  <w:tcW w:w="2400" w:type="dxa"/>
                  <w:tcBorders>
                    <w:top w:val="nil"/>
                    <w:left w:val="single" w:sz="4" w:space="0" w:color="auto"/>
                    <w:bottom w:val="single" w:sz="4" w:space="0" w:color="auto"/>
                    <w:right w:val="single" w:sz="4" w:space="0" w:color="auto"/>
                  </w:tcBorders>
                  <w:shd w:val="clear" w:color="000000" w:fill="948A54"/>
                  <w:noWrap/>
                  <w:vAlign w:val="bottom"/>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Major depressive disorder</w:t>
                  </w:r>
                </w:p>
              </w:tc>
              <w:tc>
                <w:tcPr>
                  <w:tcW w:w="2873" w:type="dxa"/>
                  <w:tcBorders>
                    <w:top w:val="nil"/>
                    <w:left w:val="nil"/>
                    <w:bottom w:val="single" w:sz="4" w:space="0" w:color="auto"/>
                    <w:right w:val="single" w:sz="4" w:space="0" w:color="auto"/>
                  </w:tcBorders>
                  <w:shd w:val="clear" w:color="000000" w:fill="948A54"/>
                  <w:noWrap/>
                  <w:vAlign w:val="bottom"/>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 xml:space="preserve">Newer antidepressant drug medication </w:t>
                  </w:r>
                </w:p>
              </w:tc>
              <w:tc>
                <w:tcPr>
                  <w:tcW w:w="1110"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30</w:t>
                  </w:r>
                </w:p>
              </w:tc>
              <w:tc>
                <w:tcPr>
                  <w:tcW w:w="1049"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30</w:t>
                  </w:r>
                </w:p>
              </w:tc>
              <w:tc>
                <w:tcPr>
                  <w:tcW w:w="864"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31</w:t>
                  </w:r>
                </w:p>
              </w:tc>
            </w:tr>
            <w:tr w:rsidR="00BC2CDC" w:rsidRPr="00E42063" w:rsidTr="00BC2CDC">
              <w:trPr>
                <w:trHeight w:val="300"/>
              </w:trPr>
              <w:tc>
                <w:tcPr>
                  <w:tcW w:w="2400" w:type="dxa"/>
                  <w:tcBorders>
                    <w:top w:val="nil"/>
                    <w:left w:val="single" w:sz="4" w:space="0" w:color="auto"/>
                    <w:bottom w:val="single" w:sz="4" w:space="0" w:color="auto"/>
                    <w:right w:val="single" w:sz="4" w:space="0" w:color="auto"/>
                  </w:tcBorders>
                  <w:shd w:val="clear" w:color="000000" w:fill="948A54"/>
                  <w:noWrap/>
                  <w:vAlign w:val="bottom"/>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Major depressive disorder</w:t>
                  </w:r>
                </w:p>
              </w:tc>
              <w:tc>
                <w:tcPr>
                  <w:tcW w:w="2873" w:type="dxa"/>
                  <w:tcBorders>
                    <w:top w:val="nil"/>
                    <w:left w:val="nil"/>
                    <w:bottom w:val="single" w:sz="4" w:space="0" w:color="auto"/>
                    <w:right w:val="single" w:sz="4" w:space="0" w:color="auto"/>
                  </w:tcBorders>
                  <w:shd w:val="clear" w:color="000000" w:fill="948A54"/>
                  <w:noWrap/>
                  <w:vAlign w:val="bottom"/>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Psychosocial treatment</w:t>
                  </w:r>
                </w:p>
              </w:tc>
              <w:tc>
                <w:tcPr>
                  <w:tcW w:w="1110"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30</w:t>
                  </w:r>
                </w:p>
              </w:tc>
              <w:tc>
                <w:tcPr>
                  <w:tcW w:w="1049"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30</w:t>
                  </w:r>
                </w:p>
              </w:tc>
              <w:tc>
                <w:tcPr>
                  <w:tcW w:w="864"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31</w:t>
                  </w:r>
                </w:p>
              </w:tc>
            </w:tr>
            <w:tr w:rsidR="00BC2CDC" w:rsidRPr="00E42063" w:rsidTr="00BC2CDC">
              <w:trPr>
                <w:trHeight w:val="300"/>
              </w:trPr>
              <w:tc>
                <w:tcPr>
                  <w:tcW w:w="2400" w:type="dxa"/>
                  <w:tcBorders>
                    <w:top w:val="nil"/>
                    <w:left w:val="single" w:sz="4" w:space="0" w:color="auto"/>
                    <w:bottom w:val="single" w:sz="4" w:space="0" w:color="auto"/>
                    <w:right w:val="single" w:sz="4" w:space="0" w:color="auto"/>
                  </w:tcBorders>
                  <w:shd w:val="clear" w:color="000000" w:fill="FFCC99"/>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 xml:space="preserve">MN of colon, rectum and anus </w:t>
                  </w:r>
                </w:p>
              </w:tc>
              <w:tc>
                <w:tcPr>
                  <w:tcW w:w="2873" w:type="dxa"/>
                  <w:tcBorders>
                    <w:top w:val="nil"/>
                    <w:left w:val="nil"/>
                    <w:bottom w:val="single" w:sz="4" w:space="0" w:color="auto"/>
                    <w:right w:val="single" w:sz="4" w:space="0" w:color="auto"/>
                  </w:tcBorders>
                  <w:shd w:val="clear" w:color="000000" w:fill="FFCC99"/>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Surgery with/without adjuvant treatment (a)</w:t>
                  </w:r>
                </w:p>
              </w:tc>
              <w:tc>
                <w:tcPr>
                  <w:tcW w:w="1110"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30</w:t>
                  </w:r>
                </w:p>
              </w:tc>
              <w:tc>
                <w:tcPr>
                  <w:tcW w:w="1049"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30</w:t>
                  </w:r>
                </w:p>
              </w:tc>
              <w:tc>
                <w:tcPr>
                  <w:tcW w:w="864"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31</w:t>
                  </w:r>
                </w:p>
              </w:tc>
            </w:tr>
            <w:tr w:rsidR="00BC2CDC" w:rsidRPr="00E42063" w:rsidTr="00BC2CDC">
              <w:trPr>
                <w:trHeight w:val="450"/>
              </w:trPr>
              <w:tc>
                <w:tcPr>
                  <w:tcW w:w="2400" w:type="dxa"/>
                  <w:tcBorders>
                    <w:top w:val="nil"/>
                    <w:left w:val="single" w:sz="4" w:space="0" w:color="auto"/>
                    <w:bottom w:val="single" w:sz="4" w:space="0" w:color="auto"/>
                    <w:right w:val="single" w:sz="4" w:space="0" w:color="auto"/>
                  </w:tcBorders>
                  <w:shd w:val="clear" w:color="000000" w:fill="FFCC99"/>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 xml:space="preserve">MN of the female breast </w:t>
                  </w:r>
                </w:p>
              </w:tc>
              <w:tc>
                <w:tcPr>
                  <w:tcW w:w="2873" w:type="dxa"/>
                  <w:tcBorders>
                    <w:top w:val="nil"/>
                    <w:left w:val="nil"/>
                    <w:bottom w:val="single" w:sz="4" w:space="0" w:color="auto"/>
                    <w:right w:val="single" w:sz="4" w:space="0" w:color="auto"/>
                  </w:tcBorders>
                  <w:shd w:val="clear" w:color="000000" w:fill="FFCC99"/>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Surgery (</w:t>
                  </w:r>
                  <w:r w:rsidR="001D3A0A" w:rsidRPr="00BC2CDC">
                    <w:rPr>
                      <w:rFonts w:ascii="Times New Roman" w:eastAsia="Times New Roman" w:hAnsi="Times New Roman" w:cs="Times New Roman"/>
                      <w:sz w:val="18"/>
                      <w:szCs w:val="18"/>
                      <w:lang w:val="en-GB" w:eastAsia="el-GR"/>
                    </w:rPr>
                    <w:t>Lumpectomy</w:t>
                  </w:r>
                  <w:r w:rsidRPr="00BC2CDC">
                    <w:rPr>
                      <w:rFonts w:ascii="Times New Roman" w:eastAsia="Times New Roman" w:hAnsi="Times New Roman" w:cs="Times New Roman"/>
                      <w:sz w:val="18"/>
                      <w:szCs w:val="18"/>
                      <w:lang w:val="en-GB" w:eastAsia="el-GR"/>
                    </w:rPr>
                    <w:t>, Mastectomy) with adjuvant treatment (b)</w:t>
                  </w:r>
                </w:p>
              </w:tc>
              <w:tc>
                <w:tcPr>
                  <w:tcW w:w="1110"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30</w:t>
                  </w:r>
                </w:p>
              </w:tc>
              <w:tc>
                <w:tcPr>
                  <w:tcW w:w="1049"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30</w:t>
                  </w:r>
                </w:p>
              </w:tc>
              <w:tc>
                <w:tcPr>
                  <w:tcW w:w="864"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31</w:t>
                  </w:r>
                </w:p>
              </w:tc>
            </w:tr>
            <w:tr w:rsidR="00BC2CDC" w:rsidRPr="00E42063" w:rsidTr="00BC2CDC">
              <w:trPr>
                <w:trHeight w:val="450"/>
              </w:trPr>
              <w:tc>
                <w:tcPr>
                  <w:tcW w:w="2400" w:type="dxa"/>
                  <w:tcBorders>
                    <w:top w:val="nil"/>
                    <w:left w:val="single" w:sz="4" w:space="0" w:color="auto"/>
                    <w:bottom w:val="single" w:sz="4" w:space="0" w:color="auto"/>
                    <w:right w:val="single" w:sz="4" w:space="0" w:color="auto"/>
                  </w:tcBorders>
                  <w:shd w:val="clear" w:color="000000" w:fill="CCFFCC"/>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Acute Myocardial In</w:t>
                  </w:r>
                  <w:r w:rsidR="00E42063" w:rsidRPr="00BC2CDC">
                    <w:rPr>
                      <w:rFonts w:ascii="Times New Roman" w:eastAsia="Times New Roman" w:hAnsi="Times New Roman" w:cs="Times New Roman"/>
                      <w:sz w:val="18"/>
                      <w:szCs w:val="18"/>
                      <w:lang w:val="en-GB" w:eastAsia="el-GR"/>
                    </w:rPr>
                    <w:t>f</w:t>
                  </w:r>
                  <w:r w:rsidRPr="00BC2CDC">
                    <w:rPr>
                      <w:rFonts w:ascii="Times New Roman" w:eastAsia="Times New Roman" w:hAnsi="Times New Roman" w:cs="Times New Roman"/>
                      <w:sz w:val="18"/>
                      <w:szCs w:val="18"/>
                      <w:lang w:val="en-GB" w:eastAsia="el-GR"/>
                    </w:rPr>
                    <w:t>arction (AMI)</w:t>
                  </w:r>
                </w:p>
              </w:tc>
              <w:tc>
                <w:tcPr>
                  <w:tcW w:w="2873" w:type="dxa"/>
                  <w:tcBorders>
                    <w:top w:val="nil"/>
                    <w:left w:val="nil"/>
                    <w:bottom w:val="single" w:sz="4" w:space="0" w:color="auto"/>
                    <w:right w:val="single" w:sz="4" w:space="0" w:color="auto"/>
                  </w:tcBorders>
                  <w:shd w:val="clear" w:color="000000" w:fill="CCFFCC"/>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Medication (aspirin, atenolol, streptokinase, tissue plasminogen activator)</w:t>
                  </w:r>
                </w:p>
              </w:tc>
              <w:tc>
                <w:tcPr>
                  <w:tcW w:w="1110"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30</w:t>
                  </w:r>
                </w:p>
              </w:tc>
              <w:tc>
                <w:tcPr>
                  <w:tcW w:w="1049"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30</w:t>
                  </w:r>
                </w:p>
              </w:tc>
              <w:tc>
                <w:tcPr>
                  <w:tcW w:w="864"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31</w:t>
                  </w:r>
                </w:p>
              </w:tc>
            </w:tr>
            <w:tr w:rsidR="00BC2CDC" w:rsidRPr="00E42063" w:rsidTr="00BC2CDC">
              <w:trPr>
                <w:trHeight w:val="675"/>
              </w:trPr>
              <w:tc>
                <w:tcPr>
                  <w:tcW w:w="2400" w:type="dxa"/>
                  <w:tcBorders>
                    <w:top w:val="nil"/>
                    <w:left w:val="single" w:sz="4" w:space="0" w:color="auto"/>
                    <w:bottom w:val="single" w:sz="4" w:space="0" w:color="auto"/>
                    <w:right w:val="single" w:sz="4" w:space="0" w:color="auto"/>
                  </w:tcBorders>
                  <w:shd w:val="clear" w:color="000000" w:fill="CCFFCC"/>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Acute Myocardial In</w:t>
                  </w:r>
                  <w:r w:rsidR="00E42063" w:rsidRPr="00BC2CDC">
                    <w:rPr>
                      <w:rFonts w:ascii="Times New Roman" w:eastAsia="Times New Roman" w:hAnsi="Times New Roman" w:cs="Times New Roman"/>
                      <w:sz w:val="18"/>
                      <w:szCs w:val="18"/>
                      <w:lang w:val="en-GB" w:eastAsia="el-GR"/>
                    </w:rPr>
                    <w:t>f</w:t>
                  </w:r>
                  <w:r w:rsidRPr="00BC2CDC">
                    <w:rPr>
                      <w:rFonts w:ascii="Times New Roman" w:eastAsia="Times New Roman" w:hAnsi="Times New Roman" w:cs="Times New Roman"/>
                      <w:sz w:val="18"/>
                      <w:szCs w:val="18"/>
                      <w:lang w:val="en-GB" w:eastAsia="el-GR"/>
                    </w:rPr>
                    <w:t>arction (AMI)</w:t>
                  </w:r>
                </w:p>
              </w:tc>
              <w:tc>
                <w:tcPr>
                  <w:tcW w:w="2873" w:type="dxa"/>
                  <w:tcBorders>
                    <w:top w:val="nil"/>
                    <w:left w:val="nil"/>
                    <w:bottom w:val="single" w:sz="4" w:space="0" w:color="auto"/>
                    <w:right w:val="single" w:sz="4" w:space="0" w:color="auto"/>
                  </w:tcBorders>
                  <w:shd w:val="clear" w:color="000000" w:fill="CCFFCC"/>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Surgery (Primary angioplasty, primary stenting, percutaneous transluminal coronary angioplasty (PTCA))</w:t>
                  </w:r>
                </w:p>
              </w:tc>
              <w:tc>
                <w:tcPr>
                  <w:tcW w:w="1110"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30</w:t>
                  </w:r>
                </w:p>
              </w:tc>
              <w:tc>
                <w:tcPr>
                  <w:tcW w:w="1049"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30</w:t>
                  </w:r>
                </w:p>
              </w:tc>
              <w:tc>
                <w:tcPr>
                  <w:tcW w:w="864"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31</w:t>
                  </w:r>
                </w:p>
              </w:tc>
            </w:tr>
            <w:tr w:rsidR="00BC2CDC" w:rsidRPr="00E42063" w:rsidTr="00BC2CDC">
              <w:trPr>
                <w:trHeight w:val="300"/>
              </w:trPr>
              <w:tc>
                <w:tcPr>
                  <w:tcW w:w="2400" w:type="dxa"/>
                  <w:tcBorders>
                    <w:top w:val="nil"/>
                    <w:left w:val="single" w:sz="4" w:space="0" w:color="auto"/>
                    <w:bottom w:val="single" w:sz="4" w:space="0" w:color="auto"/>
                    <w:right w:val="single" w:sz="4" w:space="0" w:color="auto"/>
                  </w:tcBorders>
                  <w:shd w:val="clear" w:color="000000" w:fill="948A54"/>
                  <w:noWrap/>
                  <w:vAlign w:val="bottom"/>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Alzheimer's disease &amp; dementias (Stage 2)</w:t>
                  </w:r>
                </w:p>
              </w:tc>
              <w:tc>
                <w:tcPr>
                  <w:tcW w:w="2873" w:type="dxa"/>
                  <w:tcBorders>
                    <w:top w:val="nil"/>
                    <w:left w:val="nil"/>
                    <w:bottom w:val="single" w:sz="4" w:space="0" w:color="auto"/>
                    <w:right w:val="single" w:sz="4" w:space="0" w:color="auto"/>
                  </w:tcBorders>
                  <w:shd w:val="clear" w:color="000000" w:fill="948A54"/>
                  <w:noWrap/>
                  <w:vAlign w:val="bottom"/>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Nursing home/hospital care</w:t>
                  </w:r>
                </w:p>
              </w:tc>
              <w:tc>
                <w:tcPr>
                  <w:tcW w:w="1110"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30</w:t>
                  </w:r>
                </w:p>
              </w:tc>
              <w:tc>
                <w:tcPr>
                  <w:tcW w:w="1049"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30</w:t>
                  </w:r>
                </w:p>
              </w:tc>
              <w:tc>
                <w:tcPr>
                  <w:tcW w:w="864"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31</w:t>
                  </w:r>
                </w:p>
              </w:tc>
            </w:tr>
            <w:tr w:rsidR="00BC2CDC" w:rsidRPr="00E42063" w:rsidTr="00BC2CDC">
              <w:trPr>
                <w:trHeight w:val="300"/>
              </w:trPr>
              <w:tc>
                <w:tcPr>
                  <w:tcW w:w="2400" w:type="dxa"/>
                  <w:tcBorders>
                    <w:top w:val="nil"/>
                    <w:left w:val="single" w:sz="4" w:space="0" w:color="auto"/>
                    <w:bottom w:val="single" w:sz="4" w:space="0" w:color="auto"/>
                    <w:right w:val="single" w:sz="4" w:space="0" w:color="auto"/>
                  </w:tcBorders>
                  <w:shd w:val="clear" w:color="000000" w:fill="CCFFCC"/>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Congestive Heart Failure (CHF)</w:t>
                  </w:r>
                </w:p>
              </w:tc>
              <w:tc>
                <w:tcPr>
                  <w:tcW w:w="2873" w:type="dxa"/>
                  <w:tcBorders>
                    <w:top w:val="nil"/>
                    <w:left w:val="nil"/>
                    <w:bottom w:val="single" w:sz="4" w:space="0" w:color="auto"/>
                    <w:right w:val="single" w:sz="4" w:space="0" w:color="auto"/>
                  </w:tcBorders>
                  <w:shd w:val="clear" w:color="000000" w:fill="CCFFCC"/>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Surgery (Heart transplant)</w:t>
                  </w:r>
                </w:p>
              </w:tc>
              <w:tc>
                <w:tcPr>
                  <w:tcW w:w="1110"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38</w:t>
                  </w:r>
                </w:p>
              </w:tc>
              <w:tc>
                <w:tcPr>
                  <w:tcW w:w="1049"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38</w:t>
                  </w:r>
                </w:p>
              </w:tc>
              <w:tc>
                <w:tcPr>
                  <w:tcW w:w="864"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39</w:t>
                  </w:r>
                </w:p>
              </w:tc>
            </w:tr>
            <w:tr w:rsidR="00BC2CDC" w:rsidRPr="00E42063" w:rsidTr="00BC2CDC">
              <w:trPr>
                <w:trHeight w:val="300"/>
              </w:trPr>
              <w:tc>
                <w:tcPr>
                  <w:tcW w:w="2400" w:type="dxa"/>
                  <w:tcBorders>
                    <w:top w:val="nil"/>
                    <w:left w:val="single" w:sz="4" w:space="0" w:color="auto"/>
                    <w:bottom w:val="single" w:sz="4" w:space="0" w:color="auto"/>
                    <w:right w:val="single" w:sz="4" w:space="0" w:color="auto"/>
                  </w:tcBorders>
                  <w:shd w:val="clear" w:color="000000" w:fill="FFFF99"/>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Tobacco use</w:t>
                  </w:r>
                </w:p>
              </w:tc>
              <w:tc>
                <w:tcPr>
                  <w:tcW w:w="2873" w:type="dxa"/>
                  <w:tcBorders>
                    <w:top w:val="nil"/>
                    <w:left w:val="nil"/>
                    <w:bottom w:val="single" w:sz="4" w:space="0" w:color="auto"/>
                    <w:right w:val="single" w:sz="4" w:space="0" w:color="auto"/>
                  </w:tcBorders>
                  <w:shd w:val="clear" w:color="000000" w:fill="FFFF99"/>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Raise tax on tobacco</w:t>
                  </w:r>
                </w:p>
              </w:tc>
              <w:tc>
                <w:tcPr>
                  <w:tcW w:w="1110"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38</w:t>
                  </w:r>
                </w:p>
              </w:tc>
              <w:tc>
                <w:tcPr>
                  <w:tcW w:w="1049"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38</w:t>
                  </w:r>
                </w:p>
              </w:tc>
              <w:tc>
                <w:tcPr>
                  <w:tcW w:w="864"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39</w:t>
                  </w:r>
                </w:p>
              </w:tc>
            </w:tr>
            <w:tr w:rsidR="00BC2CDC" w:rsidRPr="00E42063" w:rsidTr="00BC2CDC">
              <w:trPr>
                <w:trHeight w:val="450"/>
              </w:trPr>
              <w:tc>
                <w:tcPr>
                  <w:tcW w:w="2400" w:type="dxa"/>
                  <w:tcBorders>
                    <w:top w:val="nil"/>
                    <w:left w:val="single" w:sz="4" w:space="0" w:color="auto"/>
                    <w:bottom w:val="single" w:sz="4" w:space="0" w:color="auto"/>
                    <w:right w:val="single" w:sz="4" w:space="0" w:color="auto"/>
                  </w:tcBorders>
                  <w:shd w:val="clear" w:color="000000" w:fill="99CCFF"/>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Chronic obstructive pulmonary disease (COPD) - Stage 3-4</w:t>
                  </w:r>
                </w:p>
              </w:tc>
              <w:tc>
                <w:tcPr>
                  <w:tcW w:w="2873" w:type="dxa"/>
                  <w:tcBorders>
                    <w:top w:val="nil"/>
                    <w:left w:val="nil"/>
                    <w:bottom w:val="single" w:sz="4" w:space="0" w:color="auto"/>
                    <w:right w:val="single" w:sz="4" w:space="0" w:color="auto"/>
                  </w:tcBorders>
                  <w:shd w:val="clear" w:color="000000" w:fill="99CCFF"/>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Home oxygen therapy</w:t>
                  </w:r>
                </w:p>
              </w:tc>
              <w:tc>
                <w:tcPr>
                  <w:tcW w:w="1110"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40</w:t>
                  </w:r>
                </w:p>
              </w:tc>
              <w:tc>
                <w:tcPr>
                  <w:tcW w:w="1049"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40</w:t>
                  </w:r>
                </w:p>
              </w:tc>
              <w:tc>
                <w:tcPr>
                  <w:tcW w:w="864"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30</w:t>
                  </w:r>
                </w:p>
              </w:tc>
            </w:tr>
            <w:tr w:rsidR="00BC2CDC" w:rsidRPr="00E42063" w:rsidTr="00BC2CDC">
              <w:trPr>
                <w:trHeight w:val="450"/>
              </w:trPr>
              <w:tc>
                <w:tcPr>
                  <w:tcW w:w="2400" w:type="dxa"/>
                  <w:tcBorders>
                    <w:top w:val="nil"/>
                    <w:left w:val="single" w:sz="4" w:space="0" w:color="auto"/>
                    <w:bottom w:val="single" w:sz="4" w:space="0" w:color="auto"/>
                    <w:right w:val="single" w:sz="4" w:space="0" w:color="auto"/>
                  </w:tcBorders>
                  <w:shd w:val="clear" w:color="000000" w:fill="FFCC99"/>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 xml:space="preserve">MN of prostate </w:t>
                  </w:r>
                </w:p>
              </w:tc>
              <w:tc>
                <w:tcPr>
                  <w:tcW w:w="2873" w:type="dxa"/>
                  <w:tcBorders>
                    <w:top w:val="nil"/>
                    <w:left w:val="nil"/>
                    <w:bottom w:val="single" w:sz="4" w:space="0" w:color="auto"/>
                    <w:right w:val="single" w:sz="4" w:space="0" w:color="auto"/>
                  </w:tcBorders>
                  <w:shd w:val="clear" w:color="000000" w:fill="FFCC99"/>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Monitor cancer (Watchful Waiting, Active Surveillance)</w:t>
                  </w:r>
                </w:p>
              </w:tc>
              <w:tc>
                <w:tcPr>
                  <w:tcW w:w="1110"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41</w:t>
                  </w:r>
                </w:p>
              </w:tc>
              <w:tc>
                <w:tcPr>
                  <w:tcW w:w="1049"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41</w:t>
                  </w:r>
                </w:p>
              </w:tc>
              <w:tc>
                <w:tcPr>
                  <w:tcW w:w="864"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41</w:t>
                  </w:r>
                </w:p>
              </w:tc>
            </w:tr>
            <w:tr w:rsidR="00BC2CDC" w:rsidRPr="00E42063" w:rsidTr="00BC2CDC">
              <w:trPr>
                <w:trHeight w:val="450"/>
              </w:trPr>
              <w:tc>
                <w:tcPr>
                  <w:tcW w:w="2400" w:type="dxa"/>
                  <w:tcBorders>
                    <w:top w:val="nil"/>
                    <w:left w:val="single" w:sz="4" w:space="0" w:color="auto"/>
                    <w:bottom w:val="single" w:sz="4" w:space="0" w:color="auto"/>
                    <w:right w:val="single" w:sz="4" w:space="0" w:color="auto"/>
                  </w:tcBorders>
                  <w:shd w:val="clear" w:color="000000" w:fill="99CCFF"/>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Chronic obstructive pulmonary disease (COPD) - Stage 3-4</w:t>
                  </w:r>
                </w:p>
              </w:tc>
              <w:tc>
                <w:tcPr>
                  <w:tcW w:w="2873" w:type="dxa"/>
                  <w:tcBorders>
                    <w:top w:val="nil"/>
                    <w:left w:val="nil"/>
                    <w:bottom w:val="single" w:sz="4" w:space="0" w:color="auto"/>
                    <w:right w:val="single" w:sz="4" w:space="0" w:color="auto"/>
                  </w:tcBorders>
                  <w:shd w:val="clear" w:color="000000" w:fill="99CCFF"/>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Surgery (Lung volume reduction, lung transplant)</w:t>
                  </w:r>
                </w:p>
              </w:tc>
              <w:tc>
                <w:tcPr>
                  <w:tcW w:w="1110"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41</w:t>
                  </w:r>
                </w:p>
              </w:tc>
              <w:tc>
                <w:tcPr>
                  <w:tcW w:w="1049"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41</w:t>
                  </w:r>
                </w:p>
              </w:tc>
              <w:tc>
                <w:tcPr>
                  <w:tcW w:w="864"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41</w:t>
                  </w:r>
                </w:p>
              </w:tc>
            </w:tr>
            <w:tr w:rsidR="00BC2CDC" w:rsidRPr="00E42063" w:rsidTr="00BC2CDC">
              <w:trPr>
                <w:trHeight w:val="300"/>
              </w:trPr>
              <w:tc>
                <w:tcPr>
                  <w:tcW w:w="2400" w:type="dxa"/>
                  <w:tcBorders>
                    <w:top w:val="nil"/>
                    <w:left w:val="single" w:sz="4" w:space="0" w:color="auto"/>
                    <w:bottom w:val="single" w:sz="4" w:space="0" w:color="auto"/>
                    <w:right w:val="single" w:sz="4" w:space="0" w:color="auto"/>
                  </w:tcBorders>
                  <w:shd w:val="clear" w:color="000000" w:fill="FFFF99"/>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 xml:space="preserve">Harmful alcohol use </w:t>
                  </w:r>
                </w:p>
              </w:tc>
              <w:tc>
                <w:tcPr>
                  <w:tcW w:w="2873" w:type="dxa"/>
                  <w:tcBorders>
                    <w:top w:val="nil"/>
                    <w:left w:val="nil"/>
                    <w:bottom w:val="single" w:sz="4" w:space="0" w:color="auto"/>
                    <w:right w:val="single" w:sz="4" w:space="0" w:color="auto"/>
                  </w:tcBorders>
                  <w:shd w:val="clear" w:color="000000" w:fill="FFFF99"/>
                  <w:hideMark/>
                </w:tcPr>
                <w:p w:rsidR="00BA330C" w:rsidRPr="00BC2CDC" w:rsidRDefault="00BA330C" w:rsidP="00BA330C">
                  <w:pPr>
                    <w:spacing w:after="0" w:line="240" w:lineRule="auto"/>
                    <w:rPr>
                      <w:rFonts w:ascii="Times New Roman" w:eastAsia="Times New Roman" w:hAnsi="Times New Roman" w:cs="Times New Roman"/>
                      <w:sz w:val="18"/>
                      <w:szCs w:val="18"/>
                      <w:lang w:val="en-GB" w:eastAsia="el-GR"/>
                    </w:rPr>
                  </w:pPr>
                  <w:r w:rsidRPr="00BC2CDC">
                    <w:rPr>
                      <w:rFonts w:ascii="Times New Roman" w:eastAsia="Times New Roman" w:hAnsi="Times New Roman" w:cs="Times New Roman"/>
                      <w:sz w:val="18"/>
                      <w:szCs w:val="18"/>
                      <w:lang w:val="en-GB" w:eastAsia="el-GR"/>
                    </w:rPr>
                    <w:t>Enforce bans on alcohol advertising</w:t>
                  </w:r>
                </w:p>
              </w:tc>
              <w:tc>
                <w:tcPr>
                  <w:tcW w:w="1110" w:type="dxa"/>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43</w:t>
                  </w:r>
                </w:p>
              </w:tc>
              <w:tc>
                <w:tcPr>
                  <w:tcW w:w="1049"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43</w:t>
                  </w:r>
                </w:p>
              </w:tc>
              <w:tc>
                <w:tcPr>
                  <w:tcW w:w="864" w:type="dxa"/>
                  <w:gridSpan w:val="2"/>
                  <w:tcBorders>
                    <w:top w:val="nil"/>
                    <w:left w:val="nil"/>
                    <w:bottom w:val="single" w:sz="4" w:space="0" w:color="auto"/>
                    <w:right w:val="single" w:sz="4" w:space="0" w:color="auto"/>
                  </w:tcBorders>
                  <w:shd w:val="clear" w:color="000000" w:fill="FFFF99"/>
                  <w:noWrap/>
                  <w:vAlign w:val="bottom"/>
                  <w:hideMark/>
                </w:tcPr>
                <w:p w:rsidR="00BA330C" w:rsidRPr="00BC2CDC" w:rsidRDefault="00BA330C" w:rsidP="00BA330C">
                  <w:pPr>
                    <w:spacing w:after="0" w:line="240" w:lineRule="auto"/>
                    <w:jc w:val="right"/>
                    <w:rPr>
                      <w:rFonts w:ascii="Times New Roman" w:eastAsia="Times New Roman" w:hAnsi="Times New Roman" w:cs="Times New Roman"/>
                      <w:color w:val="000000"/>
                      <w:sz w:val="18"/>
                      <w:szCs w:val="18"/>
                      <w:lang w:val="en-GB" w:eastAsia="el-GR"/>
                    </w:rPr>
                  </w:pPr>
                  <w:r w:rsidRPr="00BC2CDC">
                    <w:rPr>
                      <w:rFonts w:ascii="Times New Roman" w:eastAsia="Times New Roman" w:hAnsi="Times New Roman" w:cs="Times New Roman"/>
                      <w:color w:val="000000"/>
                      <w:sz w:val="18"/>
                      <w:szCs w:val="18"/>
                      <w:lang w:val="en-GB" w:eastAsia="el-GR"/>
                    </w:rPr>
                    <w:t>43</w:t>
                  </w:r>
                </w:p>
              </w:tc>
            </w:tr>
          </w:tbl>
          <w:p w:rsidR="00BA330C" w:rsidRPr="00E42063" w:rsidRDefault="00BA330C" w:rsidP="00A42699">
            <w:pPr>
              <w:rPr>
                <w:rFonts w:ascii="Times New Roman" w:hAnsi="Times New Roman" w:cs="Times New Roman"/>
                <w:b/>
                <w:sz w:val="16"/>
                <w:szCs w:val="16"/>
                <w:u w:val="single"/>
                <w:lang w:val="en-GB"/>
              </w:rPr>
            </w:pPr>
          </w:p>
        </w:tc>
      </w:tr>
    </w:tbl>
    <w:p w:rsidR="00A42699" w:rsidRPr="00277328" w:rsidRDefault="00A42699" w:rsidP="00950BD7">
      <w:pPr>
        <w:pStyle w:val="Heading1"/>
        <w:rPr>
          <w:lang w:val="en-GB"/>
        </w:rPr>
      </w:pPr>
      <w:bookmarkStart w:id="34" w:name="_Toc367791025"/>
      <w:r w:rsidRPr="00277328">
        <w:rPr>
          <w:lang w:val="en-GB"/>
        </w:rPr>
        <w:lastRenderedPageBreak/>
        <w:t>DISCUSSION</w:t>
      </w:r>
      <w:bookmarkEnd w:id="34"/>
    </w:p>
    <w:p w:rsidR="00A42699" w:rsidRPr="00277328" w:rsidRDefault="00A42699" w:rsidP="00950BD7">
      <w:pPr>
        <w:pStyle w:val="Heading2"/>
        <w:rPr>
          <w:lang w:val="en-GB"/>
        </w:rPr>
      </w:pPr>
      <w:bookmarkStart w:id="35" w:name="_Toc367791026"/>
      <w:r w:rsidRPr="00277328">
        <w:rPr>
          <w:lang w:val="en-GB"/>
        </w:rPr>
        <w:t>Findings</w:t>
      </w:r>
      <w:bookmarkEnd w:id="35"/>
    </w:p>
    <w:p w:rsidR="00A42699" w:rsidRPr="00277328" w:rsidRDefault="00A42699" w:rsidP="00A42699">
      <w:pPr>
        <w:rPr>
          <w:szCs w:val="24"/>
          <w:lang w:val="en-GB"/>
        </w:rPr>
      </w:pPr>
      <w:r w:rsidRPr="00277328">
        <w:rPr>
          <w:szCs w:val="24"/>
          <w:lang w:val="en-GB"/>
        </w:rPr>
        <w:t>This study highlighted the feasibility of Discrete Choice Experiments (DCEs) to formulate rational priority setting frameworks by accounting for efficiency, equity and othe</w:t>
      </w:r>
      <w:r w:rsidR="009C7662">
        <w:rPr>
          <w:szCs w:val="24"/>
          <w:lang w:val="en-GB"/>
        </w:rPr>
        <w:t>r societal concerns in prioritis</w:t>
      </w:r>
      <w:r w:rsidRPr="00277328">
        <w:rPr>
          <w:szCs w:val="24"/>
          <w:lang w:val="en-GB"/>
        </w:rPr>
        <w:t>ation processes. The results of the experiments present some notable remarks. Spanish policy makers and other stakeholders displayed their preferences towards equity and efficiency criteria. Overall, severity of disease, total number of beneficiaries and cost-effectiveness are considered as important criteria in the prioriti</w:t>
      </w:r>
      <w:r w:rsidR="009C7662">
        <w:rPr>
          <w:szCs w:val="24"/>
          <w:lang w:val="en-GB"/>
        </w:rPr>
        <w:t>s</w:t>
      </w:r>
      <w:r w:rsidRPr="00277328">
        <w:rPr>
          <w:szCs w:val="24"/>
          <w:lang w:val="en-GB"/>
        </w:rPr>
        <w:t xml:space="preserve">ation of health interventions. These findings are in line with </w:t>
      </w:r>
      <w:r w:rsidRPr="00277328">
        <w:rPr>
          <w:i/>
          <w:szCs w:val="24"/>
          <w:lang w:val="en-GB"/>
        </w:rPr>
        <w:t>a priori</w:t>
      </w:r>
      <w:r w:rsidRPr="00277328">
        <w:rPr>
          <w:szCs w:val="24"/>
          <w:lang w:val="en-GB"/>
        </w:rPr>
        <w:t xml:space="preserve"> expectations concerning the structure of the Spanish health system. That is, in the context of a high-income country with universal health coverage, criteria</w:t>
      </w:r>
      <w:r w:rsidR="00F16517">
        <w:rPr>
          <w:szCs w:val="24"/>
          <w:lang w:val="en-GB"/>
        </w:rPr>
        <w:t xml:space="preserve"> such as willingness to subsidis</w:t>
      </w:r>
      <w:r w:rsidRPr="00277328">
        <w:rPr>
          <w:szCs w:val="24"/>
          <w:lang w:val="en-GB"/>
        </w:rPr>
        <w:t xml:space="preserve">e do not play an important role in decision making </w:t>
      </w:r>
      <w:sdt>
        <w:sdtPr>
          <w:rPr>
            <w:szCs w:val="24"/>
            <w:lang w:val="en-GB"/>
          </w:rPr>
          <w:id w:val="40658349"/>
          <w:citation/>
        </w:sdtPr>
        <w:sdtContent>
          <w:r w:rsidR="00E93150" w:rsidRPr="00277328">
            <w:rPr>
              <w:szCs w:val="24"/>
              <w:lang w:val="en-GB"/>
            </w:rPr>
            <w:fldChar w:fldCharType="begin"/>
          </w:r>
          <w:r w:rsidR="00B16D16" w:rsidRPr="00277328">
            <w:rPr>
              <w:szCs w:val="24"/>
              <w:lang w:val="en-GB"/>
            </w:rPr>
            <w:instrText xml:space="preserve"> CITATION Def12 \l 1033 </w:instrText>
          </w:r>
          <w:r w:rsidR="00E93150" w:rsidRPr="00277328">
            <w:rPr>
              <w:szCs w:val="24"/>
              <w:lang w:val="en-GB"/>
            </w:rPr>
            <w:fldChar w:fldCharType="separate"/>
          </w:r>
          <w:r w:rsidR="008930F2" w:rsidRPr="00277328">
            <w:rPr>
              <w:szCs w:val="24"/>
              <w:lang w:val="en-GB"/>
            </w:rPr>
            <w:t>(Defechereux, et al. 2012)</w:t>
          </w:r>
          <w:r w:rsidR="00E93150" w:rsidRPr="00277328">
            <w:rPr>
              <w:szCs w:val="24"/>
              <w:lang w:val="en-GB"/>
            </w:rPr>
            <w:fldChar w:fldCharType="end"/>
          </w:r>
        </w:sdtContent>
      </w:sdt>
      <w:r w:rsidRPr="00277328">
        <w:rPr>
          <w:szCs w:val="24"/>
          <w:lang w:val="en-GB"/>
        </w:rPr>
        <w:t xml:space="preserve">. </w:t>
      </w:r>
    </w:p>
    <w:p w:rsidR="00A42699" w:rsidRPr="00277328" w:rsidRDefault="00A42699" w:rsidP="00A42699">
      <w:pPr>
        <w:rPr>
          <w:szCs w:val="24"/>
          <w:lang w:val="en-GB"/>
        </w:rPr>
      </w:pPr>
      <w:r w:rsidRPr="00277328">
        <w:rPr>
          <w:szCs w:val="24"/>
          <w:lang w:val="en-GB"/>
        </w:rPr>
        <w:lastRenderedPageBreak/>
        <w:t>Furthermore, efficiency attributes such as cost-effectiveness and individual benefits are associated with a higher probability of being chosen than any equity criterion, with the exception of severity of disease. The equity/efficiency ratios calculated indicate an overall preference of efficiency over equity criteria for the Spanish policy makers, except for interventions targeting the elderly. This is consistent with already existing patterns of decision making, which are based on the economic criterion of efficiency and target cost-containment policies. Even more, these preferences depict the current economic situation in Spain. That is, due to the financial crisis policy makers tend to prefer initiatives that are efficient in the short-term but not equitable or effective in the long-term.</w:t>
      </w:r>
    </w:p>
    <w:p w:rsidR="00A42699" w:rsidRPr="00277328" w:rsidRDefault="00A42699" w:rsidP="00A42699">
      <w:pPr>
        <w:rPr>
          <w:szCs w:val="24"/>
          <w:lang w:val="en-GB"/>
        </w:rPr>
      </w:pPr>
      <w:r w:rsidRPr="00277328">
        <w:rPr>
          <w:szCs w:val="24"/>
          <w:lang w:val="en-GB"/>
        </w:rPr>
        <w:t xml:space="preserve">However, these results should be interpreted with caution. The overall preference of efficiency over equity criteria does not necessarily imply that equity aspects are not taken into account. The National Plan on Research and Development (Plan Nacional 2008-2011) and the Quality Plan for the Spanish NHS (Quality Plan Report 2006-2010) identified the burden of disease as an extremely important determinant in health care priority setting. These strategies are in line with </w:t>
      </w:r>
      <w:r w:rsidRPr="00277328">
        <w:rPr>
          <w:szCs w:val="23"/>
          <w:lang w:val="en-GB"/>
        </w:rPr>
        <w:t xml:space="preserve">the </w:t>
      </w:r>
      <w:r w:rsidRPr="00277328">
        <w:rPr>
          <w:szCs w:val="24"/>
          <w:lang w:val="en-GB"/>
        </w:rPr>
        <w:t xml:space="preserve">WHO “2008-2013 Action Plan on the Global Strategy for Prevention and Control of Non-communicable Diseases”, which highlights the need for prevention and early treatment of mental illness and other NCDs (WHO, </w:t>
      </w:r>
      <w:r w:rsidR="00B16D16" w:rsidRPr="00277328">
        <w:rPr>
          <w:szCs w:val="24"/>
          <w:lang w:val="en-GB"/>
        </w:rPr>
        <w:t>Action Plan 2008</w:t>
      </w:r>
      <w:r w:rsidRPr="00277328">
        <w:rPr>
          <w:szCs w:val="24"/>
          <w:lang w:val="en-GB"/>
        </w:rPr>
        <w:t xml:space="preserve">). Moreover, policy reforms in Spain (including reforms in mental policy) highlighted the need for improvements in the coordination of health services within the country in order to reduce health access discrepancies among the regions. </w:t>
      </w:r>
    </w:p>
    <w:p w:rsidR="00A42699" w:rsidRPr="00277328" w:rsidRDefault="00A42699" w:rsidP="00A42699">
      <w:pPr>
        <w:rPr>
          <w:szCs w:val="24"/>
          <w:lang w:val="en-GB"/>
        </w:rPr>
      </w:pPr>
      <w:r w:rsidRPr="00277328">
        <w:rPr>
          <w:szCs w:val="24"/>
          <w:lang w:val="en-GB"/>
        </w:rPr>
        <w:t>Finally, the most recent health reform focused not only on promoting efficient resource allocation but also on guaranteeing equal access to health services (</w:t>
      </w:r>
      <w:r w:rsidR="00B16D16" w:rsidRPr="00277328">
        <w:rPr>
          <w:szCs w:val="24"/>
          <w:lang w:val="en-GB"/>
        </w:rPr>
        <w:t>ISSA</w:t>
      </w:r>
      <w:r w:rsidRPr="00277328">
        <w:rPr>
          <w:szCs w:val="24"/>
          <w:lang w:val="en-GB"/>
        </w:rPr>
        <w:t xml:space="preserve"> 2013). Therefore, the outperformance of efficiency criteria does not indicate that equity aspects are neglected per se. It could also be attributed to the diversity in respondents’ characteristics, mostly regarding the </w:t>
      </w:r>
      <w:r w:rsidR="00B45ED0" w:rsidRPr="00277328">
        <w:rPr>
          <w:szCs w:val="24"/>
          <w:lang w:val="en-GB"/>
        </w:rPr>
        <w:t>region and the job type. In fact, the</w:t>
      </w:r>
      <w:r w:rsidRPr="00277328">
        <w:rPr>
          <w:szCs w:val="24"/>
          <w:lang w:val="en-GB"/>
        </w:rPr>
        <w:t xml:space="preserve"> highest percentage of partic</w:t>
      </w:r>
      <w:r w:rsidR="00B45ED0" w:rsidRPr="00277328">
        <w:rPr>
          <w:szCs w:val="24"/>
          <w:lang w:val="en-GB"/>
        </w:rPr>
        <w:t xml:space="preserve">ipants is represented by </w:t>
      </w:r>
      <w:r w:rsidRPr="00277328">
        <w:rPr>
          <w:szCs w:val="24"/>
          <w:lang w:val="en-GB"/>
        </w:rPr>
        <w:t>health managers</w:t>
      </w:r>
      <w:r w:rsidR="00B45ED0" w:rsidRPr="00277328">
        <w:rPr>
          <w:szCs w:val="24"/>
          <w:lang w:val="en-GB"/>
        </w:rPr>
        <w:t xml:space="preserve"> and executives in the drug industry</w:t>
      </w:r>
      <w:r w:rsidRPr="00277328">
        <w:rPr>
          <w:szCs w:val="24"/>
          <w:lang w:val="en-GB"/>
        </w:rPr>
        <w:t xml:space="preserve">. Given the relatively high pharmaceutical expenditures in Spain and the consequences of the economic crisis, the need for efficient health care financing becomes apparent. Further, differences in the relative weights of equity/efficiency criteria among the regions imply that preferences depend on the performance of each regional health plan in Spain </w:t>
      </w:r>
      <w:sdt>
        <w:sdtPr>
          <w:rPr>
            <w:szCs w:val="24"/>
            <w:lang w:val="en-GB"/>
          </w:rPr>
          <w:id w:val="40658350"/>
          <w:citation/>
        </w:sdtPr>
        <w:sdtContent>
          <w:r w:rsidR="00E93150" w:rsidRPr="00277328">
            <w:rPr>
              <w:szCs w:val="24"/>
              <w:lang w:val="en-GB"/>
            </w:rPr>
            <w:fldChar w:fldCharType="begin"/>
          </w:r>
          <w:r w:rsidR="00B16D16" w:rsidRPr="00277328">
            <w:rPr>
              <w:szCs w:val="24"/>
              <w:lang w:val="en-GB"/>
            </w:rPr>
            <w:instrText xml:space="preserve"> CITATION Cos11 \l 1033 </w:instrText>
          </w:r>
          <w:r w:rsidR="00E93150" w:rsidRPr="00277328">
            <w:rPr>
              <w:szCs w:val="24"/>
              <w:lang w:val="en-GB"/>
            </w:rPr>
            <w:fldChar w:fldCharType="separate"/>
          </w:r>
          <w:r w:rsidR="008930F2" w:rsidRPr="00277328">
            <w:rPr>
              <w:szCs w:val="24"/>
              <w:lang w:val="en-GB"/>
            </w:rPr>
            <w:t>(Costa-Font, et al. 2011)</w:t>
          </w:r>
          <w:r w:rsidR="00E93150" w:rsidRPr="00277328">
            <w:rPr>
              <w:szCs w:val="24"/>
              <w:lang w:val="en-GB"/>
            </w:rPr>
            <w:fldChar w:fldCharType="end"/>
          </w:r>
        </w:sdtContent>
      </w:sdt>
      <w:r w:rsidR="00B16D16" w:rsidRPr="00277328">
        <w:rPr>
          <w:szCs w:val="24"/>
          <w:lang w:val="en-GB"/>
        </w:rPr>
        <w:t>.</w:t>
      </w:r>
    </w:p>
    <w:p w:rsidR="00A42699" w:rsidRPr="00277328" w:rsidRDefault="00A42699" w:rsidP="00A42699">
      <w:pPr>
        <w:rPr>
          <w:szCs w:val="24"/>
          <w:lang w:val="en-GB"/>
        </w:rPr>
      </w:pPr>
      <w:r w:rsidRPr="00277328">
        <w:rPr>
          <w:szCs w:val="24"/>
          <w:lang w:val="en-GB"/>
        </w:rPr>
        <w:t xml:space="preserve">The CLTs results confirm earlier findings stating that mental disorders have scaled up in the Spanish policy agenda and are currently top ranked. In fact, the highest rankings contain interventions targeting severe mental disorders, i.e. major depressive disorders and suicides (or suicidal attempts). Such clinical conditions are highly correlated with 70% to 90% of those individuals that commit suicide, suffering mostly from affective disorders </w:t>
      </w:r>
      <w:sdt>
        <w:sdtPr>
          <w:rPr>
            <w:szCs w:val="24"/>
            <w:lang w:val="en-GB"/>
          </w:rPr>
          <w:id w:val="40658351"/>
          <w:citation/>
        </w:sdtPr>
        <w:sdtContent>
          <w:r w:rsidR="00E93150" w:rsidRPr="00277328">
            <w:rPr>
              <w:szCs w:val="24"/>
              <w:lang w:val="en-GB"/>
            </w:rPr>
            <w:fldChar w:fldCharType="begin"/>
          </w:r>
          <w:r w:rsidR="00B16D16" w:rsidRPr="00277328">
            <w:rPr>
              <w:szCs w:val="24"/>
              <w:lang w:val="en-GB"/>
            </w:rPr>
            <w:instrText xml:space="preserve"> CITATION Har97 \l 1033 </w:instrText>
          </w:r>
          <w:r w:rsidR="00E93150" w:rsidRPr="00277328">
            <w:rPr>
              <w:szCs w:val="24"/>
              <w:lang w:val="en-GB"/>
            </w:rPr>
            <w:fldChar w:fldCharType="separate"/>
          </w:r>
          <w:r w:rsidR="008930F2" w:rsidRPr="00277328">
            <w:rPr>
              <w:szCs w:val="24"/>
              <w:lang w:val="en-GB"/>
            </w:rPr>
            <w:t>(Harris and Barraclough 1997)</w:t>
          </w:r>
          <w:r w:rsidR="00E93150" w:rsidRPr="00277328">
            <w:rPr>
              <w:szCs w:val="24"/>
              <w:lang w:val="en-GB"/>
            </w:rPr>
            <w:fldChar w:fldCharType="end"/>
          </w:r>
        </w:sdtContent>
      </w:sdt>
      <w:sdt>
        <w:sdtPr>
          <w:rPr>
            <w:szCs w:val="24"/>
            <w:lang w:val="en-GB"/>
          </w:rPr>
          <w:id w:val="40658352"/>
          <w:citation/>
        </w:sdtPr>
        <w:sdtContent>
          <w:r w:rsidR="00E93150" w:rsidRPr="00277328">
            <w:rPr>
              <w:szCs w:val="24"/>
              <w:lang w:val="en-GB"/>
            </w:rPr>
            <w:fldChar w:fldCharType="begin"/>
          </w:r>
          <w:r w:rsidR="00102600" w:rsidRPr="00277328">
            <w:rPr>
              <w:szCs w:val="24"/>
              <w:lang w:val="en-GB"/>
            </w:rPr>
            <w:instrText xml:space="preserve"> CITATION Haw09 \l 1033 </w:instrText>
          </w:r>
          <w:r w:rsidR="00E93150" w:rsidRPr="00277328">
            <w:rPr>
              <w:szCs w:val="24"/>
              <w:lang w:val="en-GB"/>
            </w:rPr>
            <w:fldChar w:fldCharType="separate"/>
          </w:r>
          <w:r w:rsidR="008930F2" w:rsidRPr="00277328">
            <w:rPr>
              <w:szCs w:val="24"/>
              <w:lang w:val="en-GB"/>
            </w:rPr>
            <w:t xml:space="preserve"> (Hawton and van Heeringen 2009)</w:t>
          </w:r>
          <w:r w:rsidR="00E93150" w:rsidRPr="00277328">
            <w:rPr>
              <w:szCs w:val="24"/>
              <w:lang w:val="en-GB"/>
            </w:rPr>
            <w:fldChar w:fldCharType="end"/>
          </w:r>
        </w:sdtContent>
      </w:sdt>
      <w:r w:rsidRPr="00277328">
        <w:rPr>
          <w:szCs w:val="24"/>
          <w:lang w:val="en-GB"/>
        </w:rPr>
        <w:t xml:space="preserve">. Furthermore, these findings are consistent with the growing consensus in Spain that economic crisis led to significant increases in mental disorders and suicides rates among the population aged under 65 </w:t>
      </w:r>
      <w:sdt>
        <w:sdtPr>
          <w:rPr>
            <w:szCs w:val="24"/>
            <w:lang w:val="en-GB"/>
          </w:rPr>
          <w:id w:val="40658353"/>
          <w:citation/>
        </w:sdtPr>
        <w:sdtContent>
          <w:r w:rsidR="00E93150" w:rsidRPr="00277328">
            <w:rPr>
              <w:szCs w:val="24"/>
              <w:lang w:val="en-GB"/>
            </w:rPr>
            <w:fldChar w:fldCharType="begin"/>
          </w:r>
          <w:r w:rsidR="00102600" w:rsidRPr="00277328">
            <w:rPr>
              <w:szCs w:val="24"/>
              <w:lang w:val="en-GB"/>
            </w:rPr>
            <w:instrText xml:space="preserve"> CITATION Gil12 \l 1033 </w:instrText>
          </w:r>
          <w:r w:rsidR="00E93150" w:rsidRPr="00277328">
            <w:rPr>
              <w:szCs w:val="24"/>
              <w:lang w:val="en-GB"/>
            </w:rPr>
            <w:fldChar w:fldCharType="separate"/>
          </w:r>
          <w:r w:rsidR="008930F2" w:rsidRPr="00277328">
            <w:rPr>
              <w:szCs w:val="24"/>
              <w:lang w:val="en-GB"/>
            </w:rPr>
            <w:t>(Gili, et al. 2012)</w:t>
          </w:r>
          <w:r w:rsidR="00E93150" w:rsidRPr="00277328">
            <w:rPr>
              <w:szCs w:val="24"/>
              <w:lang w:val="en-GB"/>
            </w:rPr>
            <w:fldChar w:fldCharType="end"/>
          </w:r>
        </w:sdtContent>
      </w:sdt>
      <w:r w:rsidRPr="00277328">
        <w:rPr>
          <w:szCs w:val="24"/>
          <w:lang w:val="en-GB"/>
        </w:rPr>
        <w:t xml:space="preserve">. Other non-communicable diseases (e.g. neoplasia, CVDs) are following, that have already been established as important contributors to the total burden of disease. </w:t>
      </w:r>
    </w:p>
    <w:p w:rsidR="00A42699" w:rsidRPr="00277328" w:rsidRDefault="00A42699" w:rsidP="00A42699">
      <w:pPr>
        <w:rPr>
          <w:szCs w:val="24"/>
          <w:lang w:val="en-GB"/>
        </w:rPr>
      </w:pPr>
      <w:r w:rsidRPr="00277328">
        <w:rPr>
          <w:szCs w:val="24"/>
          <w:lang w:val="en-GB"/>
        </w:rPr>
        <w:t>Moreover, these rankings confirm evidence-based outpatient treatment guidelines for major d</w:t>
      </w:r>
      <w:r w:rsidR="009C7662">
        <w:rPr>
          <w:szCs w:val="24"/>
          <w:lang w:val="en-GB"/>
        </w:rPr>
        <w:t>epressive disorders in prioritis</w:t>
      </w:r>
      <w:r w:rsidRPr="00277328">
        <w:rPr>
          <w:szCs w:val="24"/>
          <w:lang w:val="en-GB"/>
        </w:rPr>
        <w:t>ing antidepressants, psychotherapy or a combin</w:t>
      </w:r>
      <w:r w:rsidR="00102600" w:rsidRPr="00277328">
        <w:rPr>
          <w:szCs w:val="24"/>
          <w:lang w:val="en-GB"/>
        </w:rPr>
        <w:t xml:space="preserve">ation of </w:t>
      </w:r>
      <w:r w:rsidR="00102600" w:rsidRPr="00277328">
        <w:rPr>
          <w:szCs w:val="24"/>
          <w:lang w:val="en-GB"/>
        </w:rPr>
        <w:lastRenderedPageBreak/>
        <w:t xml:space="preserve">those </w:t>
      </w:r>
      <w:sdt>
        <w:sdtPr>
          <w:rPr>
            <w:szCs w:val="24"/>
            <w:lang w:val="en-GB"/>
          </w:rPr>
          <w:id w:val="40658354"/>
          <w:citation/>
        </w:sdtPr>
        <w:sdtContent>
          <w:r w:rsidR="00E93150" w:rsidRPr="00277328">
            <w:rPr>
              <w:szCs w:val="24"/>
              <w:lang w:val="en-GB"/>
            </w:rPr>
            <w:fldChar w:fldCharType="begin"/>
          </w:r>
          <w:r w:rsidR="00102600" w:rsidRPr="00277328">
            <w:rPr>
              <w:szCs w:val="24"/>
              <w:lang w:val="en-GB"/>
            </w:rPr>
            <w:instrText xml:space="preserve"> CITATION Dav10 \l 1033 </w:instrText>
          </w:r>
          <w:r w:rsidR="00E93150" w:rsidRPr="00277328">
            <w:rPr>
              <w:szCs w:val="24"/>
              <w:lang w:val="en-GB"/>
            </w:rPr>
            <w:fldChar w:fldCharType="separate"/>
          </w:r>
          <w:r w:rsidR="008930F2" w:rsidRPr="00277328">
            <w:rPr>
              <w:szCs w:val="24"/>
              <w:lang w:val="en-GB"/>
            </w:rPr>
            <w:t>(Davidson 2010)</w:t>
          </w:r>
          <w:r w:rsidR="00E93150" w:rsidRPr="00277328">
            <w:rPr>
              <w:szCs w:val="24"/>
              <w:lang w:val="en-GB"/>
            </w:rPr>
            <w:fldChar w:fldCharType="end"/>
          </w:r>
        </w:sdtContent>
      </w:sdt>
      <w:r w:rsidRPr="00277328">
        <w:rPr>
          <w:szCs w:val="24"/>
          <w:lang w:val="en-GB"/>
        </w:rPr>
        <w:t>. For instance, in Spain 90% of the price for antidepre</w:t>
      </w:r>
      <w:r w:rsidR="00102600" w:rsidRPr="00277328">
        <w:rPr>
          <w:szCs w:val="24"/>
          <w:lang w:val="en-GB"/>
        </w:rPr>
        <w:t xml:space="preserve">ssant drugs is publicly funded </w:t>
      </w:r>
      <w:sdt>
        <w:sdtPr>
          <w:rPr>
            <w:szCs w:val="24"/>
            <w:lang w:val="en-GB"/>
          </w:rPr>
          <w:id w:val="40658355"/>
          <w:citation/>
        </w:sdtPr>
        <w:sdtContent>
          <w:r w:rsidR="00E93150" w:rsidRPr="00277328">
            <w:rPr>
              <w:szCs w:val="24"/>
              <w:lang w:val="en-GB"/>
            </w:rPr>
            <w:fldChar w:fldCharType="begin"/>
          </w:r>
          <w:r w:rsidR="00102600" w:rsidRPr="00277328">
            <w:rPr>
              <w:szCs w:val="24"/>
              <w:lang w:val="en-GB"/>
            </w:rPr>
            <w:instrText xml:space="preserve"> CITATION Cru12 \l 1033 </w:instrText>
          </w:r>
          <w:r w:rsidR="00E93150" w:rsidRPr="00277328">
            <w:rPr>
              <w:szCs w:val="24"/>
              <w:lang w:val="en-GB"/>
            </w:rPr>
            <w:fldChar w:fldCharType="separate"/>
          </w:r>
          <w:r w:rsidR="008930F2" w:rsidRPr="00277328">
            <w:rPr>
              <w:szCs w:val="24"/>
              <w:lang w:val="en-GB"/>
            </w:rPr>
            <w:t>(Cruz, et al. 2012)</w:t>
          </w:r>
          <w:r w:rsidR="00E93150" w:rsidRPr="00277328">
            <w:rPr>
              <w:szCs w:val="24"/>
              <w:lang w:val="en-GB"/>
            </w:rPr>
            <w:fldChar w:fldCharType="end"/>
          </w:r>
        </w:sdtContent>
      </w:sdt>
      <w:r w:rsidRPr="00277328">
        <w:rPr>
          <w:szCs w:val="24"/>
          <w:lang w:val="en-GB"/>
        </w:rPr>
        <w:t>. However, these results concern mostly interventions targeting young age populations. CLTs rankings for middle age groups indicate that interventions targeting cognitive disorders (e.g. dem</w:t>
      </w:r>
      <w:r w:rsidR="009C7662">
        <w:rPr>
          <w:szCs w:val="24"/>
          <w:lang w:val="en-GB"/>
        </w:rPr>
        <w:t>entia) are most highly prioritis</w:t>
      </w:r>
      <w:r w:rsidRPr="00277328">
        <w:rPr>
          <w:szCs w:val="24"/>
          <w:lang w:val="en-GB"/>
        </w:rPr>
        <w:t>ed, while depressive disorders and suicides show relatively low rankings. Within the elderly population, interventions addressing dementia and Alzheimer’s di</w:t>
      </w:r>
      <w:r w:rsidR="009C7662">
        <w:rPr>
          <w:szCs w:val="24"/>
          <w:lang w:val="en-GB"/>
        </w:rPr>
        <w:t>sease, although highly prioritis</w:t>
      </w:r>
      <w:r w:rsidRPr="00277328">
        <w:rPr>
          <w:szCs w:val="24"/>
          <w:lang w:val="en-GB"/>
        </w:rPr>
        <w:t>ed at the level of in-home care, are found close to t</w:t>
      </w:r>
      <w:r w:rsidR="00F16517">
        <w:rPr>
          <w:szCs w:val="24"/>
          <w:lang w:val="en-GB"/>
        </w:rPr>
        <w:t>he bottom of CLTs when specialis</w:t>
      </w:r>
      <w:r w:rsidRPr="00277328">
        <w:rPr>
          <w:szCs w:val="24"/>
          <w:lang w:val="en-GB"/>
        </w:rPr>
        <w:t xml:space="preserve">ed hospital care is considered. </w:t>
      </w:r>
    </w:p>
    <w:p w:rsidR="00A42699" w:rsidRPr="00277328" w:rsidRDefault="00A42699" w:rsidP="00A42699">
      <w:pPr>
        <w:rPr>
          <w:szCs w:val="24"/>
          <w:lang w:val="en-GB"/>
        </w:rPr>
      </w:pPr>
      <w:r w:rsidRPr="00277328">
        <w:rPr>
          <w:szCs w:val="24"/>
          <w:lang w:val="en-GB"/>
        </w:rPr>
        <w:t xml:space="preserve">Finally, interventions that fail to satisfy most efficiency criteria are found in the bottom of all CLTs. That is, preventive interventions targeting substance-related disorders, such as harmful alcohol use, are not considered important within any age category. These findings reflect the low priority that policy makers give to interventions that are not classified as severe within World Mental Health (WMH) surveys </w:t>
      </w:r>
      <w:sdt>
        <w:sdtPr>
          <w:rPr>
            <w:szCs w:val="24"/>
            <w:lang w:val="en-GB"/>
          </w:rPr>
          <w:id w:val="40658356"/>
          <w:citation/>
        </w:sdtPr>
        <w:sdtContent>
          <w:r w:rsidR="00E93150" w:rsidRPr="00277328">
            <w:rPr>
              <w:szCs w:val="24"/>
              <w:lang w:val="en-GB"/>
            </w:rPr>
            <w:fldChar w:fldCharType="begin"/>
          </w:r>
          <w:r w:rsidR="00721E09" w:rsidRPr="00277328">
            <w:rPr>
              <w:szCs w:val="24"/>
              <w:lang w:val="en-GB"/>
            </w:rPr>
            <w:instrText xml:space="preserve"> CITATION Wan07 \l 1033 </w:instrText>
          </w:r>
          <w:r w:rsidR="00E93150" w:rsidRPr="00277328">
            <w:rPr>
              <w:szCs w:val="24"/>
              <w:lang w:val="en-GB"/>
            </w:rPr>
            <w:fldChar w:fldCharType="separate"/>
          </w:r>
          <w:r w:rsidR="008930F2" w:rsidRPr="00277328">
            <w:rPr>
              <w:szCs w:val="24"/>
              <w:lang w:val="en-GB"/>
            </w:rPr>
            <w:t>(Wang, et al. 2007)</w:t>
          </w:r>
          <w:r w:rsidR="00E93150" w:rsidRPr="00277328">
            <w:rPr>
              <w:szCs w:val="24"/>
              <w:lang w:val="en-GB"/>
            </w:rPr>
            <w:fldChar w:fldCharType="end"/>
          </w:r>
        </w:sdtContent>
      </w:sdt>
      <w:r w:rsidRPr="00277328">
        <w:rPr>
          <w:szCs w:val="24"/>
          <w:lang w:val="en-GB"/>
        </w:rPr>
        <w:t xml:space="preserve">. Even more, they raise concerns considering the increasing prevalence of such clinical conditions within the Spanish population and the efficiency of mental health policies. </w:t>
      </w:r>
    </w:p>
    <w:p w:rsidR="001C03E8" w:rsidRPr="00277328" w:rsidRDefault="001C03E8" w:rsidP="00A42699">
      <w:pPr>
        <w:rPr>
          <w:szCs w:val="24"/>
          <w:lang w:val="en-GB"/>
        </w:rPr>
      </w:pPr>
    </w:p>
    <w:p w:rsidR="00A42699" w:rsidRPr="00277328" w:rsidRDefault="00C21B4F" w:rsidP="00950BD7">
      <w:pPr>
        <w:pStyle w:val="Heading3"/>
        <w:rPr>
          <w:lang w:val="en-GB"/>
        </w:rPr>
      </w:pPr>
      <w:bookmarkStart w:id="36" w:name="_Toc367791027"/>
      <w:r w:rsidRPr="00277328">
        <w:rPr>
          <w:lang w:val="en-GB"/>
        </w:rPr>
        <w:t>Comparisons with other countries</w:t>
      </w:r>
      <w:bookmarkEnd w:id="36"/>
    </w:p>
    <w:p w:rsidR="00C21B4F" w:rsidRPr="00277328" w:rsidRDefault="00C21B4F" w:rsidP="00C21B4F">
      <w:pPr>
        <w:rPr>
          <w:lang w:val="en-GB"/>
        </w:rPr>
      </w:pPr>
      <w:r w:rsidRPr="00277328">
        <w:rPr>
          <w:lang w:val="en-GB"/>
        </w:rPr>
        <w:t xml:space="preserve">As discussed earlier, the set of criteria involved in this thesis was borrowed by past studies that employed similar analyses. A comparison of the CLTs constructed for Spain with those of other high-income countries, such as Norway and Austria, reveals some notable differences </w:t>
      </w:r>
      <w:sdt>
        <w:sdtPr>
          <w:rPr>
            <w:lang w:val="en-GB"/>
          </w:rPr>
          <w:id w:val="40658357"/>
          <w:citation/>
        </w:sdtPr>
        <w:sdtContent>
          <w:r w:rsidR="00E93150" w:rsidRPr="00277328">
            <w:rPr>
              <w:lang w:val="en-GB"/>
            </w:rPr>
            <w:fldChar w:fldCharType="begin"/>
          </w:r>
          <w:r w:rsidR="00FB0F77" w:rsidRPr="00277328">
            <w:rPr>
              <w:lang w:val="en-GB"/>
            </w:rPr>
            <w:instrText xml:space="preserve"> CITATION Def12 \l 1033 </w:instrText>
          </w:r>
          <w:r w:rsidR="00E93150" w:rsidRPr="00277328">
            <w:rPr>
              <w:lang w:val="en-GB"/>
            </w:rPr>
            <w:fldChar w:fldCharType="separate"/>
          </w:r>
          <w:r w:rsidR="008930F2" w:rsidRPr="00277328">
            <w:rPr>
              <w:lang w:val="en-GB"/>
            </w:rPr>
            <w:t>(Defechereux, et al. 2012)</w:t>
          </w:r>
          <w:r w:rsidR="00E93150" w:rsidRPr="00277328">
            <w:rPr>
              <w:lang w:val="en-GB"/>
            </w:rPr>
            <w:fldChar w:fldCharType="end"/>
          </w:r>
        </w:sdtContent>
      </w:sdt>
      <w:sdt>
        <w:sdtPr>
          <w:rPr>
            <w:lang w:val="en-GB"/>
          </w:rPr>
          <w:id w:val="40658359"/>
          <w:citation/>
        </w:sdtPr>
        <w:sdtContent>
          <w:r w:rsidR="00E93150" w:rsidRPr="00277328">
            <w:rPr>
              <w:lang w:val="en-GB"/>
            </w:rPr>
            <w:fldChar w:fldCharType="begin"/>
          </w:r>
          <w:r w:rsidR="00FB0F77" w:rsidRPr="00277328">
            <w:rPr>
              <w:lang w:val="en-GB"/>
            </w:rPr>
            <w:instrText xml:space="preserve"> CITATION Men123 \l 1033 </w:instrText>
          </w:r>
          <w:r w:rsidR="00E93150" w:rsidRPr="00277328">
            <w:rPr>
              <w:lang w:val="en-GB"/>
            </w:rPr>
            <w:fldChar w:fldCharType="separate"/>
          </w:r>
          <w:r w:rsidR="008930F2" w:rsidRPr="00277328">
            <w:rPr>
              <w:lang w:val="en-GB"/>
            </w:rPr>
            <w:t xml:space="preserve"> (Mentzakis, Paolucci and Rubicko 2012)</w:t>
          </w:r>
          <w:r w:rsidR="00E93150" w:rsidRPr="00277328">
            <w:rPr>
              <w:lang w:val="en-GB"/>
            </w:rPr>
            <w:fldChar w:fldCharType="end"/>
          </w:r>
        </w:sdtContent>
      </w:sdt>
      <w:r w:rsidRPr="00277328">
        <w:rPr>
          <w:lang w:val="en-GB"/>
        </w:rPr>
        <w:t>. Non-communicable diseases, including cancer, diabetes, and cardiovascular diseases constitute the major burden of disease in all countries. This is confirmed by the CLTs results that give relatively high rankings for interventions targeting those disease areas. However, as compared to Norway, Spanish and Austrian decision makers give the highest priority to interventions targeting conditions that affect young and middle-age populations rather than the elderly. This indicates that national policy makers in Spain focus on the working population in the interest of productivity and economic</w:t>
      </w:r>
      <w:r w:rsidR="00721E09" w:rsidRPr="00277328">
        <w:rPr>
          <w:lang w:val="en-GB"/>
        </w:rPr>
        <w:t xml:space="preserve"> growth (Baltussen and Niessen 2006)</w:t>
      </w:r>
      <w:r w:rsidRPr="00277328">
        <w:rPr>
          <w:lang w:val="en-GB"/>
        </w:rPr>
        <w:t xml:space="preserve">. </w:t>
      </w:r>
    </w:p>
    <w:p w:rsidR="00C21B4F" w:rsidRPr="00277328" w:rsidRDefault="00C21B4F" w:rsidP="00C21B4F">
      <w:pPr>
        <w:rPr>
          <w:lang w:val="en-GB"/>
        </w:rPr>
      </w:pPr>
      <w:r w:rsidRPr="00277328">
        <w:rPr>
          <w:lang w:val="en-GB"/>
        </w:rPr>
        <w:t>Furthermore, the rankings of interventions targeting mental disorders exhibit opposite results in Spain and Austria, as compared to Norway. Norwegian policy makers seem to be the least attracted in mental health, although strategies have been promoted to control dise</w:t>
      </w:r>
      <w:r w:rsidR="00721E09" w:rsidRPr="00277328">
        <w:rPr>
          <w:lang w:val="en-GB"/>
        </w:rPr>
        <w:t>ase areas such dementia</w:t>
      </w:r>
      <w:r w:rsidRPr="00277328">
        <w:rPr>
          <w:lang w:val="en-GB"/>
        </w:rPr>
        <w:t xml:space="preserve">. On the other hand, Spanish (and Austrian) stakeholders give the highest priority to depressive disorders, with results from Spain showing a great focus on suicides and intentional self-harm. These results possibly reflect concerns about the current economic situation and its significant effect on the productivity of the working population. However, in all countries neuropsychiatric as well as substance-related disorders are ranked at relatively low levels, reflecting a neglect of this disease area despite its increasing burden. </w:t>
      </w:r>
    </w:p>
    <w:p w:rsidR="00C21B4F" w:rsidRPr="00277328" w:rsidRDefault="00C21B4F" w:rsidP="00C21B4F">
      <w:pPr>
        <w:rPr>
          <w:lang w:val="en-GB"/>
        </w:rPr>
      </w:pPr>
      <w:r w:rsidRPr="00277328">
        <w:rPr>
          <w:lang w:val="en-GB"/>
        </w:rPr>
        <w:t xml:space="preserve">Overall, </w:t>
      </w:r>
      <w:r w:rsidR="00776233" w:rsidRPr="00277328">
        <w:rPr>
          <w:lang w:val="en-GB"/>
        </w:rPr>
        <w:t xml:space="preserve">a trade-off between criteria takes place among decision makers of all three countries. These tradeoffs display a higher preference for efficiency over equity criteria, although the severity of disease significantly increases the probability of selection in Norway </w:t>
      </w:r>
      <w:r w:rsidR="006A0035" w:rsidRPr="00277328">
        <w:rPr>
          <w:lang w:val="en-GB"/>
        </w:rPr>
        <w:lastRenderedPageBreak/>
        <w:t>and Spain. As mentioned before, this is in line with current health policy objectives in Spain. The same stands for Norway, where the Patients Rights Act (2001) identifies the severity of the health condition as one of the most important factors in p</w:t>
      </w:r>
      <w:r w:rsidR="009C7662">
        <w:rPr>
          <w:lang w:val="en-GB"/>
        </w:rPr>
        <w:t>rioritis</w:t>
      </w:r>
      <w:r w:rsidR="00721E09" w:rsidRPr="00277328">
        <w:rPr>
          <w:lang w:val="en-GB"/>
        </w:rPr>
        <w:t>ation processes</w:t>
      </w:r>
      <w:r w:rsidR="006A0035" w:rsidRPr="00277328">
        <w:rPr>
          <w:lang w:val="en-GB"/>
        </w:rPr>
        <w:t xml:space="preserve">. However, the Spanish case exhibits some significant heterogeneity concerning the trade-offs </w:t>
      </w:r>
      <w:r w:rsidR="008E2EDE" w:rsidRPr="00277328">
        <w:rPr>
          <w:lang w:val="en-GB"/>
        </w:rPr>
        <w:t xml:space="preserve">and interventions rankings </w:t>
      </w:r>
      <w:r w:rsidR="006A0035" w:rsidRPr="00277328">
        <w:rPr>
          <w:lang w:val="en-GB"/>
        </w:rPr>
        <w:t>calculated fo</w:t>
      </w:r>
      <w:r w:rsidR="00D31A0D" w:rsidRPr="00277328">
        <w:rPr>
          <w:lang w:val="en-GB"/>
        </w:rPr>
        <w:t>r each region. T</w:t>
      </w:r>
      <w:r w:rsidR="009C7662">
        <w:rPr>
          <w:lang w:val="en-GB"/>
        </w:rPr>
        <w:t>his results in diverse prioritis</w:t>
      </w:r>
      <w:r w:rsidR="00D31A0D" w:rsidRPr="00277328">
        <w:rPr>
          <w:lang w:val="en-GB"/>
        </w:rPr>
        <w:t xml:space="preserve">ation processes within the Spanish health system. Therefore, as compared to other studies, this analysis highlights the impact of such factors </w:t>
      </w:r>
      <w:r w:rsidR="005C256E" w:rsidRPr="00277328">
        <w:rPr>
          <w:lang w:val="en-GB"/>
        </w:rPr>
        <w:t>in the formalization process of priority setting.</w:t>
      </w:r>
    </w:p>
    <w:p w:rsidR="00C21B4F" w:rsidRPr="00277328" w:rsidRDefault="00C21B4F" w:rsidP="00C21B4F">
      <w:pPr>
        <w:rPr>
          <w:b/>
          <w:sz w:val="24"/>
          <w:szCs w:val="24"/>
          <w:lang w:val="en-GB"/>
        </w:rPr>
      </w:pPr>
    </w:p>
    <w:p w:rsidR="00A42699" w:rsidRPr="00277328" w:rsidRDefault="00A42699" w:rsidP="00950BD7">
      <w:pPr>
        <w:pStyle w:val="Heading2"/>
        <w:rPr>
          <w:lang w:val="en-GB"/>
        </w:rPr>
      </w:pPr>
      <w:bookmarkStart w:id="37" w:name="_Toc367791028"/>
      <w:r w:rsidRPr="00277328">
        <w:rPr>
          <w:lang w:val="en-GB"/>
        </w:rPr>
        <w:t>Policy recommendations</w:t>
      </w:r>
      <w:bookmarkEnd w:id="37"/>
    </w:p>
    <w:p w:rsidR="00DC258D" w:rsidRPr="00277328" w:rsidRDefault="00662B13" w:rsidP="002776D9">
      <w:pPr>
        <w:autoSpaceDE w:val="0"/>
        <w:autoSpaceDN w:val="0"/>
        <w:adjustRightInd w:val="0"/>
        <w:spacing w:before="240" w:after="0"/>
        <w:rPr>
          <w:rFonts w:eastAsia="Times New Roman" w:cstheme="minorHAnsi"/>
          <w:iCs/>
          <w:color w:val="000000"/>
          <w:lang w:val="en-GB" w:eastAsia="el-GR"/>
        </w:rPr>
      </w:pPr>
      <w:r w:rsidRPr="00277328">
        <w:rPr>
          <w:rFonts w:cstheme="minorHAnsi"/>
          <w:lang w:val="en-GB"/>
        </w:rPr>
        <w:t xml:space="preserve">During the last years, several austerity measures have been implemented in Spain, based on national stability programmes for controlling the fierce economic consequences of the financial crisis. </w:t>
      </w:r>
      <w:r w:rsidR="00A76579" w:rsidRPr="00277328">
        <w:rPr>
          <w:rFonts w:cstheme="minorHAnsi"/>
          <w:lang w:val="en-GB"/>
        </w:rPr>
        <w:t>European Commission revised these programmes and made</w:t>
      </w:r>
      <w:r w:rsidR="007F558F" w:rsidRPr="00277328">
        <w:rPr>
          <w:rFonts w:cstheme="minorHAnsi"/>
          <w:lang w:val="en-GB"/>
        </w:rPr>
        <w:t xml:space="preserve"> some council recommendations on the actions that should be taken</w:t>
      </w:r>
      <w:r w:rsidR="00A76579" w:rsidRPr="00277328">
        <w:rPr>
          <w:rFonts w:cstheme="minorHAnsi"/>
          <w:lang w:val="en-GB"/>
        </w:rPr>
        <w:t>. These recommendations indicate, among others, that “Spain should take action to</w:t>
      </w:r>
      <w:r w:rsidR="00A76579" w:rsidRPr="00277328">
        <w:rPr>
          <w:rFonts w:eastAsiaTheme="minorHAnsi" w:cstheme="minorHAnsi"/>
          <w:i/>
          <w:iCs/>
          <w:lang w:val="en-GB"/>
        </w:rPr>
        <w:t xml:space="preserve"> </w:t>
      </w:r>
      <w:r w:rsidR="00A76579" w:rsidRPr="00277328">
        <w:rPr>
          <w:rFonts w:eastAsiaTheme="minorHAnsi" w:cstheme="minorHAnsi"/>
          <w:lang w:val="en-GB"/>
        </w:rPr>
        <w:t>improve the</w:t>
      </w:r>
      <w:r w:rsidR="00A76579" w:rsidRPr="00277328">
        <w:rPr>
          <w:rFonts w:eastAsiaTheme="minorHAnsi" w:cstheme="minorHAnsi"/>
          <w:i/>
          <w:iCs/>
          <w:lang w:val="en-GB"/>
        </w:rPr>
        <w:t xml:space="preserve"> </w:t>
      </w:r>
      <w:r w:rsidR="00A76579" w:rsidRPr="00277328">
        <w:rPr>
          <w:rFonts w:eastAsiaTheme="minorHAnsi" w:cstheme="minorHAnsi"/>
          <w:lang w:val="en-GB"/>
        </w:rPr>
        <w:t xml:space="preserve">efficiency and quality of public expenditure at all levels of government and </w:t>
      </w:r>
      <w:r w:rsidR="007F558F" w:rsidRPr="00277328">
        <w:rPr>
          <w:rFonts w:eastAsiaTheme="minorHAnsi" w:cstheme="minorHAnsi"/>
          <w:lang w:val="en-GB"/>
        </w:rPr>
        <w:t>[….] i</w:t>
      </w:r>
      <w:r w:rsidR="00A76579" w:rsidRPr="00277328">
        <w:rPr>
          <w:rFonts w:eastAsiaTheme="minorHAnsi" w:cstheme="minorHAnsi"/>
          <w:lang w:val="en-GB"/>
        </w:rPr>
        <w:t>ncrease the cost</w:t>
      </w:r>
      <w:r w:rsidR="007F558F" w:rsidRPr="00277328">
        <w:rPr>
          <w:rFonts w:eastAsiaTheme="minorHAnsi" w:cstheme="minorHAnsi"/>
          <w:lang w:val="en-GB"/>
        </w:rPr>
        <w:t>-</w:t>
      </w:r>
      <w:r w:rsidR="00A76579" w:rsidRPr="00277328">
        <w:rPr>
          <w:rFonts w:eastAsiaTheme="minorHAnsi" w:cstheme="minorHAnsi"/>
          <w:lang w:val="en-GB"/>
        </w:rPr>
        <w:t>effectiveness</w:t>
      </w:r>
      <w:r w:rsidR="007F558F" w:rsidRPr="00277328">
        <w:rPr>
          <w:rFonts w:eastAsiaTheme="minorHAnsi" w:cstheme="minorHAnsi"/>
          <w:i/>
          <w:iCs/>
          <w:lang w:val="en-GB"/>
        </w:rPr>
        <w:t xml:space="preserve"> </w:t>
      </w:r>
      <w:r w:rsidR="007F558F" w:rsidRPr="00277328">
        <w:rPr>
          <w:rFonts w:eastAsiaTheme="minorHAnsi" w:cstheme="minorHAnsi"/>
          <w:lang w:val="en-GB"/>
        </w:rPr>
        <w:t xml:space="preserve">of </w:t>
      </w:r>
      <w:r w:rsidR="00A76579" w:rsidRPr="00277328">
        <w:rPr>
          <w:rFonts w:eastAsiaTheme="minorHAnsi" w:cstheme="minorHAnsi"/>
          <w:lang w:val="en-GB"/>
        </w:rPr>
        <w:t>the health-care sector, while maintaining accessibility for vulnerable</w:t>
      </w:r>
      <w:r w:rsidR="007F558F" w:rsidRPr="00277328">
        <w:rPr>
          <w:rFonts w:eastAsiaTheme="minorHAnsi" w:cstheme="minorHAnsi"/>
          <w:i/>
          <w:iCs/>
          <w:lang w:val="en-GB"/>
        </w:rPr>
        <w:t xml:space="preserve"> </w:t>
      </w:r>
      <w:r w:rsidR="00A76579" w:rsidRPr="00277328">
        <w:rPr>
          <w:rFonts w:eastAsiaTheme="minorHAnsi" w:cstheme="minorHAnsi"/>
          <w:lang w:val="en-GB"/>
        </w:rPr>
        <w:t>groups, for example by reducing hospital pharmaceutical spending, strengthening</w:t>
      </w:r>
      <w:r w:rsidR="007F558F" w:rsidRPr="00277328">
        <w:rPr>
          <w:rFonts w:eastAsiaTheme="minorHAnsi" w:cstheme="minorHAnsi"/>
          <w:i/>
          <w:iCs/>
          <w:lang w:val="en-GB"/>
        </w:rPr>
        <w:t xml:space="preserve"> </w:t>
      </w:r>
      <w:r w:rsidR="00A76579" w:rsidRPr="00277328">
        <w:rPr>
          <w:rFonts w:eastAsiaTheme="minorHAnsi" w:cstheme="minorHAnsi"/>
          <w:lang w:val="en-GB"/>
        </w:rPr>
        <w:t>coordination across types of care and improving incentives for an efficient use of</w:t>
      </w:r>
      <w:r w:rsidR="007F558F" w:rsidRPr="00277328">
        <w:rPr>
          <w:rFonts w:eastAsiaTheme="minorHAnsi" w:cstheme="minorHAnsi"/>
          <w:i/>
          <w:iCs/>
          <w:lang w:val="en-GB"/>
        </w:rPr>
        <w:t xml:space="preserve"> </w:t>
      </w:r>
      <w:r w:rsidR="00A76579" w:rsidRPr="00277328">
        <w:rPr>
          <w:rFonts w:eastAsiaTheme="minorHAnsi" w:cstheme="minorHAnsi"/>
          <w:lang w:val="en-GB"/>
        </w:rPr>
        <w:t>resources</w:t>
      </w:r>
      <w:r w:rsidR="00721E09" w:rsidRPr="00277328">
        <w:rPr>
          <w:rFonts w:eastAsiaTheme="minorHAnsi" w:cstheme="minorHAnsi"/>
          <w:lang w:val="en-GB"/>
        </w:rPr>
        <w:t xml:space="preserve">” </w:t>
      </w:r>
      <w:r w:rsidR="007F558F" w:rsidRPr="00277328">
        <w:rPr>
          <w:rFonts w:eastAsiaTheme="minorHAnsi" w:cstheme="minorHAnsi"/>
          <w:lang w:val="en-GB"/>
        </w:rPr>
        <w:t>(EE Co</w:t>
      </w:r>
      <w:r w:rsidR="00721E09" w:rsidRPr="00277328">
        <w:rPr>
          <w:rFonts w:eastAsiaTheme="minorHAnsi" w:cstheme="minorHAnsi"/>
          <w:lang w:val="en-GB"/>
        </w:rPr>
        <w:t xml:space="preserve">uncil Recommendation 2013, p. </w:t>
      </w:r>
      <w:r w:rsidR="002A5FBF" w:rsidRPr="00277328">
        <w:rPr>
          <w:rFonts w:eastAsiaTheme="minorHAnsi" w:cstheme="minorHAnsi"/>
          <w:lang w:val="en-GB"/>
        </w:rPr>
        <w:t>7</w:t>
      </w:r>
      <w:r w:rsidR="007F558F" w:rsidRPr="00277328">
        <w:rPr>
          <w:rFonts w:eastAsiaTheme="minorHAnsi" w:cstheme="minorHAnsi"/>
          <w:lang w:val="en-GB"/>
        </w:rPr>
        <w:t>)</w:t>
      </w:r>
      <w:r w:rsidR="00A76579" w:rsidRPr="00277328">
        <w:rPr>
          <w:rFonts w:eastAsiaTheme="minorHAnsi" w:cstheme="minorHAnsi"/>
          <w:lang w:val="en-GB"/>
        </w:rPr>
        <w:t>.</w:t>
      </w:r>
      <w:r w:rsidR="007F558F" w:rsidRPr="00277328">
        <w:rPr>
          <w:rFonts w:eastAsiaTheme="minorHAnsi" w:cstheme="minorHAnsi"/>
          <w:lang w:val="en-GB"/>
        </w:rPr>
        <w:t xml:space="preserve"> To this end, the recent healthcare reform </w:t>
      </w:r>
      <w:r w:rsidR="007F558F" w:rsidRPr="00277328">
        <w:rPr>
          <w:rFonts w:eastAsia="Times New Roman" w:cstheme="minorHAnsi"/>
          <w:iCs/>
          <w:color w:val="000000"/>
          <w:lang w:val="en-GB" w:eastAsia="el-GR"/>
        </w:rPr>
        <w:t xml:space="preserve">(RDL 16/2012) </w:t>
      </w:r>
      <w:r w:rsidR="00DC258D" w:rsidRPr="00277328">
        <w:rPr>
          <w:rFonts w:eastAsia="Times New Roman" w:cstheme="minorHAnsi"/>
          <w:iCs/>
          <w:color w:val="000000"/>
          <w:lang w:val="en-GB" w:eastAsia="el-GR"/>
        </w:rPr>
        <w:t xml:space="preserve">introduced a series of measures targeting the effective management of the health system. </w:t>
      </w:r>
    </w:p>
    <w:p w:rsidR="00DF4942" w:rsidRPr="00277328" w:rsidRDefault="00DC258D" w:rsidP="006C494B">
      <w:pPr>
        <w:rPr>
          <w:lang w:val="en-GB"/>
        </w:rPr>
      </w:pPr>
      <w:r w:rsidRPr="00277328">
        <w:rPr>
          <w:rFonts w:eastAsia="Times New Roman"/>
          <w:lang w:val="en-GB" w:eastAsia="el-GR"/>
        </w:rPr>
        <w:t xml:space="preserve">Key factors of this reform include the </w:t>
      </w:r>
      <w:r w:rsidR="007501C9" w:rsidRPr="00277328">
        <w:rPr>
          <w:rFonts w:eastAsia="Times New Roman"/>
          <w:lang w:val="en-GB" w:eastAsia="el-GR"/>
        </w:rPr>
        <w:t>fulfilment</w:t>
      </w:r>
      <w:r w:rsidRPr="00277328">
        <w:rPr>
          <w:rFonts w:eastAsia="Times New Roman"/>
          <w:lang w:val="en-GB" w:eastAsia="el-GR"/>
        </w:rPr>
        <w:t xml:space="preserve"> of unive</w:t>
      </w:r>
      <w:r w:rsidR="00F16517">
        <w:rPr>
          <w:rFonts w:eastAsia="Times New Roman"/>
          <w:lang w:val="en-GB" w:eastAsia="el-GR"/>
        </w:rPr>
        <w:t xml:space="preserve">rsal free coverage for all </w:t>
      </w:r>
      <w:r w:rsidR="007501C9">
        <w:rPr>
          <w:rFonts w:eastAsia="Times New Roman"/>
          <w:lang w:val="en-GB" w:eastAsia="el-GR"/>
        </w:rPr>
        <w:t>citiz</w:t>
      </w:r>
      <w:r w:rsidR="007501C9" w:rsidRPr="00277328">
        <w:rPr>
          <w:rFonts w:eastAsia="Times New Roman"/>
          <w:lang w:val="en-GB" w:eastAsia="el-GR"/>
        </w:rPr>
        <w:t>ens</w:t>
      </w:r>
      <w:r w:rsidRPr="00277328">
        <w:rPr>
          <w:rFonts w:eastAsia="Times New Roman"/>
          <w:lang w:val="en-GB" w:eastAsia="el-GR"/>
        </w:rPr>
        <w:t>; the es</w:t>
      </w:r>
      <w:r w:rsidR="005F3FE5" w:rsidRPr="00277328">
        <w:rPr>
          <w:rFonts w:eastAsia="Times New Roman"/>
          <w:lang w:val="en-GB" w:eastAsia="el-GR"/>
        </w:rPr>
        <w:t xml:space="preserve">tablishment of a fairer system </w:t>
      </w:r>
      <w:r w:rsidRPr="00277328">
        <w:rPr>
          <w:rFonts w:eastAsia="Times New Roman"/>
          <w:lang w:val="en-GB" w:eastAsia="el-GR"/>
        </w:rPr>
        <w:t xml:space="preserve">by protecting the vulnerable, such as the unemployed population; </w:t>
      </w:r>
      <w:r w:rsidR="005F3FE5" w:rsidRPr="00277328">
        <w:rPr>
          <w:rFonts w:eastAsia="Times New Roman"/>
          <w:lang w:val="en-GB" w:eastAsia="el-GR"/>
        </w:rPr>
        <w:t xml:space="preserve">the organization of an HTA Network in order to improve quality of health care; and the guarantee of the system’s sustainability, by balancing health budgets and introducing new cost-sharing schemes </w:t>
      </w:r>
      <w:sdt>
        <w:sdtPr>
          <w:rPr>
            <w:rFonts w:eastAsia="Times New Roman"/>
            <w:lang w:val="en-GB" w:eastAsia="el-GR"/>
          </w:rPr>
          <w:id w:val="40658362"/>
          <w:citation/>
        </w:sdtPr>
        <w:sdtContent>
          <w:r w:rsidR="00E93150" w:rsidRPr="00277328">
            <w:rPr>
              <w:rFonts w:eastAsia="Times New Roman"/>
              <w:lang w:val="en-GB" w:eastAsia="el-GR"/>
            </w:rPr>
            <w:fldChar w:fldCharType="begin"/>
          </w:r>
          <w:r w:rsidR="002A5FBF" w:rsidRPr="00277328">
            <w:rPr>
              <w:rFonts w:eastAsia="Times New Roman"/>
              <w:lang w:val="en-GB" w:eastAsia="el-GR"/>
            </w:rPr>
            <w:instrText xml:space="preserve"> CITATION Ref13 \l 1033 </w:instrText>
          </w:r>
          <w:r w:rsidR="00E93150" w:rsidRPr="00277328">
            <w:rPr>
              <w:rFonts w:eastAsia="Times New Roman"/>
              <w:lang w:val="en-GB" w:eastAsia="el-GR"/>
            </w:rPr>
            <w:fldChar w:fldCharType="separate"/>
          </w:r>
          <w:r w:rsidR="008930F2" w:rsidRPr="00277328">
            <w:rPr>
              <w:rFonts w:eastAsia="Times New Roman"/>
              <w:lang w:val="en-GB" w:eastAsia="el-GR"/>
            </w:rPr>
            <w:t>(Reforma Sanidad 2013)</w:t>
          </w:r>
          <w:r w:rsidR="00E93150" w:rsidRPr="00277328">
            <w:rPr>
              <w:rFonts w:eastAsia="Times New Roman"/>
              <w:lang w:val="en-GB" w:eastAsia="el-GR"/>
            </w:rPr>
            <w:fldChar w:fldCharType="end"/>
          </w:r>
        </w:sdtContent>
      </w:sdt>
      <w:r w:rsidR="005F3FE5" w:rsidRPr="00277328">
        <w:rPr>
          <w:rFonts w:eastAsia="Times New Roman"/>
          <w:lang w:val="en-GB" w:eastAsia="el-GR"/>
        </w:rPr>
        <w:t xml:space="preserve">. </w:t>
      </w:r>
      <w:r w:rsidR="005634F9" w:rsidRPr="00277328">
        <w:rPr>
          <w:rFonts w:eastAsia="Times New Roman"/>
          <w:lang w:val="en-GB" w:eastAsia="el-GR"/>
        </w:rPr>
        <w:t xml:space="preserve">A comparison between these goals and the findings of the analysis confirms that </w:t>
      </w:r>
      <w:r w:rsidR="001C4498" w:rsidRPr="00277328">
        <w:rPr>
          <w:lang w:val="en-GB"/>
        </w:rPr>
        <w:t>the preferences of Spanish stakeholders agree</w:t>
      </w:r>
      <w:r w:rsidRPr="00277328">
        <w:rPr>
          <w:lang w:val="en-GB"/>
        </w:rPr>
        <w:t xml:space="preserve"> (at least partly)</w:t>
      </w:r>
      <w:r w:rsidR="001C4498" w:rsidRPr="00277328">
        <w:rPr>
          <w:lang w:val="en-GB"/>
        </w:rPr>
        <w:t xml:space="preserve"> with the</w:t>
      </w:r>
      <w:r w:rsidR="005634F9" w:rsidRPr="00277328">
        <w:rPr>
          <w:lang w:val="en-GB"/>
        </w:rPr>
        <w:t xml:space="preserve"> official health policy initiatives. </w:t>
      </w:r>
      <w:r w:rsidR="001A1A7A" w:rsidRPr="00277328">
        <w:rPr>
          <w:lang w:val="en-GB"/>
        </w:rPr>
        <w:t xml:space="preserve">The overall preference on efficiency over equity criteria indicates that decision-makers focus on </w:t>
      </w:r>
      <w:r w:rsidR="00DF4942" w:rsidRPr="00277328">
        <w:rPr>
          <w:lang w:val="en-GB"/>
        </w:rPr>
        <w:t xml:space="preserve">the search of policies that will improve general population health without exceeding the current budget constraints. </w:t>
      </w:r>
    </w:p>
    <w:p w:rsidR="002776D9" w:rsidRPr="00277328" w:rsidRDefault="002776D9" w:rsidP="006C494B">
      <w:pPr>
        <w:rPr>
          <w:lang w:val="en-GB"/>
        </w:rPr>
      </w:pPr>
      <w:r w:rsidRPr="00277328">
        <w:rPr>
          <w:lang w:val="en-GB"/>
        </w:rPr>
        <w:t xml:space="preserve">In fact, </w:t>
      </w:r>
      <w:r w:rsidR="008C7CAC" w:rsidRPr="00277328">
        <w:rPr>
          <w:lang w:val="en-GB"/>
        </w:rPr>
        <w:t xml:space="preserve">one of the main amendments </w:t>
      </w:r>
      <w:r w:rsidR="005E2883" w:rsidRPr="00277328">
        <w:rPr>
          <w:lang w:val="en-GB"/>
        </w:rPr>
        <w:t xml:space="preserve">of the new health plan introduced a new </w:t>
      </w:r>
      <w:r w:rsidR="008C7CAC" w:rsidRPr="00277328">
        <w:rPr>
          <w:lang w:val="en-GB"/>
        </w:rPr>
        <w:t>scheme of cost-sharing for pharmaceutical products</w:t>
      </w:r>
      <w:r w:rsidR="005E2883" w:rsidRPr="00277328">
        <w:rPr>
          <w:lang w:val="en-GB"/>
        </w:rPr>
        <w:t>.</w:t>
      </w:r>
      <w:r w:rsidR="008C7CAC" w:rsidRPr="00277328">
        <w:rPr>
          <w:lang w:val="en-GB"/>
        </w:rPr>
        <w:t xml:space="preserve"> </w:t>
      </w:r>
      <w:r w:rsidR="005E2883" w:rsidRPr="00277328">
        <w:rPr>
          <w:lang w:val="en-GB"/>
        </w:rPr>
        <w:t>This measure was proposed by the Spanish government to protect the financial sustainability of the NHS</w:t>
      </w:r>
      <w:r w:rsidR="007155FF" w:rsidRPr="00277328">
        <w:rPr>
          <w:lang w:val="en-GB"/>
        </w:rPr>
        <w:t xml:space="preserve"> (ISSA</w:t>
      </w:r>
      <w:r w:rsidR="002A5FBF" w:rsidRPr="00277328">
        <w:rPr>
          <w:lang w:val="en-GB"/>
        </w:rPr>
        <w:t xml:space="preserve"> 2013</w:t>
      </w:r>
      <w:r w:rsidR="007155FF" w:rsidRPr="00277328">
        <w:rPr>
          <w:lang w:val="en-GB"/>
        </w:rPr>
        <w:t>)</w:t>
      </w:r>
      <w:r w:rsidR="005E2883" w:rsidRPr="00277328">
        <w:rPr>
          <w:lang w:val="en-GB"/>
        </w:rPr>
        <w:t xml:space="preserve">. However, the level of publicly funded pharmaceutical products is now defined based on the income level, the age and the </w:t>
      </w:r>
      <w:r w:rsidR="006537DD" w:rsidRPr="00277328">
        <w:rPr>
          <w:lang w:val="en-GB"/>
        </w:rPr>
        <w:t>severity of illness for the insured. The participants in this experiment seem to take into account th</w:t>
      </w:r>
      <w:r w:rsidR="009C7662">
        <w:rPr>
          <w:lang w:val="en-GB"/>
        </w:rPr>
        <w:t>ese criteria when they prioritis</w:t>
      </w:r>
      <w:r w:rsidR="006537DD" w:rsidRPr="00277328">
        <w:rPr>
          <w:lang w:val="en-GB"/>
        </w:rPr>
        <w:t xml:space="preserve">e interventions. This is an expected result, given that most respondents are health managers and executives in the drug industry from Madrid, Catalonia, Valencia and the Basque country. These areas are considered to be four of the most active regions in terms of pharmaceutical policy. </w:t>
      </w:r>
      <w:r w:rsidR="005E2883" w:rsidRPr="00277328">
        <w:rPr>
          <w:lang w:val="en-GB"/>
        </w:rPr>
        <w:t xml:space="preserve"> </w:t>
      </w:r>
    </w:p>
    <w:p w:rsidR="005634F9" w:rsidRPr="00277328" w:rsidRDefault="00207406" w:rsidP="006C494B">
      <w:pPr>
        <w:rPr>
          <w:lang w:val="en-GB"/>
        </w:rPr>
      </w:pPr>
      <w:r w:rsidRPr="00277328">
        <w:rPr>
          <w:lang w:val="en-GB"/>
        </w:rPr>
        <w:t>T</w:t>
      </w:r>
      <w:r w:rsidR="00A3226D" w:rsidRPr="00277328">
        <w:rPr>
          <w:lang w:val="en-GB"/>
        </w:rPr>
        <w:t xml:space="preserve">he CLTs results show that </w:t>
      </w:r>
      <w:r w:rsidRPr="00277328">
        <w:rPr>
          <w:lang w:val="en-GB"/>
        </w:rPr>
        <w:t xml:space="preserve">the choices on health interventions are in accordance with European guidelines concerning the burden of disease. Even more, they confirm that </w:t>
      </w:r>
      <w:r w:rsidRPr="00277328">
        <w:rPr>
          <w:lang w:val="en-GB"/>
        </w:rPr>
        <w:lastRenderedPageBreak/>
        <w:t xml:space="preserve">decision-making in Spain is in line with current policy objectives. That is, there is a focus on young and middle-age populations which are the most affected by the crisis in terms of unemployment and financial instability. </w:t>
      </w:r>
      <w:r w:rsidR="007155FF" w:rsidRPr="00277328">
        <w:rPr>
          <w:lang w:val="en-GB"/>
        </w:rPr>
        <w:t xml:space="preserve">However, a neglect of specific disease areas as well as discrepancies in priority setting processes among the regions examined is being observed. Therefore, the results of this thesis could encourage the implementation of some policy recommendations, with a special focus on mental disorders. </w:t>
      </w:r>
    </w:p>
    <w:p w:rsidR="007155FF" w:rsidRPr="00277328" w:rsidRDefault="00662B13" w:rsidP="006C494B">
      <w:pPr>
        <w:rPr>
          <w:lang w:val="en-GB"/>
        </w:rPr>
      </w:pPr>
      <w:r w:rsidRPr="00277328">
        <w:rPr>
          <w:lang w:val="en-GB"/>
        </w:rPr>
        <w:t xml:space="preserve"> </w:t>
      </w:r>
      <w:r w:rsidR="00A42699" w:rsidRPr="00277328">
        <w:rPr>
          <w:lang w:val="en-GB"/>
        </w:rPr>
        <w:t xml:space="preserve">The reform and expansion of mental health systems in Spain coincided with the regional devolution of health responsibilities to the ACs. Evidence shows that this de-institutionalization process led to significant heterogeneity among the regional mental health plans </w:t>
      </w:r>
      <w:sdt>
        <w:sdtPr>
          <w:rPr>
            <w:lang w:val="en-GB"/>
          </w:rPr>
          <w:id w:val="40658363"/>
          <w:citation/>
        </w:sdtPr>
        <w:sdtContent>
          <w:r w:rsidR="00E93150" w:rsidRPr="00277328">
            <w:rPr>
              <w:lang w:val="en-GB"/>
            </w:rPr>
            <w:fldChar w:fldCharType="begin"/>
          </w:r>
          <w:r w:rsidR="00FB0F77" w:rsidRPr="00277328">
            <w:rPr>
              <w:lang w:val="en-GB"/>
            </w:rPr>
            <w:instrText xml:space="preserve"> CITATION Sal10 \l 1033 </w:instrText>
          </w:r>
          <w:r w:rsidR="00E93150" w:rsidRPr="00277328">
            <w:rPr>
              <w:lang w:val="en-GB"/>
            </w:rPr>
            <w:fldChar w:fldCharType="separate"/>
          </w:r>
          <w:r w:rsidR="008930F2" w:rsidRPr="00277328">
            <w:rPr>
              <w:lang w:val="en-GB"/>
            </w:rPr>
            <w:t>(Salvador-Carulla, et al. 2010)</w:t>
          </w:r>
          <w:r w:rsidR="00E93150" w:rsidRPr="00277328">
            <w:rPr>
              <w:lang w:val="en-GB"/>
            </w:rPr>
            <w:fldChar w:fldCharType="end"/>
          </w:r>
        </w:sdtContent>
      </w:sdt>
      <w:r w:rsidR="00A42699" w:rsidRPr="00277328">
        <w:rPr>
          <w:lang w:val="en-GB"/>
        </w:rPr>
        <w:t xml:space="preserve">. The different times of policy implementation within the country and the lack of successful reform monitoring resulted in substantial inequalities for the financing and delivery of mental health services. This becomes apparent by the different relative weights that policy makers assigned to equity/efficiency criteria among the regions. Therefore, the study suggests that </w:t>
      </w:r>
      <w:r w:rsidR="00763CED" w:rsidRPr="00277328">
        <w:rPr>
          <w:lang w:val="en-GB"/>
        </w:rPr>
        <w:t xml:space="preserve">the objective of the recent reform </w:t>
      </w:r>
      <w:r w:rsidR="00F62D74" w:rsidRPr="00277328">
        <w:rPr>
          <w:lang w:val="en-GB"/>
        </w:rPr>
        <w:t>regarding equal access to health services is not completely satisfied yet. F</w:t>
      </w:r>
      <w:r w:rsidR="00A42699" w:rsidRPr="00277328">
        <w:rPr>
          <w:lang w:val="en-GB"/>
        </w:rPr>
        <w:t xml:space="preserve">urther improvements in the coordination of mental health plans across the country could possibly result in a more efficient system. </w:t>
      </w:r>
    </w:p>
    <w:p w:rsidR="003B1E72" w:rsidRPr="00277328" w:rsidRDefault="00A42699" w:rsidP="006C494B">
      <w:pPr>
        <w:rPr>
          <w:lang w:val="en-GB"/>
        </w:rPr>
      </w:pPr>
      <w:r w:rsidRPr="00277328">
        <w:rPr>
          <w:lang w:val="en-GB"/>
        </w:rPr>
        <w:t xml:space="preserve">The discrepancies in mental health access and financing can be explained by several facts. The reorganization of the Spanish health system suggested a move towards community-based health care services. However, community mental health services are still developing in many ACs, which leads to inequalities in mental health access </w:t>
      </w:r>
      <w:sdt>
        <w:sdtPr>
          <w:rPr>
            <w:lang w:val="en-GB"/>
          </w:rPr>
          <w:id w:val="40658364"/>
          <w:citation/>
        </w:sdtPr>
        <w:sdtContent>
          <w:r w:rsidR="00E93150" w:rsidRPr="00277328">
            <w:rPr>
              <w:lang w:val="en-GB"/>
            </w:rPr>
            <w:fldChar w:fldCharType="begin"/>
          </w:r>
          <w:r w:rsidR="00FB0F77" w:rsidRPr="00277328">
            <w:rPr>
              <w:lang w:val="en-GB"/>
            </w:rPr>
            <w:instrText xml:space="preserve"> CITATION Cos09 \l 1033 </w:instrText>
          </w:r>
          <w:r w:rsidR="00E93150" w:rsidRPr="00277328">
            <w:rPr>
              <w:lang w:val="en-GB"/>
            </w:rPr>
            <w:fldChar w:fldCharType="separate"/>
          </w:r>
          <w:r w:rsidR="008930F2" w:rsidRPr="00277328">
            <w:rPr>
              <w:lang w:val="en-GB"/>
            </w:rPr>
            <w:t>(Costa-Font, et al. 2009)</w:t>
          </w:r>
          <w:r w:rsidR="00E93150" w:rsidRPr="00277328">
            <w:rPr>
              <w:lang w:val="en-GB"/>
            </w:rPr>
            <w:fldChar w:fldCharType="end"/>
          </w:r>
        </w:sdtContent>
      </w:sdt>
      <w:r w:rsidRPr="00277328">
        <w:rPr>
          <w:lang w:val="en-GB"/>
        </w:rPr>
        <w:t>. Further, it leads to a greater reliance on drug treatments, which is extremely relevant given the already high pharmaceutical expenditure. Mental health is mostly publicly financed, with mental health expenditures being relatively low and varying significantly within the regions.</w:t>
      </w:r>
    </w:p>
    <w:p w:rsidR="00A42699" w:rsidRPr="00277328" w:rsidRDefault="006C494B" w:rsidP="006C494B">
      <w:pPr>
        <w:rPr>
          <w:lang w:val="en-GB"/>
        </w:rPr>
      </w:pPr>
      <w:r w:rsidRPr="00277328">
        <w:rPr>
          <w:lang w:val="en-GB"/>
        </w:rPr>
        <w:t xml:space="preserve"> </w:t>
      </w:r>
      <w:r w:rsidR="00A42699" w:rsidRPr="00277328">
        <w:rPr>
          <w:lang w:val="en-GB"/>
        </w:rPr>
        <w:t>However, psychiatric care is one of the most neglected mental health areas and psychotherapy is covered only for a sh</w:t>
      </w:r>
      <w:r w:rsidRPr="00277328">
        <w:rPr>
          <w:lang w:val="en-GB"/>
        </w:rPr>
        <w:t>ort-period of time. A</w:t>
      </w:r>
      <w:r w:rsidR="00A42699" w:rsidRPr="00277328">
        <w:rPr>
          <w:lang w:val="en-GB"/>
        </w:rPr>
        <w:t>ccess to psychiatric care is provided through a general practitioner’s referral, with the coordination between primary and mental health va</w:t>
      </w:r>
      <w:r w:rsidR="00EC6D4C" w:rsidRPr="00277328">
        <w:rPr>
          <w:lang w:val="en-GB"/>
        </w:rPr>
        <w:t xml:space="preserve">rying between the communities </w:t>
      </w:r>
      <w:sdt>
        <w:sdtPr>
          <w:rPr>
            <w:lang w:val="en-GB"/>
          </w:rPr>
          <w:id w:val="40658365"/>
          <w:citation/>
        </w:sdtPr>
        <w:sdtContent>
          <w:r w:rsidR="00E93150" w:rsidRPr="00277328">
            <w:rPr>
              <w:lang w:val="en-GB"/>
            </w:rPr>
            <w:fldChar w:fldCharType="begin"/>
          </w:r>
          <w:r w:rsidR="00FB0F77" w:rsidRPr="00277328">
            <w:rPr>
              <w:lang w:val="en-GB"/>
            </w:rPr>
            <w:instrText xml:space="preserve"> CITATION Bob12 \l 1033 </w:instrText>
          </w:r>
          <w:r w:rsidR="00E93150" w:rsidRPr="00277328">
            <w:rPr>
              <w:lang w:val="en-GB"/>
            </w:rPr>
            <w:fldChar w:fldCharType="separate"/>
          </w:r>
          <w:r w:rsidR="008930F2" w:rsidRPr="00277328">
            <w:rPr>
              <w:lang w:val="en-GB"/>
            </w:rPr>
            <w:t>(Bobes, et al. 2012)</w:t>
          </w:r>
          <w:r w:rsidR="00E93150" w:rsidRPr="00277328">
            <w:rPr>
              <w:lang w:val="en-GB"/>
            </w:rPr>
            <w:fldChar w:fldCharType="end"/>
          </w:r>
        </w:sdtContent>
      </w:sdt>
      <w:r w:rsidR="00A42699" w:rsidRPr="00277328">
        <w:rPr>
          <w:lang w:val="en-GB"/>
        </w:rPr>
        <w:t>. These phenomena lead to an overuse of primary care services and an imbalance between need and provision o</w:t>
      </w:r>
      <w:r w:rsidR="00F16517">
        <w:rPr>
          <w:lang w:val="en-GB"/>
        </w:rPr>
        <w:t>f specialis</w:t>
      </w:r>
      <w:r w:rsidRPr="00277328">
        <w:rPr>
          <w:lang w:val="en-GB"/>
        </w:rPr>
        <w:t xml:space="preserve">ed care. </w:t>
      </w:r>
      <w:r w:rsidR="003B1E72" w:rsidRPr="00277328">
        <w:rPr>
          <w:lang w:val="en-GB"/>
        </w:rPr>
        <w:t>Therefore, although psychiatric treatment interventions are highly ranked in the CLTs calculations, f</w:t>
      </w:r>
      <w:r w:rsidR="00A42699" w:rsidRPr="00277328">
        <w:rPr>
          <w:lang w:val="en-GB"/>
        </w:rPr>
        <w:t xml:space="preserve">urther improvements in mental health access </w:t>
      </w:r>
      <w:r w:rsidR="003B1E72" w:rsidRPr="00277328">
        <w:rPr>
          <w:lang w:val="en-GB"/>
        </w:rPr>
        <w:t xml:space="preserve">are needed. That is, addressing </w:t>
      </w:r>
      <w:r w:rsidR="00A42699" w:rsidRPr="00277328">
        <w:rPr>
          <w:lang w:val="en-GB"/>
        </w:rPr>
        <w:t>problems with unmet mental health need</w:t>
      </w:r>
      <w:r w:rsidR="003B1E72" w:rsidRPr="00277328">
        <w:rPr>
          <w:lang w:val="en-GB"/>
        </w:rPr>
        <w:t xml:space="preserve"> becomes essential, particularly in the current context of constrained resources. That way</w:t>
      </w:r>
      <w:r w:rsidR="00A42699" w:rsidRPr="00277328">
        <w:rPr>
          <w:lang w:val="en-GB"/>
        </w:rPr>
        <w:t>, both efficiency and equity improvements could be established.</w:t>
      </w:r>
      <w:r w:rsidRPr="00277328">
        <w:rPr>
          <w:lang w:val="en-GB"/>
        </w:rPr>
        <w:t xml:space="preserve"> </w:t>
      </w:r>
    </w:p>
    <w:p w:rsidR="00FE7532" w:rsidRPr="00277328" w:rsidRDefault="003B1E72" w:rsidP="00FE7532">
      <w:pPr>
        <w:pStyle w:val="CM40"/>
        <w:spacing w:after="235" w:line="276" w:lineRule="auto"/>
        <w:jc w:val="both"/>
        <w:rPr>
          <w:rFonts w:asciiTheme="minorHAnsi" w:hAnsiTheme="minorHAnsi" w:cstheme="minorHAnsi"/>
          <w:color w:val="000000"/>
          <w:sz w:val="22"/>
          <w:szCs w:val="22"/>
          <w:lang w:val="en-GB"/>
        </w:rPr>
      </w:pPr>
      <w:r w:rsidRPr="00277328">
        <w:rPr>
          <w:rFonts w:asciiTheme="minorHAnsi" w:hAnsiTheme="minorHAnsi" w:cstheme="minorHAnsi"/>
          <w:sz w:val="22"/>
          <w:szCs w:val="22"/>
          <w:lang w:val="en-GB"/>
        </w:rPr>
        <w:t xml:space="preserve">Last but not least, the CLTs rankings highlight that Spanish stakeholders give relatively low priority to interventions targeting significant disease areas and risk factors. The European Pact for Mental Health and Well-being, as proposed by the European Commission, identified five top-priority areas in mental health policy. Spain, as a member state of the European Union included these objectives in its Mental </w:t>
      </w:r>
      <w:r w:rsidR="00FE7532" w:rsidRPr="00277328">
        <w:rPr>
          <w:rFonts w:asciiTheme="minorHAnsi" w:hAnsiTheme="minorHAnsi" w:cstheme="minorHAnsi"/>
          <w:sz w:val="22"/>
          <w:szCs w:val="22"/>
          <w:lang w:val="en-GB"/>
        </w:rPr>
        <w:t xml:space="preserve">Health Strategy Plan within 2009-2013 (Mental Health Strategy Plan 2009-2013). The priority areas include: Mental health among the young population and in educational systems; Prevention of depressive disorders and suicide; </w:t>
      </w:r>
      <w:r w:rsidR="00FE7532" w:rsidRPr="00277328">
        <w:rPr>
          <w:rFonts w:asciiTheme="minorHAnsi" w:hAnsiTheme="minorHAnsi" w:cstheme="minorHAnsi"/>
          <w:sz w:val="22"/>
          <w:szCs w:val="22"/>
          <w:lang w:val="en-GB"/>
        </w:rPr>
        <w:lastRenderedPageBreak/>
        <w:t xml:space="preserve">Mental health within the working environment; Mental health of the elderly; and prevention of stigma eradication and social exclusion. </w:t>
      </w:r>
    </w:p>
    <w:p w:rsidR="00A42699" w:rsidRPr="00277328" w:rsidRDefault="0072766F" w:rsidP="00A42699">
      <w:pPr>
        <w:rPr>
          <w:lang w:val="en-GB"/>
        </w:rPr>
      </w:pPr>
      <w:r w:rsidRPr="00277328">
        <w:rPr>
          <w:lang w:val="en-GB"/>
        </w:rPr>
        <w:t xml:space="preserve">As can be noticed in the CLTs, the objectives of mental health among the young and prevention of depression and suicides are already taken into account by Spanish stakeholders. However, </w:t>
      </w:r>
      <w:r w:rsidR="00A42699" w:rsidRPr="00277328">
        <w:rPr>
          <w:lang w:val="en-GB"/>
        </w:rPr>
        <w:t xml:space="preserve">the relatively low rankings of interventions targeting patients with Alzheimer and dementia diseases indicate that the need for appropriate long-term care is still underestimated. That is, patients with long-term severe mental disorders do not receive appropriate hospital or nursing care </w:t>
      </w:r>
      <w:sdt>
        <w:sdtPr>
          <w:rPr>
            <w:lang w:val="en-GB"/>
          </w:rPr>
          <w:id w:val="40658366"/>
          <w:citation/>
        </w:sdtPr>
        <w:sdtContent>
          <w:r w:rsidR="00E93150" w:rsidRPr="00277328">
            <w:rPr>
              <w:lang w:val="en-GB"/>
            </w:rPr>
            <w:fldChar w:fldCharType="begin"/>
          </w:r>
          <w:r w:rsidR="00FB0F77" w:rsidRPr="00277328">
            <w:rPr>
              <w:lang w:val="en-GB"/>
            </w:rPr>
            <w:instrText xml:space="preserve"> CITATION Cal11 \l 1033 </w:instrText>
          </w:r>
          <w:r w:rsidR="00E93150" w:rsidRPr="00277328">
            <w:rPr>
              <w:lang w:val="en-GB"/>
            </w:rPr>
            <w:fldChar w:fldCharType="separate"/>
          </w:r>
          <w:r w:rsidR="008930F2" w:rsidRPr="00277328">
            <w:rPr>
              <w:lang w:val="en-GB"/>
            </w:rPr>
            <w:t>(Caldas de Almeida and Killaspy 2011)</w:t>
          </w:r>
          <w:r w:rsidR="00E93150" w:rsidRPr="00277328">
            <w:rPr>
              <w:lang w:val="en-GB"/>
            </w:rPr>
            <w:fldChar w:fldCharType="end"/>
          </w:r>
        </w:sdtContent>
      </w:sdt>
      <w:r w:rsidR="00A42699" w:rsidRPr="00277328">
        <w:rPr>
          <w:lang w:val="en-GB"/>
        </w:rPr>
        <w:t xml:space="preserve">. </w:t>
      </w:r>
      <w:r w:rsidR="00DE4B30" w:rsidRPr="00277328">
        <w:rPr>
          <w:lang w:val="en-GB"/>
        </w:rPr>
        <w:t xml:space="preserve">This is extremely relevant for the elderly population, given the growing life expectancy rates. </w:t>
      </w:r>
      <w:r w:rsidR="00A42699" w:rsidRPr="00277328">
        <w:rPr>
          <w:lang w:val="en-GB"/>
        </w:rPr>
        <w:t>Therefore, this study highlights the necessity for further strategies t</w:t>
      </w:r>
      <w:r w:rsidR="00DE4B30" w:rsidRPr="00277328">
        <w:rPr>
          <w:lang w:val="en-GB"/>
        </w:rPr>
        <w:t xml:space="preserve">argeting mental health for the elderly and </w:t>
      </w:r>
      <w:r w:rsidR="00A42699" w:rsidRPr="00277328">
        <w:rPr>
          <w:lang w:val="en-GB"/>
        </w:rPr>
        <w:t>improvement of long-term health care in Spain</w:t>
      </w:r>
      <w:r w:rsidR="00DE4B30" w:rsidRPr="00277328">
        <w:rPr>
          <w:lang w:val="en-GB"/>
        </w:rPr>
        <w:t>.</w:t>
      </w:r>
    </w:p>
    <w:p w:rsidR="00DE4B30" w:rsidRPr="00277328" w:rsidRDefault="00DE4B30" w:rsidP="008F29BA">
      <w:pPr>
        <w:spacing w:before="240"/>
        <w:rPr>
          <w:lang w:val="en-GB"/>
        </w:rPr>
      </w:pPr>
      <w:r w:rsidRPr="00277328">
        <w:rPr>
          <w:lang w:val="en-GB"/>
        </w:rPr>
        <w:t xml:space="preserve">Finally, </w:t>
      </w:r>
      <w:r w:rsidR="00BB7E25" w:rsidRPr="00277328">
        <w:rPr>
          <w:lang w:val="en-GB"/>
        </w:rPr>
        <w:t xml:space="preserve">as mentioned earlier, stigma and social discrimination of mentally ill individuals and their families is considered as a potential cost of mental disorders for the societies. Despite the overall improvements in mental health care financing and delivery, these barriers still remain. </w:t>
      </w:r>
      <w:r w:rsidR="008F29BA" w:rsidRPr="00277328">
        <w:rPr>
          <w:lang w:val="en-GB"/>
        </w:rPr>
        <w:t>Evidence shows that in 2006, 30%-40% of the Spanish population reported that mental health affected their participation in social activities, with this feature still b</w:t>
      </w:r>
      <w:r w:rsidR="00EC6D4C" w:rsidRPr="00277328">
        <w:rPr>
          <w:lang w:val="en-GB"/>
        </w:rPr>
        <w:t xml:space="preserve">eing lower than the EU average </w:t>
      </w:r>
      <w:sdt>
        <w:sdtPr>
          <w:rPr>
            <w:lang w:val="en-GB"/>
          </w:rPr>
          <w:id w:val="40658367"/>
          <w:citation/>
        </w:sdtPr>
        <w:sdtContent>
          <w:r w:rsidR="00E93150" w:rsidRPr="00277328">
            <w:rPr>
              <w:lang w:val="en-GB"/>
            </w:rPr>
            <w:fldChar w:fldCharType="begin"/>
          </w:r>
          <w:r w:rsidR="00FB0F77" w:rsidRPr="00277328">
            <w:rPr>
              <w:lang w:val="en-GB"/>
            </w:rPr>
            <w:instrText xml:space="preserve"> CITATION Cos11 \l 1033 </w:instrText>
          </w:r>
          <w:r w:rsidR="00E93150" w:rsidRPr="00277328">
            <w:rPr>
              <w:lang w:val="en-GB"/>
            </w:rPr>
            <w:fldChar w:fldCharType="separate"/>
          </w:r>
          <w:r w:rsidR="008930F2" w:rsidRPr="00277328">
            <w:rPr>
              <w:lang w:val="en-GB"/>
            </w:rPr>
            <w:t>(Costa-Font, et al. 2011)</w:t>
          </w:r>
          <w:r w:rsidR="00E93150" w:rsidRPr="00277328">
            <w:rPr>
              <w:lang w:val="en-GB"/>
            </w:rPr>
            <w:fldChar w:fldCharType="end"/>
          </w:r>
        </w:sdtContent>
      </w:sdt>
      <w:r w:rsidR="008F29BA" w:rsidRPr="00277328">
        <w:rPr>
          <w:lang w:val="en-GB"/>
        </w:rPr>
        <w:t xml:space="preserve">. </w:t>
      </w:r>
      <w:r w:rsidR="00BB7E25" w:rsidRPr="00277328">
        <w:rPr>
          <w:lang w:val="en-GB"/>
        </w:rPr>
        <w:t xml:space="preserve"> </w:t>
      </w:r>
      <w:r w:rsidR="008F29BA" w:rsidRPr="00277328">
        <w:rPr>
          <w:lang w:val="en-GB"/>
        </w:rPr>
        <w:t>Nevertheless, this does not necessarily imply that prevalence of mental disorders has decreased. It could also be attributed to underestimation of mental illness burden due to stigma or other related factors</w:t>
      </w:r>
      <w:r w:rsidR="000E2B36" w:rsidRPr="00277328">
        <w:rPr>
          <w:lang w:val="en-GB"/>
        </w:rPr>
        <w:t xml:space="preserve"> (Tackling neglect)</w:t>
      </w:r>
      <w:r w:rsidR="008F29BA" w:rsidRPr="00277328">
        <w:rPr>
          <w:lang w:val="en-GB"/>
        </w:rPr>
        <w:t xml:space="preserve">. As it has been argued, Spain is within the countries with the lowest consultation rates </w:t>
      </w:r>
      <w:r w:rsidR="000E2B36" w:rsidRPr="00277328">
        <w:rPr>
          <w:lang w:val="en-GB"/>
        </w:rPr>
        <w:t xml:space="preserve">among the population without a diagnosed mental problem </w:t>
      </w:r>
      <w:sdt>
        <w:sdtPr>
          <w:rPr>
            <w:lang w:val="en-GB"/>
          </w:rPr>
          <w:id w:val="40658368"/>
          <w:citation/>
        </w:sdtPr>
        <w:sdtContent>
          <w:r w:rsidR="00E93150" w:rsidRPr="00277328">
            <w:rPr>
              <w:lang w:val="en-GB"/>
            </w:rPr>
            <w:fldChar w:fldCharType="begin"/>
          </w:r>
          <w:r w:rsidR="00FB0F77" w:rsidRPr="00277328">
            <w:rPr>
              <w:lang w:val="en-GB"/>
            </w:rPr>
            <w:instrText xml:space="preserve"> CITATION Alo07 \l 1033 </w:instrText>
          </w:r>
          <w:r w:rsidR="00E93150" w:rsidRPr="00277328">
            <w:rPr>
              <w:lang w:val="en-GB"/>
            </w:rPr>
            <w:fldChar w:fldCharType="separate"/>
          </w:r>
          <w:r w:rsidR="008930F2" w:rsidRPr="00277328">
            <w:rPr>
              <w:lang w:val="en-GB"/>
            </w:rPr>
            <w:t>(Alonso, et al. 2007)</w:t>
          </w:r>
          <w:r w:rsidR="00E93150" w:rsidRPr="00277328">
            <w:rPr>
              <w:lang w:val="en-GB"/>
            </w:rPr>
            <w:fldChar w:fldCharType="end"/>
          </w:r>
        </w:sdtContent>
      </w:sdt>
      <w:r w:rsidR="000E2B36" w:rsidRPr="00277328">
        <w:rPr>
          <w:lang w:val="en-GB"/>
        </w:rPr>
        <w:t xml:space="preserve">. Therefore, although mental disorders exhibit the highest rankings, it could be suggested that prevention efforts should be encouraged within the Spanish health system. </w:t>
      </w:r>
    </w:p>
    <w:p w:rsidR="00A42699" w:rsidRPr="00277328" w:rsidRDefault="00A42699" w:rsidP="00A42699">
      <w:pPr>
        <w:rPr>
          <w:lang w:val="en-GB"/>
        </w:rPr>
      </w:pPr>
      <w:r w:rsidRPr="00277328">
        <w:rPr>
          <w:lang w:val="en-GB"/>
        </w:rPr>
        <w:t>Overall, these findings indicate that despite the recent policy reforms in Spain, several challenges have to be addressed. Spain is an example of a country that encountered several institutional and economic changes within a relatively short time frame. Therefore, the modernization of its health policies had occurred in relatively recent times. Concerning mental disorders, this analysis highlights the need for better integration of mental health services within the general community-based framework. Even more, it indicates the importance of an effective coordination among the regional health plans in order to reduce potential geographical disparities. This becomes even more relevant in times of economic crisis, when substantial health and economic consequences are being observed. Last but not least, the development of more comprehensive evidence on the burden of severe mental disorders becomes urgent. That is, evidence informed mental health policies should be followed in Spain, in order to reach the European standards.</w:t>
      </w:r>
    </w:p>
    <w:p w:rsidR="000E2B36" w:rsidRPr="00277328" w:rsidRDefault="000E2B36" w:rsidP="00A42699">
      <w:pPr>
        <w:rPr>
          <w:lang w:val="en-GB"/>
        </w:rPr>
      </w:pPr>
    </w:p>
    <w:p w:rsidR="00A42699" w:rsidRPr="00277328" w:rsidRDefault="00A42699" w:rsidP="00950BD7">
      <w:pPr>
        <w:pStyle w:val="Heading2"/>
        <w:rPr>
          <w:lang w:val="en-GB"/>
        </w:rPr>
      </w:pPr>
      <w:bookmarkStart w:id="38" w:name="_Toc367791029"/>
      <w:r w:rsidRPr="00277328">
        <w:rPr>
          <w:lang w:val="en-GB"/>
        </w:rPr>
        <w:t>Limitations of the study</w:t>
      </w:r>
      <w:bookmarkEnd w:id="38"/>
      <w:r w:rsidRPr="00277328">
        <w:rPr>
          <w:lang w:val="en-GB"/>
        </w:rPr>
        <w:t xml:space="preserve">  </w:t>
      </w:r>
    </w:p>
    <w:p w:rsidR="00A42699" w:rsidRPr="00277328" w:rsidRDefault="00A42699" w:rsidP="00A42699">
      <w:pPr>
        <w:rPr>
          <w:szCs w:val="24"/>
          <w:lang w:val="en-GB"/>
        </w:rPr>
      </w:pPr>
      <w:r w:rsidRPr="00277328">
        <w:rPr>
          <w:szCs w:val="24"/>
          <w:lang w:val="en-GB"/>
        </w:rPr>
        <w:t xml:space="preserve">This explorative study confirms that there are measureable differences in policy makers’ preferences among equity and efficiency criteria. The applied DCE approach indicates that using multiple criteria allows for rational insights into priority-setting processes. That is, DCEs guide policy makers to take into account the implications of potential trade-offs </w:t>
      </w:r>
      <w:r w:rsidRPr="00277328">
        <w:rPr>
          <w:szCs w:val="24"/>
          <w:lang w:val="en-GB"/>
        </w:rPr>
        <w:lastRenderedPageBreak/>
        <w:t xml:space="preserve">between several concerns on decision making </w:t>
      </w:r>
      <w:sdt>
        <w:sdtPr>
          <w:rPr>
            <w:szCs w:val="24"/>
            <w:lang w:val="en-GB"/>
          </w:rPr>
          <w:id w:val="40658369"/>
          <w:citation/>
        </w:sdtPr>
        <w:sdtContent>
          <w:r w:rsidR="00E93150" w:rsidRPr="00277328">
            <w:rPr>
              <w:szCs w:val="24"/>
              <w:lang w:val="en-GB"/>
            </w:rPr>
            <w:fldChar w:fldCharType="begin"/>
          </w:r>
          <w:r w:rsidR="00CC2685" w:rsidRPr="00277328">
            <w:rPr>
              <w:szCs w:val="24"/>
              <w:lang w:val="en-GB"/>
            </w:rPr>
            <w:instrText xml:space="preserve"> CITATION Bal061 \l 1033 </w:instrText>
          </w:r>
          <w:r w:rsidR="00E93150" w:rsidRPr="00277328">
            <w:rPr>
              <w:szCs w:val="24"/>
              <w:lang w:val="en-GB"/>
            </w:rPr>
            <w:fldChar w:fldCharType="separate"/>
          </w:r>
          <w:r w:rsidR="008930F2" w:rsidRPr="00277328">
            <w:rPr>
              <w:szCs w:val="24"/>
              <w:lang w:val="en-GB"/>
            </w:rPr>
            <w:t>(Baltussen, Stolk, et al. 2006)</w:t>
          </w:r>
          <w:r w:rsidR="00E93150" w:rsidRPr="00277328">
            <w:rPr>
              <w:szCs w:val="24"/>
              <w:lang w:val="en-GB"/>
            </w:rPr>
            <w:fldChar w:fldCharType="end"/>
          </w:r>
        </w:sdtContent>
      </w:sdt>
      <w:r w:rsidRPr="00277328">
        <w:rPr>
          <w:szCs w:val="24"/>
          <w:lang w:val="en-GB"/>
        </w:rPr>
        <w:t xml:space="preserve">. However, this approach exhibits some substantial limitations. </w:t>
      </w:r>
    </w:p>
    <w:p w:rsidR="00A42699" w:rsidRPr="00277328" w:rsidRDefault="00A42699" w:rsidP="00A42699">
      <w:pPr>
        <w:rPr>
          <w:szCs w:val="24"/>
          <w:lang w:val="en-GB"/>
        </w:rPr>
      </w:pPr>
      <w:r w:rsidRPr="00277328">
        <w:rPr>
          <w:szCs w:val="24"/>
          <w:lang w:val="en-GB"/>
        </w:rPr>
        <w:t>First, the experimental design of the DCE raises some concerns regarding the accountability of the results. As discussed earlier, decisions on health interventions are multifaceted in that several socio-economic factors have to be taken into account. However, in order to reduce the task complexity for the respondents the number of criteria included should be finite and preferably small. The choice of the relevant and appropriate criteria for this experiment has been challenging. Finally, the study focused only on a set of generic efficiency and equity attributes, possibly ignoring other determinants that influence decision-making in re</w:t>
      </w:r>
      <w:r w:rsidR="00CC2685" w:rsidRPr="00277328">
        <w:rPr>
          <w:szCs w:val="24"/>
          <w:lang w:val="en-GB"/>
        </w:rPr>
        <w:t>al-life settings</w:t>
      </w:r>
      <w:r w:rsidRPr="00277328">
        <w:rPr>
          <w:szCs w:val="24"/>
          <w:lang w:val="en-GB"/>
        </w:rPr>
        <w:t>.</w:t>
      </w:r>
    </w:p>
    <w:p w:rsidR="00A42699" w:rsidRPr="00277328" w:rsidRDefault="00A42699" w:rsidP="00A42699">
      <w:pPr>
        <w:rPr>
          <w:szCs w:val="24"/>
          <w:lang w:val="en-GB"/>
        </w:rPr>
      </w:pPr>
      <w:r w:rsidRPr="00277328">
        <w:rPr>
          <w:szCs w:val="24"/>
          <w:lang w:val="en-GB"/>
        </w:rPr>
        <w:t>Secondly, most attributes were defined only at two levels, possibly limiting the scope of respondents’ preferences for specific interventions. Further, this set of attributes has been borrowed from previous studies and therefore, it might not reflect specific social and economic standards formulated</w:t>
      </w:r>
      <w:r w:rsidR="00CC2685" w:rsidRPr="00277328">
        <w:rPr>
          <w:szCs w:val="24"/>
          <w:lang w:val="en-GB"/>
        </w:rPr>
        <w:t xml:space="preserve"> in the Spanish context </w:t>
      </w:r>
      <w:sdt>
        <w:sdtPr>
          <w:rPr>
            <w:szCs w:val="24"/>
            <w:lang w:val="en-GB"/>
          </w:rPr>
          <w:id w:val="40658370"/>
          <w:citation/>
        </w:sdtPr>
        <w:sdtContent>
          <w:r w:rsidR="00E93150" w:rsidRPr="00277328">
            <w:rPr>
              <w:szCs w:val="24"/>
              <w:lang w:val="en-GB"/>
            </w:rPr>
            <w:fldChar w:fldCharType="begin"/>
          </w:r>
          <w:r w:rsidR="00CC2685" w:rsidRPr="00277328">
            <w:rPr>
              <w:szCs w:val="24"/>
              <w:lang w:val="en-GB"/>
            </w:rPr>
            <w:instrText xml:space="preserve"> CITATION Def12 \l 1033 </w:instrText>
          </w:r>
          <w:r w:rsidR="00E93150" w:rsidRPr="00277328">
            <w:rPr>
              <w:szCs w:val="24"/>
              <w:lang w:val="en-GB"/>
            </w:rPr>
            <w:fldChar w:fldCharType="separate"/>
          </w:r>
          <w:r w:rsidR="008930F2" w:rsidRPr="00277328">
            <w:rPr>
              <w:szCs w:val="24"/>
              <w:lang w:val="en-GB"/>
            </w:rPr>
            <w:t>(Defechereux, et al. 2012)</w:t>
          </w:r>
          <w:r w:rsidR="00E93150" w:rsidRPr="00277328">
            <w:rPr>
              <w:szCs w:val="24"/>
              <w:lang w:val="en-GB"/>
            </w:rPr>
            <w:fldChar w:fldCharType="end"/>
          </w:r>
        </w:sdtContent>
      </w:sdt>
      <w:r w:rsidRPr="00277328">
        <w:rPr>
          <w:szCs w:val="24"/>
          <w:lang w:val="en-GB"/>
        </w:rPr>
        <w:t xml:space="preserve">. </w:t>
      </w:r>
      <w:r w:rsidR="000E2B36" w:rsidRPr="00277328">
        <w:rPr>
          <w:szCs w:val="24"/>
          <w:lang w:val="en-GB"/>
        </w:rPr>
        <w:t>Even more, no deliberative process has taken place within Spanish advisory panels. As discussed earlier, this has possibly led to the exclusion of important but non-quantifiable criteria</w:t>
      </w:r>
      <w:sdt>
        <w:sdtPr>
          <w:rPr>
            <w:szCs w:val="24"/>
            <w:lang w:val="en-GB"/>
          </w:rPr>
          <w:id w:val="40658371"/>
          <w:citation/>
        </w:sdtPr>
        <w:sdtContent>
          <w:r w:rsidR="00E93150" w:rsidRPr="00277328">
            <w:rPr>
              <w:szCs w:val="24"/>
              <w:lang w:val="en-GB"/>
            </w:rPr>
            <w:fldChar w:fldCharType="begin"/>
          </w:r>
          <w:r w:rsidR="00CC2685" w:rsidRPr="00277328">
            <w:rPr>
              <w:szCs w:val="24"/>
              <w:lang w:val="en-GB"/>
            </w:rPr>
            <w:instrText xml:space="preserve"> CITATION Jeh08 \l 1033 </w:instrText>
          </w:r>
          <w:r w:rsidR="00E93150" w:rsidRPr="00277328">
            <w:rPr>
              <w:szCs w:val="24"/>
              <w:lang w:val="en-GB"/>
            </w:rPr>
            <w:fldChar w:fldCharType="separate"/>
          </w:r>
          <w:r w:rsidR="008930F2" w:rsidRPr="00277328">
            <w:rPr>
              <w:szCs w:val="24"/>
              <w:lang w:val="en-GB"/>
            </w:rPr>
            <w:t xml:space="preserve"> (Jehu-Appiah, et al. 2008)</w:t>
          </w:r>
          <w:r w:rsidR="00E93150" w:rsidRPr="00277328">
            <w:rPr>
              <w:szCs w:val="24"/>
              <w:lang w:val="en-GB"/>
            </w:rPr>
            <w:fldChar w:fldCharType="end"/>
          </w:r>
        </w:sdtContent>
      </w:sdt>
      <w:r w:rsidR="000E2B36" w:rsidRPr="00277328">
        <w:rPr>
          <w:szCs w:val="24"/>
          <w:lang w:val="en-GB"/>
        </w:rPr>
        <w:t xml:space="preserve">. </w:t>
      </w:r>
      <w:r w:rsidRPr="00277328">
        <w:rPr>
          <w:szCs w:val="24"/>
          <w:lang w:val="en-GB"/>
        </w:rPr>
        <w:t>Finally, a main effects only experimental design has been used, resulting in the exclusion of potential interaction effects between the criteria which could significantly affect responses. Future studies should therefore focus on the feasibility of more elaborate experimental designs, without leading to informational overload for the participants.</w:t>
      </w:r>
    </w:p>
    <w:p w:rsidR="00A42699" w:rsidRPr="00277328" w:rsidRDefault="00A42699" w:rsidP="00A42699">
      <w:pPr>
        <w:rPr>
          <w:szCs w:val="24"/>
          <w:lang w:val="en-GB"/>
        </w:rPr>
      </w:pPr>
      <w:r w:rsidRPr="00277328">
        <w:rPr>
          <w:szCs w:val="24"/>
          <w:lang w:val="en-GB"/>
        </w:rPr>
        <w:t xml:space="preserve">Moreover, several methodological concerns are raised regarding the empirical analysis of the DCE results. The conditional logit model used in this experiment simplifies the estimation procedure. However, it poses significant constraints on the relationships between the criteria. The IIA assumption indicates that the preferences of respondents for a health intervention are not affected by the characteristics of any other intervention examined. This assumption might be restrictive when human </w:t>
      </w:r>
      <w:r w:rsidR="00C73DE5" w:rsidRPr="00277328">
        <w:rPr>
          <w:szCs w:val="24"/>
          <w:lang w:val="en-GB"/>
        </w:rPr>
        <w:t>behaviour</w:t>
      </w:r>
      <w:r w:rsidRPr="00277328">
        <w:rPr>
          <w:szCs w:val="24"/>
          <w:lang w:val="en-GB"/>
        </w:rPr>
        <w:t xml:space="preserve"> is being described. Therefore, the validity of policy decisions can be challenged. </w:t>
      </w:r>
      <w:r w:rsidR="0036193E">
        <w:rPr>
          <w:szCs w:val="24"/>
          <w:lang w:val="en-GB"/>
        </w:rPr>
        <w:t>In this analysis, the efficiency of the conditional logit model has been established when compared with the advanced mixed logit model. However, further research should be</w:t>
      </w:r>
      <w:r w:rsidRPr="00277328">
        <w:rPr>
          <w:szCs w:val="24"/>
          <w:lang w:val="en-GB"/>
        </w:rPr>
        <w:t xml:space="preserve"> implemented in order to develop more advanced but also realistic econometric models. Future studies should focus on the use of alternative models that relax these types of ass</w:t>
      </w:r>
      <w:r w:rsidR="00CC2685" w:rsidRPr="00277328">
        <w:rPr>
          <w:szCs w:val="24"/>
          <w:lang w:val="en-GB"/>
        </w:rPr>
        <w:t xml:space="preserve">umptions </w:t>
      </w:r>
      <w:sdt>
        <w:sdtPr>
          <w:rPr>
            <w:szCs w:val="24"/>
            <w:lang w:val="en-GB"/>
          </w:rPr>
          <w:id w:val="40658372"/>
          <w:citation/>
        </w:sdtPr>
        <w:sdtContent>
          <w:r w:rsidR="00E93150" w:rsidRPr="00277328">
            <w:rPr>
              <w:szCs w:val="24"/>
              <w:lang w:val="en-GB"/>
            </w:rPr>
            <w:fldChar w:fldCharType="begin"/>
          </w:r>
          <w:r w:rsidR="00CC2685" w:rsidRPr="00277328">
            <w:rPr>
              <w:szCs w:val="24"/>
              <w:lang w:val="en-GB"/>
            </w:rPr>
            <w:instrText xml:space="preserve"> CITATION DeB12 \l 1033 </w:instrText>
          </w:r>
          <w:r w:rsidR="00E93150" w:rsidRPr="00277328">
            <w:rPr>
              <w:szCs w:val="24"/>
              <w:lang w:val="en-GB"/>
            </w:rPr>
            <w:fldChar w:fldCharType="separate"/>
          </w:r>
          <w:r w:rsidR="008930F2" w:rsidRPr="00277328">
            <w:rPr>
              <w:szCs w:val="24"/>
              <w:lang w:val="en-GB"/>
            </w:rPr>
            <w:t>(De Bekker-Grob, Ryan and Gerard 2012)</w:t>
          </w:r>
          <w:r w:rsidR="00E93150" w:rsidRPr="00277328">
            <w:rPr>
              <w:szCs w:val="24"/>
              <w:lang w:val="en-GB"/>
            </w:rPr>
            <w:fldChar w:fldCharType="end"/>
          </w:r>
        </w:sdtContent>
      </w:sdt>
      <w:r w:rsidRPr="00277328">
        <w:rPr>
          <w:szCs w:val="24"/>
          <w:lang w:val="en-GB"/>
        </w:rPr>
        <w:t>.</w:t>
      </w:r>
    </w:p>
    <w:p w:rsidR="00A42699" w:rsidRPr="00277328" w:rsidRDefault="00A42699" w:rsidP="00A42699">
      <w:pPr>
        <w:rPr>
          <w:szCs w:val="24"/>
          <w:lang w:val="en-GB"/>
        </w:rPr>
      </w:pPr>
      <w:r w:rsidRPr="00277328">
        <w:rPr>
          <w:szCs w:val="24"/>
          <w:lang w:val="en-GB"/>
        </w:rPr>
        <w:t>Finally, the population sample used in this analysis yells concerns regarding the validity and generalizability of the results. This survey did not target the general or patient population of Spain. It was addressed to specific policy makers, research associates and health managers in the pharmaceutical industry, based on the assumption that those individuals represent (at least partially) the preferences of the total population. However, this could lead to biased CLTs results and eventually to misguidance in health allocation decisions. In the future, relative weights of both policy makers and the public should be taken into account, in order to incorporate more comprehensive p</w:t>
      </w:r>
      <w:r w:rsidR="00CC2685" w:rsidRPr="00277328">
        <w:rPr>
          <w:szCs w:val="24"/>
          <w:lang w:val="en-GB"/>
        </w:rPr>
        <w:t xml:space="preserve">references in the sample </w:t>
      </w:r>
      <w:sdt>
        <w:sdtPr>
          <w:rPr>
            <w:szCs w:val="24"/>
            <w:lang w:val="en-GB"/>
          </w:rPr>
          <w:id w:val="40658373"/>
          <w:citation/>
        </w:sdtPr>
        <w:sdtContent>
          <w:r w:rsidR="00E93150" w:rsidRPr="00277328">
            <w:rPr>
              <w:szCs w:val="24"/>
              <w:lang w:val="en-GB"/>
            </w:rPr>
            <w:fldChar w:fldCharType="begin"/>
          </w:r>
          <w:r w:rsidR="00CC2685" w:rsidRPr="00277328">
            <w:rPr>
              <w:szCs w:val="24"/>
              <w:lang w:val="en-GB"/>
            </w:rPr>
            <w:instrText xml:space="preserve"> CITATION Bal061 \l 1033 </w:instrText>
          </w:r>
          <w:r w:rsidR="00E93150" w:rsidRPr="00277328">
            <w:rPr>
              <w:szCs w:val="24"/>
              <w:lang w:val="en-GB"/>
            </w:rPr>
            <w:fldChar w:fldCharType="separate"/>
          </w:r>
          <w:r w:rsidR="008930F2" w:rsidRPr="00277328">
            <w:rPr>
              <w:szCs w:val="24"/>
              <w:lang w:val="en-GB"/>
            </w:rPr>
            <w:t>(Baltussen, Stolk, et al. 2006)</w:t>
          </w:r>
          <w:r w:rsidR="00E93150" w:rsidRPr="00277328">
            <w:rPr>
              <w:szCs w:val="24"/>
              <w:lang w:val="en-GB"/>
            </w:rPr>
            <w:fldChar w:fldCharType="end"/>
          </w:r>
        </w:sdtContent>
      </w:sdt>
      <w:r w:rsidRPr="00277328">
        <w:rPr>
          <w:szCs w:val="24"/>
          <w:lang w:val="en-GB"/>
        </w:rPr>
        <w:t xml:space="preserve">. </w:t>
      </w:r>
    </w:p>
    <w:p w:rsidR="00A42699" w:rsidRPr="00277328" w:rsidRDefault="00A42699" w:rsidP="00A42699">
      <w:pPr>
        <w:rPr>
          <w:szCs w:val="24"/>
          <w:lang w:val="en-GB"/>
        </w:rPr>
      </w:pPr>
      <w:r w:rsidRPr="00277328">
        <w:rPr>
          <w:szCs w:val="24"/>
          <w:lang w:val="en-GB"/>
        </w:rPr>
        <w:t xml:space="preserve">Even more, the DCE application is based on stated preferences elicitation. This process, although convenient, is based on heuristics and hypothetical frameworks. Therefore, the </w:t>
      </w:r>
      <w:r w:rsidRPr="00277328">
        <w:rPr>
          <w:szCs w:val="24"/>
          <w:lang w:val="en-GB"/>
        </w:rPr>
        <w:lastRenderedPageBreak/>
        <w:t xml:space="preserve">preferences elicited do </w:t>
      </w:r>
      <w:r w:rsidR="009C7662">
        <w:rPr>
          <w:szCs w:val="24"/>
          <w:lang w:val="en-GB"/>
        </w:rPr>
        <w:t>not necessarily depict prioritis</w:t>
      </w:r>
      <w:r w:rsidRPr="00277328">
        <w:rPr>
          <w:szCs w:val="24"/>
          <w:lang w:val="en-GB"/>
        </w:rPr>
        <w:t>ation decisions in real-life setting. Further research should be implemented on the combination of stated and revealed preferences methods in future applica</w:t>
      </w:r>
      <w:r w:rsidR="00CC2685" w:rsidRPr="00277328">
        <w:rPr>
          <w:szCs w:val="24"/>
          <w:lang w:val="en-GB"/>
        </w:rPr>
        <w:t xml:space="preserve">tions of DCEs </w:t>
      </w:r>
      <w:sdt>
        <w:sdtPr>
          <w:rPr>
            <w:szCs w:val="24"/>
            <w:lang w:val="en-GB"/>
          </w:rPr>
          <w:id w:val="40658374"/>
          <w:citation/>
        </w:sdtPr>
        <w:sdtContent>
          <w:r w:rsidR="00E93150" w:rsidRPr="00277328">
            <w:rPr>
              <w:szCs w:val="24"/>
              <w:lang w:val="en-GB"/>
            </w:rPr>
            <w:fldChar w:fldCharType="begin"/>
          </w:r>
          <w:r w:rsidR="00CC2685" w:rsidRPr="00277328">
            <w:rPr>
              <w:szCs w:val="24"/>
              <w:lang w:val="en-GB"/>
            </w:rPr>
            <w:instrText xml:space="preserve"> CITATION Kja05 \l 1033 </w:instrText>
          </w:r>
          <w:r w:rsidR="00E93150" w:rsidRPr="00277328">
            <w:rPr>
              <w:szCs w:val="24"/>
              <w:lang w:val="en-GB"/>
            </w:rPr>
            <w:fldChar w:fldCharType="separate"/>
          </w:r>
          <w:r w:rsidR="008930F2" w:rsidRPr="00277328">
            <w:rPr>
              <w:szCs w:val="24"/>
              <w:lang w:val="en-GB"/>
            </w:rPr>
            <w:t>(Kjaer 2005)</w:t>
          </w:r>
          <w:r w:rsidR="00E93150" w:rsidRPr="00277328">
            <w:rPr>
              <w:szCs w:val="24"/>
              <w:lang w:val="en-GB"/>
            </w:rPr>
            <w:fldChar w:fldCharType="end"/>
          </w:r>
        </w:sdtContent>
      </w:sdt>
      <w:r w:rsidRPr="00277328">
        <w:rPr>
          <w:szCs w:val="24"/>
          <w:lang w:val="en-GB"/>
        </w:rPr>
        <w:t xml:space="preserve">. Finally, the results from this application are </w:t>
      </w:r>
      <w:r w:rsidR="000E2B36" w:rsidRPr="00277328">
        <w:rPr>
          <w:szCs w:val="24"/>
          <w:lang w:val="en-GB"/>
        </w:rPr>
        <w:t xml:space="preserve">comparable with other high-income countries but </w:t>
      </w:r>
      <w:r w:rsidRPr="00277328">
        <w:rPr>
          <w:szCs w:val="24"/>
          <w:lang w:val="en-GB"/>
        </w:rPr>
        <w:t>not directly genera</w:t>
      </w:r>
      <w:r w:rsidR="000E2B36" w:rsidRPr="00277328">
        <w:rPr>
          <w:szCs w:val="24"/>
          <w:lang w:val="en-GB"/>
        </w:rPr>
        <w:t>lizable to the settings of developing</w:t>
      </w:r>
      <w:r w:rsidRPr="00277328">
        <w:rPr>
          <w:szCs w:val="24"/>
          <w:lang w:val="en-GB"/>
        </w:rPr>
        <w:t xml:space="preserve"> countries. This is due to differences in the relevance of these criteria in other priority settings; the relative priority that policy makers in other countries attach to those criteria; and the characteristics of the interven</w:t>
      </w:r>
      <w:r w:rsidR="00CC2685" w:rsidRPr="00277328">
        <w:rPr>
          <w:szCs w:val="24"/>
          <w:lang w:val="en-GB"/>
        </w:rPr>
        <w:t>tions examined</w:t>
      </w:r>
      <w:r w:rsidRPr="00277328">
        <w:rPr>
          <w:szCs w:val="24"/>
          <w:lang w:val="en-GB"/>
        </w:rPr>
        <w:t xml:space="preserve">.  </w:t>
      </w:r>
    </w:p>
    <w:p w:rsidR="00950BD7" w:rsidRPr="001D3A0A" w:rsidRDefault="000E2B36">
      <w:pPr>
        <w:rPr>
          <w:lang w:val="en-GB"/>
        </w:rPr>
      </w:pPr>
      <w:r w:rsidRPr="00277328">
        <w:rPr>
          <w:lang w:val="en-GB"/>
        </w:rPr>
        <w:t>Overall, MCDA</w:t>
      </w:r>
      <w:r w:rsidR="00FE2823" w:rsidRPr="00277328">
        <w:rPr>
          <w:lang w:val="en-GB"/>
        </w:rPr>
        <w:t xml:space="preserve"> offers further insights in priority setting of health interventions, by incorporating a wider range of relevant criteria. However, it has been argued that a potential disadvantage of this analysis is that important information is ignored, since the performance of the criteria is assessed on the basis of a single outcome, i.e. the probability of selecti</w:t>
      </w:r>
      <w:r w:rsidR="00CC2685" w:rsidRPr="00277328">
        <w:rPr>
          <w:lang w:val="en-GB"/>
        </w:rPr>
        <w:t xml:space="preserve">on </w:t>
      </w:r>
      <w:sdt>
        <w:sdtPr>
          <w:rPr>
            <w:lang w:val="en-GB"/>
          </w:rPr>
          <w:id w:val="40658375"/>
          <w:citation/>
        </w:sdtPr>
        <w:sdtContent>
          <w:r w:rsidR="00E93150" w:rsidRPr="00277328">
            <w:rPr>
              <w:lang w:val="en-GB"/>
            </w:rPr>
            <w:fldChar w:fldCharType="begin"/>
          </w:r>
          <w:r w:rsidR="00FB0F77" w:rsidRPr="00277328">
            <w:rPr>
              <w:lang w:val="en-GB"/>
            </w:rPr>
            <w:instrText xml:space="preserve"> CITATION Bae10 \l 1033 </w:instrText>
          </w:r>
          <w:r w:rsidR="00E93150" w:rsidRPr="00277328">
            <w:rPr>
              <w:lang w:val="en-GB"/>
            </w:rPr>
            <w:fldChar w:fldCharType="separate"/>
          </w:r>
          <w:r w:rsidR="008930F2" w:rsidRPr="00277328">
            <w:rPr>
              <w:lang w:val="en-GB"/>
            </w:rPr>
            <w:t>(Baeten, et al. 2010)</w:t>
          </w:r>
          <w:r w:rsidR="00E93150" w:rsidRPr="00277328">
            <w:rPr>
              <w:lang w:val="en-GB"/>
            </w:rPr>
            <w:fldChar w:fldCharType="end"/>
          </w:r>
        </w:sdtContent>
      </w:sdt>
      <w:r w:rsidR="00FE2823" w:rsidRPr="00277328">
        <w:rPr>
          <w:lang w:val="en-GB"/>
        </w:rPr>
        <w:t xml:space="preserve">. Given that the levels of criteria used in this thesis are similar for all interventions examined, the respondents could have faced difficulties in formulating their preferences. </w:t>
      </w:r>
    </w:p>
    <w:p w:rsidR="001D3A0A" w:rsidRDefault="001D3A0A">
      <w:pPr>
        <w:rPr>
          <w:rFonts w:eastAsiaTheme="majorEastAsia" w:cstheme="majorBidi"/>
          <w:b/>
          <w:bCs/>
          <w:sz w:val="28"/>
          <w:szCs w:val="28"/>
          <w:lang w:val="en-GB"/>
        </w:rPr>
      </w:pPr>
      <w:r>
        <w:rPr>
          <w:lang w:val="en-GB"/>
        </w:rPr>
        <w:br w:type="page"/>
      </w:r>
    </w:p>
    <w:p w:rsidR="009666D9" w:rsidRPr="00277328" w:rsidRDefault="009666D9" w:rsidP="006555F2">
      <w:pPr>
        <w:pStyle w:val="Heading1"/>
        <w:rPr>
          <w:lang w:val="en-GB"/>
        </w:rPr>
      </w:pPr>
      <w:bookmarkStart w:id="39" w:name="_Toc367791030"/>
      <w:r w:rsidRPr="00277328">
        <w:rPr>
          <w:lang w:val="en-GB"/>
        </w:rPr>
        <w:lastRenderedPageBreak/>
        <w:t>CONCLUDING REMARKS</w:t>
      </w:r>
      <w:bookmarkEnd w:id="39"/>
    </w:p>
    <w:p w:rsidR="00F23F6E" w:rsidRPr="00277328" w:rsidRDefault="00F23F6E" w:rsidP="00F23F6E">
      <w:pPr>
        <w:rPr>
          <w:lang w:val="en-GB"/>
        </w:rPr>
      </w:pPr>
      <w:r w:rsidRPr="00277328">
        <w:rPr>
          <w:lang w:val="en-GB"/>
        </w:rPr>
        <w:t xml:space="preserve">Decisions on the choice of health interventions and resource allocation can be complex and affected by multiple factors. Multi-criteria decision analysis (MCDA) allows </w:t>
      </w:r>
      <w:r w:rsidR="009C7662">
        <w:rPr>
          <w:lang w:val="en-GB"/>
        </w:rPr>
        <w:t>for a more transparent prioritis</w:t>
      </w:r>
      <w:r w:rsidRPr="00277328">
        <w:rPr>
          <w:lang w:val="en-GB"/>
        </w:rPr>
        <w:t>ation process and may be a valuable tool to evaluate health system efforts in terms of equity and ef</w:t>
      </w:r>
      <w:r w:rsidR="00CC2685" w:rsidRPr="00277328">
        <w:rPr>
          <w:lang w:val="en-GB"/>
        </w:rPr>
        <w:t>ficiency</w:t>
      </w:r>
      <w:r w:rsidRPr="00277328">
        <w:rPr>
          <w:lang w:val="en-GB"/>
        </w:rPr>
        <w:t>. A DCE has been applied in Spain using general priority criteria with equity/efficiency characteristics. While the findings of this thesis should be considered as explorative in nature, they provide further insights concerning the underlying equity/efficiency trade-offs in health c</w:t>
      </w:r>
      <w:r w:rsidR="00CC2685" w:rsidRPr="00277328">
        <w:rPr>
          <w:lang w:val="en-GB"/>
        </w:rPr>
        <w:t>are decision processes</w:t>
      </w:r>
      <w:r w:rsidRPr="00277328">
        <w:rPr>
          <w:lang w:val="en-GB"/>
        </w:rPr>
        <w:t>. Such applications establish a shift towards evidence-b</w:t>
      </w:r>
      <w:r w:rsidR="009C7662">
        <w:rPr>
          <w:lang w:val="en-GB"/>
        </w:rPr>
        <w:t>ased approaches in the prioritis</w:t>
      </w:r>
      <w:r w:rsidRPr="00277328">
        <w:rPr>
          <w:lang w:val="en-GB"/>
        </w:rPr>
        <w:t xml:space="preserve">ation of health interventions. Therefore, they could lead to better informed and transparent decisions in health care priority setting. </w:t>
      </w:r>
    </w:p>
    <w:p w:rsidR="009666D9" w:rsidRPr="00277328" w:rsidRDefault="00F23F6E" w:rsidP="00F23F6E">
      <w:pPr>
        <w:rPr>
          <w:lang w:val="en-GB"/>
        </w:rPr>
      </w:pPr>
      <w:r w:rsidRPr="00277328">
        <w:rPr>
          <w:lang w:val="en-GB"/>
        </w:rPr>
        <w:t xml:space="preserve">Based on the empirical results, this thesis focuses on mental disorders. </w:t>
      </w:r>
      <w:r w:rsidR="009666D9" w:rsidRPr="00277328">
        <w:rPr>
          <w:lang w:val="en-GB"/>
        </w:rPr>
        <w:t xml:space="preserve">Worldwide, mental health is considered to be an important determinant of individuals’ well-being. However mental disorders have been one of the most neglected policy areas. Several studies initiated by WHO and other relevant organizations, indicated that the economic and disease burden of mental illness has sharply increased during the last decades. Based on these results, many European countries established mental health strategies towards improvements in mental health care financing and delivery. Nonetheless, significant increases in the prevalence of mental disorders, accompanied by financial constraints due to the global economic crisis, impose further challenges for policy makers. </w:t>
      </w:r>
    </w:p>
    <w:p w:rsidR="009666D9" w:rsidRPr="00277328" w:rsidRDefault="009666D9" w:rsidP="009666D9">
      <w:pPr>
        <w:rPr>
          <w:lang w:val="en-GB"/>
        </w:rPr>
      </w:pPr>
      <w:r w:rsidRPr="00277328">
        <w:rPr>
          <w:lang w:val="en-GB"/>
        </w:rPr>
        <w:t xml:space="preserve">Spain is an example of a country that has undergone significant economic and institutional transitions within the last decades. The establishment of the Spanish NHS and the devolution of health responsibilities to the 17 autonomous communities had ambiguous results. There has been a shift towards comprehensive, community-based health care provision, which reassured treatment for all the individuals in need. However, geographical disparities in health care access and funding are being observed, resulting in health inequalities within the country. This phenomenon is exacerbated by the recent economic downturn in Spain, which had several health and economic consequences. </w:t>
      </w:r>
    </w:p>
    <w:p w:rsidR="009666D9" w:rsidRPr="00277328" w:rsidRDefault="009666D9" w:rsidP="009666D9">
      <w:pPr>
        <w:rPr>
          <w:lang w:val="en-GB"/>
        </w:rPr>
      </w:pPr>
      <w:r w:rsidRPr="00277328">
        <w:rPr>
          <w:lang w:val="en-GB"/>
        </w:rPr>
        <w:t>Despite the establishment of effective mental health strategies in Spain, mental health care is still considered underfunded, while inequalities in mental health care access are growing. It therefore becomes apparent that further reforms are needed, targeting the improvement of mental health services. In other words, further initiatives are required, in order to improve the overall efficiency of the Spanish health system, as well as to correct for health inequalities. To this end, guidelines to policy make</w:t>
      </w:r>
      <w:r w:rsidR="009C7662">
        <w:rPr>
          <w:lang w:val="en-GB"/>
        </w:rPr>
        <w:t>rs concerning rational prioritis</w:t>
      </w:r>
      <w:r w:rsidRPr="00277328">
        <w:rPr>
          <w:lang w:val="en-GB"/>
        </w:rPr>
        <w:t>ation processes can deem extremely useful.</w:t>
      </w:r>
    </w:p>
    <w:p w:rsidR="009666D9" w:rsidRPr="00277328" w:rsidRDefault="00F23F6E" w:rsidP="009666D9">
      <w:pPr>
        <w:rPr>
          <w:lang w:val="en-GB"/>
        </w:rPr>
      </w:pPr>
      <w:r w:rsidRPr="00277328">
        <w:rPr>
          <w:lang w:val="en-GB"/>
        </w:rPr>
        <w:t>The findings of this analysis confirmed current policy strategies withi</w:t>
      </w:r>
      <w:r w:rsidR="001C7785" w:rsidRPr="00277328">
        <w:rPr>
          <w:lang w:val="en-GB"/>
        </w:rPr>
        <w:t xml:space="preserve">n the Spanish health system and illuminated potential policy recommendations, based on European and local standards. To </w:t>
      </w:r>
      <w:r w:rsidR="009666D9" w:rsidRPr="00277328">
        <w:rPr>
          <w:lang w:val="en-GB"/>
        </w:rPr>
        <w:t>conclude, this thesis demonstrated the feasibility of DCE approaches to account for several criteria relevant to po</w:t>
      </w:r>
      <w:r w:rsidR="009C7662">
        <w:rPr>
          <w:lang w:val="en-GB"/>
        </w:rPr>
        <w:t>licy making and inform prioritis</w:t>
      </w:r>
      <w:r w:rsidR="009666D9" w:rsidRPr="00277328">
        <w:rPr>
          <w:lang w:val="en-GB"/>
        </w:rPr>
        <w:t xml:space="preserve">ation processes among health interventions. Despite its potential drawbacks, the utilization of MCDA in guiding rational priority setting exhibits growing acceptance within the field of health economics. Future studies could suggest improvements in the experimental design and the </w:t>
      </w:r>
      <w:r w:rsidR="009666D9" w:rsidRPr="00277328">
        <w:rPr>
          <w:lang w:val="en-GB"/>
        </w:rPr>
        <w:lastRenderedPageBreak/>
        <w:t xml:space="preserve">statistical analysis of the model examined. Still, the establishment of DCEs as a rational priority setting method is a big step towards alternative approaches in policy making worldwide. </w:t>
      </w:r>
    </w:p>
    <w:p w:rsidR="009666D9" w:rsidRPr="00277328" w:rsidRDefault="009666D9">
      <w:pPr>
        <w:rPr>
          <w:lang w:val="en-GB"/>
        </w:rPr>
      </w:pPr>
    </w:p>
    <w:p w:rsidR="001C7785" w:rsidRPr="00277328" w:rsidRDefault="001C7785">
      <w:pPr>
        <w:rPr>
          <w:lang w:val="en-GB"/>
        </w:rPr>
      </w:pPr>
    </w:p>
    <w:p w:rsidR="001C7785" w:rsidRPr="00277328" w:rsidRDefault="001C7785">
      <w:pPr>
        <w:rPr>
          <w:lang w:val="en-GB"/>
        </w:rPr>
      </w:pPr>
    </w:p>
    <w:p w:rsidR="001C7785" w:rsidRPr="00277328" w:rsidRDefault="001C7785">
      <w:pPr>
        <w:rPr>
          <w:lang w:val="en-GB"/>
        </w:rPr>
      </w:pPr>
    </w:p>
    <w:p w:rsidR="001C7785" w:rsidRPr="00277328" w:rsidRDefault="001C7785">
      <w:pPr>
        <w:rPr>
          <w:lang w:val="en-GB"/>
        </w:rPr>
      </w:pPr>
    </w:p>
    <w:p w:rsidR="001C7785" w:rsidRPr="00277328" w:rsidRDefault="001C7785">
      <w:pPr>
        <w:rPr>
          <w:lang w:val="en-GB"/>
        </w:rPr>
      </w:pPr>
    </w:p>
    <w:p w:rsidR="001C7785" w:rsidRPr="00277328" w:rsidRDefault="001C7785">
      <w:pPr>
        <w:rPr>
          <w:lang w:val="en-GB"/>
        </w:rPr>
      </w:pPr>
    </w:p>
    <w:p w:rsidR="001C7785" w:rsidRPr="00277328" w:rsidRDefault="001C7785">
      <w:pPr>
        <w:rPr>
          <w:lang w:val="en-GB"/>
        </w:rPr>
      </w:pPr>
    </w:p>
    <w:p w:rsidR="001C7785" w:rsidRPr="00277328" w:rsidRDefault="001C7785">
      <w:pPr>
        <w:rPr>
          <w:lang w:val="en-GB"/>
        </w:rPr>
      </w:pPr>
    </w:p>
    <w:p w:rsidR="001C7785" w:rsidRPr="00277328" w:rsidRDefault="001C7785">
      <w:pPr>
        <w:rPr>
          <w:lang w:val="en-GB"/>
        </w:rPr>
      </w:pPr>
    </w:p>
    <w:p w:rsidR="001C7785" w:rsidRPr="00277328" w:rsidRDefault="001C7785">
      <w:pPr>
        <w:rPr>
          <w:lang w:val="en-GB"/>
        </w:rPr>
      </w:pPr>
    </w:p>
    <w:p w:rsidR="001C7785" w:rsidRPr="00277328" w:rsidRDefault="001C7785">
      <w:pPr>
        <w:rPr>
          <w:lang w:val="en-GB"/>
        </w:rPr>
      </w:pPr>
    </w:p>
    <w:p w:rsidR="001C7785" w:rsidRPr="00277328" w:rsidRDefault="001C7785">
      <w:pPr>
        <w:rPr>
          <w:lang w:val="en-GB"/>
        </w:rPr>
      </w:pPr>
    </w:p>
    <w:p w:rsidR="001C7785" w:rsidRPr="00277328" w:rsidRDefault="001C7785">
      <w:pPr>
        <w:rPr>
          <w:lang w:val="en-GB"/>
        </w:rPr>
      </w:pPr>
    </w:p>
    <w:p w:rsidR="001C7785" w:rsidRPr="00277328" w:rsidRDefault="001C7785">
      <w:pPr>
        <w:rPr>
          <w:lang w:val="en-GB"/>
        </w:rPr>
      </w:pPr>
    </w:p>
    <w:p w:rsidR="001C7785" w:rsidRPr="00277328" w:rsidRDefault="001C7785">
      <w:pPr>
        <w:rPr>
          <w:lang w:val="en-GB"/>
        </w:rPr>
      </w:pPr>
    </w:p>
    <w:p w:rsidR="001C7785" w:rsidRPr="00277328" w:rsidRDefault="001C7785">
      <w:pPr>
        <w:rPr>
          <w:lang w:val="en-GB"/>
        </w:rPr>
      </w:pPr>
    </w:p>
    <w:p w:rsidR="001C7785" w:rsidRPr="00277328" w:rsidRDefault="001C7785">
      <w:pPr>
        <w:rPr>
          <w:lang w:val="en-GB"/>
        </w:rPr>
      </w:pPr>
    </w:p>
    <w:p w:rsidR="001C7785" w:rsidRPr="00277328" w:rsidRDefault="001C7785">
      <w:pPr>
        <w:rPr>
          <w:lang w:val="en-GB"/>
        </w:rPr>
      </w:pPr>
    </w:p>
    <w:p w:rsidR="001C7785" w:rsidRPr="00277328" w:rsidRDefault="001C7785">
      <w:pPr>
        <w:rPr>
          <w:lang w:val="en-GB"/>
        </w:rPr>
      </w:pPr>
    </w:p>
    <w:p w:rsidR="001C7785" w:rsidRPr="00277328" w:rsidRDefault="001C7785">
      <w:pPr>
        <w:rPr>
          <w:lang w:val="en-GB"/>
        </w:rPr>
      </w:pPr>
    </w:p>
    <w:p w:rsidR="006555F2" w:rsidRPr="00277328" w:rsidRDefault="006555F2">
      <w:pPr>
        <w:rPr>
          <w:b/>
          <w:sz w:val="28"/>
          <w:szCs w:val="28"/>
          <w:lang w:val="en-GB"/>
        </w:rPr>
      </w:pPr>
      <w:r w:rsidRPr="00277328">
        <w:rPr>
          <w:b/>
          <w:sz w:val="28"/>
          <w:szCs w:val="28"/>
          <w:lang w:val="en-GB"/>
        </w:rPr>
        <w:br w:type="page"/>
      </w:r>
    </w:p>
    <w:p w:rsidR="001C7785" w:rsidRPr="00277328" w:rsidRDefault="001C7785">
      <w:pPr>
        <w:rPr>
          <w:b/>
          <w:sz w:val="24"/>
          <w:szCs w:val="24"/>
          <w:lang w:val="en-GB"/>
        </w:rPr>
      </w:pPr>
      <w:bookmarkStart w:id="40" w:name="_Toc367731386"/>
      <w:bookmarkStart w:id="41" w:name="_Toc367791031"/>
      <w:r w:rsidRPr="00277328">
        <w:rPr>
          <w:rStyle w:val="Heading1Char"/>
          <w:lang w:val="en-GB"/>
        </w:rPr>
        <w:lastRenderedPageBreak/>
        <w:t>APPENDIX A</w:t>
      </w:r>
      <w:bookmarkEnd w:id="40"/>
      <w:bookmarkEnd w:id="41"/>
      <w:r w:rsidRPr="00277328">
        <w:rPr>
          <w:b/>
          <w:sz w:val="28"/>
          <w:szCs w:val="28"/>
          <w:lang w:val="en-GB"/>
        </w:rPr>
        <w:t xml:space="preserve">- </w:t>
      </w:r>
      <w:r w:rsidRPr="00277328">
        <w:rPr>
          <w:b/>
          <w:sz w:val="24"/>
          <w:szCs w:val="24"/>
          <w:lang w:val="en-GB"/>
        </w:rPr>
        <w:t xml:space="preserve">Example of pair comparison </w:t>
      </w:r>
      <w:r w:rsidR="00616D9F" w:rsidRPr="00277328">
        <w:rPr>
          <w:b/>
          <w:sz w:val="24"/>
          <w:szCs w:val="24"/>
          <w:lang w:val="en-GB"/>
        </w:rPr>
        <w:t xml:space="preserve">scenario </w:t>
      </w:r>
      <w:r w:rsidRPr="00277328">
        <w:rPr>
          <w:b/>
          <w:sz w:val="24"/>
          <w:szCs w:val="24"/>
          <w:lang w:val="en-GB"/>
        </w:rPr>
        <w:t>in the questionnaire</w:t>
      </w:r>
    </w:p>
    <w:tbl>
      <w:tblPr>
        <w:tblStyle w:val="-12"/>
        <w:tblW w:w="0" w:type="auto"/>
        <w:tblLook w:val="04A0"/>
      </w:tblPr>
      <w:tblGrid>
        <w:gridCol w:w="4143"/>
        <w:gridCol w:w="2071"/>
        <w:gridCol w:w="2072"/>
      </w:tblGrid>
      <w:tr w:rsidR="00616D9F" w:rsidRPr="00277328" w:rsidTr="00772C63">
        <w:trPr>
          <w:cnfStyle w:val="100000000000"/>
        </w:trPr>
        <w:tc>
          <w:tcPr>
            <w:cnfStyle w:val="001000000000"/>
            <w:tcW w:w="8286" w:type="dxa"/>
            <w:gridSpan w:val="3"/>
            <w:tcBorders>
              <w:left w:val="single" w:sz="8" w:space="0" w:color="4F81BD" w:themeColor="accent1"/>
              <w:right w:val="single" w:sz="8" w:space="0" w:color="4F81BD" w:themeColor="accent1"/>
            </w:tcBorders>
          </w:tcPr>
          <w:p w:rsidR="00616D9F" w:rsidRPr="00277328" w:rsidRDefault="00616D9F" w:rsidP="00616D9F">
            <w:pPr>
              <w:jc w:val="center"/>
              <w:rPr>
                <w:rFonts w:cstheme="minorHAnsi"/>
                <w:color w:val="auto"/>
                <w:sz w:val="28"/>
                <w:szCs w:val="28"/>
                <w:lang w:val="en-GB"/>
              </w:rPr>
            </w:pPr>
            <w:r w:rsidRPr="00277328">
              <w:rPr>
                <w:rFonts w:cstheme="minorHAnsi"/>
                <w:color w:val="auto"/>
                <w:sz w:val="28"/>
                <w:szCs w:val="28"/>
                <w:lang w:val="en-GB"/>
              </w:rPr>
              <w:t>Example scenario</w:t>
            </w:r>
          </w:p>
        </w:tc>
      </w:tr>
      <w:tr w:rsidR="00616D9F" w:rsidRPr="00277328" w:rsidTr="00772C63">
        <w:trPr>
          <w:cnfStyle w:val="000000100000"/>
        </w:trPr>
        <w:tc>
          <w:tcPr>
            <w:cnfStyle w:val="001000000000"/>
            <w:tcW w:w="8286" w:type="dxa"/>
            <w:gridSpan w:val="3"/>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616D9F" w:rsidRPr="00277328" w:rsidRDefault="00616D9F" w:rsidP="00616D9F">
            <w:pPr>
              <w:pStyle w:val="Default"/>
              <w:rPr>
                <w:rFonts w:asciiTheme="minorHAnsi" w:hAnsiTheme="minorHAnsi" w:cstheme="minorHAnsi"/>
                <w:b w:val="0"/>
                <w:lang w:val="en-GB"/>
              </w:rPr>
            </w:pPr>
            <w:r w:rsidRPr="00277328">
              <w:rPr>
                <w:rFonts w:asciiTheme="minorHAnsi" w:hAnsiTheme="minorHAnsi" w:cstheme="minorHAnsi"/>
                <w:b w:val="0"/>
                <w:lang w:val="en-GB"/>
              </w:rPr>
              <w:t xml:space="preserve">If these were your only options, which would you choose? Check one of the options below: </w:t>
            </w:r>
          </w:p>
        </w:tc>
      </w:tr>
      <w:tr w:rsidR="00254810" w:rsidRPr="00277328" w:rsidTr="00772C63">
        <w:tc>
          <w:tcPr>
            <w:cnfStyle w:val="001000000000"/>
            <w:tcW w:w="414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254810" w:rsidRPr="00277328" w:rsidRDefault="00254810" w:rsidP="00616D9F">
            <w:pPr>
              <w:pStyle w:val="Default"/>
              <w:rPr>
                <w:sz w:val="22"/>
                <w:szCs w:val="22"/>
                <w:lang w:val="en-GB"/>
              </w:rPr>
            </w:pPr>
          </w:p>
        </w:tc>
        <w:tc>
          <w:tcPr>
            <w:tcW w:w="2071"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254810" w:rsidRPr="00277328" w:rsidRDefault="008B10A1" w:rsidP="00616D9F">
            <w:pPr>
              <w:pStyle w:val="Default"/>
              <w:cnfStyle w:val="000000000000"/>
              <w:rPr>
                <w:rFonts w:asciiTheme="minorHAnsi" w:hAnsiTheme="minorHAnsi" w:cstheme="minorHAnsi"/>
                <w:b/>
                <w:bCs/>
                <w:lang w:val="en-GB"/>
              </w:rPr>
            </w:pPr>
            <w:r w:rsidRPr="00277328">
              <w:rPr>
                <w:rFonts w:asciiTheme="minorHAnsi" w:hAnsiTheme="minorHAnsi" w:cstheme="minorHAnsi"/>
                <w:b/>
                <w:bCs/>
                <w:lang w:val="en-GB"/>
              </w:rPr>
              <w:t>Alternative</w:t>
            </w:r>
            <w:r w:rsidR="00254810" w:rsidRPr="00277328">
              <w:rPr>
                <w:rFonts w:asciiTheme="minorHAnsi" w:hAnsiTheme="minorHAnsi" w:cstheme="minorHAnsi"/>
                <w:b/>
                <w:bCs/>
                <w:lang w:val="en-GB"/>
              </w:rPr>
              <w:t xml:space="preserve"> A</w:t>
            </w:r>
          </w:p>
        </w:tc>
        <w:tc>
          <w:tcPr>
            <w:tcW w:w="207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254810" w:rsidRPr="00277328" w:rsidRDefault="008B10A1" w:rsidP="00616D9F">
            <w:pPr>
              <w:pStyle w:val="Default"/>
              <w:cnfStyle w:val="000000000000"/>
              <w:rPr>
                <w:rFonts w:asciiTheme="minorHAnsi" w:hAnsiTheme="minorHAnsi" w:cstheme="minorHAnsi"/>
                <w:b/>
                <w:bCs/>
                <w:lang w:val="en-GB"/>
              </w:rPr>
            </w:pPr>
            <w:r w:rsidRPr="00277328">
              <w:rPr>
                <w:rFonts w:asciiTheme="minorHAnsi" w:hAnsiTheme="minorHAnsi" w:cstheme="minorHAnsi"/>
                <w:b/>
                <w:bCs/>
                <w:lang w:val="en-GB"/>
              </w:rPr>
              <w:t>Alternative</w:t>
            </w:r>
            <w:r w:rsidR="00254810" w:rsidRPr="00277328">
              <w:rPr>
                <w:rFonts w:asciiTheme="minorHAnsi" w:hAnsiTheme="minorHAnsi" w:cstheme="minorHAnsi"/>
                <w:b/>
                <w:bCs/>
                <w:lang w:val="en-GB"/>
              </w:rPr>
              <w:t xml:space="preserve"> B</w:t>
            </w:r>
          </w:p>
        </w:tc>
      </w:tr>
      <w:tr w:rsidR="00254810" w:rsidRPr="00277328" w:rsidTr="00772C63">
        <w:trPr>
          <w:cnfStyle w:val="000000100000"/>
        </w:trPr>
        <w:tc>
          <w:tcPr>
            <w:cnfStyle w:val="001000000000"/>
            <w:tcW w:w="414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254810" w:rsidRPr="00277328" w:rsidRDefault="00254810" w:rsidP="00616D9F">
            <w:pPr>
              <w:pStyle w:val="Default"/>
              <w:rPr>
                <w:rFonts w:asciiTheme="minorHAnsi" w:hAnsiTheme="minorHAnsi" w:cstheme="minorHAnsi"/>
                <w:lang w:val="en-GB"/>
              </w:rPr>
            </w:pPr>
            <w:r w:rsidRPr="00277328">
              <w:rPr>
                <w:rFonts w:asciiTheme="minorHAnsi" w:hAnsiTheme="minorHAnsi" w:cstheme="minorHAnsi"/>
                <w:lang w:val="en-GB"/>
              </w:rPr>
              <w:t xml:space="preserve">Severity of disease                                                 </w:t>
            </w:r>
          </w:p>
        </w:tc>
        <w:tc>
          <w:tcPr>
            <w:tcW w:w="2071"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254810" w:rsidRPr="00277328" w:rsidRDefault="00254810" w:rsidP="00616D9F">
            <w:pPr>
              <w:pStyle w:val="Default"/>
              <w:cnfStyle w:val="000000100000"/>
              <w:rPr>
                <w:rFonts w:asciiTheme="minorHAnsi" w:hAnsiTheme="minorHAnsi" w:cstheme="minorHAnsi"/>
                <w:bCs/>
                <w:lang w:val="en-GB"/>
              </w:rPr>
            </w:pPr>
            <w:r w:rsidRPr="00277328">
              <w:rPr>
                <w:rFonts w:asciiTheme="minorHAnsi" w:hAnsiTheme="minorHAnsi" w:cstheme="minorHAnsi"/>
                <w:bCs/>
                <w:lang w:val="en-GB"/>
              </w:rPr>
              <w:t>Severe</w:t>
            </w:r>
          </w:p>
          <w:p w:rsidR="00254810" w:rsidRPr="00277328" w:rsidRDefault="00254810" w:rsidP="00616D9F">
            <w:pPr>
              <w:pStyle w:val="Default"/>
              <w:cnfStyle w:val="000000100000"/>
              <w:rPr>
                <w:rFonts w:asciiTheme="minorHAnsi" w:hAnsiTheme="minorHAnsi" w:cstheme="minorHAnsi"/>
                <w:bCs/>
                <w:lang w:val="en-GB"/>
              </w:rPr>
            </w:pPr>
            <w:r w:rsidRPr="00277328">
              <w:rPr>
                <w:rFonts w:asciiTheme="minorHAnsi" w:hAnsiTheme="minorHAnsi" w:cstheme="minorHAnsi"/>
                <w:bCs/>
                <w:lang w:val="en-GB"/>
              </w:rPr>
              <w:t>Health expectancy &lt; 2 years without intervention</w:t>
            </w:r>
          </w:p>
        </w:tc>
        <w:tc>
          <w:tcPr>
            <w:tcW w:w="207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95B3D7" w:themeFill="accent1" w:themeFillTint="99"/>
          </w:tcPr>
          <w:p w:rsidR="00254810" w:rsidRPr="00277328" w:rsidRDefault="00254810" w:rsidP="00616D9F">
            <w:pPr>
              <w:pStyle w:val="Default"/>
              <w:cnfStyle w:val="000000100000"/>
              <w:rPr>
                <w:rFonts w:asciiTheme="minorHAnsi" w:hAnsiTheme="minorHAnsi" w:cstheme="minorHAnsi"/>
                <w:bCs/>
                <w:lang w:val="en-GB"/>
              </w:rPr>
            </w:pPr>
            <w:r w:rsidRPr="00277328">
              <w:rPr>
                <w:rFonts w:asciiTheme="minorHAnsi" w:hAnsiTheme="minorHAnsi" w:cstheme="minorHAnsi"/>
                <w:bCs/>
                <w:lang w:val="en-GB"/>
              </w:rPr>
              <w:t>Not severe</w:t>
            </w:r>
          </w:p>
          <w:p w:rsidR="00254810" w:rsidRPr="00277328" w:rsidRDefault="00254810" w:rsidP="00616D9F">
            <w:pPr>
              <w:pStyle w:val="Default"/>
              <w:cnfStyle w:val="000000100000"/>
              <w:rPr>
                <w:rFonts w:asciiTheme="minorHAnsi" w:hAnsiTheme="minorHAnsi" w:cstheme="minorHAnsi"/>
                <w:bCs/>
                <w:lang w:val="en-GB"/>
              </w:rPr>
            </w:pPr>
            <w:r w:rsidRPr="00277328">
              <w:rPr>
                <w:rFonts w:asciiTheme="minorHAnsi" w:hAnsiTheme="minorHAnsi" w:cstheme="minorHAnsi"/>
                <w:bCs/>
                <w:lang w:val="en-GB"/>
              </w:rPr>
              <w:t>Health expectancy &gt; 2 years without intervention</w:t>
            </w:r>
          </w:p>
        </w:tc>
      </w:tr>
      <w:tr w:rsidR="00254810" w:rsidRPr="00277328" w:rsidTr="00395B76">
        <w:tc>
          <w:tcPr>
            <w:cnfStyle w:val="001000000000"/>
            <w:tcW w:w="414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254810" w:rsidRPr="00277328" w:rsidRDefault="00254810" w:rsidP="00616D9F">
            <w:pPr>
              <w:pStyle w:val="Default"/>
              <w:rPr>
                <w:rFonts w:asciiTheme="minorHAnsi" w:hAnsiTheme="minorHAnsi" w:cstheme="minorHAnsi"/>
                <w:lang w:val="en-GB"/>
              </w:rPr>
            </w:pPr>
            <w:r w:rsidRPr="00277328">
              <w:rPr>
                <w:rFonts w:asciiTheme="minorHAnsi" w:hAnsiTheme="minorHAnsi" w:cstheme="minorHAnsi"/>
                <w:lang w:val="en-GB"/>
              </w:rPr>
              <w:t>Number of potential beneficiaries</w:t>
            </w:r>
          </w:p>
        </w:tc>
        <w:tc>
          <w:tcPr>
            <w:tcW w:w="2071"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254810" w:rsidRPr="00277328" w:rsidRDefault="00254810" w:rsidP="00616D9F">
            <w:pPr>
              <w:pStyle w:val="Default"/>
              <w:cnfStyle w:val="000000000000"/>
              <w:rPr>
                <w:rFonts w:asciiTheme="minorHAnsi" w:hAnsiTheme="minorHAnsi" w:cstheme="minorHAnsi"/>
                <w:bCs/>
                <w:lang w:val="en-GB"/>
              </w:rPr>
            </w:pPr>
            <w:r w:rsidRPr="00277328">
              <w:rPr>
                <w:rFonts w:asciiTheme="minorHAnsi" w:hAnsiTheme="minorHAnsi" w:cstheme="minorHAnsi"/>
                <w:bCs/>
                <w:lang w:val="en-GB"/>
              </w:rPr>
              <w:t>Many ( &gt; 100 000)</w:t>
            </w:r>
          </w:p>
        </w:tc>
        <w:tc>
          <w:tcPr>
            <w:tcW w:w="207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254810" w:rsidRPr="00277328" w:rsidRDefault="00254810" w:rsidP="00616D9F">
            <w:pPr>
              <w:pStyle w:val="Default"/>
              <w:cnfStyle w:val="000000000000"/>
              <w:rPr>
                <w:rFonts w:asciiTheme="minorHAnsi" w:hAnsiTheme="minorHAnsi" w:cstheme="minorHAnsi"/>
                <w:bCs/>
                <w:lang w:val="en-GB"/>
              </w:rPr>
            </w:pPr>
            <w:r w:rsidRPr="00277328">
              <w:rPr>
                <w:rFonts w:asciiTheme="minorHAnsi" w:hAnsiTheme="minorHAnsi" w:cstheme="minorHAnsi"/>
                <w:bCs/>
                <w:lang w:val="en-GB"/>
              </w:rPr>
              <w:t>Few ( &lt; 100 000)</w:t>
            </w:r>
          </w:p>
        </w:tc>
      </w:tr>
      <w:tr w:rsidR="00254810" w:rsidRPr="00277328" w:rsidTr="00395B76">
        <w:trPr>
          <w:cnfStyle w:val="000000100000"/>
        </w:trPr>
        <w:tc>
          <w:tcPr>
            <w:cnfStyle w:val="001000000000"/>
            <w:tcW w:w="414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254810" w:rsidRPr="00277328" w:rsidRDefault="00254810" w:rsidP="00616D9F">
            <w:pPr>
              <w:pStyle w:val="Default"/>
              <w:rPr>
                <w:rFonts w:asciiTheme="minorHAnsi" w:hAnsiTheme="minorHAnsi" w:cstheme="minorHAnsi"/>
                <w:lang w:val="en-GB"/>
              </w:rPr>
            </w:pPr>
            <w:r w:rsidRPr="00277328">
              <w:rPr>
                <w:rFonts w:asciiTheme="minorHAnsi" w:hAnsiTheme="minorHAnsi" w:cstheme="minorHAnsi"/>
                <w:lang w:val="en-GB"/>
              </w:rPr>
              <w:t>Age of target group</w:t>
            </w:r>
          </w:p>
        </w:tc>
        <w:tc>
          <w:tcPr>
            <w:tcW w:w="2071"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254810" w:rsidRPr="00277328" w:rsidRDefault="00254810" w:rsidP="00616D9F">
            <w:pPr>
              <w:pStyle w:val="Default"/>
              <w:cnfStyle w:val="000000100000"/>
              <w:rPr>
                <w:rFonts w:asciiTheme="minorHAnsi" w:hAnsiTheme="minorHAnsi" w:cstheme="minorHAnsi"/>
                <w:bCs/>
                <w:lang w:val="en-GB"/>
              </w:rPr>
            </w:pPr>
            <w:r w:rsidRPr="00277328">
              <w:rPr>
                <w:rFonts w:asciiTheme="minorHAnsi" w:hAnsiTheme="minorHAnsi" w:cstheme="minorHAnsi"/>
                <w:bCs/>
                <w:lang w:val="en-GB"/>
              </w:rPr>
              <w:t>Middle age (15-59 years)</w:t>
            </w:r>
          </w:p>
        </w:tc>
        <w:tc>
          <w:tcPr>
            <w:tcW w:w="207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95B3D7" w:themeFill="accent1" w:themeFillTint="99"/>
          </w:tcPr>
          <w:p w:rsidR="00254810" w:rsidRPr="00277328" w:rsidRDefault="00254810" w:rsidP="00616D9F">
            <w:pPr>
              <w:pStyle w:val="Default"/>
              <w:cnfStyle w:val="000000100000"/>
              <w:rPr>
                <w:rFonts w:asciiTheme="minorHAnsi" w:hAnsiTheme="minorHAnsi" w:cstheme="minorHAnsi"/>
                <w:bCs/>
                <w:lang w:val="en-GB"/>
              </w:rPr>
            </w:pPr>
            <w:r w:rsidRPr="00277328">
              <w:rPr>
                <w:rFonts w:asciiTheme="minorHAnsi" w:hAnsiTheme="minorHAnsi" w:cstheme="minorHAnsi"/>
                <w:bCs/>
                <w:lang w:val="en-GB"/>
              </w:rPr>
              <w:t>Old age (60 years and older)</w:t>
            </w:r>
          </w:p>
        </w:tc>
      </w:tr>
      <w:tr w:rsidR="00254810" w:rsidRPr="00277328" w:rsidTr="00395B76">
        <w:tc>
          <w:tcPr>
            <w:cnfStyle w:val="001000000000"/>
            <w:tcW w:w="414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254810" w:rsidRPr="00277328" w:rsidRDefault="00254810" w:rsidP="00616D9F">
            <w:pPr>
              <w:pStyle w:val="Default"/>
              <w:rPr>
                <w:rFonts w:asciiTheme="minorHAnsi" w:hAnsiTheme="minorHAnsi" w:cstheme="minorHAnsi"/>
                <w:lang w:val="en-GB"/>
              </w:rPr>
            </w:pPr>
            <w:r w:rsidRPr="00277328">
              <w:rPr>
                <w:rFonts w:asciiTheme="minorHAnsi" w:hAnsiTheme="minorHAnsi" w:cstheme="minorHAnsi"/>
                <w:lang w:val="en-GB"/>
              </w:rPr>
              <w:t>Individual health benefits</w:t>
            </w:r>
          </w:p>
        </w:tc>
        <w:tc>
          <w:tcPr>
            <w:tcW w:w="2071"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254810" w:rsidRPr="00277328" w:rsidRDefault="00254810" w:rsidP="00616D9F">
            <w:pPr>
              <w:pStyle w:val="Default"/>
              <w:cnfStyle w:val="000000000000"/>
              <w:rPr>
                <w:rFonts w:asciiTheme="minorHAnsi" w:hAnsiTheme="minorHAnsi" w:cstheme="minorHAnsi"/>
                <w:bCs/>
                <w:lang w:val="en-GB"/>
              </w:rPr>
            </w:pPr>
            <w:r w:rsidRPr="00277328">
              <w:rPr>
                <w:rFonts w:asciiTheme="minorHAnsi" w:hAnsiTheme="minorHAnsi" w:cstheme="minorHAnsi"/>
                <w:bCs/>
                <w:lang w:val="en-GB"/>
              </w:rPr>
              <w:t>Large ( &gt; 5 healthy years)</w:t>
            </w:r>
          </w:p>
        </w:tc>
        <w:tc>
          <w:tcPr>
            <w:tcW w:w="207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254810" w:rsidRPr="00277328" w:rsidRDefault="00254810" w:rsidP="00616D9F">
            <w:pPr>
              <w:pStyle w:val="Default"/>
              <w:cnfStyle w:val="000000000000"/>
              <w:rPr>
                <w:rFonts w:asciiTheme="minorHAnsi" w:hAnsiTheme="minorHAnsi" w:cstheme="minorHAnsi"/>
                <w:bCs/>
                <w:lang w:val="en-GB"/>
              </w:rPr>
            </w:pPr>
            <w:r w:rsidRPr="00277328">
              <w:rPr>
                <w:rFonts w:asciiTheme="minorHAnsi" w:hAnsiTheme="minorHAnsi" w:cstheme="minorHAnsi"/>
                <w:bCs/>
                <w:lang w:val="en-GB"/>
              </w:rPr>
              <w:t>Few ( &lt; 5 healthy years)</w:t>
            </w:r>
          </w:p>
        </w:tc>
      </w:tr>
      <w:tr w:rsidR="00254810" w:rsidRPr="00277328" w:rsidTr="00395B76">
        <w:trPr>
          <w:cnfStyle w:val="000000100000"/>
        </w:trPr>
        <w:tc>
          <w:tcPr>
            <w:cnfStyle w:val="001000000000"/>
            <w:tcW w:w="414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254810" w:rsidRPr="00277328" w:rsidRDefault="00F16517" w:rsidP="00616D9F">
            <w:pPr>
              <w:pStyle w:val="Default"/>
              <w:rPr>
                <w:rFonts w:asciiTheme="minorHAnsi" w:hAnsiTheme="minorHAnsi" w:cstheme="minorHAnsi"/>
                <w:lang w:val="en-GB"/>
              </w:rPr>
            </w:pPr>
            <w:r>
              <w:rPr>
                <w:rFonts w:asciiTheme="minorHAnsi" w:hAnsiTheme="minorHAnsi" w:cstheme="minorHAnsi"/>
                <w:lang w:val="en-GB"/>
              </w:rPr>
              <w:t>Willingness to subsidis</w:t>
            </w:r>
            <w:r w:rsidR="00254810" w:rsidRPr="00277328">
              <w:rPr>
                <w:rFonts w:asciiTheme="minorHAnsi" w:hAnsiTheme="minorHAnsi" w:cstheme="minorHAnsi"/>
                <w:lang w:val="en-GB"/>
              </w:rPr>
              <w:t>e</w:t>
            </w:r>
          </w:p>
        </w:tc>
        <w:tc>
          <w:tcPr>
            <w:tcW w:w="2071"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254810" w:rsidRPr="00277328" w:rsidRDefault="00254810" w:rsidP="00616D9F">
            <w:pPr>
              <w:pStyle w:val="Default"/>
              <w:cnfStyle w:val="000000100000"/>
              <w:rPr>
                <w:rFonts w:asciiTheme="minorHAnsi" w:hAnsiTheme="minorHAnsi" w:cstheme="minorHAnsi"/>
                <w:bCs/>
                <w:lang w:val="en-GB"/>
              </w:rPr>
            </w:pPr>
            <w:r w:rsidRPr="00277328">
              <w:rPr>
                <w:rFonts w:asciiTheme="minorHAnsi" w:hAnsiTheme="minorHAnsi" w:cstheme="minorHAnsi"/>
                <w:bCs/>
                <w:lang w:val="en-GB"/>
              </w:rPr>
              <w:t>More than 70% of total health expenditure</w:t>
            </w:r>
          </w:p>
        </w:tc>
        <w:tc>
          <w:tcPr>
            <w:tcW w:w="207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95B3D7" w:themeFill="accent1" w:themeFillTint="99"/>
          </w:tcPr>
          <w:p w:rsidR="00254810" w:rsidRPr="00277328" w:rsidRDefault="00254810" w:rsidP="00616D9F">
            <w:pPr>
              <w:pStyle w:val="Default"/>
              <w:cnfStyle w:val="000000100000"/>
              <w:rPr>
                <w:rFonts w:asciiTheme="minorHAnsi" w:hAnsiTheme="minorHAnsi" w:cstheme="minorHAnsi"/>
                <w:bCs/>
                <w:lang w:val="en-GB"/>
              </w:rPr>
            </w:pPr>
            <w:r w:rsidRPr="00277328">
              <w:rPr>
                <w:rFonts w:asciiTheme="minorHAnsi" w:hAnsiTheme="minorHAnsi" w:cstheme="minorHAnsi"/>
                <w:bCs/>
                <w:lang w:val="en-GB"/>
              </w:rPr>
              <w:t>Less than 70% of total health expenditure</w:t>
            </w:r>
          </w:p>
        </w:tc>
      </w:tr>
      <w:tr w:rsidR="00254810" w:rsidRPr="00277328" w:rsidTr="00395B76">
        <w:tc>
          <w:tcPr>
            <w:cnfStyle w:val="001000000000"/>
            <w:tcW w:w="414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254810" w:rsidRPr="00277328" w:rsidRDefault="00254810" w:rsidP="00616D9F">
            <w:pPr>
              <w:pStyle w:val="Default"/>
              <w:rPr>
                <w:rFonts w:asciiTheme="minorHAnsi" w:hAnsiTheme="minorHAnsi" w:cstheme="minorHAnsi"/>
                <w:lang w:val="en-GB"/>
              </w:rPr>
            </w:pPr>
            <w:r w:rsidRPr="00277328">
              <w:rPr>
                <w:rFonts w:asciiTheme="minorHAnsi" w:hAnsiTheme="minorHAnsi" w:cstheme="minorHAnsi"/>
                <w:lang w:val="en-GB"/>
              </w:rPr>
              <w:t>Cost-effectiveness</w:t>
            </w:r>
          </w:p>
        </w:tc>
        <w:tc>
          <w:tcPr>
            <w:tcW w:w="2071"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254810" w:rsidRPr="00277328" w:rsidRDefault="00254810" w:rsidP="00616D9F">
            <w:pPr>
              <w:pStyle w:val="Default"/>
              <w:cnfStyle w:val="000000000000"/>
              <w:rPr>
                <w:rFonts w:asciiTheme="minorHAnsi" w:hAnsiTheme="minorHAnsi" w:cstheme="minorHAnsi"/>
                <w:bCs/>
                <w:lang w:val="en-GB"/>
              </w:rPr>
            </w:pPr>
            <w:r w:rsidRPr="00277328">
              <w:rPr>
                <w:rFonts w:asciiTheme="minorHAnsi" w:hAnsiTheme="minorHAnsi" w:cstheme="minorHAnsi"/>
                <w:bCs/>
                <w:lang w:val="en-GB"/>
              </w:rPr>
              <w:t>Cost-effective (Cost/DALY&lt; GDP/capita)</w:t>
            </w:r>
          </w:p>
        </w:tc>
        <w:tc>
          <w:tcPr>
            <w:tcW w:w="207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254810" w:rsidRPr="00277328" w:rsidRDefault="00254810" w:rsidP="00616D9F">
            <w:pPr>
              <w:pStyle w:val="Default"/>
              <w:cnfStyle w:val="000000000000"/>
              <w:rPr>
                <w:rFonts w:asciiTheme="minorHAnsi" w:hAnsiTheme="minorHAnsi" w:cstheme="minorHAnsi"/>
                <w:bCs/>
                <w:lang w:val="en-GB"/>
              </w:rPr>
            </w:pPr>
            <w:r w:rsidRPr="00277328">
              <w:rPr>
                <w:rFonts w:asciiTheme="minorHAnsi" w:hAnsiTheme="minorHAnsi" w:cstheme="minorHAnsi"/>
                <w:bCs/>
                <w:lang w:val="en-GB"/>
              </w:rPr>
              <w:t xml:space="preserve">Not cost-effective (Cost/DALY &gt; GDP/capita) </w:t>
            </w:r>
          </w:p>
        </w:tc>
      </w:tr>
      <w:tr w:rsidR="00772C63" w:rsidRPr="00277328" w:rsidTr="00395B76">
        <w:trPr>
          <w:cnfStyle w:val="000000100000"/>
        </w:trPr>
        <w:tc>
          <w:tcPr>
            <w:cnfStyle w:val="001000000000"/>
            <w:tcW w:w="414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772C63" w:rsidRPr="00277328" w:rsidRDefault="00772C63" w:rsidP="00616D9F">
            <w:pPr>
              <w:pStyle w:val="Default"/>
              <w:rPr>
                <w:sz w:val="22"/>
                <w:szCs w:val="22"/>
                <w:lang w:val="en-GB"/>
              </w:rPr>
            </w:pPr>
            <w:r w:rsidRPr="00277328">
              <w:rPr>
                <w:sz w:val="22"/>
                <w:szCs w:val="22"/>
                <w:lang w:val="en-GB"/>
              </w:rPr>
              <w:t>YOUR CHOICE: Tick a box</w:t>
            </w:r>
          </w:p>
        </w:tc>
        <w:tc>
          <w:tcPr>
            <w:tcW w:w="2071"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772C63" w:rsidRPr="00277328" w:rsidRDefault="00772C63" w:rsidP="00772C63">
            <w:pPr>
              <w:pStyle w:val="Default"/>
              <w:jc w:val="center"/>
              <w:cnfStyle w:val="000000100000"/>
              <w:rPr>
                <w:rFonts w:asciiTheme="minorHAnsi" w:hAnsiTheme="minorHAnsi" w:cstheme="minorHAnsi"/>
                <w:lang w:val="en-GB"/>
              </w:rPr>
            </w:pPr>
          </w:p>
          <w:p w:rsidR="00772C63" w:rsidRPr="00277328" w:rsidRDefault="00E93150" w:rsidP="00772C63">
            <w:pPr>
              <w:pStyle w:val="Default"/>
              <w:jc w:val="center"/>
              <w:cnfStyle w:val="000000100000"/>
              <w:rPr>
                <w:rFonts w:asciiTheme="minorHAnsi" w:hAnsiTheme="minorHAnsi" w:cstheme="minorHAnsi"/>
                <w:bCs/>
                <w:lang w:val="en-GB"/>
              </w:rPr>
            </w:pPr>
            <w:r>
              <w:rPr>
                <w:rFonts w:asciiTheme="minorHAnsi" w:hAnsiTheme="minorHAnsi" w:cstheme="minorHAnsi"/>
                <w:bCs/>
                <w:noProof/>
              </w:rPr>
              <w:pict>
                <v:rect id="Rectangle 309" o:spid="_x0000_s1034" style="position:absolute;left:0;text-align:left;margin-left:41.85pt;margin-top:2.2pt;width:14.25pt;height:9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m6pIgIAAD0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jzkz0FGJ&#10;vpBoYLZasqt8HgXqnS8p7tE9YEzRu3srvntm7KqlOHmLaPtWQk20ihifvXgQDU9P2ab/aGvCh12w&#10;SatDg10EJBXYIZXkeC6JPAQm6LKY5fPrKWeCXEUxucpTyTIonx879OG9tB2Lh4ojkU/gsL/3IZKB&#10;8jkkkbda1WuldTJwu1lpZHug7linlfhTjpdh2rC+4vPpeJqQX/j8JUSe1t8gOhWozbXqKj47B0EZ&#10;VXtn6tSEAZQezkRZm5OMUbmhAhtbH0lFtEMP08zRobX4k7Oe+rfi/scOUHKmPxiqxLyYTGLDJ2My&#10;vR6TgZeezaUHjCCoigfOhuMqDEOyc6i2Lf1UpNyNvaXqNSopGys7sDqRpR5Ngp/mKQ7BpZ2ifk39&#10;8gkAAP//AwBQSwMEFAAGAAgAAAAhAIMIXgncAAAABwEAAA8AAABkcnMvZG93bnJldi54bWxMjsFO&#10;wzAQRO9I/IO1SNyoUzeCErKpEKhIHNv0wm0TmyQQr6PYaQNfj3uix9GM3rx8M9teHM3oO8cIy0UC&#10;wnDtdMcNwqHc3q1B+ECsqXdsEH6Mh01xfZVTpt2Jd+a4D42IEPYZIbQhDJmUvm6NJb9wg+HYfbrR&#10;UohxbKQe6RThtpcqSe6lpY7jQ0uDeWlN/b2fLELVqQP97sq3xD5uV+F9Lr+mj1fE25v5+QlEMHP4&#10;H8NZP6pDEZ0qN7H2okdYrx7iEiFNQZzrpVIgKgSlUpBFLi/9iz8AAAD//wMAUEsBAi0AFAAGAAgA&#10;AAAhALaDOJL+AAAA4QEAABMAAAAAAAAAAAAAAAAAAAAAAFtDb250ZW50X1R5cGVzXS54bWxQSwEC&#10;LQAUAAYACAAAACEAOP0h/9YAAACUAQAACwAAAAAAAAAAAAAAAAAvAQAAX3JlbHMvLnJlbHNQSwEC&#10;LQAUAAYACAAAACEAvHpuqSICAAA9BAAADgAAAAAAAAAAAAAAAAAuAgAAZHJzL2Uyb0RvYy54bWxQ&#10;SwECLQAUAAYACAAAACEAgwheCdwAAAAHAQAADwAAAAAAAAAAAAAAAAB8BAAAZHJzL2Rvd25yZXYu&#10;eG1sUEsFBgAAAAAEAAQA8wAAAIUFAAAAAA==&#10;"/>
              </w:pict>
            </w:r>
          </w:p>
        </w:tc>
        <w:tc>
          <w:tcPr>
            <w:tcW w:w="207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95B3D7" w:themeFill="accent1" w:themeFillTint="99"/>
          </w:tcPr>
          <w:p w:rsidR="00772C63" w:rsidRPr="00277328" w:rsidRDefault="00772C63" w:rsidP="00772C63">
            <w:pPr>
              <w:pStyle w:val="Default"/>
              <w:jc w:val="center"/>
              <w:cnfStyle w:val="000000100000"/>
              <w:rPr>
                <w:rFonts w:asciiTheme="minorHAnsi" w:hAnsiTheme="minorHAnsi" w:cstheme="minorHAnsi"/>
                <w:lang w:val="en-GB"/>
              </w:rPr>
            </w:pPr>
          </w:p>
          <w:p w:rsidR="00772C63" w:rsidRPr="00277328" w:rsidRDefault="00E93150" w:rsidP="00772C63">
            <w:pPr>
              <w:pStyle w:val="Default"/>
              <w:jc w:val="center"/>
              <w:cnfStyle w:val="000000100000"/>
              <w:rPr>
                <w:rFonts w:asciiTheme="minorHAnsi" w:hAnsiTheme="minorHAnsi" w:cstheme="minorHAnsi"/>
                <w:lang w:val="en-GB"/>
              </w:rPr>
            </w:pPr>
            <w:r>
              <w:rPr>
                <w:rFonts w:asciiTheme="minorHAnsi" w:hAnsiTheme="minorHAnsi" w:cstheme="minorHAnsi"/>
                <w:noProof/>
              </w:rPr>
              <w:pict>
                <v:rect id="Rectangle 310" o:spid="_x0000_s1033" style="position:absolute;left:0;text-align:left;margin-left:38.05pt;margin-top:2.2pt;width:15pt;height:9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bxUHgIAAD0EAAAOAAAAZHJzL2Uyb0RvYy54bWysU1Fv0zAQfkfiP1h+p0m6Ftao6TR1FCEN&#10;mBj8ANdxEgvHZ85u0/Hrd3a6rgOeEHmw7nLnz3fffbe8OvSG7RV6DbbixSTnTFkJtbZtxb9/27y5&#10;5MwHYWthwKqKPyjPr1avXy0HV6opdGBqhYxArC8HV/EuBFdmmZed6oWfgFOWgg1gLwK52GY1ioHQ&#10;e5NN8/xtNgDWDkEq7+nvzRjkq4TfNEqGL03jVWCm4lRbSCemcxvPbLUUZYvCdVoeyxD/UEUvtKVH&#10;T1A3Igi2Q/0HVK8lgocmTCT0GTSNlir1QN0U+W/d3HfCqdQLkePdiSb//2Dl5/0dMl3T7DizoqcR&#10;fSXShG2NYhdFImhwvqS8e3eHsUXvbkH+8MzCuqM8dY0IQ6dETWUVkdDsxYXoeLrKtsMnqAlf7AIk&#10;rg4N9hGQWGCHNJKH00jUITBJP4tFPs9pcJJCRTG7IDu+IMqnyw59+KCgZ9GoOFLxCVzsb30YU59S&#10;UvFgdL3RxiQH2+3aINsLUscmfUd0f55mLBsqvphP5wn5RcyfQ+Tp+xtErwPJ3Oi+4penJFFG1t7b&#10;OokwCG1Gm7oz9khjZC6K2ZdbqB+IRYRRw7RzZHSAvzgbSL8V9z93AhVn5qOlSSyK2SwKPjmz+bsp&#10;OXge2Z5HhJUEVfHA2Wiuw7gkO4e67eilIvVu4Zqm1+jE7HNVx2JJo2k2x32KS3Dup6znrV89AgAA&#10;//8DAFBLAwQUAAYACAAAACEAYGVt1NoAAAAHAQAADwAAAGRycy9kb3ducmV2LnhtbEyOwU7DMBBE&#10;70j8g7VI3KjdEBUI2VQIVCSObXrhtomXJBDbUey0ga/HOcFxNKM3L9/OphcnHn3nLMJ6pUCwrZ3u&#10;bINwLHc39yB8IKupd5YRvtnDtri8yCnT7mz3fDqERkSI9RkhtCEMmZS+btmQX7mBbew+3GgoxDg2&#10;Uo90jnDTy0SpjTTU2fjQ0sDPLddfh8kgVF1ypJ99+arMw+42vM3l5/T+gnh9NT89ggg8h78xLPpR&#10;HYroVLnJai96hLvNOi4R0hTEUqslVwhJkoIscvnfv/gFAAD//wMAUEsBAi0AFAAGAAgAAAAhALaD&#10;OJL+AAAA4QEAABMAAAAAAAAAAAAAAAAAAAAAAFtDb250ZW50X1R5cGVzXS54bWxQSwECLQAUAAYA&#10;CAAAACEAOP0h/9YAAACUAQAACwAAAAAAAAAAAAAAAAAvAQAAX3JlbHMvLnJlbHNQSwECLQAUAAYA&#10;CAAAACEAi7m8VB4CAAA9BAAADgAAAAAAAAAAAAAAAAAuAgAAZHJzL2Uyb0RvYy54bWxQSwECLQAU&#10;AAYACAAAACEAYGVt1NoAAAAHAQAADwAAAAAAAAAAAAAAAAB4BAAAZHJzL2Rvd25yZXYueG1sUEsF&#10;BgAAAAAEAAQA8wAAAH8FAAAAAA==&#10;"/>
              </w:pict>
            </w:r>
          </w:p>
          <w:p w:rsidR="00772C63" w:rsidRPr="00277328" w:rsidRDefault="00772C63" w:rsidP="00616D9F">
            <w:pPr>
              <w:pStyle w:val="Default"/>
              <w:cnfStyle w:val="000000100000"/>
              <w:rPr>
                <w:rFonts w:asciiTheme="minorHAnsi" w:hAnsiTheme="minorHAnsi" w:cstheme="minorHAnsi"/>
                <w:bCs/>
                <w:lang w:val="en-GB"/>
              </w:rPr>
            </w:pPr>
          </w:p>
        </w:tc>
      </w:tr>
    </w:tbl>
    <w:p w:rsidR="001C7785" w:rsidRPr="00277328" w:rsidRDefault="001C7785">
      <w:pPr>
        <w:rPr>
          <w:b/>
          <w:sz w:val="28"/>
          <w:szCs w:val="28"/>
          <w:lang w:val="en-GB"/>
        </w:rPr>
      </w:pPr>
    </w:p>
    <w:p w:rsidR="001C7785" w:rsidRPr="00277328" w:rsidRDefault="001C7785">
      <w:pPr>
        <w:rPr>
          <w:sz w:val="24"/>
          <w:szCs w:val="24"/>
          <w:lang w:val="en-GB"/>
        </w:rPr>
      </w:pPr>
    </w:p>
    <w:p w:rsidR="00395B76" w:rsidRPr="00277328" w:rsidRDefault="00395B76">
      <w:pPr>
        <w:rPr>
          <w:b/>
          <w:sz w:val="28"/>
          <w:szCs w:val="28"/>
          <w:lang w:val="en-GB"/>
        </w:rPr>
      </w:pPr>
    </w:p>
    <w:p w:rsidR="00657AA0" w:rsidRPr="00277328" w:rsidRDefault="00657AA0" w:rsidP="00600D28">
      <w:pPr>
        <w:rPr>
          <w:lang w:val="en-GB"/>
        </w:rPr>
      </w:pPr>
    </w:p>
    <w:p w:rsidR="00657AA0" w:rsidRPr="00277328" w:rsidRDefault="00657AA0" w:rsidP="00657AA0">
      <w:pPr>
        <w:ind w:left="360"/>
        <w:rPr>
          <w:lang w:val="en-GB"/>
        </w:rPr>
      </w:pPr>
    </w:p>
    <w:p w:rsidR="00E53005" w:rsidRDefault="00E53005">
      <w:pPr>
        <w:rPr>
          <w:b/>
          <w:sz w:val="28"/>
          <w:szCs w:val="28"/>
          <w:lang w:val="en-GB"/>
        </w:rPr>
      </w:pPr>
      <w:r>
        <w:rPr>
          <w:b/>
          <w:sz w:val="28"/>
          <w:szCs w:val="28"/>
          <w:lang w:val="en-GB"/>
        </w:rPr>
        <w:br w:type="page"/>
      </w:r>
    </w:p>
    <w:bookmarkStart w:id="42" w:name="_Toc367791032" w:displacedByCustomXml="next"/>
    <w:sdt>
      <w:sdtPr>
        <w:rPr>
          <w:rFonts w:eastAsiaTheme="minorEastAsia" w:cstheme="minorBidi"/>
          <w:b w:val="0"/>
          <w:bCs w:val="0"/>
          <w:sz w:val="22"/>
          <w:szCs w:val="22"/>
          <w:lang w:val="en-GB"/>
        </w:rPr>
        <w:id w:val="40658376"/>
        <w:docPartObj>
          <w:docPartGallery w:val="Bibliographies"/>
          <w:docPartUnique/>
        </w:docPartObj>
      </w:sdtPr>
      <w:sdtContent>
        <w:p w:rsidR="00CC2685" w:rsidRPr="00277328" w:rsidRDefault="00CC2685" w:rsidP="008930F2">
          <w:pPr>
            <w:pStyle w:val="Heading1"/>
            <w:numPr>
              <w:ilvl w:val="0"/>
              <w:numId w:val="0"/>
            </w:numPr>
            <w:ind w:left="432" w:hanging="432"/>
            <w:rPr>
              <w:lang w:val="en-GB"/>
            </w:rPr>
          </w:pPr>
          <w:r w:rsidRPr="00277328">
            <w:rPr>
              <w:lang w:val="en-GB"/>
            </w:rPr>
            <w:t>References</w:t>
          </w:r>
          <w:bookmarkEnd w:id="42"/>
        </w:p>
        <w:sdt>
          <w:sdtPr>
            <w:rPr>
              <w:lang w:val="en-GB"/>
            </w:rPr>
            <w:id w:val="111145805"/>
            <w:bibliography/>
          </w:sdtPr>
          <w:sdtContent>
            <w:p w:rsidR="008930F2" w:rsidRPr="00277328" w:rsidRDefault="00E93150" w:rsidP="008930F2">
              <w:pPr>
                <w:pStyle w:val="Bibliography"/>
                <w:rPr>
                  <w:lang w:val="en-GB"/>
                </w:rPr>
              </w:pPr>
              <w:r w:rsidRPr="00277328">
                <w:rPr>
                  <w:lang w:val="en-GB"/>
                </w:rPr>
                <w:fldChar w:fldCharType="begin"/>
              </w:r>
              <w:r w:rsidR="00CC2685" w:rsidRPr="00277328">
                <w:rPr>
                  <w:lang w:val="en-GB"/>
                </w:rPr>
                <w:instrText xml:space="preserve"> BIBLIOGRAPHY </w:instrText>
              </w:r>
              <w:r w:rsidRPr="00277328">
                <w:rPr>
                  <w:lang w:val="en-GB"/>
                </w:rPr>
                <w:fldChar w:fldCharType="separate"/>
              </w:r>
            </w:p>
            <w:p w:rsidR="008930F2" w:rsidRPr="00277328" w:rsidRDefault="008930F2" w:rsidP="008930F2">
              <w:pPr>
                <w:pStyle w:val="Bibliography"/>
                <w:rPr>
                  <w:lang w:val="en-GB"/>
                </w:rPr>
              </w:pPr>
              <w:r w:rsidRPr="00277328">
                <w:rPr>
                  <w:lang w:val="en-GB"/>
                </w:rPr>
                <w:t xml:space="preserve">Alonso, J., et al. "Population levelof unmet need for mental health in Europe." </w:t>
              </w:r>
              <w:r w:rsidRPr="00277328">
                <w:rPr>
                  <w:i/>
                  <w:iCs/>
                  <w:lang w:val="en-GB"/>
                </w:rPr>
                <w:t>British Journal of Psychiatry</w:t>
              </w:r>
              <w:r w:rsidRPr="00277328">
                <w:rPr>
                  <w:lang w:val="en-GB"/>
                </w:rPr>
                <w:t xml:space="preserve"> 190 (2007): pp. 299-306.</w:t>
              </w:r>
            </w:p>
            <w:p w:rsidR="008930F2" w:rsidRPr="00277328" w:rsidRDefault="008930F2" w:rsidP="008930F2">
              <w:pPr>
                <w:pStyle w:val="Bibliography"/>
                <w:rPr>
                  <w:lang w:val="en-GB"/>
                </w:rPr>
              </w:pPr>
              <w:r w:rsidRPr="00277328">
                <w:rPr>
                  <w:lang w:val="en-GB"/>
                </w:rPr>
                <w:t xml:space="preserve">Alwan, A., et al. </w:t>
              </w:r>
              <w:r w:rsidRPr="00277328">
                <w:rPr>
                  <w:i/>
                  <w:iCs/>
                  <w:lang w:val="en-GB"/>
                </w:rPr>
                <w:t>Global status report on noncommunicable diseases 2010.</w:t>
              </w:r>
              <w:r w:rsidRPr="00277328">
                <w:rPr>
                  <w:lang w:val="en-GB"/>
                </w:rPr>
                <w:t xml:space="preserve"> Geneva: World Health Organization, 2010.</w:t>
              </w:r>
            </w:p>
            <w:p w:rsidR="008930F2" w:rsidRPr="00277328" w:rsidRDefault="008930F2" w:rsidP="008930F2">
              <w:pPr>
                <w:pStyle w:val="Bibliography"/>
                <w:rPr>
                  <w:lang w:val="en-GB"/>
                </w:rPr>
              </w:pPr>
              <w:r w:rsidRPr="00277328">
                <w:rPr>
                  <w:lang w:val="en-GB"/>
                </w:rPr>
                <w:t xml:space="preserve">Ayuso-Mateos, José Luis, et al. </w:t>
              </w:r>
              <w:r w:rsidRPr="00277328">
                <w:rPr>
                  <w:i/>
                  <w:iCs/>
                  <w:lang w:val="en-GB"/>
                </w:rPr>
                <w:t>Reducing the Burden of Mental Illness in Spain. Population-level impact and Cost-effectiveness of Treatments in Depression and Schizophrenia.</w:t>
              </w:r>
              <w:r w:rsidRPr="00277328">
                <w:rPr>
                  <w:lang w:val="en-GB"/>
                </w:rPr>
                <w:t xml:space="preserve"> Fundación BBVA, 2008.</w:t>
              </w:r>
            </w:p>
            <w:p w:rsidR="008930F2" w:rsidRPr="00277328" w:rsidRDefault="008930F2" w:rsidP="008930F2">
              <w:pPr>
                <w:pStyle w:val="Bibliography"/>
                <w:rPr>
                  <w:lang w:val="en-GB"/>
                </w:rPr>
              </w:pPr>
              <w:r w:rsidRPr="00277328">
                <w:rPr>
                  <w:lang w:val="en-GB"/>
                </w:rPr>
                <w:t xml:space="preserve">Baeten, Stefan A., Rob M.P.M. Baltussen, Carin A. Uyl-de Groot, John Bridges, and Louis W. Niessen. "Incorporating Equity–Efficiency Interactions in Cost-Effectiveness Analysis—Three Approaches Applied toBreast Cancer Control." </w:t>
              </w:r>
              <w:r w:rsidRPr="00277328">
                <w:rPr>
                  <w:i/>
                  <w:iCs/>
                  <w:lang w:val="en-GB"/>
                </w:rPr>
                <w:t>Value in Health</w:t>
              </w:r>
              <w:r w:rsidRPr="00277328">
                <w:rPr>
                  <w:lang w:val="en-GB"/>
                </w:rPr>
                <w:t xml:space="preserve"> 13, no. 5 (2010).</w:t>
              </w:r>
            </w:p>
            <w:p w:rsidR="008930F2" w:rsidRPr="00277328" w:rsidRDefault="008930F2" w:rsidP="008930F2">
              <w:pPr>
                <w:pStyle w:val="Bibliography"/>
                <w:rPr>
                  <w:lang w:val="en-GB"/>
                </w:rPr>
              </w:pPr>
              <w:r w:rsidRPr="00277328">
                <w:rPr>
                  <w:lang w:val="en-GB"/>
                </w:rPr>
                <w:t xml:space="preserve">Baltussen, R., A H A ten Asbroek, X. Koolman, N. Shrestha, P. Bhattarai, and L. W. Niessen. "Priority setting using multiple criteria: should a lung health programme be implemented in Nepal?" </w:t>
              </w:r>
              <w:r w:rsidRPr="00277328">
                <w:rPr>
                  <w:i/>
                  <w:iCs/>
                  <w:lang w:val="en-GB"/>
                </w:rPr>
                <w:t>Health Policy and Planning</w:t>
              </w:r>
              <w:r w:rsidRPr="00277328">
                <w:rPr>
                  <w:lang w:val="en-GB"/>
                </w:rPr>
                <w:t xml:space="preserve"> (Oxford University Press) 22 (2007): pp 178-185.</w:t>
              </w:r>
            </w:p>
            <w:p w:rsidR="008930F2" w:rsidRPr="00277328" w:rsidRDefault="008930F2" w:rsidP="008930F2">
              <w:pPr>
                <w:pStyle w:val="Bibliography"/>
                <w:rPr>
                  <w:lang w:val="en-GB"/>
                </w:rPr>
              </w:pPr>
              <w:r w:rsidRPr="00277328">
                <w:rPr>
                  <w:lang w:val="en-GB"/>
                </w:rPr>
                <w:t xml:space="preserve">Baltussen, Rob, and Louis Niessen. "Priority setting of health interventions: the need for multi-criteria decision analysis." </w:t>
              </w:r>
              <w:r w:rsidRPr="00277328">
                <w:rPr>
                  <w:i/>
                  <w:iCs/>
                  <w:lang w:val="en-GB"/>
                </w:rPr>
                <w:t>Cost effectiveness and Resource Allocation</w:t>
              </w:r>
              <w:r w:rsidRPr="00277328">
                <w:rPr>
                  <w:lang w:val="en-GB"/>
                </w:rPr>
                <w:t xml:space="preserve"> 4, no. 14 (2006).</w:t>
              </w:r>
            </w:p>
            <w:p w:rsidR="008930F2" w:rsidRPr="00277328" w:rsidRDefault="008930F2" w:rsidP="008930F2">
              <w:pPr>
                <w:pStyle w:val="Bibliography"/>
                <w:rPr>
                  <w:lang w:val="en-GB"/>
                </w:rPr>
              </w:pPr>
              <w:r w:rsidRPr="00277328">
                <w:rPr>
                  <w:lang w:val="en-GB"/>
                </w:rPr>
                <w:t xml:space="preserve">Baltussen, Rob, Elly Stolk, Dan Chisholm, and Moses Aikins. "Towards a multi-criteria apporach for priority setting: an application to Ghana." </w:t>
              </w:r>
              <w:r w:rsidRPr="00277328">
                <w:rPr>
                  <w:i/>
                  <w:iCs/>
                  <w:lang w:val="en-GB"/>
                </w:rPr>
                <w:t>Health Economics</w:t>
              </w:r>
              <w:r w:rsidRPr="00277328">
                <w:rPr>
                  <w:lang w:val="en-GB"/>
                </w:rPr>
                <w:t xml:space="preserve"> 15 (2006): pp 689-696.</w:t>
              </w:r>
            </w:p>
            <w:p w:rsidR="008930F2" w:rsidRPr="00277328" w:rsidRDefault="008930F2" w:rsidP="008930F2">
              <w:pPr>
                <w:pStyle w:val="Bibliography"/>
                <w:rPr>
                  <w:lang w:val="en-GB"/>
                </w:rPr>
              </w:pPr>
              <w:r w:rsidRPr="00277328">
                <w:rPr>
                  <w:lang w:val="en-GB"/>
                </w:rPr>
                <w:t xml:space="preserve">Baltussen, Rob, Sitaporn Youngkong, Francesco Paolucci, and Louis Niessen. "Multi-criteria decision analysis to prioritize health interventions:Capitalizing on first experiences." </w:t>
              </w:r>
              <w:r w:rsidRPr="00277328">
                <w:rPr>
                  <w:i/>
                  <w:iCs/>
                  <w:lang w:val="en-GB"/>
                </w:rPr>
                <w:t>Health Policy</w:t>
              </w:r>
              <w:r w:rsidRPr="00277328">
                <w:rPr>
                  <w:lang w:val="en-GB"/>
                </w:rPr>
                <w:t xml:space="preserve"> 96 (2010): pp 262-264.</w:t>
              </w:r>
            </w:p>
            <w:p w:rsidR="008930F2" w:rsidRPr="00277328" w:rsidRDefault="008930F2" w:rsidP="008930F2">
              <w:pPr>
                <w:pStyle w:val="Bibliography"/>
                <w:rPr>
                  <w:lang w:val="en-GB"/>
                </w:rPr>
              </w:pPr>
              <w:r w:rsidRPr="00277328">
                <w:rPr>
                  <w:lang w:val="en-GB"/>
                </w:rPr>
                <w:t xml:space="preserve">Barbaglia, Gabriela, et al. "Association between annual earnings and mental disorders in Spain: individual and societal-level estimates." </w:t>
              </w:r>
              <w:r w:rsidRPr="00277328">
                <w:rPr>
                  <w:i/>
                  <w:iCs/>
                  <w:lang w:val="en-GB"/>
                </w:rPr>
                <w:t>Social Psychiatry and Psychiatric Epidemiology</w:t>
              </w:r>
              <w:r w:rsidRPr="00277328">
                <w:rPr>
                  <w:lang w:val="en-GB"/>
                </w:rPr>
                <w:t xml:space="preserve"> 47, no. 11 (2012): pp 1717-25.</w:t>
              </w:r>
            </w:p>
            <w:p w:rsidR="00786B88" w:rsidRPr="00277328" w:rsidRDefault="00786B88" w:rsidP="00786B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cstheme="minorHAnsi"/>
                  <w:lang w:val="en-GB"/>
                </w:rPr>
              </w:pPr>
              <w:r w:rsidRPr="00277328">
                <w:rPr>
                  <w:rFonts w:cstheme="minorHAnsi"/>
                  <w:lang w:val="en-GB"/>
                </w:rPr>
                <w:t xml:space="preserve">Boletín Oficial del Estado (2006): Ley 29/2006, de 26 de Julio, de garantías y uso racional de los medicamentos y productos sanitarios. Available at: http://www.boe.es/boe/dias/2006/07/27/pdfs/A28122-28165.pdf </w:t>
              </w:r>
            </w:p>
            <w:p w:rsidR="00786B88" w:rsidRDefault="00786B88" w:rsidP="00786B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cstheme="minorHAnsi"/>
                  <w:lang w:val="en-GB"/>
                </w:rPr>
              </w:pPr>
              <w:r w:rsidRPr="00277328">
                <w:rPr>
                  <w:rFonts w:cstheme="minorHAnsi"/>
                  <w:lang w:val="en-GB"/>
                </w:rPr>
                <w:t xml:space="preserve">Boletín Oficial del Estado (2010): Real Decreto-Ley 4/2010, de 26 de Marzo, de racionalización del gasto farmacéutico con cargo al SNS. Available at: http://www.boe.es/boe/dias/2010/03/27/pdfs/BOE-A-2010-5030.pdf </w:t>
              </w:r>
            </w:p>
            <w:p w:rsidR="007E734A" w:rsidRDefault="007E734A" w:rsidP="007E73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cstheme="minorHAnsi"/>
                  <w:lang w:val="en-GB"/>
                </w:rPr>
              </w:pPr>
              <w:r w:rsidRPr="00277328">
                <w:rPr>
                  <w:rFonts w:cstheme="minorHAnsi"/>
                  <w:lang w:val="en-GB"/>
                </w:rPr>
                <w:t>Boletín Oficial del Estado</w:t>
              </w:r>
              <w:r>
                <w:rPr>
                  <w:rFonts w:cstheme="minorHAnsi"/>
                  <w:lang w:val="en-GB"/>
                </w:rPr>
                <w:t xml:space="preserve"> (2012): Real Decreto-Ley 1190/2012, de 3 de Agosto, </w:t>
              </w:r>
              <w:r w:rsidRPr="007E734A">
                <w:rPr>
                  <w:rFonts w:cstheme="minorHAnsi"/>
                  <w:lang w:val="en-GB"/>
                </w:rPr>
                <w:t>por el que se est</w:t>
              </w:r>
              <w:r>
                <w:rPr>
                  <w:rFonts w:cstheme="minorHAnsi"/>
                  <w:lang w:val="en-GB"/>
                </w:rPr>
                <w:t xml:space="preserve">ablecen las enseñanzas mínimas </w:t>
              </w:r>
              <w:r w:rsidRPr="007E734A">
                <w:rPr>
                  <w:rFonts w:cstheme="minorHAnsi"/>
                  <w:lang w:val="en-GB"/>
                </w:rPr>
                <w:t>correspondientes a la Educación Secundaria Obligatoria</w:t>
              </w:r>
              <w:r>
                <w:rPr>
                  <w:rFonts w:cstheme="minorHAnsi"/>
                  <w:lang w:val="en-GB"/>
                </w:rPr>
                <w:t>. Available at:</w:t>
              </w:r>
            </w:p>
            <w:p w:rsidR="007E734A" w:rsidRDefault="00E93150" w:rsidP="007E73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pPr>
              <w:hyperlink r:id="rId12" w:history="1">
                <w:r w:rsidR="007E734A">
                  <w:rPr>
                    <w:rStyle w:val="Hyperlink"/>
                  </w:rPr>
                  <w:t>http://www.boe.es/boe/dias/2012/08/04/pdfs/BOE-A-2012-10473.pdf</w:t>
                </w:r>
              </w:hyperlink>
            </w:p>
            <w:p w:rsidR="00E53005" w:rsidRDefault="007E734A" w:rsidP="007E734A">
              <w:pPr>
                <w:pStyle w:val="Heading3"/>
                <w:numPr>
                  <w:ilvl w:val="0"/>
                  <w:numId w:val="0"/>
                </w:numPr>
                <w:shd w:val="clear" w:color="auto" w:fill="FFFFFF"/>
                <w:spacing w:before="0"/>
                <w:ind w:left="720" w:hanging="720"/>
                <w:rPr>
                  <w:b w:val="0"/>
                  <w:color w:val="000000"/>
                  <w:sz w:val="22"/>
                </w:rPr>
              </w:pPr>
              <w:bookmarkStart w:id="43" w:name="_Toc367791033"/>
              <w:r w:rsidRPr="007E734A">
                <w:rPr>
                  <w:rFonts w:cstheme="minorHAnsi"/>
                  <w:b w:val="0"/>
                  <w:sz w:val="22"/>
                  <w:lang w:val="en-GB"/>
                </w:rPr>
                <w:t xml:space="preserve">Boletín Oficial del Estado (1998): Real Decreto-Ley 1663/1998, de 26 de julio, </w:t>
              </w:r>
              <w:r>
                <w:rPr>
                  <w:b w:val="0"/>
                  <w:color w:val="000000"/>
                  <w:sz w:val="22"/>
                </w:rPr>
                <w:t>por el que se</w:t>
              </w:r>
              <w:bookmarkEnd w:id="43"/>
              <w:r>
                <w:rPr>
                  <w:b w:val="0"/>
                  <w:color w:val="000000"/>
                  <w:sz w:val="22"/>
                </w:rPr>
                <w:t xml:space="preserve"> </w:t>
              </w:r>
            </w:p>
            <w:p w:rsidR="00E53005" w:rsidRDefault="007E734A" w:rsidP="007E734A">
              <w:pPr>
                <w:pStyle w:val="Heading3"/>
                <w:numPr>
                  <w:ilvl w:val="0"/>
                  <w:numId w:val="0"/>
                </w:numPr>
                <w:shd w:val="clear" w:color="auto" w:fill="FFFFFF"/>
                <w:spacing w:before="0"/>
                <w:ind w:left="720" w:hanging="720"/>
                <w:rPr>
                  <w:b w:val="0"/>
                  <w:color w:val="000000"/>
                  <w:sz w:val="22"/>
                </w:rPr>
              </w:pPr>
              <w:bookmarkStart w:id="44" w:name="_Toc367791034"/>
              <w:r w:rsidRPr="007E734A">
                <w:rPr>
                  <w:b w:val="0"/>
                  <w:color w:val="000000"/>
                  <w:sz w:val="22"/>
                </w:rPr>
                <w:t>amplía la relación de medicamentos a efectos de su financiación con cargo a fondos de la</w:t>
              </w:r>
              <w:bookmarkEnd w:id="44"/>
              <w:r w:rsidRPr="007E734A">
                <w:rPr>
                  <w:b w:val="0"/>
                  <w:color w:val="000000"/>
                  <w:sz w:val="22"/>
                </w:rPr>
                <w:t xml:space="preserve"> </w:t>
              </w:r>
            </w:p>
            <w:p w:rsidR="00E53005" w:rsidRPr="00E53005" w:rsidRDefault="007E734A" w:rsidP="00E53005">
              <w:pPr>
                <w:pStyle w:val="Heading3"/>
                <w:numPr>
                  <w:ilvl w:val="0"/>
                  <w:numId w:val="0"/>
                </w:numPr>
                <w:shd w:val="clear" w:color="auto" w:fill="FFFFFF"/>
                <w:spacing w:before="0"/>
                <w:ind w:left="720" w:hanging="720"/>
                <w:rPr>
                  <w:b w:val="0"/>
                  <w:color w:val="000000"/>
                  <w:sz w:val="22"/>
                </w:rPr>
              </w:pPr>
              <w:bookmarkStart w:id="45" w:name="_Toc367791035"/>
              <w:r w:rsidRPr="007E734A">
                <w:rPr>
                  <w:b w:val="0"/>
                  <w:color w:val="000000"/>
                  <w:sz w:val="22"/>
                </w:rPr>
                <w:t>Seguridad Social o a fondos estatales afectos a la sanidad.</w:t>
              </w:r>
              <w:r w:rsidR="00E53005">
                <w:rPr>
                  <w:b w:val="0"/>
                  <w:color w:val="000000"/>
                  <w:sz w:val="22"/>
                </w:rPr>
                <w:t xml:space="preserve"> Available at:</w:t>
              </w:r>
              <w:bookmarkEnd w:id="45"/>
            </w:p>
            <w:p w:rsidR="007E734A" w:rsidRPr="00E53005" w:rsidRDefault="00E93150" w:rsidP="00E53005">
              <w:hyperlink r:id="rId13" w:history="1">
                <w:r w:rsidR="00E53005">
                  <w:rPr>
                    <w:rStyle w:val="Hyperlink"/>
                  </w:rPr>
                  <w:t>http://www.boe.es/boe/dias/1998/07/25/pdfs/A25152-25163.pdf</w:t>
                </w:r>
              </w:hyperlink>
            </w:p>
            <w:p w:rsidR="00786B88" w:rsidRPr="00277328" w:rsidRDefault="00786B88" w:rsidP="00786B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cstheme="minorHAnsi"/>
                  <w:lang w:val="en-GB"/>
                </w:rPr>
              </w:pPr>
              <w:r w:rsidRPr="00277328">
                <w:rPr>
                  <w:rFonts w:cstheme="minorHAnsi"/>
                  <w:lang w:val="en-GB"/>
                </w:rPr>
                <w:t xml:space="preserve">Boletín Oficial del Estado (2010): Real Decreto-Ley 8/2010, de 20 de Mayo, con medidas extraordinarias para la reducción del déficit público. Available at: http://www.boe.es/boe/dias/2010/05/24/pdfs/BOE-A-2010-8228.pdf </w:t>
              </w:r>
            </w:p>
            <w:p w:rsidR="00786B88" w:rsidRPr="00277328" w:rsidRDefault="00786B88" w:rsidP="00786B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cstheme="minorHAnsi"/>
                  <w:lang w:val="en-GB"/>
                </w:rPr>
              </w:pPr>
              <w:r w:rsidRPr="00277328">
                <w:rPr>
                  <w:rFonts w:cstheme="minorHAnsi"/>
                  <w:lang w:val="en-GB"/>
                </w:rPr>
                <w:t>Boletín Oficial del Estado (2011): Real Decreto Ley de 19 de Agosto de 2011, de medidas para la mejora de la calidad y cohesión del sistema nacional de salud, de contribución a la consolidación fiscal, y de elevación del importe máximo de los avales del Estado para 2011. Available at:</w:t>
              </w:r>
            </w:p>
            <w:p w:rsidR="00786B88" w:rsidRPr="00277328" w:rsidRDefault="00786B88" w:rsidP="00786B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cstheme="minorHAnsi"/>
                  <w:lang w:val="en-GB"/>
                </w:rPr>
              </w:pPr>
              <w:r w:rsidRPr="00277328">
                <w:rPr>
                  <w:rFonts w:cstheme="minorHAnsi"/>
                  <w:lang w:val="en-GB"/>
                </w:rPr>
                <w:t xml:space="preserve"> http://www.boe.es/boe/dias/2011/08/20/pdfs/BOE-A-2011-14021.pdf </w:t>
              </w:r>
            </w:p>
            <w:p w:rsidR="00786B88" w:rsidRPr="00277328" w:rsidRDefault="00786B88" w:rsidP="00786B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cstheme="minorHAnsi"/>
                  <w:lang w:val="en-GB"/>
                </w:rPr>
              </w:pPr>
              <w:r w:rsidRPr="00277328">
                <w:rPr>
                  <w:rFonts w:cstheme="minorHAnsi"/>
                  <w:lang w:val="en-GB"/>
                </w:rPr>
                <w:t>Boletín Oficial del Estado (2012): Real Decreto-Ley 16/2012, de 20 de Abril, de medidas urgentes para garantizar la sostenibilidad del Sistema Nacional de Salud y mejorar la calidad y seguridad de sus prestaciones.</w:t>
              </w:r>
            </w:p>
            <w:p w:rsidR="00786B88" w:rsidRPr="00277328" w:rsidRDefault="00786B88" w:rsidP="00786B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cstheme="minorHAnsi"/>
                  <w:lang w:val="en-GB"/>
                </w:rPr>
              </w:pPr>
              <w:r w:rsidRPr="00277328">
                <w:rPr>
                  <w:rFonts w:cstheme="minorHAnsi"/>
                  <w:lang w:val="en-GB"/>
                </w:rPr>
                <w:t xml:space="preserve">Available at: </w:t>
              </w:r>
            </w:p>
            <w:p w:rsidR="00786B88" w:rsidRPr="00277328" w:rsidRDefault="00E93150" w:rsidP="00786B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cstheme="minorHAnsi"/>
                  <w:lang w:val="en-GB"/>
                </w:rPr>
              </w:pPr>
              <w:hyperlink r:id="rId14" w:history="1">
                <w:r w:rsidR="00786B88" w:rsidRPr="00277328">
                  <w:rPr>
                    <w:rStyle w:val="Hyperlink"/>
                    <w:rFonts w:cstheme="minorHAnsi"/>
                    <w:lang w:val="en-GB"/>
                  </w:rPr>
                  <w:t>http://www.boe.es/boe/dias/2012/04/24/pdfs/BOE-A-2012-5403.pdf</w:t>
                </w:r>
              </w:hyperlink>
              <w:r w:rsidR="00786B88" w:rsidRPr="00277328">
                <w:rPr>
                  <w:rFonts w:cstheme="minorHAnsi"/>
                  <w:lang w:val="en-GB"/>
                </w:rPr>
                <w:t xml:space="preserve"> </w:t>
              </w:r>
            </w:p>
            <w:p w:rsidR="00786B88" w:rsidRPr="00277328" w:rsidRDefault="00786B88" w:rsidP="00786B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cstheme="minorHAnsi"/>
                  <w:lang w:val="en-GB"/>
                </w:rPr>
              </w:pPr>
              <w:r w:rsidRPr="00277328">
                <w:rPr>
                  <w:rFonts w:cstheme="minorHAnsi"/>
                  <w:lang w:val="en-GB"/>
                </w:rPr>
                <w:t>Boletín Oficial del Estado (2012): Real</w:t>
              </w:r>
              <w:r w:rsidR="00F65CD1" w:rsidRPr="00277328">
                <w:rPr>
                  <w:rFonts w:cstheme="minorHAnsi"/>
                  <w:lang w:val="en-GB"/>
                </w:rPr>
                <w:t xml:space="preserve"> Decreto-ley 20/2012, de 13 de J</w:t>
              </w:r>
              <w:r w:rsidRPr="00277328">
                <w:rPr>
                  <w:rFonts w:cstheme="minorHAnsi"/>
                  <w:lang w:val="en-GB"/>
                </w:rPr>
                <w:t>ulio, de medidas para garantizar la estabilidad presupuestaria y de fomento de la competitividad</w:t>
              </w:r>
            </w:p>
            <w:p w:rsidR="00786B88" w:rsidRPr="00277328" w:rsidRDefault="00786B88" w:rsidP="00F65C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cstheme="minorHAnsi"/>
                  <w:lang w:val="en-GB"/>
                </w:rPr>
              </w:pPr>
              <w:r w:rsidRPr="00277328">
                <w:rPr>
                  <w:rFonts w:cstheme="minorHAnsi"/>
                  <w:lang w:val="en-GB"/>
                </w:rPr>
                <w:t>Available at: http://www.boe.es/boe/dias/2012/07/14/pdfs/BOE-A-2012-93</w:t>
              </w:r>
              <w:r w:rsidR="00F65CD1" w:rsidRPr="00277328">
                <w:rPr>
                  <w:rFonts w:cstheme="minorHAnsi"/>
                  <w:lang w:val="en-GB"/>
                </w:rPr>
                <w:t xml:space="preserve">64.pdf </w:t>
              </w:r>
            </w:p>
            <w:p w:rsidR="008930F2" w:rsidRPr="00277328" w:rsidRDefault="008930F2" w:rsidP="008930F2">
              <w:pPr>
                <w:pStyle w:val="Bibliography"/>
                <w:rPr>
                  <w:lang w:val="en-GB"/>
                </w:rPr>
              </w:pPr>
              <w:r w:rsidRPr="00277328">
                <w:rPr>
                  <w:lang w:val="en-GB"/>
                </w:rPr>
                <w:t xml:space="preserve">Bobes, Julio, et al. "The state of psychiatry in Spain." </w:t>
              </w:r>
              <w:r w:rsidRPr="00277328">
                <w:rPr>
                  <w:i/>
                  <w:iCs/>
                  <w:lang w:val="en-GB"/>
                </w:rPr>
                <w:t>International Review of Psychiatry</w:t>
              </w:r>
              <w:r w:rsidRPr="00277328">
                <w:rPr>
                  <w:lang w:val="en-GB"/>
                </w:rPr>
                <w:t xml:space="preserve"> 24, no. 4 (August 2012): pp 347-355.</w:t>
              </w:r>
            </w:p>
            <w:p w:rsidR="008930F2" w:rsidRPr="00277328" w:rsidRDefault="008930F2" w:rsidP="008930F2">
              <w:pPr>
                <w:pStyle w:val="Bibliography"/>
                <w:rPr>
                  <w:lang w:val="en-GB"/>
                </w:rPr>
              </w:pPr>
              <w:r w:rsidRPr="00277328">
                <w:rPr>
                  <w:lang w:val="en-GB"/>
                </w:rPr>
                <w:t xml:space="preserve">Cabasés, Juan M., and Luis Salvador-Carulla. "Moving from institutional to community care in mental health: progress and gaps. The Spanish case." </w:t>
              </w:r>
              <w:r w:rsidRPr="00277328">
                <w:rPr>
                  <w:i/>
                  <w:iCs/>
                  <w:lang w:val="en-GB"/>
                </w:rPr>
                <w:t>European Health Management Association: European Mental Health System Network.</w:t>
              </w:r>
              <w:r w:rsidRPr="00277328">
                <w:rPr>
                  <w:lang w:val="en-GB"/>
                </w:rPr>
                <w:t xml:space="preserve"> Brussels, 2010.</w:t>
              </w:r>
            </w:p>
            <w:p w:rsidR="008930F2" w:rsidRPr="00277328" w:rsidRDefault="008930F2" w:rsidP="008930F2">
              <w:pPr>
                <w:pStyle w:val="Bibliography"/>
                <w:rPr>
                  <w:lang w:val="en-GB"/>
                </w:rPr>
              </w:pPr>
              <w:r w:rsidRPr="00277328">
                <w:rPr>
                  <w:lang w:val="en-GB"/>
                </w:rPr>
                <w:t xml:space="preserve">Caldas de Almeida, J.M., and Helen Killaspy. </w:t>
              </w:r>
              <w:r w:rsidRPr="00277328">
                <w:rPr>
                  <w:i/>
                  <w:iCs/>
                  <w:lang w:val="en-GB"/>
                </w:rPr>
                <w:t>Long-term Mental Health Care for People with Severe Mental Disorders.</w:t>
              </w:r>
              <w:r w:rsidRPr="00277328">
                <w:rPr>
                  <w:lang w:val="en-GB"/>
                </w:rPr>
                <w:t xml:space="preserve"> European Commission, 2011.</w:t>
              </w:r>
            </w:p>
            <w:p w:rsidR="008930F2" w:rsidRDefault="008930F2" w:rsidP="008930F2">
              <w:pPr>
                <w:pStyle w:val="Bibliography"/>
                <w:rPr>
                  <w:lang w:val="en-GB"/>
                </w:rPr>
              </w:pPr>
              <w:r w:rsidRPr="00277328">
                <w:rPr>
                  <w:lang w:val="en-GB"/>
                </w:rPr>
                <w:t xml:space="preserve">Catalá López, Ferrán, Elena Álvarez Martín, Ricard Gènova Maleras, and Consuelo Morant Ginestar. "Relación en España entre la investigación sanitaria financiada por el Sistema Nacional de Salud y la carga de enfermedad en la comunidad." </w:t>
              </w:r>
              <w:r w:rsidRPr="00277328">
                <w:rPr>
                  <w:i/>
                  <w:iCs/>
                  <w:lang w:val="en-GB"/>
                </w:rPr>
                <w:t>Revista Española de Salud Pública</w:t>
              </w:r>
              <w:r w:rsidRPr="00277328">
                <w:rPr>
                  <w:lang w:val="en-GB"/>
                </w:rPr>
                <w:t xml:space="preserve"> 83 (2009): 137-151.</w:t>
              </w:r>
            </w:p>
            <w:p w:rsidR="008831D6" w:rsidRPr="008831D6" w:rsidRDefault="008831D6" w:rsidP="008831D6">
              <w:pPr>
                <w:rPr>
                  <w:lang w:val="en-GB"/>
                </w:rPr>
              </w:pPr>
              <w:r>
                <w:rPr>
                  <w:lang w:val="en-GB"/>
                </w:rPr>
                <w:lastRenderedPageBreak/>
                <w:t xml:space="preserve">Chen, Jiahua. "Extended Bayesian Information Criteria for model selection with large model spaces". </w:t>
              </w:r>
              <w:r w:rsidRPr="008831D6">
                <w:rPr>
                  <w:i/>
                  <w:lang w:val="en-GB"/>
                </w:rPr>
                <w:t>Biometrika,</w:t>
              </w:r>
              <w:r>
                <w:rPr>
                  <w:lang w:val="en-GB"/>
                </w:rPr>
                <w:t xml:space="preserve"> 95:3, Oxford Journals (2008): 759-771.</w:t>
              </w:r>
            </w:p>
            <w:p w:rsidR="008930F2" w:rsidRPr="00277328" w:rsidRDefault="008930F2" w:rsidP="008930F2">
              <w:pPr>
                <w:pStyle w:val="Bibliography"/>
                <w:rPr>
                  <w:lang w:val="en-GB"/>
                </w:rPr>
              </w:pPr>
              <w:r w:rsidRPr="00277328">
                <w:rPr>
                  <w:lang w:val="en-GB"/>
                </w:rPr>
                <w:t xml:space="preserve">Chisholm, D., K. Sanderson, JL Ayuso-Mateos, and S. Saxena. "Reducing the burden of depression: a population-level analysis of intervention cost-effectiveness in 14 epidemiologically-defined sub-regions (WHO CHOICE)." </w:t>
              </w:r>
              <w:r w:rsidRPr="00277328">
                <w:rPr>
                  <w:i/>
                  <w:iCs/>
                  <w:lang w:val="en-GB"/>
                </w:rPr>
                <w:t>British Journal of Psychiatry</w:t>
              </w:r>
              <w:r w:rsidRPr="00277328">
                <w:rPr>
                  <w:lang w:val="en-GB"/>
                </w:rPr>
                <w:t xml:space="preserve"> 184 (2004): 393-403.</w:t>
              </w:r>
            </w:p>
            <w:p w:rsidR="008930F2" w:rsidRPr="00277328" w:rsidRDefault="008930F2" w:rsidP="008930F2">
              <w:pPr>
                <w:pStyle w:val="Bibliography"/>
                <w:rPr>
                  <w:lang w:val="en-GB"/>
                </w:rPr>
              </w:pPr>
              <w:r w:rsidRPr="00277328">
                <w:rPr>
                  <w:lang w:val="en-GB"/>
                </w:rPr>
                <w:t xml:space="preserve">Collins, Pamela Y., Vikram Patel, Sarah S. Joestl, Dana March, Thomas R. Insel, and Abdallah S. Daar. "Grand challenges in global mental health." </w:t>
              </w:r>
              <w:r w:rsidRPr="00277328">
                <w:rPr>
                  <w:i/>
                  <w:iCs/>
                  <w:lang w:val="en-GB"/>
                </w:rPr>
                <w:t>Nature</w:t>
              </w:r>
              <w:r w:rsidRPr="00277328">
                <w:rPr>
                  <w:lang w:val="en-GB"/>
                </w:rPr>
                <w:t xml:space="preserve"> 475, no. 7354 (2011): 27-30.</w:t>
              </w:r>
            </w:p>
            <w:p w:rsidR="008A1DD3" w:rsidRPr="00277328" w:rsidRDefault="008A1DD3" w:rsidP="008A1DD3">
              <w:pPr>
                <w:pStyle w:val="Bibliography"/>
                <w:rPr>
                  <w:lang w:val="en-GB"/>
                </w:rPr>
              </w:pPr>
              <w:r w:rsidRPr="00277328">
                <w:rPr>
                  <w:lang w:val="en-GB"/>
                </w:rPr>
                <w:t>Comisión Interministerial de Ciencia y Tecnología. "Plan Nacional de Investigación Científica, Desarrollo e Innovación Tecnológica (Plan Nacional de I+D+i) 2008-2011." 2008.</w:t>
              </w:r>
            </w:p>
            <w:p w:rsidR="008930F2" w:rsidRPr="00277328" w:rsidRDefault="008930F2" w:rsidP="008930F2">
              <w:pPr>
                <w:pStyle w:val="Bibliography"/>
                <w:rPr>
                  <w:lang w:val="en-GB"/>
                </w:rPr>
              </w:pPr>
              <w:r w:rsidRPr="00277328">
                <w:rPr>
                  <w:lang w:val="en-GB"/>
                </w:rPr>
                <w:t xml:space="preserve">Costa-Font, J., J. Cabases Hita, J. Alonso, L. Salvador-Carulla, and D. McDaid. "New and old challenges in the reform of mental health systems in Spain." </w:t>
              </w:r>
              <w:r w:rsidRPr="00277328">
                <w:rPr>
                  <w:i/>
                  <w:iCs/>
                  <w:lang w:val="en-GB"/>
                </w:rPr>
                <w:t>Eurohealth</w:t>
              </w:r>
              <w:r w:rsidRPr="00277328">
                <w:rPr>
                  <w:lang w:val="en-GB"/>
                </w:rPr>
                <w:t xml:space="preserve"> 14 (2009): pp. 14-18.</w:t>
              </w:r>
            </w:p>
            <w:p w:rsidR="008930F2" w:rsidRPr="00277328" w:rsidRDefault="008930F2" w:rsidP="008930F2">
              <w:pPr>
                <w:pStyle w:val="Bibliography"/>
                <w:rPr>
                  <w:lang w:val="en-GB"/>
                </w:rPr>
              </w:pPr>
              <w:r w:rsidRPr="00277328">
                <w:rPr>
                  <w:lang w:val="en-GB"/>
                </w:rPr>
                <w:t xml:space="preserve">Costa-Font, Joan, Luis Salvador-Carulla, Juan M. Cabases, Jordi Alonso, and David McDaid. "Tackling Neglect and Mental Health Reform in a Devolved System of Welfare Governance." </w:t>
              </w:r>
              <w:r w:rsidRPr="00277328">
                <w:rPr>
                  <w:i/>
                  <w:iCs/>
                  <w:lang w:val="en-GB"/>
                </w:rPr>
                <w:t>Journal of Social Policy</w:t>
              </w:r>
              <w:r w:rsidRPr="00277328">
                <w:rPr>
                  <w:lang w:val="en-GB"/>
                </w:rPr>
                <w:t xml:space="preserve"> 40, no. 02 (2011): pp 295-312.</w:t>
              </w:r>
            </w:p>
            <w:p w:rsidR="008930F2" w:rsidRPr="00277328" w:rsidRDefault="008930F2" w:rsidP="008930F2">
              <w:pPr>
                <w:pStyle w:val="Bibliography"/>
                <w:rPr>
                  <w:lang w:val="en-GB"/>
                </w:rPr>
              </w:pPr>
              <w:r w:rsidRPr="00277328">
                <w:rPr>
                  <w:lang w:val="en-GB"/>
                </w:rPr>
                <w:t xml:space="preserve">Cruz, Inés, Catalina Serna, Montserrat Rué, Jordi Real, Jorge Soler-Gonzalez, and Leondardo Galván. "Duration and compliance with antidepressant treatment in immigrant and native-born populations in Spain: a four year follow-up descriptive study." </w:t>
              </w:r>
              <w:r w:rsidRPr="00277328">
                <w:rPr>
                  <w:i/>
                  <w:iCs/>
                  <w:lang w:val="en-GB"/>
                </w:rPr>
                <w:t>BMC Public Health</w:t>
              </w:r>
              <w:r w:rsidRPr="00277328">
                <w:rPr>
                  <w:lang w:val="en-GB"/>
                </w:rPr>
                <w:t>, 2012.</w:t>
              </w:r>
            </w:p>
            <w:p w:rsidR="008930F2" w:rsidRPr="00277328" w:rsidRDefault="008930F2" w:rsidP="008930F2">
              <w:pPr>
                <w:pStyle w:val="Bibliography"/>
                <w:rPr>
                  <w:lang w:val="en-GB"/>
                </w:rPr>
              </w:pPr>
              <w:r w:rsidRPr="00277328">
                <w:rPr>
                  <w:lang w:val="en-GB"/>
                </w:rPr>
                <w:t xml:space="preserve">Daniels, N., and J Sabin. "Ethics of accountability in managed care reform." </w:t>
              </w:r>
              <w:r w:rsidRPr="00277328">
                <w:rPr>
                  <w:i/>
                  <w:iCs/>
                  <w:lang w:val="en-GB"/>
                </w:rPr>
                <w:t>Health Affairs</w:t>
              </w:r>
              <w:r w:rsidRPr="00277328">
                <w:rPr>
                  <w:lang w:val="en-GB"/>
                </w:rPr>
                <w:t xml:space="preserve"> 17 (1998): pp.50-64.</w:t>
              </w:r>
            </w:p>
            <w:p w:rsidR="008930F2" w:rsidRPr="00277328" w:rsidRDefault="008930F2" w:rsidP="008930F2">
              <w:pPr>
                <w:pStyle w:val="Bibliography"/>
                <w:rPr>
                  <w:lang w:val="en-GB"/>
                </w:rPr>
              </w:pPr>
              <w:r w:rsidRPr="00277328">
                <w:rPr>
                  <w:lang w:val="en-GB"/>
                </w:rPr>
                <w:t xml:space="preserve">Daniels, N., and JE. Sabin. "Limits to health care: fair procedures, democratic deliberation and the legitimacy problem for insurers." </w:t>
              </w:r>
              <w:r w:rsidRPr="00277328">
                <w:rPr>
                  <w:i/>
                  <w:iCs/>
                  <w:lang w:val="en-GB"/>
                </w:rPr>
                <w:t>Philosophy and Public Affairs</w:t>
              </w:r>
              <w:r w:rsidRPr="00277328">
                <w:rPr>
                  <w:lang w:val="en-GB"/>
                </w:rPr>
                <w:t xml:space="preserve"> 26, no. 4 (1997): pp.303-50.</w:t>
              </w:r>
            </w:p>
            <w:p w:rsidR="008930F2" w:rsidRPr="00277328" w:rsidRDefault="008930F2" w:rsidP="008930F2">
              <w:pPr>
                <w:pStyle w:val="Bibliography"/>
                <w:rPr>
                  <w:lang w:val="en-GB"/>
                </w:rPr>
              </w:pPr>
              <w:r w:rsidRPr="00277328">
                <w:rPr>
                  <w:lang w:val="en-GB"/>
                </w:rPr>
                <w:t xml:space="preserve">Davidson, JRT. "Major depressive disorder treatment guidelines in America and Europe." </w:t>
              </w:r>
              <w:r w:rsidRPr="00277328">
                <w:rPr>
                  <w:i/>
                  <w:iCs/>
                  <w:lang w:val="en-GB"/>
                </w:rPr>
                <w:t>Journal of Clinical Psychiatry</w:t>
              </w:r>
              <w:r w:rsidRPr="00277328">
                <w:rPr>
                  <w:lang w:val="en-GB"/>
                </w:rPr>
                <w:t xml:space="preserve"> 71 (2010).</w:t>
              </w:r>
            </w:p>
            <w:p w:rsidR="008930F2" w:rsidRPr="00277328" w:rsidRDefault="008930F2" w:rsidP="008930F2">
              <w:pPr>
                <w:pStyle w:val="Bibliography"/>
                <w:rPr>
                  <w:lang w:val="en-GB"/>
                </w:rPr>
              </w:pPr>
              <w:r w:rsidRPr="00277328">
                <w:rPr>
                  <w:lang w:val="en-GB"/>
                </w:rPr>
                <w:t xml:space="preserve">De Bekker-Grob, Esther W., Mandy Ryan, and Karen Gerard. "Discrete Choice Experiments in Health Economics: A review of the literature." </w:t>
              </w:r>
              <w:r w:rsidRPr="00277328">
                <w:rPr>
                  <w:i/>
                  <w:iCs/>
                  <w:lang w:val="en-GB"/>
                </w:rPr>
                <w:t>Health Economics</w:t>
              </w:r>
              <w:r w:rsidRPr="00277328">
                <w:rPr>
                  <w:lang w:val="en-GB"/>
                </w:rPr>
                <w:t xml:space="preserve"> 21 (2012): pp 145-172.</w:t>
              </w:r>
            </w:p>
            <w:p w:rsidR="008930F2" w:rsidRPr="00277328" w:rsidRDefault="008930F2" w:rsidP="008930F2">
              <w:pPr>
                <w:pStyle w:val="Bibliography"/>
                <w:rPr>
                  <w:lang w:val="en-GB"/>
                </w:rPr>
              </w:pPr>
              <w:r w:rsidRPr="00277328">
                <w:rPr>
                  <w:lang w:val="en-GB"/>
                </w:rPr>
                <w:t xml:space="preserve">Defechereux, Thierry, et al. "Health care priority setting in Norway a multi-criteria decision analysis." </w:t>
              </w:r>
              <w:r w:rsidRPr="00277328">
                <w:rPr>
                  <w:i/>
                  <w:iCs/>
                  <w:lang w:val="en-GB"/>
                </w:rPr>
                <w:t>BMC Health Services Research</w:t>
              </w:r>
              <w:r w:rsidRPr="00277328">
                <w:rPr>
                  <w:lang w:val="en-GB"/>
                </w:rPr>
                <w:t xml:space="preserve"> 12, no. 7 (2012).</w:t>
              </w:r>
            </w:p>
            <w:p w:rsidR="008930F2" w:rsidRPr="00277328" w:rsidRDefault="008930F2" w:rsidP="008930F2">
              <w:pPr>
                <w:pStyle w:val="Bibliography"/>
                <w:rPr>
                  <w:lang w:val="en-GB"/>
                </w:rPr>
              </w:pPr>
              <w:r w:rsidRPr="00277328">
                <w:rPr>
                  <w:lang w:val="en-GB"/>
                </w:rPr>
                <w:t xml:space="preserve">Drummond, M.F., B. O'Brian, G.L. Stoddart, and G.W. Torrance. </w:t>
              </w:r>
              <w:r w:rsidRPr="00277328">
                <w:rPr>
                  <w:i/>
                  <w:iCs/>
                  <w:lang w:val="en-GB"/>
                </w:rPr>
                <w:t>Methods for the Economic Evaluation of Health Care Programmes.</w:t>
              </w:r>
              <w:r w:rsidRPr="00277328">
                <w:rPr>
                  <w:lang w:val="en-GB"/>
                </w:rPr>
                <w:t xml:space="preserve"> second edn. Oxford Medical Publications, Oxford University Press, 1997.</w:t>
              </w:r>
            </w:p>
            <w:p w:rsidR="008930F2" w:rsidRPr="00277328" w:rsidRDefault="008930F2" w:rsidP="008930F2">
              <w:pPr>
                <w:pStyle w:val="Bibliography"/>
                <w:rPr>
                  <w:lang w:val="en-GB"/>
                </w:rPr>
              </w:pPr>
              <w:r w:rsidRPr="00277328">
                <w:rPr>
                  <w:lang w:val="en-GB"/>
                </w:rPr>
                <w:t>European Commission. "Council Reccomendation on Spain’s 2013 national reform programme and delivering a Council opinion on Spain’s stability programme for 2012-2016." Brussels, 2013.</w:t>
              </w:r>
            </w:p>
            <w:p w:rsidR="008930F2" w:rsidRPr="00277328" w:rsidRDefault="008930F2" w:rsidP="008930F2">
              <w:pPr>
                <w:pStyle w:val="Bibliography"/>
                <w:rPr>
                  <w:lang w:val="en-GB"/>
                </w:rPr>
              </w:pPr>
              <w:r w:rsidRPr="00277328">
                <w:rPr>
                  <w:lang w:val="en-GB"/>
                </w:rPr>
                <w:lastRenderedPageBreak/>
                <w:t xml:space="preserve">European Commission. </w:t>
              </w:r>
              <w:r w:rsidRPr="00277328">
                <w:rPr>
                  <w:i/>
                  <w:iCs/>
                  <w:lang w:val="en-GB"/>
                </w:rPr>
                <w:t>Green Paper. Improving the mental health of the population: Towards a strategy on mental health for the European Union.</w:t>
              </w:r>
              <w:r w:rsidRPr="00277328">
                <w:rPr>
                  <w:lang w:val="en-GB"/>
                </w:rPr>
                <w:t xml:space="preserve"> Brussels: Health &amp; Consumer Protection Directorate-General, 2005.</w:t>
              </w:r>
            </w:p>
            <w:p w:rsidR="008930F2" w:rsidRPr="00277328" w:rsidRDefault="008930F2" w:rsidP="008930F2">
              <w:pPr>
                <w:pStyle w:val="Bibliography"/>
                <w:rPr>
                  <w:lang w:val="en-GB"/>
                </w:rPr>
              </w:pPr>
              <w:r w:rsidRPr="00277328">
                <w:rPr>
                  <w:lang w:val="en-GB"/>
                </w:rPr>
                <w:t xml:space="preserve">FBBVA. </w:t>
              </w:r>
              <w:r w:rsidRPr="00277328">
                <w:rPr>
                  <w:i/>
                  <w:iCs/>
                  <w:lang w:val="en-GB"/>
                </w:rPr>
                <w:t>Fundación BBVA Bases de datos.</w:t>
              </w:r>
              <w:r w:rsidRPr="00277328">
                <w:rPr>
                  <w:lang w:val="en-GB"/>
                </w:rPr>
                <w:t xml:space="preserve"> 2011. Available at: </w:t>
              </w:r>
            </w:p>
            <w:p w:rsidR="008930F2" w:rsidRPr="00277328" w:rsidRDefault="008930F2" w:rsidP="008930F2">
              <w:pPr>
                <w:pStyle w:val="Bibliography"/>
                <w:rPr>
                  <w:lang w:val="en-GB"/>
                </w:rPr>
              </w:pPr>
              <w:r w:rsidRPr="00277328">
                <w:rPr>
                  <w:lang w:val="en-GB"/>
                </w:rPr>
                <w:t>http://www.fbbva.es/TLFU/tlfu/esp/areas/econosoc/bbdd/sistema_sanitario.jsp.</w:t>
              </w:r>
            </w:p>
            <w:p w:rsidR="008930F2" w:rsidRPr="00277328" w:rsidRDefault="008930F2" w:rsidP="008930F2">
              <w:pPr>
                <w:pStyle w:val="Bibliography"/>
                <w:rPr>
                  <w:lang w:val="en-GB"/>
                </w:rPr>
              </w:pPr>
              <w:r w:rsidRPr="00277328">
                <w:rPr>
                  <w:lang w:val="en-GB"/>
                </w:rPr>
                <w:t xml:space="preserve">Gaminde, Idoia. "Priorities in healthcare: a perspective from." </w:t>
              </w:r>
              <w:r w:rsidRPr="00277328">
                <w:rPr>
                  <w:i/>
                  <w:iCs/>
                  <w:lang w:val="en-GB"/>
                </w:rPr>
                <w:t>Health Policy</w:t>
              </w:r>
              <w:r w:rsidRPr="00277328">
                <w:rPr>
                  <w:lang w:val="en-GB"/>
                </w:rPr>
                <w:t xml:space="preserve"> (Elsevier Science), no. 50 (1999): 55-70.</w:t>
              </w:r>
            </w:p>
            <w:p w:rsidR="008930F2" w:rsidRPr="00277328" w:rsidRDefault="008930F2" w:rsidP="008930F2">
              <w:pPr>
                <w:pStyle w:val="Bibliography"/>
                <w:rPr>
                  <w:lang w:val="en-GB"/>
                </w:rPr>
              </w:pPr>
              <w:r w:rsidRPr="00277328">
                <w:rPr>
                  <w:lang w:val="en-GB"/>
                </w:rPr>
                <w:t>García-Armesto, Sandra, María Begoña Abadía-Taira, Antonio Durán, Cristina Hernández-Quevedo, and Enrique Bernal-Delgado. "Spain: Health system review. Health systems in transition." European Observatories on Health Systems and Policies, 2010, 1-295.</w:t>
              </w:r>
            </w:p>
            <w:p w:rsidR="008930F2" w:rsidRPr="00277328" w:rsidRDefault="008930F2" w:rsidP="008930F2">
              <w:pPr>
                <w:pStyle w:val="Bibliography"/>
                <w:rPr>
                  <w:lang w:val="en-GB"/>
                </w:rPr>
              </w:pPr>
              <w:r w:rsidRPr="00277328">
                <w:rPr>
                  <w:lang w:val="en-GB"/>
                </w:rPr>
                <w:t xml:space="preserve">Gili, Margalida, Miquel Roca, Sanjay Basu, Martin McKee, and David Stuckler. "The mental health risks of economic crisis in Spain:evidence from primary care centres, 2006 and 2010." </w:t>
              </w:r>
              <w:r w:rsidRPr="00277328">
                <w:rPr>
                  <w:i/>
                  <w:iCs/>
                  <w:lang w:val="en-GB"/>
                </w:rPr>
                <w:t>The European Journal of Public Health</w:t>
              </w:r>
              <w:r w:rsidRPr="00277328">
                <w:rPr>
                  <w:lang w:val="en-GB"/>
                </w:rPr>
                <w:t>, 2012: 1-5.</w:t>
              </w:r>
            </w:p>
            <w:p w:rsidR="008930F2" w:rsidRPr="00277328" w:rsidRDefault="008930F2" w:rsidP="008930F2">
              <w:pPr>
                <w:pStyle w:val="Bibliography"/>
                <w:rPr>
                  <w:lang w:val="en-GB"/>
                </w:rPr>
              </w:pPr>
              <w:r w:rsidRPr="00277328">
                <w:rPr>
                  <w:lang w:val="en-GB"/>
                </w:rPr>
                <w:t xml:space="preserve">González-Pier, Eduardo, et al. "Health System reform in Mexico 2: Priority setting for health interventions in Mexico’s System of Social Protection in Health." </w:t>
              </w:r>
              <w:r w:rsidRPr="00277328">
                <w:rPr>
                  <w:i/>
                  <w:iCs/>
                  <w:lang w:val="en-GB"/>
                </w:rPr>
                <w:t>Lancet</w:t>
              </w:r>
              <w:r w:rsidRPr="00277328">
                <w:rPr>
                  <w:lang w:val="en-GB"/>
                </w:rPr>
                <w:t xml:space="preserve"> 368 (2006): 1608-18.</w:t>
              </w:r>
            </w:p>
            <w:p w:rsidR="008930F2" w:rsidRPr="00277328" w:rsidRDefault="008930F2" w:rsidP="008930F2">
              <w:pPr>
                <w:pStyle w:val="Bibliography"/>
                <w:rPr>
                  <w:lang w:val="en-GB"/>
                </w:rPr>
              </w:pPr>
              <w:r w:rsidRPr="00277328">
                <w:rPr>
                  <w:lang w:val="en-GB"/>
                </w:rPr>
                <w:t xml:space="preserve">Grandes, G., I. Montoya, M.S. Arietaleanizbeaskoa, V. Arce, and A. Sanchez. "The burden of mental disorders in primary care." </w:t>
              </w:r>
              <w:r w:rsidRPr="00277328">
                <w:rPr>
                  <w:i/>
                  <w:iCs/>
                  <w:lang w:val="en-GB"/>
                </w:rPr>
                <w:t>European Psychiatry</w:t>
              </w:r>
              <w:r w:rsidRPr="00277328">
                <w:rPr>
                  <w:lang w:val="en-GB"/>
                </w:rPr>
                <w:t xml:space="preserve"> 26, no. 7 (2011): pp 428-435.</w:t>
              </w:r>
            </w:p>
            <w:p w:rsidR="008930F2" w:rsidRPr="00277328" w:rsidRDefault="008930F2" w:rsidP="008930F2">
              <w:pPr>
                <w:pStyle w:val="Bibliography"/>
                <w:rPr>
                  <w:lang w:val="en-GB"/>
                </w:rPr>
              </w:pPr>
              <w:r w:rsidRPr="00277328">
                <w:rPr>
                  <w:lang w:val="en-GB"/>
                </w:rPr>
                <w:t xml:space="preserve">Guillem Lopez-Casasnovasa, *, JLopez-Casasnovas, Guillem, Joan Costa-Font, and Ivan Planasa. "Diversity and regional inequalities in the Spanish ‘system of health services'." </w:t>
              </w:r>
              <w:r w:rsidRPr="00277328">
                <w:rPr>
                  <w:i/>
                  <w:iCs/>
                  <w:lang w:val="en-GB"/>
                </w:rPr>
                <w:t>Health Economics</w:t>
              </w:r>
              <w:r w:rsidRPr="00277328">
                <w:rPr>
                  <w:lang w:val="en-GB"/>
                </w:rPr>
                <w:t xml:space="preserve"> (www.interscience.wiley.com), no. 14 (2005): S221–S235.</w:t>
              </w:r>
            </w:p>
            <w:p w:rsidR="008930F2" w:rsidRPr="00277328" w:rsidRDefault="008930F2" w:rsidP="008930F2">
              <w:pPr>
                <w:pStyle w:val="Bibliography"/>
                <w:rPr>
                  <w:lang w:val="en-GB"/>
                </w:rPr>
              </w:pPr>
              <w:r w:rsidRPr="00277328">
                <w:rPr>
                  <w:lang w:val="en-GB"/>
                </w:rPr>
                <w:t xml:space="preserve">Harris, AC, and B. Barraclough. "Suicide as an outcome for mental disorders: a meta-analysis." </w:t>
              </w:r>
              <w:r w:rsidRPr="00277328">
                <w:rPr>
                  <w:i/>
                  <w:iCs/>
                  <w:lang w:val="en-GB"/>
                </w:rPr>
                <w:t>British Journal of Psychiatry</w:t>
              </w:r>
              <w:r w:rsidRPr="00277328">
                <w:rPr>
                  <w:lang w:val="en-GB"/>
                </w:rPr>
                <w:t xml:space="preserve"> 170 (1997): 105-228.</w:t>
              </w:r>
            </w:p>
            <w:p w:rsidR="008930F2" w:rsidRPr="00277328" w:rsidRDefault="008930F2" w:rsidP="008930F2">
              <w:pPr>
                <w:pStyle w:val="Bibliography"/>
                <w:rPr>
                  <w:lang w:val="en-GB"/>
                </w:rPr>
              </w:pPr>
              <w:r w:rsidRPr="00277328">
                <w:rPr>
                  <w:lang w:val="en-GB"/>
                </w:rPr>
                <w:t xml:space="preserve">Hawton, K., and K. van Heeringen. "Suicide." </w:t>
              </w:r>
              <w:r w:rsidRPr="00277328">
                <w:rPr>
                  <w:i/>
                  <w:iCs/>
                  <w:lang w:val="en-GB"/>
                </w:rPr>
                <w:t>Lancet</w:t>
              </w:r>
              <w:r w:rsidRPr="00277328">
                <w:rPr>
                  <w:lang w:val="en-GB"/>
                </w:rPr>
                <w:t xml:space="preserve"> 373 (2009): 1372-1381.</w:t>
              </w:r>
            </w:p>
            <w:p w:rsidR="008930F2" w:rsidRPr="00277328" w:rsidRDefault="008930F2" w:rsidP="008930F2">
              <w:pPr>
                <w:pStyle w:val="Bibliography"/>
                <w:rPr>
                  <w:lang w:val="en-GB"/>
                </w:rPr>
              </w:pPr>
              <w:r w:rsidRPr="00277328">
                <w:rPr>
                  <w:lang w:val="en-GB"/>
                </w:rPr>
                <w:t xml:space="preserve">Hensher, David A., John M. Rose, and William H. Green. </w:t>
              </w:r>
              <w:r w:rsidRPr="00277328">
                <w:rPr>
                  <w:i/>
                  <w:iCs/>
                  <w:lang w:val="en-GB"/>
                </w:rPr>
                <w:t>Applied Choice Analysis: A primer.</w:t>
              </w:r>
              <w:r w:rsidRPr="00277328">
                <w:rPr>
                  <w:lang w:val="en-GB"/>
                </w:rPr>
                <w:t xml:space="preserve"> Cambridge University Press, 2005.</w:t>
              </w:r>
            </w:p>
            <w:p w:rsidR="008930F2" w:rsidRPr="00277328" w:rsidRDefault="008930F2" w:rsidP="008930F2">
              <w:pPr>
                <w:pStyle w:val="Bibliography"/>
                <w:rPr>
                  <w:lang w:val="en-GB"/>
                </w:rPr>
              </w:pPr>
              <w:r w:rsidRPr="00277328">
                <w:rPr>
                  <w:lang w:val="en-GB"/>
                </w:rPr>
                <w:t xml:space="preserve">Huber, J., and K. Zwerina. "The importance of utility balance in efficient choice designs." </w:t>
              </w:r>
              <w:r w:rsidRPr="00277328">
                <w:rPr>
                  <w:i/>
                  <w:iCs/>
                  <w:lang w:val="en-GB"/>
                </w:rPr>
                <w:t>Journal of Marketing Research</w:t>
              </w:r>
              <w:r w:rsidRPr="00277328">
                <w:rPr>
                  <w:lang w:val="en-GB"/>
                </w:rPr>
                <w:t xml:space="preserve"> vol.73 (1996): 307-317.</w:t>
              </w:r>
            </w:p>
            <w:p w:rsidR="008930F2" w:rsidRPr="00277328" w:rsidRDefault="008930F2" w:rsidP="008930F2">
              <w:pPr>
                <w:pStyle w:val="Bibliography"/>
                <w:rPr>
                  <w:lang w:val="en-GB"/>
                </w:rPr>
              </w:pPr>
              <w:r w:rsidRPr="00277328">
                <w:rPr>
                  <w:lang w:val="en-GB"/>
                </w:rPr>
                <w:t>Instituto Nacional de Estadística, INE, 2012. Available at:</w:t>
              </w:r>
            </w:p>
            <w:p w:rsidR="008930F2" w:rsidRPr="00277328" w:rsidRDefault="008930F2" w:rsidP="008930F2">
              <w:pPr>
                <w:pStyle w:val="Bibliography"/>
                <w:rPr>
                  <w:lang w:val="en-GB"/>
                </w:rPr>
              </w:pPr>
              <w:r w:rsidRPr="00277328">
                <w:rPr>
                  <w:i/>
                  <w:iCs/>
                  <w:lang w:val="en-GB"/>
                </w:rPr>
                <w:t>http://www.ine.es/.</w:t>
              </w:r>
              <w:r w:rsidRPr="00277328">
                <w:rPr>
                  <w:lang w:val="en-GB"/>
                </w:rPr>
                <w:t xml:space="preserve"> </w:t>
              </w:r>
            </w:p>
            <w:p w:rsidR="008930F2" w:rsidRPr="00277328" w:rsidRDefault="008930F2" w:rsidP="008930F2">
              <w:pPr>
                <w:pStyle w:val="Bibliography"/>
                <w:rPr>
                  <w:lang w:val="en-GB"/>
                </w:rPr>
              </w:pPr>
              <w:r w:rsidRPr="00277328">
                <w:rPr>
                  <w:lang w:val="en-GB"/>
                </w:rPr>
                <w:t xml:space="preserve">International Social Security Association (ISSA). </w:t>
              </w:r>
              <w:r w:rsidRPr="00277328">
                <w:rPr>
                  <w:i/>
                  <w:iCs/>
                  <w:lang w:val="en-GB"/>
                </w:rPr>
                <w:t>Reform of the Spanish National Health System.</w:t>
              </w:r>
              <w:r w:rsidRPr="00277328">
                <w:rPr>
                  <w:lang w:val="en-GB"/>
                </w:rPr>
                <w:t xml:space="preserve"> June 23, 2013. Available at:</w:t>
              </w:r>
            </w:p>
            <w:p w:rsidR="008930F2" w:rsidRPr="00277328" w:rsidRDefault="008930F2" w:rsidP="008930F2">
              <w:pPr>
                <w:pStyle w:val="Bibliography"/>
                <w:rPr>
                  <w:lang w:val="en-GB"/>
                </w:rPr>
              </w:pPr>
              <w:r w:rsidRPr="00277328">
                <w:rPr>
                  <w:lang w:val="en-GB"/>
                </w:rPr>
                <w:t>http://www.issa.int/News-Events/News2/Reform-of-the-Spanish-National-Health-System.</w:t>
              </w:r>
            </w:p>
            <w:p w:rsidR="008930F2" w:rsidRPr="00277328" w:rsidRDefault="008930F2" w:rsidP="008930F2">
              <w:pPr>
                <w:pStyle w:val="Bibliography"/>
                <w:rPr>
                  <w:lang w:val="en-GB"/>
                </w:rPr>
              </w:pPr>
              <w:r w:rsidRPr="00277328">
                <w:rPr>
                  <w:lang w:val="en-GB"/>
                </w:rPr>
                <w:lastRenderedPageBreak/>
                <w:t xml:space="preserve">James, Chris, Guy Carrin, William Savedoff, and Piya Hanvoravongchai. "Clarifying Efficiency-Equity Tradeoffs Through Explicit Criteria, With a Focus on Developing Countries." </w:t>
              </w:r>
              <w:r w:rsidRPr="00277328">
                <w:rPr>
                  <w:i/>
                  <w:iCs/>
                  <w:lang w:val="en-GB"/>
                </w:rPr>
                <w:t>Health Care Analysis</w:t>
              </w:r>
              <w:r w:rsidRPr="00277328">
                <w:rPr>
                  <w:lang w:val="en-GB"/>
                </w:rPr>
                <w:t xml:space="preserve"> 13, no. 1 (2005).</w:t>
              </w:r>
            </w:p>
            <w:p w:rsidR="008930F2" w:rsidRPr="00277328" w:rsidRDefault="008930F2" w:rsidP="008930F2">
              <w:pPr>
                <w:pStyle w:val="Bibliography"/>
                <w:rPr>
                  <w:lang w:val="en-GB"/>
                </w:rPr>
              </w:pPr>
              <w:r w:rsidRPr="00277328">
                <w:rPr>
                  <w:lang w:val="en-GB"/>
                </w:rPr>
                <w:t xml:space="preserve">Jané-Llopis, E., and P. Anderson. </w:t>
              </w:r>
              <w:r w:rsidRPr="00277328">
                <w:rPr>
                  <w:i/>
                  <w:iCs/>
                  <w:lang w:val="en-GB"/>
                </w:rPr>
                <w:t>Mental health promotion and mental disorder prevention across European Member States: a collection of country stories.</w:t>
              </w:r>
              <w:r w:rsidRPr="00277328">
                <w:rPr>
                  <w:lang w:val="en-GB"/>
                </w:rPr>
                <w:t xml:space="preserve"> Luxemburg: European Communities, 2006.</w:t>
              </w:r>
            </w:p>
            <w:p w:rsidR="008930F2" w:rsidRPr="00277328" w:rsidRDefault="008930F2" w:rsidP="008930F2">
              <w:pPr>
                <w:pStyle w:val="Bibliography"/>
                <w:rPr>
                  <w:lang w:val="en-GB"/>
                </w:rPr>
              </w:pPr>
              <w:r w:rsidRPr="00277328">
                <w:rPr>
                  <w:lang w:val="en-GB"/>
                </w:rPr>
                <w:t xml:space="preserve">Jehu-Appiah, Caroline, et al. "Balancing Equity and Efficiency in Health Priorities in Ghana:The Use of Multicriteria Decision Analysis." </w:t>
              </w:r>
              <w:r w:rsidRPr="00277328">
                <w:rPr>
                  <w:i/>
                  <w:iCs/>
                  <w:lang w:val="en-GB"/>
                </w:rPr>
                <w:t>Value in Health</w:t>
              </w:r>
              <w:r w:rsidRPr="00277328">
                <w:rPr>
                  <w:lang w:val="en-GB"/>
                </w:rPr>
                <w:t xml:space="preserve"> 11, no. 7 (2008).</w:t>
              </w:r>
            </w:p>
            <w:p w:rsidR="008930F2" w:rsidRPr="00277328" w:rsidRDefault="008930F2" w:rsidP="008930F2">
              <w:pPr>
                <w:pStyle w:val="Bibliography"/>
                <w:rPr>
                  <w:lang w:val="en-GB"/>
                </w:rPr>
              </w:pPr>
              <w:r w:rsidRPr="00277328">
                <w:rPr>
                  <w:lang w:val="en-GB"/>
                </w:rPr>
                <w:t xml:space="preserve">Kapiriri, Lydia, and Ole Frithjof Norheim. "Criteria for priority-setting in health care in Uganda: exploration of stakeholders’ values." </w:t>
              </w:r>
              <w:r w:rsidRPr="00277328">
                <w:rPr>
                  <w:i/>
                  <w:iCs/>
                  <w:lang w:val="en-GB"/>
                </w:rPr>
                <w:t>Bulletin of the World Health Organization</w:t>
              </w:r>
              <w:r w:rsidRPr="00277328">
                <w:rPr>
                  <w:lang w:val="en-GB"/>
                </w:rPr>
                <w:t xml:space="preserve"> 82, no. 3 (2004): pp.172-9.</w:t>
              </w:r>
            </w:p>
            <w:p w:rsidR="008930F2" w:rsidRPr="00277328" w:rsidRDefault="008930F2" w:rsidP="008930F2">
              <w:pPr>
                <w:pStyle w:val="Bibliography"/>
                <w:rPr>
                  <w:lang w:val="en-GB"/>
                </w:rPr>
              </w:pPr>
              <w:r w:rsidRPr="00277328">
                <w:rPr>
                  <w:lang w:val="en-GB"/>
                </w:rPr>
                <w:t xml:space="preserve">Kjaer, Trine. </w:t>
              </w:r>
              <w:r w:rsidRPr="00277328">
                <w:rPr>
                  <w:i/>
                  <w:iCs/>
                  <w:lang w:val="en-GB"/>
                </w:rPr>
                <w:t>A review of the discrete choice experiment-with emphasis on its application in health care.</w:t>
              </w:r>
              <w:r w:rsidRPr="00277328">
                <w:rPr>
                  <w:lang w:val="en-GB"/>
                </w:rPr>
                <w:t xml:space="preserve"> Vol. 1. Health Economics Papers, 2005.</w:t>
              </w:r>
            </w:p>
            <w:p w:rsidR="008930F2" w:rsidRPr="00277328" w:rsidRDefault="008930F2" w:rsidP="008930F2">
              <w:pPr>
                <w:pStyle w:val="Bibliography"/>
                <w:rPr>
                  <w:lang w:val="en-GB"/>
                </w:rPr>
              </w:pPr>
              <w:r w:rsidRPr="00277328">
                <w:rPr>
                  <w:lang w:val="en-GB"/>
                </w:rPr>
                <w:t xml:space="preserve">Koopmanschap, Marc A., and Elly A. Stolk. "Dear policy maker: Have you made up your mind? A discrete choice experiment among policy makers and other health professionals." </w:t>
              </w:r>
              <w:r w:rsidRPr="00277328">
                <w:rPr>
                  <w:i/>
                  <w:iCs/>
                  <w:lang w:val="en-GB"/>
                </w:rPr>
                <w:t>International Journal of Technology Assessment in Health Care</w:t>
              </w:r>
              <w:r w:rsidRPr="00277328">
                <w:rPr>
                  <w:lang w:val="en-GB"/>
                </w:rPr>
                <w:t xml:space="preserve"> 26, no. 2 (2010): pp 198-204.</w:t>
              </w:r>
            </w:p>
            <w:p w:rsidR="008930F2" w:rsidRPr="00277328" w:rsidRDefault="008930F2" w:rsidP="008930F2">
              <w:pPr>
                <w:pStyle w:val="Bibliography"/>
                <w:rPr>
                  <w:lang w:val="en-GB"/>
                </w:rPr>
              </w:pPr>
              <w:r w:rsidRPr="00277328">
                <w:rPr>
                  <w:lang w:val="en-GB"/>
                </w:rPr>
                <w:t xml:space="preserve">Lancaster, Kelvin J. "A New Approach to Consumer Theory." </w:t>
              </w:r>
              <w:r w:rsidRPr="00277328">
                <w:rPr>
                  <w:i/>
                  <w:iCs/>
                  <w:lang w:val="en-GB"/>
                </w:rPr>
                <w:t>The Journal of Political Economy</w:t>
              </w:r>
              <w:r w:rsidRPr="00277328">
                <w:rPr>
                  <w:lang w:val="en-GB"/>
                </w:rPr>
                <w:t xml:space="preserve"> (Chicago Journals) 74, no. 2 (1966): pp.132-157.</w:t>
              </w:r>
            </w:p>
            <w:p w:rsidR="008930F2" w:rsidRPr="00277328" w:rsidRDefault="008930F2" w:rsidP="008930F2">
              <w:pPr>
                <w:pStyle w:val="Bibliography"/>
                <w:rPr>
                  <w:lang w:val="en-GB"/>
                </w:rPr>
              </w:pPr>
              <w:r w:rsidRPr="00277328">
                <w:rPr>
                  <w:lang w:val="en-GB"/>
                </w:rPr>
                <w:t>Lancsar, E. "Deriving welfare measures from stated preference discrete choice modelling experiments." Discussion Paper, Centre for Health Economics Research &amp; Evaluation , University of Technology, Sydney, 2002.</w:t>
              </w:r>
            </w:p>
            <w:p w:rsidR="008930F2" w:rsidRPr="00277328" w:rsidRDefault="008930F2" w:rsidP="008930F2">
              <w:pPr>
                <w:pStyle w:val="Bibliography"/>
                <w:rPr>
                  <w:lang w:val="en-GB"/>
                </w:rPr>
              </w:pPr>
              <w:r w:rsidRPr="00277328">
                <w:rPr>
                  <w:lang w:val="en-GB"/>
                </w:rPr>
                <w:t xml:space="preserve">Lancsar, Emily, Jordan Louviere, and Terry Flynn. "Several methods to investigate relative attribute impact in stated preference experiments." </w:t>
              </w:r>
              <w:r w:rsidRPr="00277328">
                <w:rPr>
                  <w:i/>
                  <w:iCs/>
                  <w:lang w:val="en-GB"/>
                </w:rPr>
                <w:t>Social Science &amp; Medicine</w:t>
              </w:r>
              <w:r w:rsidRPr="00277328">
                <w:rPr>
                  <w:lang w:val="en-GB"/>
                </w:rPr>
                <w:t xml:space="preserve"> 64 (2007): 1738–1753.</w:t>
              </w:r>
            </w:p>
            <w:p w:rsidR="008930F2" w:rsidRPr="00277328" w:rsidRDefault="008930F2" w:rsidP="008930F2">
              <w:pPr>
                <w:pStyle w:val="Bibliography"/>
                <w:rPr>
                  <w:lang w:val="en-GB"/>
                </w:rPr>
              </w:pPr>
              <w:r w:rsidRPr="00277328">
                <w:rPr>
                  <w:lang w:val="en-GB"/>
                </w:rPr>
                <w:t xml:space="preserve">Lopez Bastida, J., and E. Mossialos. "Pharmaceutical expenditure in Spain: cost and control." </w:t>
              </w:r>
              <w:r w:rsidRPr="00277328">
                <w:rPr>
                  <w:i/>
                  <w:iCs/>
                  <w:lang w:val="en-GB"/>
                </w:rPr>
                <w:t>International Journal of Health Services</w:t>
              </w:r>
              <w:r w:rsidRPr="00277328">
                <w:rPr>
                  <w:lang w:val="en-GB"/>
                </w:rPr>
                <w:t xml:space="preserve"> 30, no. 3 (2000): 597-616.</w:t>
              </w:r>
            </w:p>
            <w:p w:rsidR="008930F2" w:rsidRPr="00277328" w:rsidRDefault="008930F2" w:rsidP="008930F2">
              <w:pPr>
                <w:pStyle w:val="Bibliography"/>
                <w:rPr>
                  <w:lang w:val="en-GB"/>
                </w:rPr>
              </w:pPr>
              <w:r w:rsidRPr="00277328">
                <w:rPr>
                  <w:lang w:val="en-GB"/>
                </w:rPr>
                <w:t xml:space="preserve">Lopez, A., CD Mathers, M. Ezzati, DT Jamison, and CJL Murray. </w:t>
              </w:r>
              <w:r w:rsidRPr="00277328">
                <w:rPr>
                  <w:i/>
                  <w:iCs/>
                  <w:lang w:val="en-GB"/>
                </w:rPr>
                <w:t>Global burden of disease and risk factors.</w:t>
              </w:r>
              <w:r w:rsidRPr="00277328">
                <w:rPr>
                  <w:lang w:val="en-GB"/>
                </w:rPr>
                <w:t xml:space="preserve"> New York: Oxford University Press, 2006.</w:t>
              </w:r>
            </w:p>
            <w:p w:rsidR="008930F2" w:rsidRPr="00277328" w:rsidRDefault="008930F2" w:rsidP="008930F2">
              <w:pPr>
                <w:pStyle w:val="Bibliography"/>
                <w:rPr>
                  <w:lang w:val="en-GB"/>
                </w:rPr>
              </w:pPr>
              <w:r w:rsidRPr="00277328">
                <w:rPr>
                  <w:lang w:val="en-GB"/>
                </w:rPr>
                <w:t xml:space="preserve">Louviere, J.J. </w:t>
              </w:r>
              <w:r w:rsidRPr="00277328">
                <w:rPr>
                  <w:i/>
                  <w:iCs/>
                  <w:lang w:val="en-GB"/>
                </w:rPr>
                <w:t>Choice experiments: an overview of concepts and issues. In: The Choice Modelling Approach to Enviromental Valuation.</w:t>
              </w:r>
              <w:r w:rsidRPr="00277328">
                <w:rPr>
                  <w:lang w:val="en-GB"/>
                </w:rPr>
                <w:t xml:space="preserve"> Northhampton: Bennet J. &amp; Blamey R. , 2001, pp. 13-36.</w:t>
              </w:r>
            </w:p>
            <w:p w:rsidR="008930F2" w:rsidRPr="00277328" w:rsidRDefault="008930F2" w:rsidP="008930F2">
              <w:pPr>
                <w:pStyle w:val="Bibliography"/>
                <w:rPr>
                  <w:lang w:val="en-GB"/>
                </w:rPr>
              </w:pPr>
              <w:r w:rsidRPr="00277328">
                <w:rPr>
                  <w:lang w:val="en-GB"/>
                </w:rPr>
                <w:t>Louviere, J.J., and T. Islam. "A comparison of importance weights/measures derived from choice-based conjoint, constant sum scales and best– worst scaling." Working Paper, CenSoC, University of Technology, Sydney, 2004.</w:t>
              </w:r>
            </w:p>
            <w:p w:rsidR="008930F2" w:rsidRPr="00277328" w:rsidRDefault="008930F2" w:rsidP="008930F2">
              <w:pPr>
                <w:pStyle w:val="Bibliography"/>
                <w:rPr>
                  <w:lang w:val="en-GB"/>
                </w:rPr>
              </w:pPr>
              <w:r w:rsidRPr="00277328">
                <w:rPr>
                  <w:lang w:val="en-GB"/>
                </w:rPr>
                <w:t xml:space="preserve">Louviere, J.J., D.A. Hensher, and J.D. Swait. </w:t>
              </w:r>
              <w:r w:rsidRPr="00277328">
                <w:rPr>
                  <w:i/>
                  <w:iCs/>
                  <w:lang w:val="en-GB"/>
                </w:rPr>
                <w:t>Stated choice methods: analysis and applications.</w:t>
              </w:r>
              <w:r w:rsidRPr="00277328">
                <w:rPr>
                  <w:lang w:val="en-GB"/>
                </w:rPr>
                <w:t xml:space="preserve"> Cambridge: Cambridge University Press, 2000.</w:t>
              </w:r>
            </w:p>
            <w:p w:rsidR="008930F2" w:rsidRPr="00277328" w:rsidRDefault="008930F2" w:rsidP="008930F2">
              <w:pPr>
                <w:pStyle w:val="Bibliography"/>
                <w:rPr>
                  <w:lang w:val="en-GB"/>
                </w:rPr>
              </w:pPr>
              <w:r w:rsidRPr="00277328">
                <w:rPr>
                  <w:lang w:val="en-GB"/>
                </w:rPr>
                <w:lastRenderedPageBreak/>
                <w:t xml:space="preserve">Manski, Charles F. "The structure of random utility models." </w:t>
              </w:r>
              <w:r w:rsidRPr="00277328">
                <w:rPr>
                  <w:i/>
                  <w:iCs/>
                  <w:lang w:val="en-GB"/>
                </w:rPr>
                <w:t>Theory and decision</w:t>
              </w:r>
              <w:r w:rsidRPr="00277328">
                <w:rPr>
                  <w:lang w:val="en-GB"/>
                </w:rPr>
                <w:t xml:space="preserve"> 8, no. 3 (1977): pp.229-254.</w:t>
              </w:r>
            </w:p>
            <w:p w:rsidR="008930F2" w:rsidRPr="00277328" w:rsidRDefault="008930F2" w:rsidP="008930F2">
              <w:pPr>
                <w:pStyle w:val="Bibliography"/>
                <w:rPr>
                  <w:lang w:val="en-GB"/>
                </w:rPr>
              </w:pPr>
              <w:r w:rsidRPr="00277328">
                <w:rPr>
                  <w:lang w:val="en-GB"/>
                </w:rPr>
                <w:t xml:space="preserve">Martin, Douglas K., Mita Giacomini, and Peter A. Singer. "Fairness, accountability for reasonableness, and the views of priority setting decision-makers." </w:t>
              </w:r>
              <w:r w:rsidRPr="00277328">
                <w:rPr>
                  <w:i/>
                  <w:iCs/>
                  <w:lang w:val="en-GB"/>
                </w:rPr>
                <w:t>Health Policy</w:t>
              </w:r>
              <w:r w:rsidRPr="00277328">
                <w:rPr>
                  <w:lang w:val="en-GB"/>
                </w:rPr>
                <w:t xml:space="preserve"> 61 (2002): pp 279-290.</w:t>
              </w:r>
            </w:p>
            <w:p w:rsidR="008930F2" w:rsidRPr="00277328" w:rsidRDefault="008930F2" w:rsidP="008930F2">
              <w:pPr>
                <w:pStyle w:val="Bibliography"/>
                <w:rPr>
                  <w:lang w:val="en-GB"/>
                </w:rPr>
              </w:pPr>
              <w:r w:rsidRPr="00277328">
                <w:rPr>
                  <w:lang w:val="en-GB"/>
                </w:rPr>
                <w:t xml:space="preserve">Martin-Moreno, Jose M., and Collegues. "Spain: A decentralized system in constant flux." </w:t>
              </w:r>
              <w:r w:rsidRPr="00277328">
                <w:rPr>
                  <w:i/>
                  <w:iCs/>
                  <w:lang w:val="en-GB"/>
                </w:rPr>
                <w:t>British Medical Journal</w:t>
              </w:r>
              <w:r w:rsidRPr="00277328">
                <w:rPr>
                  <w:lang w:val="en-GB"/>
                </w:rPr>
                <w:t xml:space="preserve"> 338 (2009).</w:t>
              </w:r>
            </w:p>
            <w:p w:rsidR="008930F2" w:rsidRPr="00277328" w:rsidRDefault="008930F2" w:rsidP="008930F2">
              <w:pPr>
                <w:pStyle w:val="Bibliography"/>
                <w:rPr>
                  <w:lang w:val="en-GB"/>
                </w:rPr>
              </w:pPr>
              <w:r w:rsidRPr="00277328">
                <w:rPr>
                  <w:lang w:val="en-GB"/>
                </w:rPr>
                <w:t xml:space="preserve">McFadden, D., and K. Train. "Mixed MNL models for discrete response." </w:t>
              </w:r>
              <w:r w:rsidRPr="00277328">
                <w:rPr>
                  <w:i/>
                  <w:iCs/>
                  <w:lang w:val="en-GB"/>
                </w:rPr>
                <w:t>Journal of Applied Econometrics</w:t>
              </w:r>
              <w:r w:rsidRPr="00277328">
                <w:rPr>
                  <w:lang w:val="en-GB"/>
                </w:rPr>
                <w:t xml:space="preserve"> 15 (2000): pp.447-470.</w:t>
              </w:r>
            </w:p>
            <w:p w:rsidR="008930F2" w:rsidRPr="00277328" w:rsidRDefault="008930F2" w:rsidP="008930F2">
              <w:pPr>
                <w:pStyle w:val="Bibliography"/>
                <w:rPr>
                  <w:lang w:val="en-GB"/>
                </w:rPr>
              </w:pPr>
              <w:r w:rsidRPr="00277328">
                <w:rPr>
                  <w:lang w:val="en-GB"/>
                </w:rPr>
                <w:t xml:space="preserve">McFadden, Daniel. "Conditional logit analysis of qualitative choice behaviour." </w:t>
              </w:r>
              <w:r w:rsidRPr="00277328">
                <w:rPr>
                  <w:i/>
                  <w:iCs/>
                  <w:lang w:val="en-GB"/>
                </w:rPr>
                <w:t>Frontiers in Econometrics</w:t>
              </w:r>
              <w:r w:rsidRPr="00277328">
                <w:rPr>
                  <w:lang w:val="en-GB"/>
                </w:rPr>
                <w:t xml:space="preserve"> (New York: Academic Press), 1974: pp.105-142.</w:t>
              </w:r>
            </w:p>
            <w:p w:rsidR="008930F2" w:rsidRPr="00277328" w:rsidRDefault="008930F2" w:rsidP="008930F2">
              <w:pPr>
                <w:pStyle w:val="Bibliography"/>
                <w:rPr>
                  <w:lang w:val="en-GB"/>
                </w:rPr>
              </w:pPr>
              <w:r w:rsidRPr="00277328">
                <w:rPr>
                  <w:lang w:val="en-GB"/>
                </w:rPr>
                <w:t xml:space="preserve">McFadden, Daniel. "Economic Choices." </w:t>
              </w:r>
              <w:r w:rsidRPr="00277328">
                <w:rPr>
                  <w:i/>
                  <w:iCs/>
                  <w:lang w:val="en-GB"/>
                </w:rPr>
                <w:t>The American Economic Review</w:t>
              </w:r>
              <w:r w:rsidRPr="00277328">
                <w:rPr>
                  <w:lang w:val="en-GB"/>
                </w:rPr>
                <w:t xml:space="preserve"> 91, no. 3 (2001): pp. 351-378.</w:t>
              </w:r>
            </w:p>
            <w:p w:rsidR="008930F2" w:rsidRPr="00277328" w:rsidRDefault="008930F2" w:rsidP="008930F2">
              <w:pPr>
                <w:pStyle w:val="Bibliography"/>
                <w:rPr>
                  <w:lang w:val="en-GB"/>
                </w:rPr>
              </w:pPr>
              <w:r w:rsidRPr="00277328">
                <w:rPr>
                  <w:lang w:val="en-GB"/>
                </w:rPr>
                <w:t xml:space="preserve">McIntyre, Di, and Lucy Gilson. "Redressing Dis-advantage: Promoting Vertical Equity within South Africa." </w:t>
              </w:r>
              <w:r w:rsidRPr="00277328">
                <w:rPr>
                  <w:i/>
                  <w:iCs/>
                  <w:lang w:val="en-GB"/>
                </w:rPr>
                <w:t>Health Care Analysis</w:t>
              </w:r>
              <w:r w:rsidRPr="00277328">
                <w:rPr>
                  <w:lang w:val="en-GB"/>
                </w:rPr>
                <w:t xml:space="preserve"> (Kluwer Academic Publishers) 8 (2000): pp. 235-258.</w:t>
              </w:r>
            </w:p>
            <w:p w:rsidR="008930F2" w:rsidRPr="00277328" w:rsidRDefault="008930F2" w:rsidP="008930F2">
              <w:pPr>
                <w:pStyle w:val="Bibliography"/>
                <w:rPr>
                  <w:lang w:val="en-GB"/>
                </w:rPr>
              </w:pPr>
              <w:r w:rsidRPr="00277328">
                <w:rPr>
                  <w:lang w:val="en-GB"/>
                </w:rPr>
                <w:t xml:space="preserve">McKie, John, Bradley Shrimpton, Rosalind Hurworth, Catherine Bell, and Jeff Richardson. "Who Should be Involved in Health Care Decision Making? A Qualitative Study." </w:t>
              </w:r>
              <w:r w:rsidRPr="00277328">
                <w:rPr>
                  <w:i/>
                  <w:iCs/>
                  <w:lang w:val="en-GB"/>
                </w:rPr>
                <w:t>Journal of Health Philosophy and Policy: Health Care Analysis (HCA)</w:t>
              </w:r>
              <w:r w:rsidRPr="00277328">
                <w:rPr>
                  <w:lang w:val="en-GB"/>
                </w:rPr>
                <w:t xml:space="preserve"> 16, no. 2 (2008): 114-26.</w:t>
              </w:r>
            </w:p>
            <w:p w:rsidR="008930F2" w:rsidRPr="00277328" w:rsidRDefault="008930F2" w:rsidP="008930F2">
              <w:pPr>
                <w:pStyle w:val="Bibliography"/>
                <w:rPr>
                  <w:lang w:val="en-GB"/>
                </w:rPr>
              </w:pPr>
              <w:r w:rsidRPr="00277328">
                <w:rPr>
                  <w:lang w:val="en-GB"/>
                </w:rPr>
                <w:t xml:space="preserve">Mentzakis, Emmanouil, Francesco Paolucci, and Georg Rubicko. "Priority setting for mental health in the Austrian healthcare system: results from a discrete choice experiment." </w:t>
              </w:r>
              <w:r w:rsidRPr="00277328">
                <w:rPr>
                  <w:i/>
                  <w:iCs/>
                  <w:lang w:val="en-GB"/>
                </w:rPr>
                <w:t>In: As presented in the European Conference of Health Economics.</w:t>
              </w:r>
              <w:r w:rsidRPr="00277328">
                <w:rPr>
                  <w:lang w:val="en-GB"/>
                </w:rPr>
                <w:t xml:space="preserve"> Zurich Switzerland, 2012.</w:t>
              </w:r>
            </w:p>
            <w:p w:rsidR="00786B88" w:rsidRPr="00277328" w:rsidRDefault="00786B88" w:rsidP="00786B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Times New Roman" w:hAnsi="Times New Roman"/>
                  <w:lang w:val="en-GB"/>
                </w:rPr>
              </w:pPr>
              <w:r w:rsidRPr="00277328">
                <w:rPr>
                  <w:rFonts w:cstheme="minorHAnsi"/>
                  <w:lang w:val="en-GB"/>
                </w:rPr>
                <w:t>Ministerio de Economía y Hacienda, Gobierno de España (2012): “Síntesis de Indicadores Económicos”. July 2012. Available at: http://serviciosweb.meh.es/apps/dgpe/TEXTOS/SIE/siepub.pdf</w:t>
              </w:r>
              <w:r w:rsidRPr="00277328">
                <w:rPr>
                  <w:rFonts w:ascii="Times New Roman" w:hAnsi="Times New Roman"/>
                  <w:lang w:val="en-GB"/>
                </w:rPr>
                <w:t>.</w:t>
              </w:r>
            </w:p>
            <w:p w:rsidR="008930F2" w:rsidRPr="00277328" w:rsidRDefault="008930F2" w:rsidP="008930F2">
              <w:pPr>
                <w:pStyle w:val="Bibliography"/>
                <w:rPr>
                  <w:lang w:val="en-GB"/>
                </w:rPr>
              </w:pPr>
              <w:r w:rsidRPr="00277328">
                <w:rPr>
                  <w:lang w:val="en-GB"/>
                </w:rPr>
                <w:t xml:space="preserve">Mirelman, Andrew, et al. "Decision-making criteria among National Policymakers in Five Countries: A discrete choice experiment Eliciting Relative Preferences for Equity and Efficiency." </w:t>
              </w:r>
              <w:r w:rsidRPr="00277328">
                <w:rPr>
                  <w:i/>
                  <w:iCs/>
                  <w:lang w:val="en-GB"/>
                </w:rPr>
                <w:t>Value in Health</w:t>
              </w:r>
              <w:r w:rsidRPr="00277328">
                <w:rPr>
                  <w:lang w:val="en-GB"/>
                </w:rPr>
                <w:t xml:space="preserve"> 15, no. 3 (2012): 534-539.</w:t>
              </w:r>
            </w:p>
            <w:p w:rsidR="008930F2" w:rsidRPr="00277328" w:rsidRDefault="008930F2" w:rsidP="008930F2">
              <w:pPr>
                <w:pStyle w:val="Bibliography"/>
                <w:rPr>
                  <w:lang w:val="en-GB"/>
                </w:rPr>
              </w:pPr>
              <w:r w:rsidRPr="00277328">
                <w:rPr>
                  <w:lang w:val="en-GB"/>
                </w:rPr>
                <w:t xml:space="preserve">Miret, Marta, José Luis Ayuso-Mateos, Jose Sanchez-Moreno, and Eduard Vieta. "Depressive disorders and suicide: Epidemiology, risk factors, and burden." </w:t>
              </w:r>
              <w:r w:rsidRPr="00277328">
                <w:rPr>
                  <w:i/>
                  <w:iCs/>
                  <w:lang w:val="en-GB"/>
                </w:rPr>
                <w:t>Neuroscience and Biobehavioral Reviews</w:t>
              </w:r>
              <w:r w:rsidRPr="00277328">
                <w:rPr>
                  <w:lang w:val="en-GB"/>
                </w:rPr>
                <w:t>, 2013.</w:t>
              </w:r>
            </w:p>
            <w:p w:rsidR="008930F2" w:rsidRPr="00277328" w:rsidRDefault="008930F2" w:rsidP="008930F2">
              <w:pPr>
                <w:pStyle w:val="Bibliography"/>
                <w:rPr>
                  <w:lang w:val="en-GB"/>
                </w:rPr>
              </w:pPr>
              <w:r w:rsidRPr="00277328">
                <w:rPr>
                  <w:lang w:val="en-GB"/>
                </w:rPr>
                <w:t xml:space="preserve">Murray, Christopher J.L., and Alan D. Lopez. </w:t>
              </w:r>
              <w:r w:rsidRPr="00277328">
                <w:rPr>
                  <w:i/>
                  <w:iCs/>
                  <w:lang w:val="en-GB"/>
                </w:rPr>
                <w:t>The Global Burden of Disease.</w:t>
              </w:r>
              <w:r w:rsidRPr="00277328">
                <w:rPr>
                  <w:lang w:val="en-GB"/>
                </w:rPr>
                <w:t xml:space="preserve"> Boston: Harvard University Press, 1996.</w:t>
              </w:r>
            </w:p>
            <w:p w:rsidR="008930F2" w:rsidRPr="00277328" w:rsidRDefault="008930F2" w:rsidP="008930F2">
              <w:pPr>
                <w:pStyle w:val="Bibliography"/>
                <w:rPr>
                  <w:lang w:val="en-GB"/>
                </w:rPr>
              </w:pPr>
              <w:r w:rsidRPr="00277328">
                <w:rPr>
                  <w:lang w:val="en-GB"/>
                </w:rPr>
                <w:t xml:space="preserve">Niessen, L., and F. Paolucci. "Compiling evidence from multiple criteria weighing for health policy, the cases of China, Cuba and Brazil." </w:t>
              </w:r>
              <w:r w:rsidRPr="00277328">
                <w:rPr>
                  <w:i/>
                  <w:iCs/>
                  <w:lang w:val="en-GB"/>
                </w:rPr>
                <w:t>In: Abstract Presented at 7th International Health Economics Conference.</w:t>
              </w:r>
              <w:r w:rsidRPr="00277328">
                <w:rPr>
                  <w:lang w:val="en-GB"/>
                </w:rPr>
                <w:t xml:space="preserve"> 2009.</w:t>
              </w:r>
            </w:p>
            <w:p w:rsidR="008930F2" w:rsidRPr="00277328" w:rsidRDefault="008930F2" w:rsidP="008930F2">
              <w:pPr>
                <w:pStyle w:val="Bibliography"/>
                <w:rPr>
                  <w:lang w:val="en-GB"/>
                </w:rPr>
              </w:pPr>
              <w:r w:rsidRPr="00277328">
                <w:rPr>
                  <w:lang w:val="en-GB"/>
                </w:rPr>
                <w:lastRenderedPageBreak/>
                <w:t xml:space="preserve">Noordani, Hussein Z., Donald R. Husereau, Rhonda Boudreau, and Becky Skidmore. "Priority setting for health technology assessments: A systematic review of current practical approaches." </w:t>
              </w:r>
              <w:r w:rsidRPr="00277328">
                <w:rPr>
                  <w:i/>
                  <w:iCs/>
                  <w:lang w:val="en-GB"/>
                </w:rPr>
                <w:t>International Journal of Technology Assessment in Health Care</w:t>
              </w:r>
              <w:r w:rsidRPr="00277328">
                <w:rPr>
                  <w:lang w:val="en-GB"/>
                </w:rPr>
                <w:t xml:space="preserve"> 23, no. 3 (2007): pp. 310-315.</w:t>
              </w:r>
            </w:p>
            <w:p w:rsidR="008930F2" w:rsidRPr="00277328" w:rsidRDefault="008930F2" w:rsidP="008930F2">
              <w:pPr>
                <w:pStyle w:val="Bibliography"/>
                <w:rPr>
                  <w:lang w:val="en-GB"/>
                </w:rPr>
              </w:pPr>
              <w:r w:rsidRPr="00277328">
                <w:rPr>
                  <w:lang w:val="en-GB"/>
                </w:rPr>
                <w:t xml:space="preserve">OECD Health Data 2013. </w:t>
              </w:r>
              <w:r w:rsidRPr="00277328">
                <w:rPr>
                  <w:i/>
                  <w:iCs/>
                  <w:lang w:val="en-GB"/>
                </w:rPr>
                <w:t>"Pharmaceutical Expenditure", Health: Key tables from OECD.</w:t>
              </w:r>
              <w:r w:rsidRPr="00277328">
                <w:rPr>
                  <w:lang w:val="en-GB"/>
                </w:rPr>
                <w:t xml:space="preserve"> 2013. Available at:</w:t>
              </w:r>
            </w:p>
            <w:p w:rsidR="008930F2" w:rsidRPr="00277328" w:rsidRDefault="008930F2" w:rsidP="008930F2">
              <w:pPr>
                <w:pStyle w:val="Bibliography"/>
                <w:rPr>
                  <w:lang w:val="en-GB"/>
                </w:rPr>
              </w:pPr>
              <w:r w:rsidRPr="00277328">
                <w:rPr>
                  <w:lang w:val="en-GB"/>
                </w:rPr>
                <w:t xml:space="preserve"> http://www.oecd-ilibrary.org/social-issues-migration-health/pharmaceutical-expenditure-2013-1_pharmexp-table-2013-1-en.</w:t>
              </w:r>
            </w:p>
            <w:p w:rsidR="008930F2" w:rsidRPr="00277328" w:rsidRDefault="008930F2" w:rsidP="008930F2">
              <w:pPr>
                <w:pStyle w:val="Bibliography"/>
                <w:rPr>
                  <w:lang w:val="en-GB"/>
                </w:rPr>
              </w:pPr>
              <w:r w:rsidRPr="00277328">
                <w:rPr>
                  <w:lang w:val="en-GB"/>
                </w:rPr>
                <w:t xml:space="preserve">OECD Health Data 2011. </w:t>
              </w:r>
              <w:r w:rsidRPr="00277328">
                <w:rPr>
                  <w:i/>
                  <w:iCs/>
                  <w:lang w:val="en-GB"/>
                </w:rPr>
                <w:t>"Pharmaceutical Expenditure", Health: Key Tables from OECD.</w:t>
              </w:r>
              <w:r w:rsidRPr="00277328">
                <w:rPr>
                  <w:lang w:val="en-GB"/>
                </w:rPr>
                <w:t xml:space="preserve"> 2011. Available at:</w:t>
              </w:r>
            </w:p>
            <w:p w:rsidR="008930F2" w:rsidRPr="00277328" w:rsidRDefault="008930F2" w:rsidP="008930F2">
              <w:pPr>
                <w:pStyle w:val="Bibliography"/>
                <w:rPr>
                  <w:lang w:val="en-GB"/>
                </w:rPr>
              </w:pPr>
              <w:r w:rsidRPr="00277328">
                <w:rPr>
                  <w:lang w:val="en-GB"/>
                </w:rPr>
                <w:t xml:space="preserve"> http://www.oecd-ilibrary.org/social-issues-migration-health/pharmaceutical-expenditure-2011_pharmexp-table-2011-1-en.</w:t>
              </w:r>
            </w:p>
            <w:p w:rsidR="008930F2" w:rsidRPr="00277328" w:rsidRDefault="008930F2" w:rsidP="008930F2">
              <w:pPr>
                <w:pStyle w:val="Bibliography"/>
                <w:rPr>
                  <w:lang w:val="en-GB"/>
                </w:rPr>
              </w:pPr>
              <w:r w:rsidRPr="00277328">
                <w:rPr>
                  <w:lang w:val="en-GB"/>
                </w:rPr>
                <w:t xml:space="preserve">Olesen, J., et al. "The economic cost of brain disorders in Europe." </w:t>
              </w:r>
              <w:r w:rsidRPr="00277328">
                <w:rPr>
                  <w:i/>
                  <w:iCs/>
                  <w:lang w:val="en-GB"/>
                </w:rPr>
                <w:t>European Journal of Neurology</w:t>
              </w:r>
              <w:r w:rsidRPr="00277328">
                <w:rPr>
                  <w:lang w:val="en-GB"/>
                </w:rPr>
                <w:t xml:space="preserve"> 19, no. 1 (2012): 155-62.</w:t>
              </w:r>
            </w:p>
            <w:p w:rsidR="008930F2" w:rsidRPr="00277328" w:rsidRDefault="008930F2" w:rsidP="008930F2">
              <w:pPr>
                <w:pStyle w:val="Bibliography"/>
                <w:rPr>
                  <w:lang w:val="en-GB"/>
                </w:rPr>
              </w:pPr>
              <w:r w:rsidRPr="00277328">
                <w:rPr>
                  <w:lang w:val="en-GB"/>
                </w:rPr>
                <w:t xml:space="preserve">Peacock, Stuart, Craig Mitton, Angela Bate, Bonnie McCoy, and Cam Donaldson. "Overcoming barriers to priority setting using interdisciplinarymethods." </w:t>
              </w:r>
              <w:r w:rsidRPr="00277328">
                <w:rPr>
                  <w:i/>
                  <w:iCs/>
                  <w:lang w:val="en-GB"/>
                </w:rPr>
                <w:t>Health Policy</w:t>
              </w:r>
              <w:r w:rsidRPr="00277328">
                <w:rPr>
                  <w:lang w:val="en-GB"/>
                </w:rPr>
                <w:t xml:space="preserve"> (Elsevier), no. 92 (2009): 124-132.</w:t>
              </w:r>
            </w:p>
            <w:p w:rsidR="008930F2" w:rsidRPr="00277328" w:rsidRDefault="008930F2" w:rsidP="008930F2">
              <w:pPr>
                <w:pStyle w:val="Bibliography"/>
                <w:rPr>
                  <w:lang w:val="en-GB"/>
                </w:rPr>
              </w:pPr>
              <w:r w:rsidRPr="00277328">
                <w:rPr>
                  <w:lang w:val="en-GB"/>
                </w:rPr>
                <w:t xml:space="preserve">Robinson, R. "Limits to rationality: economics, economists and priority setting." </w:t>
              </w:r>
              <w:r w:rsidRPr="00277328">
                <w:rPr>
                  <w:i/>
                  <w:iCs/>
                  <w:lang w:val="en-GB"/>
                </w:rPr>
                <w:t>Health Policy</w:t>
              </w:r>
              <w:r w:rsidRPr="00277328">
                <w:rPr>
                  <w:lang w:val="en-GB"/>
                </w:rPr>
                <w:t xml:space="preserve"> 49, no. 1-2 (1999): 13-26.</w:t>
              </w:r>
            </w:p>
            <w:p w:rsidR="008930F2" w:rsidRPr="00277328" w:rsidRDefault="008930F2" w:rsidP="008930F2">
              <w:pPr>
                <w:pStyle w:val="Bibliography"/>
                <w:rPr>
                  <w:lang w:val="en-GB"/>
                </w:rPr>
              </w:pPr>
              <w:r w:rsidRPr="00277328">
                <w:rPr>
                  <w:lang w:val="en-GB"/>
                </w:rPr>
                <w:t xml:space="preserve">Ryan, M., A. Bate, C J Eastmond, and A. Ludbrook. "Use of discrete choice experiments to elicit preferences." </w:t>
              </w:r>
              <w:r w:rsidRPr="00277328">
                <w:rPr>
                  <w:i/>
                  <w:iCs/>
                  <w:lang w:val="en-GB"/>
                </w:rPr>
                <w:t>Quality in Health Care</w:t>
              </w:r>
              <w:r w:rsidRPr="00277328">
                <w:rPr>
                  <w:lang w:val="en-GB"/>
                </w:rPr>
                <w:t xml:space="preserve"> 10 (2001): i55-i60.</w:t>
              </w:r>
            </w:p>
            <w:p w:rsidR="008930F2" w:rsidRPr="00277328" w:rsidRDefault="008930F2" w:rsidP="008930F2">
              <w:pPr>
                <w:pStyle w:val="Bibliography"/>
                <w:rPr>
                  <w:lang w:val="en-GB"/>
                </w:rPr>
              </w:pPr>
              <w:r w:rsidRPr="00277328">
                <w:rPr>
                  <w:lang w:val="en-GB"/>
                </w:rPr>
                <w:t xml:space="preserve">Ryan, Mandy, and Karen Gerard. "Using discrete choice experiments to value health care programmes: current practise and future research reflections." </w:t>
              </w:r>
              <w:r w:rsidRPr="00277328">
                <w:rPr>
                  <w:i/>
                  <w:iCs/>
                  <w:lang w:val="en-GB"/>
                </w:rPr>
                <w:t>Applied Health Economics Health Policy</w:t>
              </w:r>
              <w:r w:rsidRPr="00277328">
                <w:rPr>
                  <w:lang w:val="en-GB"/>
                </w:rPr>
                <w:t xml:space="preserve"> 2 (2003): 55-64.</w:t>
              </w:r>
            </w:p>
            <w:p w:rsidR="008930F2" w:rsidRPr="00277328" w:rsidRDefault="008930F2" w:rsidP="008930F2">
              <w:pPr>
                <w:pStyle w:val="Bibliography"/>
                <w:rPr>
                  <w:lang w:val="en-GB"/>
                </w:rPr>
              </w:pPr>
              <w:r w:rsidRPr="00277328">
                <w:rPr>
                  <w:lang w:val="en-GB"/>
                </w:rPr>
                <w:t xml:space="preserve">Ryan, Mandy, Karen Gerard, and Mabel Amaya-Amaya. </w:t>
              </w:r>
              <w:r w:rsidRPr="00277328">
                <w:rPr>
                  <w:i/>
                  <w:iCs/>
                  <w:lang w:val="en-GB"/>
                </w:rPr>
                <w:t>Using Discrete Choice Experiments to Value Health and Health Care.</w:t>
              </w:r>
              <w:r w:rsidRPr="00277328">
                <w:rPr>
                  <w:lang w:val="en-GB"/>
                </w:rPr>
                <w:t xml:space="preserve"> Vol. 11. Springer, 2008.</w:t>
              </w:r>
            </w:p>
            <w:p w:rsidR="008930F2" w:rsidRPr="00277328" w:rsidRDefault="008930F2" w:rsidP="008930F2">
              <w:pPr>
                <w:pStyle w:val="Bibliography"/>
                <w:rPr>
                  <w:lang w:val="en-GB"/>
                </w:rPr>
              </w:pPr>
              <w:r w:rsidRPr="00277328">
                <w:rPr>
                  <w:lang w:val="en-GB"/>
                </w:rPr>
                <w:t xml:space="preserve">Salvador-Carulla, L., J. Costa-Font, J. Cabases, D. McDaid, and J. Alonso. "Evaluating mental health care and policy in Spain." </w:t>
              </w:r>
              <w:r w:rsidRPr="00277328">
                <w:rPr>
                  <w:i/>
                  <w:iCs/>
                  <w:lang w:val="en-GB"/>
                </w:rPr>
                <w:t>The Journal of Mental Health Policy and Economics</w:t>
              </w:r>
              <w:r w:rsidRPr="00277328">
                <w:rPr>
                  <w:lang w:val="en-GB"/>
                </w:rPr>
                <w:t xml:space="preserve"> 13, no. 2 (2010): pp. 73-86.</w:t>
              </w:r>
            </w:p>
            <w:p w:rsidR="008930F2" w:rsidRPr="00277328" w:rsidRDefault="008930F2" w:rsidP="008930F2">
              <w:pPr>
                <w:pStyle w:val="Bibliography"/>
                <w:rPr>
                  <w:lang w:val="en-GB"/>
                </w:rPr>
              </w:pPr>
              <w:r w:rsidRPr="00277328">
                <w:rPr>
                  <w:lang w:val="en-GB"/>
                </w:rPr>
                <w:t xml:space="preserve">Salvador-Carulla, Luis, et al. "Costs of depression in Catalonia (Spain)." </w:t>
              </w:r>
              <w:r w:rsidRPr="00277328">
                <w:rPr>
                  <w:i/>
                  <w:iCs/>
                  <w:lang w:val="en-GB"/>
                </w:rPr>
                <w:t>Journal of Affective Disorders</w:t>
              </w:r>
              <w:r w:rsidRPr="00277328">
                <w:rPr>
                  <w:lang w:val="en-GB"/>
                </w:rPr>
                <w:t xml:space="preserve"> 132 (2011): pp 130-138.</w:t>
              </w:r>
            </w:p>
            <w:p w:rsidR="008930F2" w:rsidRPr="00277328" w:rsidRDefault="008930F2" w:rsidP="008930F2">
              <w:pPr>
                <w:pStyle w:val="Bibliography"/>
                <w:rPr>
                  <w:lang w:val="en-GB"/>
                </w:rPr>
              </w:pPr>
              <w:r w:rsidRPr="00277328">
                <w:rPr>
                  <w:lang w:val="en-GB"/>
                </w:rPr>
                <w:t xml:space="preserve">Shi, Y., F. Paolucci, and M. Yu. "Present and future desirability and options in the development of basic packages in China." </w:t>
              </w:r>
              <w:r w:rsidRPr="00277328">
                <w:rPr>
                  <w:i/>
                  <w:iCs/>
                  <w:lang w:val="en-GB"/>
                </w:rPr>
                <w:t>In: Abstract presented at 7th International Health Economics Conference.</w:t>
              </w:r>
              <w:r w:rsidRPr="00277328">
                <w:rPr>
                  <w:lang w:val="en-GB"/>
                </w:rPr>
                <w:t xml:space="preserve"> 2009.</w:t>
              </w:r>
            </w:p>
            <w:p w:rsidR="008930F2" w:rsidRPr="00277328" w:rsidRDefault="008930F2" w:rsidP="008930F2">
              <w:pPr>
                <w:pStyle w:val="Bibliography"/>
                <w:rPr>
                  <w:lang w:val="en-GB"/>
                </w:rPr>
              </w:pPr>
              <w:r w:rsidRPr="00277328">
                <w:rPr>
                  <w:lang w:val="en-GB"/>
                </w:rPr>
                <w:t>Soares, P., E. Kinter, F. Paolucci, MB. Ferraz, and L. Niessen. "Multi-criteria weighing for health policy—conjoint analysis results from a national level workshop of health stake-</w:t>
              </w:r>
              <w:r w:rsidRPr="00277328">
                <w:rPr>
                  <w:lang w:val="en-GB"/>
                </w:rPr>
                <w:lastRenderedPageBreak/>
                <w:t xml:space="preserve">holders in Brazil." </w:t>
              </w:r>
              <w:r w:rsidRPr="00277328">
                <w:rPr>
                  <w:i/>
                  <w:iCs/>
                  <w:lang w:val="en-GB"/>
                </w:rPr>
                <w:t>In: Abstract Presented at 7th International Health Economics Conference.</w:t>
              </w:r>
              <w:r w:rsidRPr="00277328">
                <w:rPr>
                  <w:lang w:val="en-GB"/>
                </w:rPr>
                <w:t xml:space="preserve"> 2009.</w:t>
              </w:r>
            </w:p>
            <w:p w:rsidR="008930F2" w:rsidRPr="00277328" w:rsidRDefault="008930F2" w:rsidP="008930F2">
              <w:pPr>
                <w:pStyle w:val="Bibliography"/>
                <w:rPr>
                  <w:lang w:val="en-GB"/>
                </w:rPr>
              </w:pPr>
              <w:r w:rsidRPr="00277328">
                <w:rPr>
                  <w:lang w:val="en-GB"/>
                </w:rPr>
                <w:t>Spanish Ministry of Health and Consumer Affairs. "Summary of the Strategy in Mental Health of the Spanish National Health System." 2008.</w:t>
              </w:r>
            </w:p>
            <w:p w:rsidR="008930F2" w:rsidRPr="00277328" w:rsidRDefault="008930F2" w:rsidP="008930F2">
              <w:pPr>
                <w:pStyle w:val="Bibliography"/>
                <w:rPr>
                  <w:lang w:val="en-GB"/>
                </w:rPr>
              </w:pPr>
              <w:r w:rsidRPr="00277328">
                <w:rPr>
                  <w:lang w:val="en-GB"/>
                </w:rPr>
                <w:t>Spanish Ministry of Health and Social Policy.</w:t>
              </w:r>
              <w:r w:rsidRPr="00277328">
                <w:rPr>
                  <w:i/>
                  <w:iCs/>
                  <w:lang w:val="en-GB"/>
                </w:rPr>
                <w:t xml:space="preserve"> Quality Plan for the National Health System of Spain 2006-2010. Review of activities to date and summary of future actions.</w:t>
              </w:r>
              <w:r w:rsidRPr="00277328">
                <w:rPr>
                  <w:lang w:val="en-GB"/>
                </w:rPr>
                <w:t xml:space="preserve"> 2008.</w:t>
              </w:r>
            </w:p>
            <w:p w:rsidR="008930F2" w:rsidRPr="00277328" w:rsidRDefault="008930F2" w:rsidP="008930F2">
              <w:pPr>
                <w:pStyle w:val="Bibliography"/>
                <w:rPr>
                  <w:lang w:val="en-GB"/>
                </w:rPr>
              </w:pPr>
              <w:r w:rsidRPr="00277328">
                <w:rPr>
                  <w:lang w:val="en-GB"/>
                </w:rPr>
                <w:t xml:space="preserve">Stolk, Elly A., Gijs van Donselaar, Werner B.F. Brouwer, and Jan J.V. Busschbach. "Reconciliation of Economic Concerns and Health Policy. Illustration of an Equity Adjustment Procedure Using Proportional Shortfall." </w:t>
              </w:r>
              <w:r w:rsidRPr="00277328">
                <w:rPr>
                  <w:i/>
                  <w:iCs/>
                  <w:lang w:val="en-GB"/>
                </w:rPr>
                <w:t>Pharmaeconomics</w:t>
              </w:r>
              <w:r w:rsidRPr="00277328">
                <w:rPr>
                  <w:lang w:val="en-GB"/>
                </w:rPr>
                <w:t xml:space="preserve"> 22, no. 17 (2004): 1097-1107.</w:t>
              </w:r>
            </w:p>
            <w:p w:rsidR="008930F2" w:rsidRPr="00277328" w:rsidRDefault="008930F2" w:rsidP="008930F2">
              <w:pPr>
                <w:pStyle w:val="Bibliography"/>
                <w:rPr>
                  <w:lang w:val="en-GB"/>
                </w:rPr>
              </w:pPr>
              <w:r w:rsidRPr="00277328">
                <w:rPr>
                  <w:lang w:val="en-GB"/>
                </w:rPr>
                <w:t xml:space="preserve">Tsuchiya, Aki. "Age-related preferences and age weighting health benefits." </w:t>
              </w:r>
              <w:r w:rsidRPr="00277328">
                <w:rPr>
                  <w:i/>
                  <w:iCs/>
                  <w:lang w:val="en-GB"/>
                </w:rPr>
                <w:t>Social Science &amp; Medicine</w:t>
              </w:r>
              <w:r w:rsidRPr="00277328">
                <w:rPr>
                  <w:lang w:val="en-GB"/>
                </w:rPr>
                <w:t xml:space="preserve"> 48 (1999): pp. 267-276.</w:t>
              </w:r>
            </w:p>
            <w:p w:rsidR="008930F2" w:rsidRPr="00277328" w:rsidRDefault="008930F2" w:rsidP="008930F2">
              <w:pPr>
                <w:pStyle w:val="Bibliography"/>
                <w:rPr>
                  <w:lang w:val="en-GB"/>
                </w:rPr>
              </w:pPr>
              <w:r w:rsidRPr="00277328">
                <w:rPr>
                  <w:lang w:val="en-GB"/>
                </w:rPr>
                <w:t xml:space="preserve">Vives, Alejandra, et al. "Employment Precariousness and Poor Mental Health:Evidence from Spain on a New Social Determinant of Health." </w:t>
              </w:r>
              <w:r w:rsidRPr="00277328">
                <w:rPr>
                  <w:i/>
                  <w:iCs/>
                  <w:lang w:val="en-GB"/>
                </w:rPr>
                <w:t>Journal of Environmental and Public Health</w:t>
              </w:r>
              <w:r w:rsidRPr="00277328">
                <w:rPr>
                  <w:lang w:val="en-GB"/>
                </w:rPr>
                <w:t xml:space="preserve"> 2013 (2013).</w:t>
              </w:r>
            </w:p>
            <w:p w:rsidR="008930F2" w:rsidRPr="00277328" w:rsidRDefault="008930F2" w:rsidP="008930F2">
              <w:pPr>
                <w:pStyle w:val="Bibliography"/>
                <w:rPr>
                  <w:lang w:val="en-GB"/>
                </w:rPr>
              </w:pPr>
              <w:r w:rsidRPr="00277328">
                <w:rPr>
                  <w:lang w:val="en-GB"/>
                </w:rPr>
                <w:t xml:space="preserve">Wang, PS, et al. "Worldwide use of mental health services for anxiety, mood, and substance disorders in 17 countries in the WHO World Mental Health (WMH) Surveys." </w:t>
              </w:r>
              <w:r w:rsidRPr="00277328">
                <w:rPr>
                  <w:i/>
                  <w:iCs/>
                  <w:lang w:val="en-GB"/>
                </w:rPr>
                <w:t>Lancet</w:t>
              </w:r>
              <w:r w:rsidRPr="00277328">
                <w:rPr>
                  <w:lang w:val="en-GB"/>
                </w:rPr>
                <w:t xml:space="preserve"> 370 (2007): 841-50.</w:t>
              </w:r>
            </w:p>
            <w:p w:rsidR="008930F2" w:rsidRPr="00277328" w:rsidRDefault="008930F2" w:rsidP="008930F2">
              <w:pPr>
                <w:pStyle w:val="Bibliography"/>
                <w:rPr>
                  <w:lang w:val="en-GB"/>
                </w:rPr>
              </w:pPr>
              <w:r w:rsidRPr="00277328">
                <w:rPr>
                  <w:lang w:val="en-GB"/>
                </w:rPr>
                <w:t xml:space="preserve">WHO. </w:t>
              </w:r>
              <w:r w:rsidRPr="00277328">
                <w:rPr>
                  <w:i/>
                  <w:iCs/>
                  <w:lang w:val="en-GB"/>
                </w:rPr>
                <w:t>2008-2013 Action plan for the global strategy for prevention and control of noncommunicable diseases.</w:t>
              </w:r>
              <w:r w:rsidRPr="00277328">
                <w:rPr>
                  <w:lang w:val="en-GB"/>
                </w:rPr>
                <w:t xml:space="preserve"> Geneva: World Health Organization, 2008.</w:t>
              </w:r>
            </w:p>
            <w:p w:rsidR="008930F2" w:rsidRPr="00277328" w:rsidRDefault="008930F2" w:rsidP="008930F2">
              <w:pPr>
                <w:pStyle w:val="Bibliography"/>
                <w:rPr>
                  <w:lang w:val="en-GB"/>
                </w:rPr>
              </w:pPr>
              <w:r w:rsidRPr="00277328">
                <w:rPr>
                  <w:lang w:val="en-GB"/>
                </w:rPr>
                <w:t xml:space="preserve">WHO. </w:t>
              </w:r>
              <w:r w:rsidRPr="00277328">
                <w:rPr>
                  <w:i/>
                  <w:iCs/>
                  <w:lang w:val="en-GB"/>
                </w:rPr>
                <w:t>2008-2013 Action Plan for the Global Strategy for Prevention and Control of Noncommunicable Diseases.</w:t>
              </w:r>
              <w:r w:rsidRPr="00277328">
                <w:rPr>
                  <w:lang w:val="en-GB"/>
                </w:rPr>
                <w:t xml:space="preserve"> Geneva: World Health Organization, 2008.</w:t>
              </w:r>
            </w:p>
            <w:p w:rsidR="008930F2" w:rsidRPr="00277328" w:rsidRDefault="008930F2" w:rsidP="008930F2">
              <w:pPr>
                <w:pStyle w:val="Bibliography"/>
                <w:rPr>
                  <w:lang w:val="en-GB"/>
                </w:rPr>
              </w:pPr>
              <w:r w:rsidRPr="00277328">
                <w:rPr>
                  <w:lang w:val="en-GB"/>
                </w:rPr>
                <w:t xml:space="preserve">WHO. </w:t>
              </w:r>
              <w:r w:rsidRPr="00277328">
                <w:rPr>
                  <w:i/>
                  <w:iCs/>
                  <w:lang w:val="en-GB"/>
                </w:rPr>
                <w:t>Investing in Mental Health.</w:t>
              </w:r>
              <w:r w:rsidRPr="00277328">
                <w:rPr>
                  <w:lang w:val="en-GB"/>
                </w:rPr>
                <w:t xml:space="preserve"> Geneva: World Health Organization, 2003.</w:t>
              </w:r>
            </w:p>
            <w:p w:rsidR="008930F2" w:rsidRPr="00277328" w:rsidRDefault="008A1DD3" w:rsidP="008930F2">
              <w:pPr>
                <w:pStyle w:val="Bibliography"/>
                <w:rPr>
                  <w:lang w:val="en-GB"/>
                </w:rPr>
              </w:pPr>
              <w:r w:rsidRPr="00277328">
                <w:rPr>
                  <w:lang w:val="en-GB"/>
                </w:rPr>
                <w:t>WHO</w:t>
              </w:r>
              <w:r w:rsidR="008930F2" w:rsidRPr="00277328">
                <w:rPr>
                  <w:lang w:val="en-GB"/>
                </w:rPr>
                <w:t>. "WHO European Ministerial Conference on Mental Health. Mental Health Declaration for Europe. Facing the challenges, Building Solutions." Helsinki, Finland , 2005.</w:t>
              </w:r>
            </w:p>
            <w:p w:rsidR="008930F2" w:rsidRPr="00277328" w:rsidRDefault="008930F2" w:rsidP="008930F2">
              <w:pPr>
                <w:pStyle w:val="Bibliography"/>
                <w:rPr>
                  <w:lang w:val="en-GB"/>
                </w:rPr>
              </w:pPr>
              <w:r w:rsidRPr="00277328">
                <w:rPr>
                  <w:lang w:val="en-GB"/>
                </w:rPr>
                <w:t xml:space="preserve">WHO. </w:t>
              </w:r>
              <w:r w:rsidRPr="00277328">
                <w:rPr>
                  <w:i/>
                  <w:iCs/>
                  <w:lang w:val="en-GB"/>
                </w:rPr>
                <w:t>World Health Report: Mental Health-New understanding, new hope.</w:t>
              </w:r>
              <w:r w:rsidRPr="00277328">
                <w:rPr>
                  <w:lang w:val="en-GB"/>
                </w:rPr>
                <w:t xml:space="preserve"> Geneva: World Health Organization, 2001.</w:t>
              </w:r>
            </w:p>
            <w:p w:rsidR="008930F2" w:rsidRPr="00277328" w:rsidRDefault="008930F2" w:rsidP="008A1DD3">
              <w:pPr>
                <w:pStyle w:val="Bibliography"/>
                <w:rPr>
                  <w:lang w:val="en-GB"/>
                </w:rPr>
              </w:pPr>
              <w:r w:rsidRPr="00277328">
                <w:rPr>
                  <w:lang w:val="en-GB"/>
                </w:rPr>
                <w:t xml:space="preserve">WHO Commission on Macroeconomics and Health. </w:t>
              </w:r>
              <w:r w:rsidRPr="00277328">
                <w:rPr>
                  <w:i/>
                  <w:iCs/>
                  <w:lang w:val="en-GB"/>
                </w:rPr>
                <w:t>Macroeconomics and health: investing in health for economic development. Report of the Commission on Macroeconomics and Health.</w:t>
              </w:r>
              <w:r w:rsidRPr="00277328">
                <w:rPr>
                  <w:lang w:val="en-GB"/>
                </w:rPr>
                <w:t xml:space="preserve"> Geneva: World Health Organization, 2001.</w:t>
              </w:r>
            </w:p>
            <w:p w:rsidR="008930F2" w:rsidRPr="00277328" w:rsidRDefault="008930F2" w:rsidP="008930F2">
              <w:pPr>
                <w:pStyle w:val="Bibliography"/>
                <w:rPr>
                  <w:lang w:val="en-GB"/>
                </w:rPr>
              </w:pPr>
              <w:r w:rsidRPr="00277328">
                <w:rPr>
                  <w:lang w:val="en-GB"/>
                </w:rPr>
                <w:t>Wittchen, H. U., et al. "The size and burden of mental disorders and other disorder</w:t>
              </w:r>
              <w:r w:rsidR="008831D6">
                <w:rPr>
                  <w:lang w:val="en-GB"/>
                </w:rPr>
                <w:t xml:space="preserve">s of the brain in Europe 2010" </w:t>
              </w:r>
              <w:r w:rsidRPr="00277328">
                <w:rPr>
                  <w:i/>
                  <w:iCs/>
                  <w:lang w:val="en-GB"/>
                </w:rPr>
                <w:t>European Neuropsychopharmacology</w:t>
              </w:r>
              <w:r w:rsidRPr="00277328">
                <w:rPr>
                  <w:lang w:val="en-GB"/>
                </w:rPr>
                <w:t xml:space="preserve"> 21, no. 9 (2011): 655-679.</w:t>
              </w:r>
            </w:p>
            <w:p w:rsidR="008930F2" w:rsidRPr="00277328" w:rsidRDefault="008930F2" w:rsidP="008930F2">
              <w:pPr>
                <w:pStyle w:val="Bibliography"/>
                <w:rPr>
                  <w:lang w:val="en-GB"/>
                </w:rPr>
              </w:pPr>
              <w:r w:rsidRPr="00277328">
                <w:rPr>
                  <w:lang w:val="en-GB"/>
                </w:rPr>
                <w:t xml:space="preserve">Youngkong, Sitaporn, Lydia Kapiriri, and Rob Baltussen. "Setting priorities for health interventions in developing countries: a review of empirical studies." </w:t>
              </w:r>
              <w:r w:rsidRPr="00277328">
                <w:rPr>
                  <w:i/>
                  <w:iCs/>
                  <w:lang w:val="en-GB"/>
                </w:rPr>
                <w:t>Tropical Medicine and International Health</w:t>
              </w:r>
              <w:r w:rsidRPr="00277328">
                <w:rPr>
                  <w:lang w:val="en-GB"/>
                </w:rPr>
                <w:t xml:space="preserve"> 14, no. 8 (2009): pp 930-939.</w:t>
              </w:r>
            </w:p>
            <w:p w:rsidR="008930F2" w:rsidRPr="00277328" w:rsidRDefault="008930F2" w:rsidP="008930F2">
              <w:pPr>
                <w:pStyle w:val="Bibliography"/>
                <w:rPr>
                  <w:lang w:val="en-GB"/>
                </w:rPr>
              </w:pPr>
              <w:r w:rsidRPr="00277328">
                <w:rPr>
                  <w:lang w:val="en-GB"/>
                </w:rPr>
                <w:lastRenderedPageBreak/>
                <w:t xml:space="preserve">Youngkong, Sitaporn, Rob Baltussen, Sripen Tantivess, Xander Koolman, and Yot Teerawattananon. "Criteria for priority setting of HIV/AIDS interventions in Thailand: a discrete choice experiment." </w:t>
              </w:r>
              <w:r w:rsidRPr="00277328">
                <w:rPr>
                  <w:i/>
                  <w:iCs/>
                  <w:lang w:val="en-GB"/>
                </w:rPr>
                <w:t>BMC Health Services Research</w:t>
              </w:r>
              <w:r w:rsidRPr="00277328">
                <w:rPr>
                  <w:lang w:val="en-GB"/>
                </w:rPr>
                <w:t xml:space="preserve"> 197, no. 10 (2010).</w:t>
              </w:r>
            </w:p>
            <w:p w:rsidR="008930F2" w:rsidRPr="00277328" w:rsidRDefault="008930F2" w:rsidP="008930F2">
              <w:pPr>
                <w:pStyle w:val="Bibliography"/>
                <w:rPr>
                  <w:lang w:val="en-GB"/>
                </w:rPr>
              </w:pPr>
              <w:r w:rsidRPr="00277328">
                <w:rPr>
                  <w:lang w:val="en-GB"/>
                </w:rPr>
                <w:t xml:space="preserve">Youngkong, Sitaporn, Yot Teerawattananon, Sripen Tantivess, and Rob Baltussen. "Multi-criteria decision analysis for setting priorities on HIV/AIDS interventions in Thailand." </w:t>
              </w:r>
              <w:r w:rsidRPr="00277328">
                <w:rPr>
                  <w:i/>
                  <w:iCs/>
                  <w:lang w:val="en-GB"/>
                </w:rPr>
                <w:t>Health Research Policy and Systems</w:t>
              </w:r>
              <w:r w:rsidRPr="00277328">
                <w:rPr>
                  <w:lang w:val="en-GB"/>
                </w:rPr>
                <w:t xml:space="preserve"> 10, no. 6 (2012).</w:t>
              </w:r>
            </w:p>
            <w:p w:rsidR="00CC2685" w:rsidRPr="00277328" w:rsidRDefault="00E93150" w:rsidP="008930F2">
              <w:pPr>
                <w:rPr>
                  <w:lang w:val="en-GB"/>
                </w:rPr>
              </w:pPr>
              <w:r w:rsidRPr="00277328">
                <w:rPr>
                  <w:lang w:val="en-GB"/>
                </w:rPr>
                <w:fldChar w:fldCharType="end"/>
              </w:r>
            </w:p>
          </w:sdtContent>
        </w:sdt>
      </w:sdtContent>
    </w:sdt>
    <w:p w:rsidR="00CC2685" w:rsidRPr="00277328" w:rsidRDefault="00CC2685" w:rsidP="00CC2685">
      <w:pPr>
        <w:rPr>
          <w:lang w:val="en-GB"/>
        </w:rPr>
      </w:pPr>
    </w:p>
    <w:p w:rsidR="008D1FE1" w:rsidRPr="00277328" w:rsidRDefault="008D1FE1" w:rsidP="008D1FE1">
      <w:pPr>
        <w:rPr>
          <w:lang w:val="en-GB"/>
        </w:rPr>
      </w:pPr>
    </w:p>
    <w:p w:rsidR="008D1FE1" w:rsidRPr="00277328" w:rsidRDefault="008D1FE1" w:rsidP="008D1FE1">
      <w:pPr>
        <w:rPr>
          <w:lang w:val="en-GB"/>
        </w:rPr>
      </w:pPr>
    </w:p>
    <w:p w:rsidR="008D1FE1" w:rsidRPr="00277328" w:rsidRDefault="008D1FE1" w:rsidP="008D1FE1">
      <w:pPr>
        <w:jc w:val="both"/>
        <w:rPr>
          <w:lang w:val="en-GB"/>
        </w:rPr>
      </w:pPr>
    </w:p>
    <w:p w:rsidR="006555F2" w:rsidRPr="00277328" w:rsidRDefault="006555F2">
      <w:pPr>
        <w:rPr>
          <w:b/>
          <w:sz w:val="28"/>
          <w:szCs w:val="28"/>
          <w:lang w:val="en-GB"/>
        </w:rPr>
      </w:pPr>
    </w:p>
    <w:sectPr w:rsidR="006555F2" w:rsidRPr="00277328" w:rsidSect="00E83151">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49CF" w:rsidRDefault="00AC49CF" w:rsidP="00A42699">
      <w:pPr>
        <w:spacing w:after="0" w:line="240" w:lineRule="auto"/>
      </w:pPr>
      <w:r>
        <w:separator/>
      </w:r>
    </w:p>
  </w:endnote>
  <w:endnote w:type="continuationSeparator" w:id="0">
    <w:p w:rsidR="00AC49CF" w:rsidRDefault="00AC49CF" w:rsidP="00A426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FGEF D+ Times Ten LT Std">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A1"/>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1F4" w:rsidRDefault="00B571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661549"/>
      <w:docPartObj>
        <w:docPartGallery w:val="Page Numbers (Bottom of Page)"/>
        <w:docPartUnique/>
      </w:docPartObj>
    </w:sdtPr>
    <w:sdtContent>
      <w:p w:rsidR="00B571F4" w:rsidRDefault="00E93150">
        <w:pPr>
          <w:pStyle w:val="Footer"/>
          <w:jc w:val="center"/>
        </w:pPr>
        <w:r>
          <w:fldChar w:fldCharType="begin"/>
        </w:r>
        <w:r w:rsidR="00511605">
          <w:instrText xml:space="preserve"> PAGE   \* MERGEFORMAT </w:instrText>
        </w:r>
        <w:r>
          <w:fldChar w:fldCharType="separate"/>
        </w:r>
        <w:r w:rsidR="004C2595">
          <w:rPr>
            <w:noProof/>
          </w:rPr>
          <w:t>75</w:t>
        </w:r>
        <w:r>
          <w:rPr>
            <w:noProof/>
          </w:rPr>
          <w:fldChar w:fldCharType="end"/>
        </w:r>
      </w:p>
    </w:sdtContent>
  </w:sdt>
  <w:p w:rsidR="00B571F4" w:rsidRDefault="00B571F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1F4" w:rsidRDefault="00B571F4">
    <w:pPr>
      <w:pStyle w:val="Footer"/>
      <w:jc w:val="center"/>
    </w:pPr>
  </w:p>
  <w:p w:rsidR="00B571F4" w:rsidRDefault="00B571F4" w:rsidP="00A52D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49CF" w:rsidRDefault="00AC49CF" w:rsidP="00A42699">
      <w:pPr>
        <w:spacing w:after="0" w:line="240" w:lineRule="auto"/>
      </w:pPr>
      <w:r>
        <w:separator/>
      </w:r>
    </w:p>
  </w:footnote>
  <w:footnote w:type="continuationSeparator" w:id="0">
    <w:p w:rsidR="00AC49CF" w:rsidRDefault="00AC49CF" w:rsidP="00A42699">
      <w:pPr>
        <w:spacing w:after="0" w:line="240" w:lineRule="auto"/>
      </w:pPr>
      <w:r>
        <w:continuationSeparator/>
      </w:r>
    </w:p>
  </w:footnote>
  <w:footnote w:id="1">
    <w:p w:rsidR="00B571F4" w:rsidRDefault="00B571F4">
      <w:pPr>
        <w:pStyle w:val="FootnoteText"/>
      </w:pPr>
      <w:r>
        <w:rPr>
          <w:rStyle w:val="FootnoteReference"/>
        </w:rPr>
        <w:footnoteRef/>
      </w:r>
      <w:r>
        <w:t xml:space="preserve"> The base alternative has a higher predicted probability compared to an alternative whose efficiency attributes are set to their mean and all equity criteria are set to one.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1F4" w:rsidRDefault="00B571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1F4" w:rsidRDefault="00B571F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1F4" w:rsidRDefault="00B571F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6631F"/>
    <w:multiLevelType w:val="multilevel"/>
    <w:tmpl w:val="F6D85540"/>
    <w:numStyleLink w:val="PHILIPP"/>
  </w:abstractNum>
  <w:abstractNum w:abstractNumId="1">
    <w:nsid w:val="0FE33911"/>
    <w:multiLevelType w:val="multilevel"/>
    <w:tmpl w:val="F6D85540"/>
    <w:styleLink w:val="PHILIPP"/>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5434E0C"/>
    <w:multiLevelType w:val="multilevel"/>
    <w:tmpl w:val="32DEC8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20201982"/>
    <w:multiLevelType w:val="hybridMultilevel"/>
    <w:tmpl w:val="442E170A"/>
    <w:lvl w:ilvl="0" w:tplc="79FE7F82">
      <w:start w:val="1"/>
      <w:numFmt w:val="lowerLetter"/>
      <w:lvlText w:val="%1)"/>
      <w:lvlJc w:val="left"/>
      <w:pPr>
        <w:ind w:left="720" w:hanging="360"/>
      </w:pPr>
      <w:rPr>
        <w:rFonts w:hint="default"/>
        <w: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23565398"/>
    <w:multiLevelType w:val="hybridMultilevel"/>
    <w:tmpl w:val="C7325AF2"/>
    <w:lvl w:ilvl="0" w:tplc="0ED214DE">
      <w:start w:val="1"/>
      <w:numFmt w:val="lowerLetter"/>
      <w:lvlText w:val="%1)"/>
      <w:lvlJc w:val="left"/>
      <w:pPr>
        <w:ind w:left="720" w:hanging="360"/>
      </w:pPr>
      <w:rPr>
        <w:rFonts w:hint="default"/>
        <w: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BC54D6F"/>
    <w:multiLevelType w:val="multilevel"/>
    <w:tmpl w:val="32DEC8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2E51208D"/>
    <w:multiLevelType w:val="multilevel"/>
    <w:tmpl w:val="32DEC8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324A0087"/>
    <w:multiLevelType w:val="hybridMultilevel"/>
    <w:tmpl w:val="5BE017D8"/>
    <w:lvl w:ilvl="0" w:tplc="64B60224">
      <w:start w:val="60"/>
      <w:numFmt w:val="bullet"/>
      <w:lvlText w:val=""/>
      <w:lvlJc w:val="left"/>
      <w:pPr>
        <w:ind w:left="720" w:hanging="360"/>
      </w:pPr>
      <w:rPr>
        <w:rFonts w:ascii="Symbol" w:eastAsiaTheme="minorEastAsia"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40A1DD1"/>
    <w:multiLevelType w:val="multilevel"/>
    <w:tmpl w:val="0408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4B66485F"/>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0D70A8F"/>
    <w:multiLevelType w:val="hybridMultilevel"/>
    <w:tmpl w:val="7102F65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591E23A5"/>
    <w:multiLevelType w:val="multilevel"/>
    <w:tmpl w:val="F6D85540"/>
    <w:numStyleLink w:val="PHILIPP"/>
  </w:abstractNum>
  <w:abstractNum w:abstractNumId="12">
    <w:nsid w:val="6A0F01A5"/>
    <w:multiLevelType w:val="multilevel"/>
    <w:tmpl w:val="32DEC8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6B112C1C"/>
    <w:multiLevelType w:val="multilevel"/>
    <w:tmpl w:val="32DEC8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7A0F76A8"/>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4"/>
  </w:num>
  <w:num w:numId="4">
    <w:abstractNumId w:val="7"/>
  </w:num>
  <w:num w:numId="5">
    <w:abstractNumId w:val="12"/>
  </w:num>
  <w:num w:numId="6">
    <w:abstractNumId w:val="6"/>
  </w:num>
  <w:num w:numId="7">
    <w:abstractNumId w:val="13"/>
  </w:num>
  <w:num w:numId="8">
    <w:abstractNumId w:val="2"/>
  </w:num>
  <w:num w:numId="9">
    <w:abstractNumId w:val="14"/>
  </w:num>
  <w:num w:numId="10">
    <w:abstractNumId w:val="9"/>
  </w:num>
  <w:num w:numId="11">
    <w:abstractNumId w:val="1"/>
  </w:num>
  <w:num w:numId="12">
    <w:abstractNumId w:val="0"/>
  </w:num>
  <w:num w:numId="13">
    <w:abstractNumId w:val="11"/>
  </w:num>
  <w:num w:numId="14">
    <w:abstractNumId w:val="8"/>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7169" fillcolor="white">
      <v:fill color="white"/>
    </o:shapedefaults>
  </w:hdrShapeDefaults>
  <w:footnotePr>
    <w:footnote w:id="-1"/>
    <w:footnote w:id="0"/>
  </w:footnotePr>
  <w:endnotePr>
    <w:endnote w:id="-1"/>
    <w:endnote w:id="0"/>
  </w:endnotePr>
  <w:compat/>
  <w:docVars>
    <w:docVar w:name="REFMGR.InstantFormat" w:val="&lt;ENInstantFormat&gt;&lt;Enabled&gt;0&lt;/Enabled&gt;&lt;ScanUnformatted&gt;1&lt;/ScanUnformatted&gt;&lt;ScanChanges&gt;1&lt;/ScanChanges&gt;&lt;/ENInstantFormat&gt;"/>
    <w:docVar w:name="REFMGR.Layout" w:val="&lt;ENLayout&gt;&lt;Style&gt;Chicago (Author-Date)&lt;/Style&gt;&lt;LeftDelim&gt;{&lt;/LeftDelim&gt;&lt;RightDelim&gt;}&lt;/RightDelim&gt;&lt;FontName&gt;Calibri&lt;/FontName&gt;&lt;FontSize&gt;11&lt;/FontSize&gt;&lt;ReflistTitle&gt;Literature Cited&lt;/ReflistTitle&gt;&lt;StartingRefnum&gt;1&lt;/StartingRefnum&gt;&lt;FirstLineIndent&gt;0&lt;/FirstLineIndent&gt;&lt;HangingIndent&gt;720&lt;/HangingIndent&gt;&lt;LineSpacing&gt;0&lt;/LineSpacing&gt;&lt;SpaceAfter&gt;1&lt;/SpaceAfter&gt;&lt;ReflistOrder&gt;1&lt;/ReflistOrder&gt;&lt;CitationOrder&gt;1&lt;/CitationOrder&gt;&lt;NumberReferences&gt;0&lt;/NumberReferences&gt;&lt;ShowRecordID&gt;0&lt;/ShowRecordID&gt;&lt;ShowNotes&gt;0&lt;/ShowNotes&gt;&lt;ShowAbstract&gt;0&lt;/ShowAbstract&gt;&lt;ShowReprint&gt;0&lt;/ShowReprint&gt;&lt;ShowKeywords&gt;0&lt;/ShowKeywords&gt;&lt;/ENLayout&gt;"/>
  </w:docVars>
  <w:rsids>
    <w:rsidRoot w:val="00A42699"/>
    <w:rsid w:val="0000684E"/>
    <w:rsid w:val="00023F8E"/>
    <w:rsid w:val="000476F6"/>
    <w:rsid w:val="0005028C"/>
    <w:rsid w:val="00060DD4"/>
    <w:rsid w:val="00063C85"/>
    <w:rsid w:val="00065E4E"/>
    <w:rsid w:val="00077099"/>
    <w:rsid w:val="00095BB1"/>
    <w:rsid w:val="00096AF4"/>
    <w:rsid w:val="000A4261"/>
    <w:rsid w:val="000A60FE"/>
    <w:rsid w:val="000A661B"/>
    <w:rsid w:val="000C259F"/>
    <w:rsid w:val="000D79A5"/>
    <w:rsid w:val="000E2B36"/>
    <w:rsid w:val="00102600"/>
    <w:rsid w:val="00104666"/>
    <w:rsid w:val="00126F02"/>
    <w:rsid w:val="00173A00"/>
    <w:rsid w:val="0017589F"/>
    <w:rsid w:val="00181826"/>
    <w:rsid w:val="00195A7A"/>
    <w:rsid w:val="0019698C"/>
    <w:rsid w:val="001A1A7A"/>
    <w:rsid w:val="001A690A"/>
    <w:rsid w:val="001B3988"/>
    <w:rsid w:val="001B4778"/>
    <w:rsid w:val="001C03E8"/>
    <w:rsid w:val="001C2161"/>
    <w:rsid w:val="001C2FF0"/>
    <w:rsid w:val="001C4498"/>
    <w:rsid w:val="001C44F7"/>
    <w:rsid w:val="001C7785"/>
    <w:rsid w:val="001D2047"/>
    <w:rsid w:val="001D3A0A"/>
    <w:rsid w:val="001D42F1"/>
    <w:rsid w:val="001D711C"/>
    <w:rsid w:val="001E5942"/>
    <w:rsid w:val="001E74C6"/>
    <w:rsid w:val="001F0FBA"/>
    <w:rsid w:val="00207406"/>
    <w:rsid w:val="00224F54"/>
    <w:rsid w:val="002353C4"/>
    <w:rsid w:val="00241C01"/>
    <w:rsid w:val="002449C7"/>
    <w:rsid w:val="00254810"/>
    <w:rsid w:val="0027652B"/>
    <w:rsid w:val="00277328"/>
    <w:rsid w:val="002776D9"/>
    <w:rsid w:val="00287CE0"/>
    <w:rsid w:val="00294D5E"/>
    <w:rsid w:val="002966E2"/>
    <w:rsid w:val="002A548C"/>
    <w:rsid w:val="002A5FBF"/>
    <w:rsid w:val="002B49B8"/>
    <w:rsid w:val="002B6D06"/>
    <w:rsid w:val="002C6F84"/>
    <w:rsid w:val="002E2589"/>
    <w:rsid w:val="002E277D"/>
    <w:rsid w:val="002E3450"/>
    <w:rsid w:val="002E6B70"/>
    <w:rsid w:val="002F14F1"/>
    <w:rsid w:val="002F4C47"/>
    <w:rsid w:val="002F613E"/>
    <w:rsid w:val="002F6E16"/>
    <w:rsid w:val="00311F54"/>
    <w:rsid w:val="00315A12"/>
    <w:rsid w:val="0033292F"/>
    <w:rsid w:val="00333500"/>
    <w:rsid w:val="003414E6"/>
    <w:rsid w:val="003437E0"/>
    <w:rsid w:val="003502FF"/>
    <w:rsid w:val="00355231"/>
    <w:rsid w:val="00355965"/>
    <w:rsid w:val="00356529"/>
    <w:rsid w:val="00361085"/>
    <w:rsid w:val="0036193E"/>
    <w:rsid w:val="00372C59"/>
    <w:rsid w:val="0037304C"/>
    <w:rsid w:val="003768CF"/>
    <w:rsid w:val="00382B2C"/>
    <w:rsid w:val="00386191"/>
    <w:rsid w:val="00391AAC"/>
    <w:rsid w:val="00392921"/>
    <w:rsid w:val="00395B76"/>
    <w:rsid w:val="00396672"/>
    <w:rsid w:val="003A3FDB"/>
    <w:rsid w:val="003A5847"/>
    <w:rsid w:val="003A67A1"/>
    <w:rsid w:val="003B1E72"/>
    <w:rsid w:val="003C0629"/>
    <w:rsid w:val="003C33CC"/>
    <w:rsid w:val="003C4B6E"/>
    <w:rsid w:val="003F6A82"/>
    <w:rsid w:val="004010F2"/>
    <w:rsid w:val="00416DD0"/>
    <w:rsid w:val="004171B8"/>
    <w:rsid w:val="004216FF"/>
    <w:rsid w:val="00422562"/>
    <w:rsid w:val="004249B3"/>
    <w:rsid w:val="00431A3D"/>
    <w:rsid w:val="00433AE6"/>
    <w:rsid w:val="00465474"/>
    <w:rsid w:val="004701E0"/>
    <w:rsid w:val="00470E21"/>
    <w:rsid w:val="004726B2"/>
    <w:rsid w:val="0048167D"/>
    <w:rsid w:val="00485517"/>
    <w:rsid w:val="00494D92"/>
    <w:rsid w:val="004A5CD6"/>
    <w:rsid w:val="004B0FFF"/>
    <w:rsid w:val="004B3E9A"/>
    <w:rsid w:val="004B5860"/>
    <w:rsid w:val="004C2595"/>
    <w:rsid w:val="004C5FD4"/>
    <w:rsid w:val="004C7C4C"/>
    <w:rsid w:val="004D060C"/>
    <w:rsid w:val="004E00AE"/>
    <w:rsid w:val="004E0C16"/>
    <w:rsid w:val="004E50E6"/>
    <w:rsid w:val="004F0FD3"/>
    <w:rsid w:val="004F20CA"/>
    <w:rsid w:val="0050189E"/>
    <w:rsid w:val="00502068"/>
    <w:rsid w:val="00502A8C"/>
    <w:rsid w:val="00511605"/>
    <w:rsid w:val="00512942"/>
    <w:rsid w:val="00512C8F"/>
    <w:rsid w:val="0051557B"/>
    <w:rsid w:val="0054426F"/>
    <w:rsid w:val="005515F6"/>
    <w:rsid w:val="0056072F"/>
    <w:rsid w:val="005634F9"/>
    <w:rsid w:val="005873F3"/>
    <w:rsid w:val="005A7364"/>
    <w:rsid w:val="005B4A7E"/>
    <w:rsid w:val="005B5C82"/>
    <w:rsid w:val="005C0488"/>
    <w:rsid w:val="005C0F5C"/>
    <w:rsid w:val="005C256E"/>
    <w:rsid w:val="005C3956"/>
    <w:rsid w:val="005C610F"/>
    <w:rsid w:val="005D1B90"/>
    <w:rsid w:val="005D2DEE"/>
    <w:rsid w:val="005D3F94"/>
    <w:rsid w:val="005D5DCE"/>
    <w:rsid w:val="005D6EBA"/>
    <w:rsid w:val="005E1621"/>
    <w:rsid w:val="005E2883"/>
    <w:rsid w:val="005F3FE5"/>
    <w:rsid w:val="00600D28"/>
    <w:rsid w:val="00604180"/>
    <w:rsid w:val="006114F3"/>
    <w:rsid w:val="00613E28"/>
    <w:rsid w:val="00616D9F"/>
    <w:rsid w:val="006206D9"/>
    <w:rsid w:val="006400C5"/>
    <w:rsid w:val="00642C66"/>
    <w:rsid w:val="00647441"/>
    <w:rsid w:val="006504AE"/>
    <w:rsid w:val="006516A8"/>
    <w:rsid w:val="00651A68"/>
    <w:rsid w:val="006537DD"/>
    <w:rsid w:val="006555F2"/>
    <w:rsid w:val="006573F1"/>
    <w:rsid w:val="00657AA0"/>
    <w:rsid w:val="0066055F"/>
    <w:rsid w:val="00662B13"/>
    <w:rsid w:val="006719A6"/>
    <w:rsid w:val="00673C05"/>
    <w:rsid w:val="00686125"/>
    <w:rsid w:val="006A0035"/>
    <w:rsid w:val="006A1071"/>
    <w:rsid w:val="006A5A0D"/>
    <w:rsid w:val="006B5480"/>
    <w:rsid w:val="006C494B"/>
    <w:rsid w:val="006C7005"/>
    <w:rsid w:val="006F01CF"/>
    <w:rsid w:val="006F1293"/>
    <w:rsid w:val="00703164"/>
    <w:rsid w:val="00705ED6"/>
    <w:rsid w:val="007116B7"/>
    <w:rsid w:val="007155FF"/>
    <w:rsid w:val="00715B70"/>
    <w:rsid w:val="00721E09"/>
    <w:rsid w:val="0072766F"/>
    <w:rsid w:val="00731032"/>
    <w:rsid w:val="0073309A"/>
    <w:rsid w:val="00735B99"/>
    <w:rsid w:val="00741031"/>
    <w:rsid w:val="00741164"/>
    <w:rsid w:val="00743B9A"/>
    <w:rsid w:val="007501C9"/>
    <w:rsid w:val="00763CED"/>
    <w:rsid w:val="00772C63"/>
    <w:rsid w:val="00772D81"/>
    <w:rsid w:val="00775307"/>
    <w:rsid w:val="00776233"/>
    <w:rsid w:val="0078597D"/>
    <w:rsid w:val="00786B88"/>
    <w:rsid w:val="007933B4"/>
    <w:rsid w:val="00796094"/>
    <w:rsid w:val="00796A02"/>
    <w:rsid w:val="007A17BD"/>
    <w:rsid w:val="007A5262"/>
    <w:rsid w:val="007B24FE"/>
    <w:rsid w:val="007C5D32"/>
    <w:rsid w:val="007C6717"/>
    <w:rsid w:val="007E734A"/>
    <w:rsid w:val="007F33F2"/>
    <w:rsid w:val="007F558F"/>
    <w:rsid w:val="00806537"/>
    <w:rsid w:val="008147A0"/>
    <w:rsid w:val="00837A5D"/>
    <w:rsid w:val="008418C4"/>
    <w:rsid w:val="0084591B"/>
    <w:rsid w:val="008474FC"/>
    <w:rsid w:val="00852145"/>
    <w:rsid w:val="008709A0"/>
    <w:rsid w:val="008831D6"/>
    <w:rsid w:val="00885BC0"/>
    <w:rsid w:val="0089061A"/>
    <w:rsid w:val="008930F2"/>
    <w:rsid w:val="008A1DD3"/>
    <w:rsid w:val="008A4E9F"/>
    <w:rsid w:val="008B0951"/>
    <w:rsid w:val="008B10A1"/>
    <w:rsid w:val="008B1868"/>
    <w:rsid w:val="008B1CFC"/>
    <w:rsid w:val="008C193B"/>
    <w:rsid w:val="008C5833"/>
    <w:rsid w:val="008C7CAC"/>
    <w:rsid w:val="008D1FE1"/>
    <w:rsid w:val="008E2EDE"/>
    <w:rsid w:val="008F29BA"/>
    <w:rsid w:val="009052BA"/>
    <w:rsid w:val="00905F88"/>
    <w:rsid w:val="00911D50"/>
    <w:rsid w:val="00915FC5"/>
    <w:rsid w:val="0093064E"/>
    <w:rsid w:val="00934CF1"/>
    <w:rsid w:val="00942E39"/>
    <w:rsid w:val="00950BD7"/>
    <w:rsid w:val="00957C27"/>
    <w:rsid w:val="009666D9"/>
    <w:rsid w:val="00973154"/>
    <w:rsid w:val="009913AE"/>
    <w:rsid w:val="009B318F"/>
    <w:rsid w:val="009C17D7"/>
    <w:rsid w:val="009C2467"/>
    <w:rsid w:val="009C7662"/>
    <w:rsid w:val="009E2704"/>
    <w:rsid w:val="009E74A5"/>
    <w:rsid w:val="009F0843"/>
    <w:rsid w:val="009F426B"/>
    <w:rsid w:val="009F6D9E"/>
    <w:rsid w:val="00A10138"/>
    <w:rsid w:val="00A11AD8"/>
    <w:rsid w:val="00A25FAA"/>
    <w:rsid w:val="00A2747C"/>
    <w:rsid w:val="00A3226D"/>
    <w:rsid w:val="00A42699"/>
    <w:rsid w:val="00A52D4E"/>
    <w:rsid w:val="00A55735"/>
    <w:rsid w:val="00A703A8"/>
    <w:rsid w:val="00A73111"/>
    <w:rsid w:val="00A76579"/>
    <w:rsid w:val="00A77A06"/>
    <w:rsid w:val="00A8099F"/>
    <w:rsid w:val="00A96ADC"/>
    <w:rsid w:val="00AB349F"/>
    <w:rsid w:val="00AB385D"/>
    <w:rsid w:val="00AC49CF"/>
    <w:rsid w:val="00AE5D17"/>
    <w:rsid w:val="00AF1E19"/>
    <w:rsid w:val="00AF352F"/>
    <w:rsid w:val="00B11F31"/>
    <w:rsid w:val="00B12C62"/>
    <w:rsid w:val="00B16D16"/>
    <w:rsid w:val="00B22D12"/>
    <w:rsid w:val="00B24667"/>
    <w:rsid w:val="00B32CBD"/>
    <w:rsid w:val="00B45ED0"/>
    <w:rsid w:val="00B54CA9"/>
    <w:rsid w:val="00B571F4"/>
    <w:rsid w:val="00B60277"/>
    <w:rsid w:val="00B723B5"/>
    <w:rsid w:val="00B758FE"/>
    <w:rsid w:val="00B83876"/>
    <w:rsid w:val="00B87B1C"/>
    <w:rsid w:val="00B91495"/>
    <w:rsid w:val="00BA2C54"/>
    <w:rsid w:val="00BA330C"/>
    <w:rsid w:val="00BA6DDC"/>
    <w:rsid w:val="00BB5372"/>
    <w:rsid w:val="00BB56E9"/>
    <w:rsid w:val="00BB7E25"/>
    <w:rsid w:val="00BC17DD"/>
    <w:rsid w:val="00BC2CDC"/>
    <w:rsid w:val="00BC5C0E"/>
    <w:rsid w:val="00BC61B3"/>
    <w:rsid w:val="00BC76B7"/>
    <w:rsid w:val="00BD09A6"/>
    <w:rsid w:val="00BD7753"/>
    <w:rsid w:val="00BF6ACD"/>
    <w:rsid w:val="00C04A1A"/>
    <w:rsid w:val="00C17777"/>
    <w:rsid w:val="00C21B4F"/>
    <w:rsid w:val="00C25609"/>
    <w:rsid w:val="00C360D7"/>
    <w:rsid w:val="00C478A3"/>
    <w:rsid w:val="00C577D9"/>
    <w:rsid w:val="00C66D6E"/>
    <w:rsid w:val="00C73DE5"/>
    <w:rsid w:val="00C7642D"/>
    <w:rsid w:val="00C85747"/>
    <w:rsid w:val="00C85E1B"/>
    <w:rsid w:val="00C872C0"/>
    <w:rsid w:val="00CA39A8"/>
    <w:rsid w:val="00CA7ECD"/>
    <w:rsid w:val="00CB6E1B"/>
    <w:rsid w:val="00CC07A3"/>
    <w:rsid w:val="00CC2210"/>
    <w:rsid w:val="00CC2685"/>
    <w:rsid w:val="00CD420A"/>
    <w:rsid w:val="00CE7375"/>
    <w:rsid w:val="00CF6CB0"/>
    <w:rsid w:val="00D057C6"/>
    <w:rsid w:val="00D125A0"/>
    <w:rsid w:val="00D20930"/>
    <w:rsid w:val="00D21829"/>
    <w:rsid w:val="00D22CD1"/>
    <w:rsid w:val="00D30BA4"/>
    <w:rsid w:val="00D31A0D"/>
    <w:rsid w:val="00D40221"/>
    <w:rsid w:val="00D41326"/>
    <w:rsid w:val="00D45E64"/>
    <w:rsid w:val="00D47C7C"/>
    <w:rsid w:val="00D67F21"/>
    <w:rsid w:val="00D67FE1"/>
    <w:rsid w:val="00D8463F"/>
    <w:rsid w:val="00D9160E"/>
    <w:rsid w:val="00D92214"/>
    <w:rsid w:val="00D959AF"/>
    <w:rsid w:val="00DA7D93"/>
    <w:rsid w:val="00DC0664"/>
    <w:rsid w:val="00DC258D"/>
    <w:rsid w:val="00DC2CAC"/>
    <w:rsid w:val="00DD59EF"/>
    <w:rsid w:val="00DE0CFE"/>
    <w:rsid w:val="00DE4B30"/>
    <w:rsid w:val="00DF0E65"/>
    <w:rsid w:val="00DF14D5"/>
    <w:rsid w:val="00DF210F"/>
    <w:rsid w:val="00DF4942"/>
    <w:rsid w:val="00E128F8"/>
    <w:rsid w:val="00E165DE"/>
    <w:rsid w:val="00E23D1E"/>
    <w:rsid w:val="00E3500A"/>
    <w:rsid w:val="00E42063"/>
    <w:rsid w:val="00E53005"/>
    <w:rsid w:val="00E54E34"/>
    <w:rsid w:val="00E61BA4"/>
    <w:rsid w:val="00E63C8F"/>
    <w:rsid w:val="00E65B91"/>
    <w:rsid w:val="00E70ECF"/>
    <w:rsid w:val="00E83151"/>
    <w:rsid w:val="00E850E8"/>
    <w:rsid w:val="00E86D6F"/>
    <w:rsid w:val="00E91372"/>
    <w:rsid w:val="00E9153C"/>
    <w:rsid w:val="00E91810"/>
    <w:rsid w:val="00E93150"/>
    <w:rsid w:val="00EA0B20"/>
    <w:rsid w:val="00EA3D11"/>
    <w:rsid w:val="00EB7569"/>
    <w:rsid w:val="00EC6D4C"/>
    <w:rsid w:val="00ED1DAE"/>
    <w:rsid w:val="00ED2B31"/>
    <w:rsid w:val="00ED6621"/>
    <w:rsid w:val="00EE75E9"/>
    <w:rsid w:val="00EF2A1A"/>
    <w:rsid w:val="00EF3C04"/>
    <w:rsid w:val="00F0586C"/>
    <w:rsid w:val="00F12C38"/>
    <w:rsid w:val="00F16517"/>
    <w:rsid w:val="00F23F6E"/>
    <w:rsid w:val="00F35709"/>
    <w:rsid w:val="00F575E7"/>
    <w:rsid w:val="00F62D74"/>
    <w:rsid w:val="00F64887"/>
    <w:rsid w:val="00F65CD1"/>
    <w:rsid w:val="00F73543"/>
    <w:rsid w:val="00F73EE1"/>
    <w:rsid w:val="00F741F3"/>
    <w:rsid w:val="00F770F1"/>
    <w:rsid w:val="00F975CE"/>
    <w:rsid w:val="00F97BA6"/>
    <w:rsid w:val="00FA2FE9"/>
    <w:rsid w:val="00FA4456"/>
    <w:rsid w:val="00FA6FB2"/>
    <w:rsid w:val="00FB0F77"/>
    <w:rsid w:val="00FC0A60"/>
    <w:rsid w:val="00FC6086"/>
    <w:rsid w:val="00FD0C68"/>
    <w:rsid w:val="00FE2823"/>
    <w:rsid w:val="00FE753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6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699"/>
    <w:rPr>
      <w:rFonts w:eastAsiaTheme="minorEastAsia"/>
      <w:lang w:val="en-US"/>
    </w:rPr>
  </w:style>
  <w:style w:type="paragraph" w:styleId="Heading1">
    <w:name w:val="heading 1"/>
    <w:basedOn w:val="Normal"/>
    <w:next w:val="Normal"/>
    <w:link w:val="Heading1Char"/>
    <w:uiPriority w:val="9"/>
    <w:qFormat/>
    <w:rsid w:val="006555F2"/>
    <w:pPr>
      <w:keepNext/>
      <w:keepLines/>
      <w:numPr>
        <w:numId w:val="14"/>
      </w:numPr>
      <w:spacing w:before="48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8D1FE1"/>
    <w:pPr>
      <w:keepNext/>
      <w:keepLines/>
      <w:numPr>
        <w:ilvl w:val="1"/>
        <w:numId w:val="14"/>
      </w:num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8D1FE1"/>
    <w:pPr>
      <w:keepNext/>
      <w:keepLines/>
      <w:numPr>
        <w:ilvl w:val="2"/>
        <w:numId w:val="14"/>
      </w:numPr>
      <w:spacing w:before="200" w:after="0"/>
      <w:outlineLvl w:val="2"/>
    </w:pPr>
    <w:rPr>
      <w:rFonts w:eastAsiaTheme="majorEastAsia" w:cstheme="majorBidi"/>
      <w:b/>
      <w:bCs/>
      <w:sz w:val="24"/>
    </w:rPr>
  </w:style>
  <w:style w:type="paragraph" w:styleId="Heading4">
    <w:name w:val="heading 4"/>
    <w:basedOn w:val="Normal"/>
    <w:next w:val="Normal"/>
    <w:link w:val="Heading4Char"/>
    <w:uiPriority w:val="9"/>
    <w:semiHidden/>
    <w:unhideWhenUsed/>
    <w:qFormat/>
    <w:rsid w:val="00950BD7"/>
    <w:pPr>
      <w:keepNext/>
      <w:keepLines/>
      <w:numPr>
        <w:ilvl w:val="3"/>
        <w:numId w:val="1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50BD7"/>
    <w:pPr>
      <w:keepNext/>
      <w:keepLines/>
      <w:numPr>
        <w:ilvl w:val="4"/>
        <w:numId w:val="1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50BD7"/>
    <w:pPr>
      <w:keepNext/>
      <w:keepLines/>
      <w:numPr>
        <w:ilvl w:val="5"/>
        <w:numId w:val="1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50BD7"/>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50BD7"/>
    <w:pPr>
      <w:keepNext/>
      <w:keepLines/>
      <w:numPr>
        <w:ilvl w:val="7"/>
        <w:numId w:val="1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50BD7"/>
    <w:pPr>
      <w:keepNext/>
      <w:keepLines/>
      <w:numPr>
        <w:ilvl w:val="8"/>
        <w:numId w:val="1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2699"/>
    <w:pPr>
      <w:ind w:left="720"/>
      <w:contextualSpacing/>
    </w:pPr>
  </w:style>
  <w:style w:type="character" w:styleId="Strong">
    <w:name w:val="Strong"/>
    <w:basedOn w:val="DefaultParagraphFont"/>
    <w:uiPriority w:val="22"/>
    <w:qFormat/>
    <w:rsid w:val="00A42699"/>
    <w:rPr>
      <w:b/>
      <w:bCs/>
    </w:rPr>
  </w:style>
  <w:style w:type="paragraph" w:customStyle="1" w:styleId="Default">
    <w:name w:val="Default"/>
    <w:rsid w:val="00A42699"/>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FootnoteText">
    <w:name w:val="footnote text"/>
    <w:basedOn w:val="Normal"/>
    <w:link w:val="FootnoteTextChar"/>
    <w:uiPriority w:val="99"/>
    <w:semiHidden/>
    <w:unhideWhenUsed/>
    <w:rsid w:val="00A426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2699"/>
    <w:rPr>
      <w:rFonts w:eastAsiaTheme="minorEastAsia"/>
      <w:sz w:val="20"/>
      <w:szCs w:val="20"/>
      <w:lang w:val="en-US"/>
    </w:rPr>
  </w:style>
  <w:style w:type="character" w:styleId="FootnoteReference">
    <w:name w:val="footnote reference"/>
    <w:basedOn w:val="DefaultParagraphFont"/>
    <w:uiPriority w:val="99"/>
    <w:semiHidden/>
    <w:unhideWhenUsed/>
    <w:rsid w:val="00A42699"/>
    <w:rPr>
      <w:vertAlign w:val="superscript"/>
    </w:rPr>
  </w:style>
  <w:style w:type="paragraph" w:styleId="BalloonText">
    <w:name w:val="Balloon Text"/>
    <w:basedOn w:val="Normal"/>
    <w:link w:val="BalloonTextChar"/>
    <w:uiPriority w:val="99"/>
    <w:semiHidden/>
    <w:unhideWhenUsed/>
    <w:rsid w:val="00A426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699"/>
    <w:rPr>
      <w:rFonts w:ascii="Tahoma" w:eastAsiaTheme="minorEastAsia" w:hAnsi="Tahoma" w:cs="Tahoma"/>
      <w:sz w:val="16"/>
      <w:szCs w:val="16"/>
      <w:lang w:val="en-US"/>
    </w:rPr>
  </w:style>
  <w:style w:type="table" w:styleId="TableGrid">
    <w:name w:val="Table Grid"/>
    <w:basedOn w:val="TableNormal"/>
    <w:uiPriority w:val="59"/>
    <w:rsid w:val="004654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4">
    <w:name w:val="Light Shading Accent 4"/>
    <w:basedOn w:val="TableNormal"/>
    <w:uiPriority w:val="60"/>
    <w:rsid w:val="000476F6"/>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1">
    <w:name w:val="Ανοιχτόχρωμη σκίαση1"/>
    <w:basedOn w:val="TableNormal"/>
    <w:uiPriority w:val="60"/>
    <w:rsid w:val="000476F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476F6"/>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476F6"/>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5">
    <w:name w:val="Light Shading Accent 5"/>
    <w:basedOn w:val="TableNormal"/>
    <w:uiPriority w:val="60"/>
    <w:rsid w:val="000476F6"/>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11">
    <w:name w:val="Ανοιχτόχρωμη σκίαση - Έμφαση 11"/>
    <w:basedOn w:val="TableNormal"/>
    <w:uiPriority w:val="60"/>
    <w:rsid w:val="000476F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2">
    <w:name w:val="Light Grid Accent 2"/>
    <w:basedOn w:val="TableNormal"/>
    <w:uiPriority w:val="62"/>
    <w:rsid w:val="001B4778"/>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NoSpacing">
    <w:name w:val="No Spacing"/>
    <w:link w:val="NoSpacingChar"/>
    <w:uiPriority w:val="1"/>
    <w:qFormat/>
    <w:rsid w:val="00BA330C"/>
    <w:pPr>
      <w:spacing w:after="0" w:line="240" w:lineRule="auto"/>
    </w:pPr>
    <w:rPr>
      <w:rFonts w:eastAsiaTheme="minorEastAsia"/>
    </w:rPr>
  </w:style>
  <w:style w:type="character" w:customStyle="1" w:styleId="NoSpacingChar">
    <w:name w:val="No Spacing Char"/>
    <w:basedOn w:val="DefaultParagraphFont"/>
    <w:link w:val="NoSpacing"/>
    <w:uiPriority w:val="1"/>
    <w:rsid w:val="00BA330C"/>
    <w:rPr>
      <w:rFonts w:eastAsiaTheme="minorEastAsia"/>
    </w:rPr>
  </w:style>
  <w:style w:type="character" w:customStyle="1" w:styleId="apple-converted-space">
    <w:name w:val="apple-converted-space"/>
    <w:basedOn w:val="DefaultParagraphFont"/>
    <w:rsid w:val="0048167D"/>
  </w:style>
  <w:style w:type="character" w:styleId="Emphasis">
    <w:name w:val="Emphasis"/>
    <w:basedOn w:val="DefaultParagraphFont"/>
    <w:uiPriority w:val="20"/>
    <w:qFormat/>
    <w:rsid w:val="0048167D"/>
    <w:rPr>
      <w:i/>
      <w:iCs/>
    </w:rPr>
  </w:style>
  <w:style w:type="character" w:styleId="Hyperlink">
    <w:name w:val="Hyperlink"/>
    <w:basedOn w:val="DefaultParagraphFont"/>
    <w:uiPriority w:val="99"/>
    <w:unhideWhenUsed/>
    <w:rsid w:val="005F3FE5"/>
    <w:rPr>
      <w:color w:val="0000FF"/>
      <w:u w:val="single"/>
    </w:rPr>
  </w:style>
  <w:style w:type="paragraph" w:customStyle="1" w:styleId="CM40">
    <w:name w:val="CM40"/>
    <w:basedOn w:val="Default"/>
    <w:next w:val="Default"/>
    <w:uiPriority w:val="99"/>
    <w:rsid w:val="00FE7532"/>
    <w:rPr>
      <w:rFonts w:ascii="FFGEF D+ Times Ten LT Std" w:eastAsiaTheme="minorHAnsi" w:hAnsi="FFGEF D+ Times Ten LT Std" w:cstheme="minorBidi"/>
      <w:color w:val="auto"/>
      <w:lang w:val="el-GR"/>
    </w:rPr>
  </w:style>
  <w:style w:type="table" w:styleId="LightList-Accent2">
    <w:name w:val="Light List Accent 2"/>
    <w:basedOn w:val="TableNormal"/>
    <w:uiPriority w:val="61"/>
    <w:rsid w:val="00616D9F"/>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12">
    <w:name w:val="Ανοιχτόχρωμη σκίαση - Έμφαση 12"/>
    <w:basedOn w:val="TableNormal"/>
    <w:uiPriority w:val="60"/>
    <w:rsid w:val="00616D9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512C8F"/>
    <w:rPr>
      <w:sz w:val="16"/>
      <w:szCs w:val="16"/>
    </w:rPr>
  </w:style>
  <w:style w:type="paragraph" w:styleId="CommentText">
    <w:name w:val="annotation text"/>
    <w:basedOn w:val="Normal"/>
    <w:link w:val="CommentTextChar"/>
    <w:uiPriority w:val="99"/>
    <w:semiHidden/>
    <w:unhideWhenUsed/>
    <w:rsid w:val="00512C8F"/>
    <w:pPr>
      <w:spacing w:line="240" w:lineRule="auto"/>
    </w:pPr>
    <w:rPr>
      <w:sz w:val="20"/>
      <w:szCs w:val="20"/>
    </w:rPr>
  </w:style>
  <w:style w:type="character" w:customStyle="1" w:styleId="CommentTextChar">
    <w:name w:val="Comment Text Char"/>
    <w:basedOn w:val="DefaultParagraphFont"/>
    <w:link w:val="CommentText"/>
    <w:uiPriority w:val="99"/>
    <w:semiHidden/>
    <w:rsid w:val="00512C8F"/>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512C8F"/>
    <w:rPr>
      <w:b/>
      <w:bCs/>
    </w:rPr>
  </w:style>
  <w:style w:type="character" w:customStyle="1" w:styleId="CommentSubjectChar">
    <w:name w:val="Comment Subject Char"/>
    <w:basedOn w:val="CommentTextChar"/>
    <w:link w:val="CommentSubject"/>
    <w:uiPriority w:val="99"/>
    <w:semiHidden/>
    <w:rsid w:val="00512C8F"/>
    <w:rPr>
      <w:rFonts w:eastAsiaTheme="minorEastAsia"/>
      <w:b/>
      <w:bCs/>
      <w:sz w:val="20"/>
      <w:szCs w:val="20"/>
      <w:lang w:val="en-US"/>
    </w:rPr>
  </w:style>
  <w:style w:type="paragraph" w:styleId="Header">
    <w:name w:val="header"/>
    <w:basedOn w:val="Normal"/>
    <w:link w:val="HeaderChar"/>
    <w:uiPriority w:val="99"/>
    <w:unhideWhenUsed/>
    <w:rsid w:val="008B1868"/>
    <w:pPr>
      <w:tabs>
        <w:tab w:val="center" w:pos="4153"/>
        <w:tab w:val="right" w:pos="8306"/>
      </w:tabs>
      <w:spacing w:after="0" w:line="240" w:lineRule="auto"/>
    </w:pPr>
  </w:style>
  <w:style w:type="character" w:customStyle="1" w:styleId="HeaderChar">
    <w:name w:val="Header Char"/>
    <w:basedOn w:val="DefaultParagraphFont"/>
    <w:link w:val="Header"/>
    <w:uiPriority w:val="99"/>
    <w:rsid w:val="008B1868"/>
    <w:rPr>
      <w:rFonts w:eastAsiaTheme="minorEastAsia"/>
      <w:lang w:val="en-US"/>
    </w:rPr>
  </w:style>
  <w:style w:type="paragraph" w:styleId="Footer">
    <w:name w:val="footer"/>
    <w:basedOn w:val="Normal"/>
    <w:link w:val="FooterChar"/>
    <w:uiPriority w:val="99"/>
    <w:unhideWhenUsed/>
    <w:rsid w:val="008B1868"/>
    <w:pPr>
      <w:tabs>
        <w:tab w:val="center" w:pos="4153"/>
        <w:tab w:val="right" w:pos="8306"/>
      </w:tabs>
      <w:spacing w:after="0" w:line="240" w:lineRule="auto"/>
    </w:pPr>
  </w:style>
  <w:style w:type="character" w:customStyle="1" w:styleId="FooterChar">
    <w:name w:val="Footer Char"/>
    <w:basedOn w:val="DefaultParagraphFont"/>
    <w:link w:val="Footer"/>
    <w:uiPriority w:val="99"/>
    <w:rsid w:val="008B1868"/>
    <w:rPr>
      <w:rFonts w:eastAsiaTheme="minorEastAsia"/>
      <w:lang w:val="en-US"/>
    </w:rPr>
  </w:style>
  <w:style w:type="character" w:customStyle="1" w:styleId="Heading1Char">
    <w:name w:val="Heading 1 Char"/>
    <w:basedOn w:val="DefaultParagraphFont"/>
    <w:link w:val="Heading1"/>
    <w:uiPriority w:val="9"/>
    <w:rsid w:val="006555F2"/>
    <w:rPr>
      <w:rFonts w:eastAsiaTheme="majorEastAsia" w:cstheme="majorBidi"/>
      <w:b/>
      <w:bCs/>
      <w:sz w:val="28"/>
      <w:szCs w:val="28"/>
      <w:lang w:val="en-US"/>
    </w:rPr>
  </w:style>
  <w:style w:type="paragraph" w:styleId="TOCHeading">
    <w:name w:val="TOC Heading"/>
    <w:basedOn w:val="Heading1"/>
    <w:next w:val="Normal"/>
    <w:uiPriority w:val="39"/>
    <w:semiHidden/>
    <w:unhideWhenUsed/>
    <w:qFormat/>
    <w:rsid w:val="003A5847"/>
    <w:pPr>
      <w:outlineLvl w:val="9"/>
    </w:pPr>
    <w:rPr>
      <w:lang w:val="el-GR"/>
    </w:rPr>
  </w:style>
  <w:style w:type="character" w:customStyle="1" w:styleId="Heading2Char">
    <w:name w:val="Heading 2 Char"/>
    <w:basedOn w:val="DefaultParagraphFont"/>
    <w:link w:val="Heading2"/>
    <w:uiPriority w:val="9"/>
    <w:rsid w:val="008D1FE1"/>
    <w:rPr>
      <w:rFonts w:eastAsiaTheme="majorEastAsia" w:cstheme="majorBidi"/>
      <w:b/>
      <w:bCs/>
      <w:sz w:val="26"/>
      <w:szCs w:val="26"/>
      <w:lang w:val="en-US"/>
    </w:rPr>
  </w:style>
  <w:style w:type="character" w:customStyle="1" w:styleId="Heading3Char">
    <w:name w:val="Heading 3 Char"/>
    <w:basedOn w:val="DefaultParagraphFont"/>
    <w:link w:val="Heading3"/>
    <w:uiPriority w:val="9"/>
    <w:rsid w:val="008D1FE1"/>
    <w:rPr>
      <w:rFonts w:eastAsiaTheme="majorEastAsia" w:cstheme="majorBidi"/>
      <w:b/>
      <w:bCs/>
      <w:sz w:val="24"/>
      <w:lang w:val="en-US"/>
    </w:rPr>
  </w:style>
  <w:style w:type="numbering" w:customStyle="1" w:styleId="PHILIPP">
    <w:name w:val="PHILIPP"/>
    <w:uiPriority w:val="99"/>
    <w:rsid w:val="00950BD7"/>
    <w:pPr>
      <w:numPr>
        <w:numId w:val="11"/>
      </w:numPr>
    </w:pPr>
  </w:style>
  <w:style w:type="character" w:customStyle="1" w:styleId="Heading4Char">
    <w:name w:val="Heading 4 Char"/>
    <w:basedOn w:val="DefaultParagraphFont"/>
    <w:link w:val="Heading4"/>
    <w:uiPriority w:val="9"/>
    <w:semiHidden/>
    <w:rsid w:val="00950BD7"/>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950BD7"/>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950BD7"/>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950BD7"/>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950BD7"/>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950BD7"/>
    <w:rPr>
      <w:rFonts w:asciiTheme="majorHAnsi" w:eastAsiaTheme="majorEastAsia" w:hAnsiTheme="majorHAnsi" w:cstheme="majorBidi"/>
      <w:i/>
      <w:iCs/>
      <w:color w:val="404040" w:themeColor="text1" w:themeTint="BF"/>
      <w:sz w:val="20"/>
      <w:szCs w:val="20"/>
      <w:lang w:val="en-US"/>
    </w:rPr>
  </w:style>
  <w:style w:type="paragraph" w:styleId="TOC1">
    <w:name w:val="toc 1"/>
    <w:basedOn w:val="Normal"/>
    <w:next w:val="Normal"/>
    <w:autoRedefine/>
    <w:uiPriority w:val="39"/>
    <w:unhideWhenUsed/>
    <w:rsid w:val="00950BD7"/>
    <w:pPr>
      <w:spacing w:after="100"/>
    </w:pPr>
  </w:style>
  <w:style w:type="paragraph" w:styleId="TOC2">
    <w:name w:val="toc 2"/>
    <w:basedOn w:val="Normal"/>
    <w:next w:val="Normal"/>
    <w:autoRedefine/>
    <w:uiPriority w:val="39"/>
    <w:unhideWhenUsed/>
    <w:rsid w:val="00950BD7"/>
    <w:pPr>
      <w:spacing w:after="100"/>
      <w:ind w:left="220"/>
    </w:pPr>
  </w:style>
  <w:style w:type="paragraph" w:styleId="TOC3">
    <w:name w:val="toc 3"/>
    <w:basedOn w:val="Normal"/>
    <w:next w:val="Normal"/>
    <w:autoRedefine/>
    <w:uiPriority w:val="39"/>
    <w:unhideWhenUsed/>
    <w:rsid w:val="00950BD7"/>
    <w:pPr>
      <w:spacing w:after="100"/>
      <w:ind w:left="440"/>
    </w:pPr>
  </w:style>
  <w:style w:type="paragraph" w:styleId="Bibliography">
    <w:name w:val="Bibliography"/>
    <w:basedOn w:val="Normal"/>
    <w:next w:val="Normal"/>
    <w:uiPriority w:val="37"/>
    <w:unhideWhenUsed/>
    <w:rsid w:val="008D1FE1"/>
  </w:style>
  <w:style w:type="paragraph" w:styleId="Caption">
    <w:name w:val="caption"/>
    <w:basedOn w:val="Normal"/>
    <w:next w:val="Normal"/>
    <w:uiPriority w:val="35"/>
    <w:unhideWhenUsed/>
    <w:qFormat/>
    <w:rsid w:val="00A77A06"/>
    <w:pPr>
      <w:spacing w:line="240" w:lineRule="auto"/>
    </w:pPr>
    <w:rPr>
      <w:b/>
      <w:bCs/>
      <w:color w:val="4F81BD" w:themeColor="accent1"/>
      <w:sz w:val="18"/>
      <w:szCs w:val="18"/>
    </w:rPr>
  </w:style>
  <w:style w:type="paragraph" w:styleId="EndnoteText">
    <w:name w:val="endnote text"/>
    <w:basedOn w:val="Normal"/>
    <w:link w:val="EndnoteTextChar"/>
    <w:uiPriority w:val="99"/>
    <w:semiHidden/>
    <w:unhideWhenUsed/>
    <w:rsid w:val="00AF1E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F1E19"/>
    <w:rPr>
      <w:rFonts w:eastAsiaTheme="minorEastAsia"/>
      <w:sz w:val="20"/>
      <w:szCs w:val="20"/>
      <w:lang w:val="en-US"/>
    </w:rPr>
  </w:style>
  <w:style w:type="character" w:styleId="EndnoteReference">
    <w:name w:val="endnote reference"/>
    <w:basedOn w:val="DefaultParagraphFont"/>
    <w:uiPriority w:val="99"/>
    <w:semiHidden/>
    <w:unhideWhenUsed/>
    <w:rsid w:val="00AF1E19"/>
    <w:rPr>
      <w:vertAlign w:val="superscript"/>
    </w:rPr>
  </w:style>
  <w:style w:type="paragraph" w:styleId="TableofFigures">
    <w:name w:val="table of figures"/>
    <w:basedOn w:val="Normal"/>
    <w:next w:val="Normal"/>
    <w:uiPriority w:val="99"/>
    <w:unhideWhenUsed/>
    <w:rsid w:val="006573F1"/>
    <w:pPr>
      <w:spacing w:after="0"/>
    </w:pPr>
  </w:style>
</w:styles>
</file>

<file path=word/webSettings.xml><?xml version="1.0" encoding="utf-8"?>
<w:webSettings xmlns:r="http://schemas.openxmlformats.org/officeDocument/2006/relationships" xmlns:w="http://schemas.openxmlformats.org/wordprocessingml/2006/main">
  <w:divs>
    <w:div w:id="3750583">
      <w:bodyDiv w:val="1"/>
      <w:marLeft w:val="0"/>
      <w:marRight w:val="0"/>
      <w:marTop w:val="0"/>
      <w:marBottom w:val="0"/>
      <w:divBdr>
        <w:top w:val="none" w:sz="0" w:space="0" w:color="auto"/>
        <w:left w:val="none" w:sz="0" w:space="0" w:color="auto"/>
        <w:bottom w:val="none" w:sz="0" w:space="0" w:color="auto"/>
        <w:right w:val="none" w:sz="0" w:space="0" w:color="auto"/>
      </w:divBdr>
    </w:div>
    <w:div w:id="83765964">
      <w:bodyDiv w:val="1"/>
      <w:marLeft w:val="0"/>
      <w:marRight w:val="0"/>
      <w:marTop w:val="0"/>
      <w:marBottom w:val="0"/>
      <w:divBdr>
        <w:top w:val="none" w:sz="0" w:space="0" w:color="auto"/>
        <w:left w:val="none" w:sz="0" w:space="0" w:color="auto"/>
        <w:bottom w:val="none" w:sz="0" w:space="0" w:color="auto"/>
        <w:right w:val="none" w:sz="0" w:space="0" w:color="auto"/>
      </w:divBdr>
    </w:div>
    <w:div w:id="92821386">
      <w:bodyDiv w:val="1"/>
      <w:marLeft w:val="0"/>
      <w:marRight w:val="0"/>
      <w:marTop w:val="0"/>
      <w:marBottom w:val="0"/>
      <w:divBdr>
        <w:top w:val="none" w:sz="0" w:space="0" w:color="auto"/>
        <w:left w:val="none" w:sz="0" w:space="0" w:color="auto"/>
        <w:bottom w:val="none" w:sz="0" w:space="0" w:color="auto"/>
        <w:right w:val="none" w:sz="0" w:space="0" w:color="auto"/>
      </w:divBdr>
    </w:div>
    <w:div w:id="145365924">
      <w:bodyDiv w:val="1"/>
      <w:marLeft w:val="0"/>
      <w:marRight w:val="0"/>
      <w:marTop w:val="0"/>
      <w:marBottom w:val="0"/>
      <w:divBdr>
        <w:top w:val="none" w:sz="0" w:space="0" w:color="auto"/>
        <w:left w:val="none" w:sz="0" w:space="0" w:color="auto"/>
        <w:bottom w:val="none" w:sz="0" w:space="0" w:color="auto"/>
        <w:right w:val="none" w:sz="0" w:space="0" w:color="auto"/>
      </w:divBdr>
    </w:div>
    <w:div w:id="145512559">
      <w:bodyDiv w:val="1"/>
      <w:marLeft w:val="0"/>
      <w:marRight w:val="0"/>
      <w:marTop w:val="0"/>
      <w:marBottom w:val="0"/>
      <w:divBdr>
        <w:top w:val="none" w:sz="0" w:space="0" w:color="auto"/>
        <w:left w:val="none" w:sz="0" w:space="0" w:color="auto"/>
        <w:bottom w:val="none" w:sz="0" w:space="0" w:color="auto"/>
        <w:right w:val="none" w:sz="0" w:space="0" w:color="auto"/>
      </w:divBdr>
    </w:div>
    <w:div w:id="157960049">
      <w:bodyDiv w:val="1"/>
      <w:marLeft w:val="0"/>
      <w:marRight w:val="0"/>
      <w:marTop w:val="0"/>
      <w:marBottom w:val="0"/>
      <w:divBdr>
        <w:top w:val="none" w:sz="0" w:space="0" w:color="auto"/>
        <w:left w:val="none" w:sz="0" w:space="0" w:color="auto"/>
        <w:bottom w:val="none" w:sz="0" w:space="0" w:color="auto"/>
        <w:right w:val="none" w:sz="0" w:space="0" w:color="auto"/>
      </w:divBdr>
    </w:div>
    <w:div w:id="165481446">
      <w:bodyDiv w:val="1"/>
      <w:marLeft w:val="0"/>
      <w:marRight w:val="0"/>
      <w:marTop w:val="0"/>
      <w:marBottom w:val="0"/>
      <w:divBdr>
        <w:top w:val="none" w:sz="0" w:space="0" w:color="auto"/>
        <w:left w:val="none" w:sz="0" w:space="0" w:color="auto"/>
        <w:bottom w:val="none" w:sz="0" w:space="0" w:color="auto"/>
        <w:right w:val="none" w:sz="0" w:space="0" w:color="auto"/>
      </w:divBdr>
    </w:div>
    <w:div w:id="188301282">
      <w:bodyDiv w:val="1"/>
      <w:marLeft w:val="0"/>
      <w:marRight w:val="0"/>
      <w:marTop w:val="0"/>
      <w:marBottom w:val="0"/>
      <w:divBdr>
        <w:top w:val="none" w:sz="0" w:space="0" w:color="auto"/>
        <w:left w:val="none" w:sz="0" w:space="0" w:color="auto"/>
        <w:bottom w:val="none" w:sz="0" w:space="0" w:color="auto"/>
        <w:right w:val="none" w:sz="0" w:space="0" w:color="auto"/>
      </w:divBdr>
    </w:div>
    <w:div w:id="190610224">
      <w:bodyDiv w:val="1"/>
      <w:marLeft w:val="0"/>
      <w:marRight w:val="0"/>
      <w:marTop w:val="0"/>
      <w:marBottom w:val="0"/>
      <w:divBdr>
        <w:top w:val="none" w:sz="0" w:space="0" w:color="auto"/>
        <w:left w:val="none" w:sz="0" w:space="0" w:color="auto"/>
        <w:bottom w:val="none" w:sz="0" w:space="0" w:color="auto"/>
        <w:right w:val="none" w:sz="0" w:space="0" w:color="auto"/>
      </w:divBdr>
    </w:div>
    <w:div w:id="207953738">
      <w:bodyDiv w:val="1"/>
      <w:marLeft w:val="0"/>
      <w:marRight w:val="0"/>
      <w:marTop w:val="0"/>
      <w:marBottom w:val="0"/>
      <w:divBdr>
        <w:top w:val="none" w:sz="0" w:space="0" w:color="auto"/>
        <w:left w:val="none" w:sz="0" w:space="0" w:color="auto"/>
        <w:bottom w:val="none" w:sz="0" w:space="0" w:color="auto"/>
        <w:right w:val="none" w:sz="0" w:space="0" w:color="auto"/>
      </w:divBdr>
    </w:div>
    <w:div w:id="249169310">
      <w:bodyDiv w:val="1"/>
      <w:marLeft w:val="0"/>
      <w:marRight w:val="0"/>
      <w:marTop w:val="0"/>
      <w:marBottom w:val="0"/>
      <w:divBdr>
        <w:top w:val="none" w:sz="0" w:space="0" w:color="auto"/>
        <w:left w:val="none" w:sz="0" w:space="0" w:color="auto"/>
        <w:bottom w:val="none" w:sz="0" w:space="0" w:color="auto"/>
        <w:right w:val="none" w:sz="0" w:space="0" w:color="auto"/>
      </w:divBdr>
    </w:div>
    <w:div w:id="302934455">
      <w:bodyDiv w:val="1"/>
      <w:marLeft w:val="0"/>
      <w:marRight w:val="0"/>
      <w:marTop w:val="0"/>
      <w:marBottom w:val="0"/>
      <w:divBdr>
        <w:top w:val="none" w:sz="0" w:space="0" w:color="auto"/>
        <w:left w:val="none" w:sz="0" w:space="0" w:color="auto"/>
        <w:bottom w:val="none" w:sz="0" w:space="0" w:color="auto"/>
        <w:right w:val="none" w:sz="0" w:space="0" w:color="auto"/>
      </w:divBdr>
    </w:div>
    <w:div w:id="315646310">
      <w:bodyDiv w:val="1"/>
      <w:marLeft w:val="0"/>
      <w:marRight w:val="0"/>
      <w:marTop w:val="0"/>
      <w:marBottom w:val="0"/>
      <w:divBdr>
        <w:top w:val="none" w:sz="0" w:space="0" w:color="auto"/>
        <w:left w:val="none" w:sz="0" w:space="0" w:color="auto"/>
        <w:bottom w:val="none" w:sz="0" w:space="0" w:color="auto"/>
        <w:right w:val="none" w:sz="0" w:space="0" w:color="auto"/>
      </w:divBdr>
    </w:div>
    <w:div w:id="337737378">
      <w:bodyDiv w:val="1"/>
      <w:marLeft w:val="0"/>
      <w:marRight w:val="0"/>
      <w:marTop w:val="0"/>
      <w:marBottom w:val="0"/>
      <w:divBdr>
        <w:top w:val="none" w:sz="0" w:space="0" w:color="auto"/>
        <w:left w:val="none" w:sz="0" w:space="0" w:color="auto"/>
        <w:bottom w:val="none" w:sz="0" w:space="0" w:color="auto"/>
        <w:right w:val="none" w:sz="0" w:space="0" w:color="auto"/>
      </w:divBdr>
    </w:div>
    <w:div w:id="457181662">
      <w:bodyDiv w:val="1"/>
      <w:marLeft w:val="0"/>
      <w:marRight w:val="0"/>
      <w:marTop w:val="0"/>
      <w:marBottom w:val="0"/>
      <w:divBdr>
        <w:top w:val="none" w:sz="0" w:space="0" w:color="auto"/>
        <w:left w:val="none" w:sz="0" w:space="0" w:color="auto"/>
        <w:bottom w:val="none" w:sz="0" w:space="0" w:color="auto"/>
        <w:right w:val="none" w:sz="0" w:space="0" w:color="auto"/>
      </w:divBdr>
    </w:div>
    <w:div w:id="472722609">
      <w:bodyDiv w:val="1"/>
      <w:marLeft w:val="0"/>
      <w:marRight w:val="0"/>
      <w:marTop w:val="0"/>
      <w:marBottom w:val="0"/>
      <w:divBdr>
        <w:top w:val="none" w:sz="0" w:space="0" w:color="auto"/>
        <w:left w:val="none" w:sz="0" w:space="0" w:color="auto"/>
        <w:bottom w:val="none" w:sz="0" w:space="0" w:color="auto"/>
        <w:right w:val="none" w:sz="0" w:space="0" w:color="auto"/>
      </w:divBdr>
    </w:div>
    <w:div w:id="520120203">
      <w:bodyDiv w:val="1"/>
      <w:marLeft w:val="0"/>
      <w:marRight w:val="0"/>
      <w:marTop w:val="0"/>
      <w:marBottom w:val="0"/>
      <w:divBdr>
        <w:top w:val="none" w:sz="0" w:space="0" w:color="auto"/>
        <w:left w:val="none" w:sz="0" w:space="0" w:color="auto"/>
        <w:bottom w:val="none" w:sz="0" w:space="0" w:color="auto"/>
        <w:right w:val="none" w:sz="0" w:space="0" w:color="auto"/>
      </w:divBdr>
    </w:div>
    <w:div w:id="520824237">
      <w:bodyDiv w:val="1"/>
      <w:marLeft w:val="0"/>
      <w:marRight w:val="0"/>
      <w:marTop w:val="0"/>
      <w:marBottom w:val="0"/>
      <w:divBdr>
        <w:top w:val="none" w:sz="0" w:space="0" w:color="auto"/>
        <w:left w:val="none" w:sz="0" w:space="0" w:color="auto"/>
        <w:bottom w:val="none" w:sz="0" w:space="0" w:color="auto"/>
        <w:right w:val="none" w:sz="0" w:space="0" w:color="auto"/>
      </w:divBdr>
    </w:div>
    <w:div w:id="521825329">
      <w:bodyDiv w:val="1"/>
      <w:marLeft w:val="0"/>
      <w:marRight w:val="0"/>
      <w:marTop w:val="0"/>
      <w:marBottom w:val="0"/>
      <w:divBdr>
        <w:top w:val="none" w:sz="0" w:space="0" w:color="auto"/>
        <w:left w:val="none" w:sz="0" w:space="0" w:color="auto"/>
        <w:bottom w:val="none" w:sz="0" w:space="0" w:color="auto"/>
        <w:right w:val="none" w:sz="0" w:space="0" w:color="auto"/>
      </w:divBdr>
    </w:div>
    <w:div w:id="553810751">
      <w:bodyDiv w:val="1"/>
      <w:marLeft w:val="0"/>
      <w:marRight w:val="0"/>
      <w:marTop w:val="0"/>
      <w:marBottom w:val="0"/>
      <w:divBdr>
        <w:top w:val="none" w:sz="0" w:space="0" w:color="auto"/>
        <w:left w:val="none" w:sz="0" w:space="0" w:color="auto"/>
        <w:bottom w:val="none" w:sz="0" w:space="0" w:color="auto"/>
        <w:right w:val="none" w:sz="0" w:space="0" w:color="auto"/>
      </w:divBdr>
    </w:div>
    <w:div w:id="558785999">
      <w:bodyDiv w:val="1"/>
      <w:marLeft w:val="0"/>
      <w:marRight w:val="0"/>
      <w:marTop w:val="0"/>
      <w:marBottom w:val="0"/>
      <w:divBdr>
        <w:top w:val="none" w:sz="0" w:space="0" w:color="auto"/>
        <w:left w:val="none" w:sz="0" w:space="0" w:color="auto"/>
        <w:bottom w:val="none" w:sz="0" w:space="0" w:color="auto"/>
        <w:right w:val="none" w:sz="0" w:space="0" w:color="auto"/>
      </w:divBdr>
    </w:div>
    <w:div w:id="636372290">
      <w:bodyDiv w:val="1"/>
      <w:marLeft w:val="0"/>
      <w:marRight w:val="0"/>
      <w:marTop w:val="0"/>
      <w:marBottom w:val="0"/>
      <w:divBdr>
        <w:top w:val="none" w:sz="0" w:space="0" w:color="auto"/>
        <w:left w:val="none" w:sz="0" w:space="0" w:color="auto"/>
        <w:bottom w:val="none" w:sz="0" w:space="0" w:color="auto"/>
        <w:right w:val="none" w:sz="0" w:space="0" w:color="auto"/>
      </w:divBdr>
    </w:div>
    <w:div w:id="636566812">
      <w:bodyDiv w:val="1"/>
      <w:marLeft w:val="0"/>
      <w:marRight w:val="0"/>
      <w:marTop w:val="0"/>
      <w:marBottom w:val="0"/>
      <w:divBdr>
        <w:top w:val="none" w:sz="0" w:space="0" w:color="auto"/>
        <w:left w:val="none" w:sz="0" w:space="0" w:color="auto"/>
        <w:bottom w:val="none" w:sz="0" w:space="0" w:color="auto"/>
        <w:right w:val="none" w:sz="0" w:space="0" w:color="auto"/>
      </w:divBdr>
    </w:div>
    <w:div w:id="685713086">
      <w:bodyDiv w:val="1"/>
      <w:marLeft w:val="0"/>
      <w:marRight w:val="0"/>
      <w:marTop w:val="0"/>
      <w:marBottom w:val="0"/>
      <w:divBdr>
        <w:top w:val="none" w:sz="0" w:space="0" w:color="auto"/>
        <w:left w:val="none" w:sz="0" w:space="0" w:color="auto"/>
        <w:bottom w:val="none" w:sz="0" w:space="0" w:color="auto"/>
        <w:right w:val="none" w:sz="0" w:space="0" w:color="auto"/>
      </w:divBdr>
    </w:div>
    <w:div w:id="711802902">
      <w:bodyDiv w:val="1"/>
      <w:marLeft w:val="0"/>
      <w:marRight w:val="0"/>
      <w:marTop w:val="0"/>
      <w:marBottom w:val="0"/>
      <w:divBdr>
        <w:top w:val="none" w:sz="0" w:space="0" w:color="auto"/>
        <w:left w:val="none" w:sz="0" w:space="0" w:color="auto"/>
        <w:bottom w:val="none" w:sz="0" w:space="0" w:color="auto"/>
        <w:right w:val="none" w:sz="0" w:space="0" w:color="auto"/>
      </w:divBdr>
    </w:div>
    <w:div w:id="739208212">
      <w:bodyDiv w:val="1"/>
      <w:marLeft w:val="0"/>
      <w:marRight w:val="0"/>
      <w:marTop w:val="0"/>
      <w:marBottom w:val="0"/>
      <w:divBdr>
        <w:top w:val="none" w:sz="0" w:space="0" w:color="auto"/>
        <w:left w:val="none" w:sz="0" w:space="0" w:color="auto"/>
        <w:bottom w:val="none" w:sz="0" w:space="0" w:color="auto"/>
        <w:right w:val="none" w:sz="0" w:space="0" w:color="auto"/>
      </w:divBdr>
    </w:div>
    <w:div w:id="750855833">
      <w:bodyDiv w:val="1"/>
      <w:marLeft w:val="0"/>
      <w:marRight w:val="0"/>
      <w:marTop w:val="0"/>
      <w:marBottom w:val="0"/>
      <w:divBdr>
        <w:top w:val="none" w:sz="0" w:space="0" w:color="auto"/>
        <w:left w:val="none" w:sz="0" w:space="0" w:color="auto"/>
        <w:bottom w:val="none" w:sz="0" w:space="0" w:color="auto"/>
        <w:right w:val="none" w:sz="0" w:space="0" w:color="auto"/>
      </w:divBdr>
    </w:div>
    <w:div w:id="762797746">
      <w:bodyDiv w:val="1"/>
      <w:marLeft w:val="0"/>
      <w:marRight w:val="0"/>
      <w:marTop w:val="0"/>
      <w:marBottom w:val="0"/>
      <w:divBdr>
        <w:top w:val="none" w:sz="0" w:space="0" w:color="auto"/>
        <w:left w:val="none" w:sz="0" w:space="0" w:color="auto"/>
        <w:bottom w:val="none" w:sz="0" w:space="0" w:color="auto"/>
        <w:right w:val="none" w:sz="0" w:space="0" w:color="auto"/>
      </w:divBdr>
    </w:div>
    <w:div w:id="778791406">
      <w:bodyDiv w:val="1"/>
      <w:marLeft w:val="0"/>
      <w:marRight w:val="0"/>
      <w:marTop w:val="0"/>
      <w:marBottom w:val="0"/>
      <w:divBdr>
        <w:top w:val="none" w:sz="0" w:space="0" w:color="auto"/>
        <w:left w:val="none" w:sz="0" w:space="0" w:color="auto"/>
        <w:bottom w:val="none" w:sz="0" w:space="0" w:color="auto"/>
        <w:right w:val="none" w:sz="0" w:space="0" w:color="auto"/>
      </w:divBdr>
    </w:div>
    <w:div w:id="781650353">
      <w:bodyDiv w:val="1"/>
      <w:marLeft w:val="0"/>
      <w:marRight w:val="0"/>
      <w:marTop w:val="0"/>
      <w:marBottom w:val="0"/>
      <w:divBdr>
        <w:top w:val="none" w:sz="0" w:space="0" w:color="auto"/>
        <w:left w:val="none" w:sz="0" w:space="0" w:color="auto"/>
        <w:bottom w:val="none" w:sz="0" w:space="0" w:color="auto"/>
        <w:right w:val="none" w:sz="0" w:space="0" w:color="auto"/>
      </w:divBdr>
    </w:div>
    <w:div w:id="832339158">
      <w:bodyDiv w:val="1"/>
      <w:marLeft w:val="0"/>
      <w:marRight w:val="0"/>
      <w:marTop w:val="0"/>
      <w:marBottom w:val="0"/>
      <w:divBdr>
        <w:top w:val="none" w:sz="0" w:space="0" w:color="auto"/>
        <w:left w:val="none" w:sz="0" w:space="0" w:color="auto"/>
        <w:bottom w:val="none" w:sz="0" w:space="0" w:color="auto"/>
        <w:right w:val="none" w:sz="0" w:space="0" w:color="auto"/>
      </w:divBdr>
    </w:div>
    <w:div w:id="843666423">
      <w:bodyDiv w:val="1"/>
      <w:marLeft w:val="0"/>
      <w:marRight w:val="0"/>
      <w:marTop w:val="0"/>
      <w:marBottom w:val="0"/>
      <w:divBdr>
        <w:top w:val="none" w:sz="0" w:space="0" w:color="auto"/>
        <w:left w:val="none" w:sz="0" w:space="0" w:color="auto"/>
        <w:bottom w:val="none" w:sz="0" w:space="0" w:color="auto"/>
        <w:right w:val="none" w:sz="0" w:space="0" w:color="auto"/>
      </w:divBdr>
    </w:div>
    <w:div w:id="922647415">
      <w:bodyDiv w:val="1"/>
      <w:marLeft w:val="0"/>
      <w:marRight w:val="0"/>
      <w:marTop w:val="0"/>
      <w:marBottom w:val="0"/>
      <w:divBdr>
        <w:top w:val="none" w:sz="0" w:space="0" w:color="auto"/>
        <w:left w:val="none" w:sz="0" w:space="0" w:color="auto"/>
        <w:bottom w:val="none" w:sz="0" w:space="0" w:color="auto"/>
        <w:right w:val="none" w:sz="0" w:space="0" w:color="auto"/>
      </w:divBdr>
    </w:div>
    <w:div w:id="989165210">
      <w:bodyDiv w:val="1"/>
      <w:marLeft w:val="0"/>
      <w:marRight w:val="0"/>
      <w:marTop w:val="0"/>
      <w:marBottom w:val="0"/>
      <w:divBdr>
        <w:top w:val="none" w:sz="0" w:space="0" w:color="auto"/>
        <w:left w:val="none" w:sz="0" w:space="0" w:color="auto"/>
        <w:bottom w:val="none" w:sz="0" w:space="0" w:color="auto"/>
        <w:right w:val="none" w:sz="0" w:space="0" w:color="auto"/>
      </w:divBdr>
    </w:div>
    <w:div w:id="1001666633">
      <w:bodyDiv w:val="1"/>
      <w:marLeft w:val="0"/>
      <w:marRight w:val="0"/>
      <w:marTop w:val="0"/>
      <w:marBottom w:val="0"/>
      <w:divBdr>
        <w:top w:val="none" w:sz="0" w:space="0" w:color="auto"/>
        <w:left w:val="none" w:sz="0" w:space="0" w:color="auto"/>
        <w:bottom w:val="none" w:sz="0" w:space="0" w:color="auto"/>
        <w:right w:val="none" w:sz="0" w:space="0" w:color="auto"/>
      </w:divBdr>
    </w:div>
    <w:div w:id="1009911331">
      <w:bodyDiv w:val="1"/>
      <w:marLeft w:val="0"/>
      <w:marRight w:val="0"/>
      <w:marTop w:val="0"/>
      <w:marBottom w:val="0"/>
      <w:divBdr>
        <w:top w:val="none" w:sz="0" w:space="0" w:color="auto"/>
        <w:left w:val="none" w:sz="0" w:space="0" w:color="auto"/>
        <w:bottom w:val="none" w:sz="0" w:space="0" w:color="auto"/>
        <w:right w:val="none" w:sz="0" w:space="0" w:color="auto"/>
      </w:divBdr>
    </w:div>
    <w:div w:id="1017343366">
      <w:bodyDiv w:val="1"/>
      <w:marLeft w:val="0"/>
      <w:marRight w:val="0"/>
      <w:marTop w:val="0"/>
      <w:marBottom w:val="0"/>
      <w:divBdr>
        <w:top w:val="none" w:sz="0" w:space="0" w:color="auto"/>
        <w:left w:val="none" w:sz="0" w:space="0" w:color="auto"/>
        <w:bottom w:val="none" w:sz="0" w:space="0" w:color="auto"/>
        <w:right w:val="none" w:sz="0" w:space="0" w:color="auto"/>
      </w:divBdr>
    </w:div>
    <w:div w:id="1024096460">
      <w:bodyDiv w:val="1"/>
      <w:marLeft w:val="0"/>
      <w:marRight w:val="0"/>
      <w:marTop w:val="0"/>
      <w:marBottom w:val="0"/>
      <w:divBdr>
        <w:top w:val="none" w:sz="0" w:space="0" w:color="auto"/>
        <w:left w:val="none" w:sz="0" w:space="0" w:color="auto"/>
        <w:bottom w:val="none" w:sz="0" w:space="0" w:color="auto"/>
        <w:right w:val="none" w:sz="0" w:space="0" w:color="auto"/>
      </w:divBdr>
    </w:div>
    <w:div w:id="1036126633">
      <w:bodyDiv w:val="1"/>
      <w:marLeft w:val="0"/>
      <w:marRight w:val="0"/>
      <w:marTop w:val="0"/>
      <w:marBottom w:val="0"/>
      <w:divBdr>
        <w:top w:val="none" w:sz="0" w:space="0" w:color="auto"/>
        <w:left w:val="none" w:sz="0" w:space="0" w:color="auto"/>
        <w:bottom w:val="none" w:sz="0" w:space="0" w:color="auto"/>
        <w:right w:val="none" w:sz="0" w:space="0" w:color="auto"/>
      </w:divBdr>
    </w:div>
    <w:div w:id="1044477133">
      <w:bodyDiv w:val="1"/>
      <w:marLeft w:val="0"/>
      <w:marRight w:val="0"/>
      <w:marTop w:val="0"/>
      <w:marBottom w:val="0"/>
      <w:divBdr>
        <w:top w:val="none" w:sz="0" w:space="0" w:color="auto"/>
        <w:left w:val="none" w:sz="0" w:space="0" w:color="auto"/>
        <w:bottom w:val="none" w:sz="0" w:space="0" w:color="auto"/>
        <w:right w:val="none" w:sz="0" w:space="0" w:color="auto"/>
      </w:divBdr>
    </w:div>
    <w:div w:id="1114594853">
      <w:bodyDiv w:val="1"/>
      <w:marLeft w:val="0"/>
      <w:marRight w:val="0"/>
      <w:marTop w:val="0"/>
      <w:marBottom w:val="0"/>
      <w:divBdr>
        <w:top w:val="none" w:sz="0" w:space="0" w:color="auto"/>
        <w:left w:val="none" w:sz="0" w:space="0" w:color="auto"/>
        <w:bottom w:val="none" w:sz="0" w:space="0" w:color="auto"/>
        <w:right w:val="none" w:sz="0" w:space="0" w:color="auto"/>
      </w:divBdr>
    </w:div>
    <w:div w:id="1206330195">
      <w:bodyDiv w:val="1"/>
      <w:marLeft w:val="0"/>
      <w:marRight w:val="0"/>
      <w:marTop w:val="0"/>
      <w:marBottom w:val="0"/>
      <w:divBdr>
        <w:top w:val="none" w:sz="0" w:space="0" w:color="auto"/>
        <w:left w:val="none" w:sz="0" w:space="0" w:color="auto"/>
        <w:bottom w:val="none" w:sz="0" w:space="0" w:color="auto"/>
        <w:right w:val="none" w:sz="0" w:space="0" w:color="auto"/>
      </w:divBdr>
    </w:div>
    <w:div w:id="1231966248">
      <w:bodyDiv w:val="1"/>
      <w:marLeft w:val="0"/>
      <w:marRight w:val="0"/>
      <w:marTop w:val="0"/>
      <w:marBottom w:val="0"/>
      <w:divBdr>
        <w:top w:val="none" w:sz="0" w:space="0" w:color="auto"/>
        <w:left w:val="none" w:sz="0" w:space="0" w:color="auto"/>
        <w:bottom w:val="none" w:sz="0" w:space="0" w:color="auto"/>
        <w:right w:val="none" w:sz="0" w:space="0" w:color="auto"/>
      </w:divBdr>
    </w:div>
    <w:div w:id="1241256258">
      <w:bodyDiv w:val="1"/>
      <w:marLeft w:val="0"/>
      <w:marRight w:val="0"/>
      <w:marTop w:val="0"/>
      <w:marBottom w:val="0"/>
      <w:divBdr>
        <w:top w:val="none" w:sz="0" w:space="0" w:color="auto"/>
        <w:left w:val="none" w:sz="0" w:space="0" w:color="auto"/>
        <w:bottom w:val="none" w:sz="0" w:space="0" w:color="auto"/>
        <w:right w:val="none" w:sz="0" w:space="0" w:color="auto"/>
      </w:divBdr>
    </w:div>
    <w:div w:id="1242721149">
      <w:bodyDiv w:val="1"/>
      <w:marLeft w:val="0"/>
      <w:marRight w:val="0"/>
      <w:marTop w:val="0"/>
      <w:marBottom w:val="0"/>
      <w:divBdr>
        <w:top w:val="none" w:sz="0" w:space="0" w:color="auto"/>
        <w:left w:val="none" w:sz="0" w:space="0" w:color="auto"/>
        <w:bottom w:val="none" w:sz="0" w:space="0" w:color="auto"/>
        <w:right w:val="none" w:sz="0" w:space="0" w:color="auto"/>
      </w:divBdr>
    </w:div>
    <w:div w:id="1295913266">
      <w:bodyDiv w:val="1"/>
      <w:marLeft w:val="0"/>
      <w:marRight w:val="0"/>
      <w:marTop w:val="0"/>
      <w:marBottom w:val="0"/>
      <w:divBdr>
        <w:top w:val="none" w:sz="0" w:space="0" w:color="auto"/>
        <w:left w:val="none" w:sz="0" w:space="0" w:color="auto"/>
        <w:bottom w:val="none" w:sz="0" w:space="0" w:color="auto"/>
        <w:right w:val="none" w:sz="0" w:space="0" w:color="auto"/>
      </w:divBdr>
    </w:div>
    <w:div w:id="1323662984">
      <w:bodyDiv w:val="1"/>
      <w:marLeft w:val="0"/>
      <w:marRight w:val="0"/>
      <w:marTop w:val="0"/>
      <w:marBottom w:val="0"/>
      <w:divBdr>
        <w:top w:val="none" w:sz="0" w:space="0" w:color="auto"/>
        <w:left w:val="none" w:sz="0" w:space="0" w:color="auto"/>
        <w:bottom w:val="none" w:sz="0" w:space="0" w:color="auto"/>
        <w:right w:val="none" w:sz="0" w:space="0" w:color="auto"/>
      </w:divBdr>
    </w:div>
    <w:div w:id="1454786780">
      <w:bodyDiv w:val="1"/>
      <w:marLeft w:val="0"/>
      <w:marRight w:val="0"/>
      <w:marTop w:val="0"/>
      <w:marBottom w:val="0"/>
      <w:divBdr>
        <w:top w:val="none" w:sz="0" w:space="0" w:color="auto"/>
        <w:left w:val="none" w:sz="0" w:space="0" w:color="auto"/>
        <w:bottom w:val="none" w:sz="0" w:space="0" w:color="auto"/>
        <w:right w:val="none" w:sz="0" w:space="0" w:color="auto"/>
      </w:divBdr>
    </w:div>
    <w:div w:id="1459446347">
      <w:bodyDiv w:val="1"/>
      <w:marLeft w:val="0"/>
      <w:marRight w:val="0"/>
      <w:marTop w:val="0"/>
      <w:marBottom w:val="0"/>
      <w:divBdr>
        <w:top w:val="none" w:sz="0" w:space="0" w:color="auto"/>
        <w:left w:val="none" w:sz="0" w:space="0" w:color="auto"/>
        <w:bottom w:val="none" w:sz="0" w:space="0" w:color="auto"/>
        <w:right w:val="none" w:sz="0" w:space="0" w:color="auto"/>
      </w:divBdr>
    </w:div>
    <w:div w:id="1461806314">
      <w:bodyDiv w:val="1"/>
      <w:marLeft w:val="0"/>
      <w:marRight w:val="0"/>
      <w:marTop w:val="0"/>
      <w:marBottom w:val="0"/>
      <w:divBdr>
        <w:top w:val="none" w:sz="0" w:space="0" w:color="auto"/>
        <w:left w:val="none" w:sz="0" w:space="0" w:color="auto"/>
        <w:bottom w:val="none" w:sz="0" w:space="0" w:color="auto"/>
        <w:right w:val="none" w:sz="0" w:space="0" w:color="auto"/>
      </w:divBdr>
    </w:div>
    <w:div w:id="1467509822">
      <w:bodyDiv w:val="1"/>
      <w:marLeft w:val="0"/>
      <w:marRight w:val="0"/>
      <w:marTop w:val="0"/>
      <w:marBottom w:val="0"/>
      <w:divBdr>
        <w:top w:val="none" w:sz="0" w:space="0" w:color="auto"/>
        <w:left w:val="none" w:sz="0" w:space="0" w:color="auto"/>
        <w:bottom w:val="none" w:sz="0" w:space="0" w:color="auto"/>
        <w:right w:val="none" w:sz="0" w:space="0" w:color="auto"/>
      </w:divBdr>
    </w:div>
    <w:div w:id="1471827372">
      <w:bodyDiv w:val="1"/>
      <w:marLeft w:val="0"/>
      <w:marRight w:val="0"/>
      <w:marTop w:val="0"/>
      <w:marBottom w:val="0"/>
      <w:divBdr>
        <w:top w:val="none" w:sz="0" w:space="0" w:color="auto"/>
        <w:left w:val="none" w:sz="0" w:space="0" w:color="auto"/>
        <w:bottom w:val="none" w:sz="0" w:space="0" w:color="auto"/>
        <w:right w:val="none" w:sz="0" w:space="0" w:color="auto"/>
      </w:divBdr>
    </w:div>
    <w:div w:id="1526365904">
      <w:bodyDiv w:val="1"/>
      <w:marLeft w:val="0"/>
      <w:marRight w:val="0"/>
      <w:marTop w:val="0"/>
      <w:marBottom w:val="0"/>
      <w:divBdr>
        <w:top w:val="none" w:sz="0" w:space="0" w:color="auto"/>
        <w:left w:val="none" w:sz="0" w:space="0" w:color="auto"/>
        <w:bottom w:val="none" w:sz="0" w:space="0" w:color="auto"/>
        <w:right w:val="none" w:sz="0" w:space="0" w:color="auto"/>
      </w:divBdr>
    </w:div>
    <w:div w:id="1555656971">
      <w:bodyDiv w:val="1"/>
      <w:marLeft w:val="0"/>
      <w:marRight w:val="0"/>
      <w:marTop w:val="0"/>
      <w:marBottom w:val="0"/>
      <w:divBdr>
        <w:top w:val="none" w:sz="0" w:space="0" w:color="auto"/>
        <w:left w:val="none" w:sz="0" w:space="0" w:color="auto"/>
        <w:bottom w:val="none" w:sz="0" w:space="0" w:color="auto"/>
        <w:right w:val="none" w:sz="0" w:space="0" w:color="auto"/>
      </w:divBdr>
    </w:div>
    <w:div w:id="1557736973">
      <w:bodyDiv w:val="1"/>
      <w:marLeft w:val="0"/>
      <w:marRight w:val="0"/>
      <w:marTop w:val="0"/>
      <w:marBottom w:val="0"/>
      <w:divBdr>
        <w:top w:val="none" w:sz="0" w:space="0" w:color="auto"/>
        <w:left w:val="none" w:sz="0" w:space="0" w:color="auto"/>
        <w:bottom w:val="none" w:sz="0" w:space="0" w:color="auto"/>
        <w:right w:val="none" w:sz="0" w:space="0" w:color="auto"/>
      </w:divBdr>
    </w:div>
    <w:div w:id="1623344562">
      <w:bodyDiv w:val="1"/>
      <w:marLeft w:val="0"/>
      <w:marRight w:val="0"/>
      <w:marTop w:val="0"/>
      <w:marBottom w:val="0"/>
      <w:divBdr>
        <w:top w:val="none" w:sz="0" w:space="0" w:color="auto"/>
        <w:left w:val="none" w:sz="0" w:space="0" w:color="auto"/>
        <w:bottom w:val="none" w:sz="0" w:space="0" w:color="auto"/>
        <w:right w:val="none" w:sz="0" w:space="0" w:color="auto"/>
      </w:divBdr>
    </w:div>
    <w:div w:id="1670861107">
      <w:bodyDiv w:val="1"/>
      <w:marLeft w:val="0"/>
      <w:marRight w:val="0"/>
      <w:marTop w:val="0"/>
      <w:marBottom w:val="0"/>
      <w:divBdr>
        <w:top w:val="none" w:sz="0" w:space="0" w:color="auto"/>
        <w:left w:val="none" w:sz="0" w:space="0" w:color="auto"/>
        <w:bottom w:val="none" w:sz="0" w:space="0" w:color="auto"/>
        <w:right w:val="none" w:sz="0" w:space="0" w:color="auto"/>
      </w:divBdr>
    </w:div>
    <w:div w:id="1700005763">
      <w:bodyDiv w:val="1"/>
      <w:marLeft w:val="0"/>
      <w:marRight w:val="0"/>
      <w:marTop w:val="0"/>
      <w:marBottom w:val="0"/>
      <w:divBdr>
        <w:top w:val="none" w:sz="0" w:space="0" w:color="auto"/>
        <w:left w:val="none" w:sz="0" w:space="0" w:color="auto"/>
        <w:bottom w:val="none" w:sz="0" w:space="0" w:color="auto"/>
        <w:right w:val="none" w:sz="0" w:space="0" w:color="auto"/>
      </w:divBdr>
    </w:div>
    <w:div w:id="1711884028">
      <w:bodyDiv w:val="1"/>
      <w:marLeft w:val="0"/>
      <w:marRight w:val="0"/>
      <w:marTop w:val="0"/>
      <w:marBottom w:val="0"/>
      <w:divBdr>
        <w:top w:val="none" w:sz="0" w:space="0" w:color="auto"/>
        <w:left w:val="none" w:sz="0" w:space="0" w:color="auto"/>
        <w:bottom w:val="none" w:sz="0" w:space="0" w:color="auto"/>
        <w:right w:val="none" w:sz="0" w:space="0" w:color="auto"/>
      </w:divBdr>
    </w:div>
    <w:div w:id="1713463297">
      <w:bodyDiv w:val="1"/>
      <w:marLeft w:val="0"/>
      <w:marRight w:val="0"/>
      <w:marTop w:val="0"/>
      <w:marBottom w:val="0"/>
      <w:divBdr>
        <w:top w:val="none" w:sz="0" w:space="0" w:color="auto"/>
        <w:left w:val="none" w:sz="0" w:space="0" w:color="auto"/>
        <w:bottom w:val="none" w:sz="0" w:space="0" w:color="auto"/>
        <w:right w:val="none" w:sz="0" w:space="0" w:color="auto"/>
      </w:divBdr>
    </w:div>
    <w:div w:id="1721901939">
      <w:bodyDiv w:val="1"/>
      <w:marLeft w:val="0"/>
      <w:marRight w:val="0"/>
      <w:marTop w:val="0"/>
      <w:marBottom w:val="0"/>
      <w:divBdr>
        <w:top w:val="none" w:sz="0" w:space="0" w:color="auto"/>
        <w:left w:val="none" w:sz="0" w:space="0" w:color="auto"/>
        <w:bottom w:val="none" w:sz="0" w:space="0" w:color="auto"/>
        <w:right w:val="none" w:sz="0" w:space="0" w:color="auto"/>
      </w:divBdr>
    </w:div>
    <w:div w:id="1745179626">
      <w:bodyDiv w:val="1"/>
      <w:marLeft w:val="0"/>
      <w:marRight w:val="0"/>
      <w:marTop w:val="0"/>
      <w:marBottom w:val="0"/>
      <w:divBdr>
        <w:top w:val="none" w:sz="0" w:space="0" w:color="auto"/>
        <w:left w:val="none" w:sz="0" w:space="0" w:color="auto"/>
        <w:bottom w:val="none" w:sz="0" w:space="0" w:color="auto"/>
        <w:right w:val="none" w:sz="0" w:space="0" w:color="auto"/>
      </w:divBdr>
    </w:div>
    <w:div w:id="1810319997">
      <w:bodyDiv w:val="1"/>
      <w:marLeft w:val="0"/>
      <w:marRight w:val="0"/>
      <w:marTop w:val="0"/>
      <w:marBottom w:val="0"/>
      <w:divBdr>
        <w:top w:val="none" w:sz="0" w:space="0" w:color="auto"/>
        <w:left w:val="none" w:sz="0" w:space="0" w:color="auto"/>
        <w:bottom w:val="none" w:sz="0" w:space="0" w:color="auto"/>
        <w:right w:val="none" w:sz="0" w:space="0" w:color="auto"/>
      </w:divBdr>
    </w:div>
    <w:div w:id="1818262686">
      <w:bodyDiv w:val="1"/>
      <w:marLeft w:val="0"/>
      <w:marRight w:val="0"/>
      <w:marTop w:val="0"/>
      <w:marBottom w:val="0"/>
      <w:divBdr>
        <w:top w:val="none" w:sz="0" w:space="0" w:color="auto"/>
        <w:left w:val="none" w:sz="0" w:space="0" w:color="auto"/>
        <w:bottom w:val="none" w:sz="0" w:space="0" w:color="auto"/>
        <w:right w:val="none" w:sz="0" w:space="0" w:color="auto"/>
      </w:divBdr>
    </w:div>
    <w:div w:id="1831365464">
      <w:bodyDiv w:val="1"/>
      <w:marLeft w:val="0"/>
      <w:marRight w:val="0"/>
      <w:marTop w:val="0"/>
      <w:marBottom w:val="0"/>
      <w:divBdr>
        <w:top w:val="none" w:sz="0" w:space="0" w:color="auto"/>
        <w:left w:val="none" w:sz="0" w:space="0" w:color="auto"/>
        <w:bottom w:val="none" w:sz="0" w:space="0" w:color="auto"/>
        <w:right w:val="none" w:sz="0" w:space="0" w:color="auto"/>
      </w:divBdr>
    </w:div>
    <w:div w:id="1832677038">
      <w:bodyDiv w:val="1"/>
      <w:marLeft w:val="0"/>
      <w:marRight w:val="0"/>
      <w:marTop w:val="0"/>
      <w:marBottom w:val="0"/>
      <w:divBdr>
        <w:top w:val="none" w:sz="0" w:space="0" w:color="auto"/>
        <w:left w:val="none" w:sz="0" w:space="0" w:color="auto"/>
        <w:bottom w:val="none" w:sz="0" w:space="0" w:color="auto"/>
        <w:right w:val="none" w:sz="0" w:space="0" w:color="auto"/>
      </w:divBdr>
    </w:div>
    <w:div w:id="1836259790">
      <w:bodyDiv w:val="1"/>
      <w:marLeft w:val="0"/>
      <w:marRight w:val="0"/>
      <w:marTop w:val="0"/>
      <w:marBottom w:val="0"/>
      <w:divBdr>
        <w:top w:val="none" w:sz="0" w:space="0" w:color="auto"/>
        <w:left w:val="none" w:sz="0" w:space="0" w:color="auto"/>
        <w:bottom w:val="none" w:sz="0" w:space="0" w:color="auto"/>
        <w:right w:val="none" w:sz="0" w:space="0" w:color="auto"/>
      </w:divBdr>
    </w:div>
    <w:div w:id="1869486299">
      <w:bodyDiv w:val="1"/>
      <w:marLeft w:val="0"/>
      <w:marRight w:val="0"/>
      <w:marTop w:val="0"/>
      <w:marBottom w:val="0"/>
      <w:divBdr>
        <w:top w:val="none" w:sz="0" w:space="0" w:color="auto"/>
        <w:left w:val="none" w:sz="0" w:space="0" w:color="auto"/>
        <w:bottom w:val="none" w:sz="0" w:space="0" w:color="auto"/>
        <w:right w:val="none" w:sz="0" w:space="0" w:color="auto"/>
      </w:divBdr>
    </w:div>
    <w:div w:id="1892688535">
      <w:bodyDiv w:val="1"/>
      <w:marLeft w:val="0"/>
      <w:marRight w:val="0"/>
      <w:marTop w:val="0"/>
      <w:marBottom w:val="0"/>
      <w:divBdr>
        <w:top w:val="none" w:sz="0" w:space="0" w:color="auto"/>
        <w:left w:val="none" w:sz="0" w:space="0" w:color="auto"/>
        <w:bottom w:val="none" w:sz="0" w:space="0" w:color="auto"/>
        <w:right w:val="none" w:sz="0" w:space="0" w:color="auto"/>
      </w:divBdr>
    </w:div>
    <w:div w:id="1932854757">
      <w:bodyDiv w:val="1"/>
      <w:marLeft w:val="0"/>
      <w:marRight w:val="0"/>
      <w:marTop w:val="0"/>
      <w:marBottom w:val="0"/>
      <w:divBdr>
        <w:top w:val="none" w:sz="0" w:space="0" w:color="auto"/>
        <w:left w:val="none" w:sz="0" w:space="0" w:color="auto"/>
        <w:bottom w:val="none" w:sz="0" w:space="0" w:color="auto"/>
        <w:right w:val="none" w:sz="0" w:space="0" w:color="auto"/>
      </w:divBdr>
    </w:div>
    <w:div w:id="1958565139">
      <w:bodyDiv w:val="1"/>
      <w:marLeft w:val="0"/>
      <w:marRight w:val="0"/>
      <w:marTop w:val="0"/>
      <w:marBottom w:val="0"/>
      <w:divBdr>
        <w:top w:val="none" w:sz="0" w:space="0" w:color="auto"/>
        <w:left w:val="none" w:sz="0" w:space="0" w:color="auto"/>
        <w:bottom w:val="none" w:sz="0" w:space="0" w:color="auto"/>
        <w:right w:val="none" w:sz="0" w:space="0" w:color="auto"/>
      </w:divBdr>
    </w:div>
    <w:div w:id="1979918813">
      <w:bodyDiv w:val="1"/>
      <w:marLeft w:val="0"/>
      <w:marRight w:val="0"/>
      <w:marTop w:val="0"/>
      <w:marBottom w:val="0"/>
      <w:divBdr>
        <w:top w:val="none" w:sz="0" w:space="0" w:color="auto"/>
        <w:left w:val="none" w:sz="0" w:space="0" w:color="auto"/>
        <w:bottom w:val="none" w:sz="0" w:space="0" w:color="auto"/>
        <w:right w:val="none" w:sz="0" w:space="0" w:color="auto"/>
      </w:divBdr>
    </w:div>
    <w:div w:id="1994335611">
      <w:bodyDiv w:val="1"/>
      <w:marLeft w:val="0"/>
      <w:marRight w:val="0"/>
      <w:marTop w:val="0"/>
      <w:marBottom w:val="0"/>
      <w:divBdr>
        <w:top w:val="none" w:sz="0" w:space="0" w:color="auto"/>
        <w:left w:val="none" w:sz="0" w:space="0" w:color="auto"/>
        <w:bottom w:val="none" w:sz="0" w:space="0" w:color="auto"/>
        <w:right w:val="none" w:sz="0" w:space="0" w:color="auto"/>
      </w:divBdr>
    </w:div>
    <w:div w:id="2019967284">
      <w:bodyDiv w:val="1"/>
      <w:marLeft w:val="0"/>
      <w:marRight w:val="0"/>
      <w:marTop w:val="0"/>
      <w:marBottom w:val="0"/>
      <w:divBdr>
        <w:top w:val="none" w:sz="0" w:space="0" w:color="auto"/>
        <w:left w:val="none" w:sz="0" w:space="0" w:color="auto"/>
        <w:bottom w:val="none" w:sz="0" w:space="0" w:color="auto"/>
        <w:right w:val="none" w:sz="0" w:space="0" w:color="auto"/>
      </w:divBdr>
    </w:div>
    <w:div w:id="2054765037">
      <w:bodyDiv w:val="1"/>
      <w:marLeft w:val="0"/>
      <w:marRight w:val="0"/>
      <w:marTop w:val="0"/>
      <w:marBottom w:val="0"/>
      <w:divBdr>
        <w:top w:val="none" w:sz="0" w:space="0" w:color="auto"/>
        <w:left w:val="none" w:sz="0" w:space="0" w:color="auto"/>
        <w:bottom w:val="none" w:sz="0" w:space="0" w:color="auto"/>
        <w:right w:val="none" w:sz="0" w:space="0" w:color="auto"/>
      </w:divBdr>
    </w:div>
    <w:div w:id="209462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e.es/boe/dias/1998/07/25/pdfs/A25152-25163.pdf"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boe.es/boe/dias/2012/08/04/pdfs/BOE-A-2012-10473.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yperlink" Target="http://www.boe.es/boe/dias/2012/04/24/pdfs/BOE-A-2012-5403.pdf" TargetMode="Externa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Rotterdam, 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CHICAGO.XSL" StyleName="Chicago Fifteenth Edition">
  <b:Source>
    <b:Tag>Gar10</b:Tag>
    <b:SourceType>Report</b:SourceType>
    <b:Guid>{FA9A3041-02AB-4EFF-BA83-801F1F0E0CFF}</b:Guid>
    <b:Author>
      <b:Author>
        <b:NameList>
          <b:Person>
            <b:Last>García-Armesto</b:Last>
            <b:First>Sandra</b:First>
          </b:Person>
          <b:Person>
            <b:Last>Abadía-Taira</b:Last>
            <b:First>María</b:First>
            <b:Middle>Begoña</b:Middle>
          </b:Person>
          <b:Person>
            <b:Last>Durán</b:Last>
            <b:First>Antonio</b:First>
          </b:Person>
          <b:Person>
            <b:Last>Hernández-Quevedo</b:Last>
            <b:First>Cristina</b:First>
          </b:Person>
          <b:Person>
            <b:Last>Bernal-Delgado</b:Last>
            <b:First>Enrique</b:First>
          </b:Person>
        </b:NameList>
      </b:Author>
    </b:Author>
    <b:Title>Spain: Health system review. Health systems in transition</b:Title>
    <b:Year>2010</b:Year>
    <b:Institution>European Observatories on Health Systems and Policies</b:Institution>
    <b:Pages>1-295</b:Pages>
    <b:StandardNumber>12(4)</b:StandardNumber>
    <b:RefOrder>2</b:RefOrder>
  </b:Source>
  <b:Source>
    <b:Tag>Ins12</b:Tag>
    <b:SourceType>InternetSite</b:SourceType>
    <b:Guid>{20D9661C-9E08-4619-8262-8D9B8712D8C5}</b:Guid>
    <b:Author>
      <b:Author>
        <b:NameList>
          <b:Person>
            <b:Last>Instituto Nacional de Estadística</b:Last>
            <b:First>INE</b:First>
          </b:Person>
        </b:NameList>
      </b:Author>
    </b:Author>
    <b:Title>http://www.ine.es/</b:Title>
    <b:Year>2012</b:Year>
    <b:RefOrder>3</b:RefOrder>
  </b:Source>
  <b:Source>
    <b:Tag>Gam99</b:Tag>
    <b:SourceType>JournalArticle</b:SourceType>
    <b:Guid>{69FB4C0F-FF92-4145-9C56-51B8AEA5B0DD}</b:Guid>
    <b:Author>
      <b:Author>
        <b:NameList>
          <b:Person>
            <b:Last>Gaminde</b:Last>
            <b:First>Idoia</b:First>
          </b:Person>
        </b:NameList>
      </b:Author>
    </b:Author>
    <b:Title>Priorities in healthcare: a perspective from</b:Title>
    <b:Year>1999</b:Year>
    <b:JournalName>Health Policy</b:JournalName>
    <b:Pages>55-70</b:Pages>
    <b:Publisher>Elsevier Science</b:Publisher>
    <b:Issue>50</b:Issue>
    <b:RefOrder>4</b:RefOrder>
  </b:Source>
  <b:Source>
    <b:Tag>Pea09</b:Tag>
    <b:SourceType>JournalArticle</b:SourceType>
    <b:Guid>{AB684458-32BC-4BEB-A999-F91AD0BFD690}</b:Guid>
    <b:Author>
      <b:Author>
        <b:NameList>
          <b:Person>
            <b:Last>Peacock</b:Last>
            <b:First>Stuart</b:First>
          </b:Person>
          <b:Person>
            <b:Last>Mitton</b:Last>
            <b:First>Craig</b:First>
          </b:Person>
          <b:Person>
            <b:Last>Bate</b:Last>
            <b:First>Angela</b:First>
          </b:Person>
          <b:Person>
            <b:Last>McCoy</b:Last>
            <b:First>Bonnie</b:First>
          </b:Person>
          <b:Person>
            <b:Last>Donaldson</b:Last>
            <b:First>Cam</b:First>
          </b:Person>
        </b:NameList>
      </b:Author>
    </b:Author>
    <b:Title>Overcoming barriers to priority setting using interdisciplinarymethods</b:Title>
    <b:JournalName>Health Policy</b:JournalName>
    <b:Year>2009</b:Year>
    <b:Pages>124-132</b:Pages>
    <b:Publisher>Elsevier</b:Publisher>
    <b:Issue>92</b:Issue>
    <b:RefOrder>6</b:RefOrder>
  </b:Source>
  <b:Source>
    <b:Tag>Bal06</b:Tag>
    <b:SourceType>JournalArticle</b:SourceType>
    <b:Guid>{5F02E7FA-9D4C-422A-AF65-072F4000CC87}</b:Guid>
    <b:Author>
      <b:Author>
        <b:NameList>
          <b:Person>
            <b:Last>Baltussen</b:Last>
            <b:First>Rob</b:First>
          </b:Person>
          <b:Person>
            <b:Last>Niessen</b:Last>
            <b:First>Louis</b:First>
          </b:Person>
        </b:NameList>
      </b:Author>
    </b:Author>
    <b:Title>Priority setting of health interventions: the need for multi-criteria decision analysis</b:Title>
    <b:JournalName>Cost effectiveness and Resource Allocation</b:JournalName>
    <b:Year>2006</b:Year>
    <b:Volume>4</b:Volume>
    <b:Issue>14</b:Issue>
    <b:RefOrder>74</b:RefOrder>
  </b:Source>
  <b:Source>
    <b:Tag>Mir12</b:Tag>
    <b:SourceType>JournalArticle</b:SourceType>
    <b:Guid>{B86F1FED-94DF-4490-8547-A7F32F9A81E0}</b:Guid>
    <b:Author>
      <b:Author>
        <b:NameList>
          <b:Person>
            <b:Last>Mirelman</b:Last>
            <b:First>Andrew</b:First>
          </b:Person>
          <b:Person>
            <b:Last>Mentzakis</b:Last>
            <b:First>Emmanouil</b:First>
          </b:Person>
          <b:Person>
            <b:Last>Kinter</b:Last>
            <b:First>Elizabeth</b:First>
          </b:Person>
          <b:Person>
            <b:Last>Paolucci</b:Last>
            <b:First>Francesco</b:First>
          </b:Person>
          <b:Person>
            <b:Last>Fordham</b:Last>
            <b:First>Richard</b:First>
          </b:Person>
          <b:Person>
            <b:Last>Sachiko</b:Last>
            <b:First>Ozawa</b:First>
          </b:Person>
          <b:Person>
            <b:Last>Ferraz</b:Last>
            <b:First>Marcos</b:First>
          </b:Person>
          <b:Person>
            <b:Last>Baltussen</b:Last>
            <b:First>Rob</b:First>
          </b:Person>
          <b:Person>
            <b:Last>Niessen</b:Last>
            <b:First>Louis</b:First>
            <b:Middle>W.</b:Middle>
          </b:Person>
          <b:Person>
            <b:Last>PH</b:Last>
            <b:First>Reg</b:First>
          </b:Person>
        </b:NameList>
      </b:Author>
    </b:Author>
    <b:Title>Decision-making criteria among National Policymakers in Five Countries: A discrete choice experiment Eliciting Relative Preferences for Equity and Efficiency</b:Title>
    <b:JournalName>Value in Health</b:JournalName>
    <b:Year>2012</b:Year>
    <b:Pages>534-539</b:Pages>
    <b:Volume>15</b:Volume>
    <b:Issue>3</b:Issue>
    <b:RefOrder>7</b:RefOrder>
  </b:Source>
  <b:Source>
    <b:Tag>Col11</b:Tag>
    <b:SourceType>JournalArticle</b:SourceType>
    <b:Guid>{9E90D168-CA89-4422-B97F-07BB0715A6F8}</b:Guid>
    <b:Author>
      <b:Author>
        <b:NameList>
          <b:Person>
            <b:Last>Collins</b:Last>
            <b:First>Pamela</b:First>
            <b:Middle>Y.</b:Middle>
          </b:Person>
          <b:Person>
            <b:Last>Patel</b:Last>
            <b:First>Vikram</b:First>
          </b:Person>
          <b:Person>
            <b:Last>Joestl</b:Last>
            <b:First>Sarah</b:First>
            <b:Middle>S.</b:Middle>
          </b:Person>
          <b:Person>
            <b:Last>March</b:Last>
            <b:First>Dana</b:First>
          </b:Person>
          <b:Person>
            <b:Last>Insel</b:Last>
            <b:First>Thomas</b:First>
            <b:Middle>R.</b:Middle>
          </b:Person>
          <b:Person>
            <b:Last>Daar</b:Last>
            <b:First>Abdallah</b:First>
            <b:Middle>S.</b:Middle>
          </b:Person>
        </b:NameList>
      </b:Author>
    </b:Author>
    <b:Title>Grand challenges in global mental health</b:Title>
    <b:Year>2011</b:Year>
    <b:JournalName>Nature</b:JournalName>
    <b:Pages>27-30</b:Pages>
    <b:Volume>475</b:Volume>
    <b:Issue>7354</b:Issue>
    <b:RefOrder>8</b:RefOrder>
  </b:Source>
  <b:Source>
    <b:Tag>WHO03</b:Tag>
    <b:SourceType>Report</b:SourceType>
    <b:Guid>{83D9DA25-A454-43E1-B7FC-78EC3FB67F86}</b:Guid>
    <b:Author>
      <b:Author>
        <b:NameList>
          <b:Person>
            <b:Last>WHO</b:Last>
          </b:Person>
        </b:NameList>
      </b:Author>
    </b:Author>
    <b:Title>Investing in Mental Health</b:Title>
    <b:Year>2003</b:Year>
    <b:Publisher>World Health Organization</b:Publisher>
    <b:City>Geneva</b:City>
    <b:RefOrder>10</b:RefOrder>
  </b:Source>
  <b:Source>
    <b:Tag>WHO081</b:Tag>
    <b:SourceType>Report</b:SourceType>
    <b:Guid>{B7CA5F16-3D40-44CD-9941-C196D8643E25}</b:Guid>
    <b:Author>
      <b:Author>
        <b:NameList>
          <b:Person>
            <b:Last>WHO</b:Last>
          </b:Person>
        </b:NameList>
      </b:Author>
    </b:Author>
    <b:Title>2008-2013 Action Plan for the Global Strategy for Prevention and Control of Noncommunicable Diseases.</b:Title>
    <b:Year>2008</b:Year>
    <b:Publisher>World Health Organization</b:Publisher>
    <b:City>Geneva</b:City>
    <b:RefOrder>75</b:RefOrder>
  </b:Source>
  <b:Source>
    <b:Tag>WHO011</b:Tag>
    <b:SourceType>Report</b:SourceType>
    <b:Guid>{D9459B3B-595D-4C4E-895E-7585EFA2D3B4}</b:Guid>
    <b:Author>
      <b:Author>
        <b:NameList>
          <b:Person>
            <b:Last>WHO</b:Last>
          </b:Person>
        </b:NameList>
      </b:Author>
    </b:Author>
    <b:Title>World Health Report: Mental Health-New understanding, new hope.</b:Title>
    <b:Year>2001</b:Year>
    <b:Publisher>World Health Organization</b:Publisher>
    <b:City>Geneva</b:City>
    <b:RefOrder>76</b:RefOrder>
  </b:Source>
  <b:Source>
    <b:Tag>Wit11</b:Tag>
    <b:SourceType>JournalArticle</b:SourceType>
    <b:Guid>{1A9048BA-D668-4D01-A834-BC703011D647}</b:Guid>
    <b:Author>
      <b:Author>
        <b:NameList>
          <b:Person>
            <b:Last>Wittchen</b:Last>
            <b:First>H.</b:First>
            <b:Middle>U.</b:Middle>
          </b:Person>
          <b:Person>
            <b:Last>Jacobi</b:Last>
            <b:First>F.</b:First>
          </b:Person>
          <b:Person>
            <b:Last>Rehm</b:Last>
            <b:First>J.</b:First>
          </b:Person>
          <b:Person>
            <b:Last>Gustavsson</b:Last>
            <b:First>A.</b:First>
          </b:Person>
          <b:Person>
            <b:Last>Svensson</b:Last>
            <b:First>M.</b:First>
          </b:Person>
          <b:Person>
            <b:Last>Jönsson</b:Last>
            <b:First>B.</b:First>
          </b:Person>
          <b:Person>
            <b:Last>Olesen</b:Last>
            <b:First>J.</b:First>
          </b:Person>
          <b:Person>
            <b:Last>Allgulander</b:Last>
            <b:First>C.</b:First>
          </b:Person>
          <b:Person>
            <b:Last>Alonso</b:Last>
            <b:First>J.</b:First>
          </b:Person>
          <b:Person>
            <b:Last>Faravelli</b:Last>
            <b:First>C.</b:First>
          </b:Person>
          <b:Person>
            <b:Last>Fratiglioni</b:Last>
            <b:First>L.</b:First>
          </b:Person>
          <b:Person>
            <b:Last>Jennum</b:Last>
            <b:First>P.</b:First>
          </b:Person>
          <b:Person>
            <b:Last>Lieb</b:Last>
            <b:First>R.</b:First>
          </b:Person>
          <b:Person>
            <b:Last>Maercker</b:Last>
            <b:First>A.</b:First>
          </b:Person>
          <b:Person>
            <b:Last>van Os</b:Last>
            <b:First>J.</b:First>
          </b:Person>
          <b:Person>
            <b:Last>Preisig</b:Last>
            <b:First>M.</b:First>
          </b:Person>
          <b:Person>
            <b:Last>Salvador-Carulla</b:Last>
            <b:First>L.</b:First>
          </b:Person>
          <b:Person>
            <b:Last>Simon</b:Last>
            <b:First>R.</b:First>
          </b:Person>
          <b:Person>
            <b:Last>Steinhausen</b:Last>
            <b:First>H.</b:First>
            <b:Middle>-C.</b:Middle>
          </b:Person>
        </b:NameList>
      </b:Author>
    </b:Author>
    <b:Title>The size and burden of mental disorders and other disorders of the brain in Europe 2010</b:Title>
    <b:Year>2011</b:Year>
    <b:JournalName>European Neuropsychopharmacology</b:JournalName>
    <b:Pages>655-679</b:Pages>
    <b:Volume>21</b:Volume>
    <b:Issue>9</b:Issue>
    <b:RefOrder>9</b:RefOrder>
  </b:Source>
  <b:Source>
    <b:Tag>Ole12</b:Tag>
    <b:SourceType>JournalArticle</b:SourceType>
    <b:Guid>{3E75C854-BE26-45F3-899A-2D75D2E01C37}</b:Guid>
    <b:Author>
      <b:Author>
        <b:NameList>
          <b:Person>
            <b:Last>Olesen</b:Last>
            <b:First>J.</b:First>
          </b:Person>
          <b:Person>
            <b:Last>Gustavsson</b:Last>
            <b:First>A.</b:First>
          </b:Person>
          <b:Person>
            <b:Last>Svensson</b:Last>
            <b:First>M.</b:First>
          </b:Person>
          <b:Person>
            <b:Last>Wittchen</b:Last>
            <b:First>H.</b:First>
            <b:Middle>U.</b:Middle>
          </b:Person>
          <b:Person>
            <b:Last>Jönsson</b:Last>
            <b:First>B.</b:First>
          </b:Person>
          <b:Person>
            <b:Last>CDBE2010</b:Last>
            <b:First>Study</b:First>
            <b:Middle>group</b:Middle>
          </b:Person>
          <b:Person>
            <b:Last>Council</b:Last>
            <b:First>European</b:First>
            <b:Middle>Brain</b:Middle>
          </b:Person>
        </b:NameList>
      </b:Author>
    </b:Author>
    <b:Title>The economic cost of brain disorders in Europe.</b:Title>
    <b:JournalName>European Journal of Neurology</b:JournalName>
    <b:Year>2012</b:Year>
    <b:Pages>155-62</b:Pages>
    <b:Volume>19</b:Volume>
    <b:Issue>1</b:Issue>
    <b:RefOrder>11</b:RefOrder>
  </b:Source>
  <b:Source>
    <b:Tag>Jan06</b:Tag>
    <b:SourceType>Report</b:SourceType>
    <b:Guid>{72F5F378-C946-43B8-8164-0C9A0B35C3FE}</b:Guid>
    <b:Author>
      <b:Author>
        <b:NameList>
          <b:Person>
            <b:Last>Jané-Llopis</b:Last>
            <b:First>E.</b:First>
          </b:Person>
          <b:Person>
            <b:Last>Anderson</b:Last>
            <b:First>P.</b:First>
          </b:Person>
        </b:NameList>
      </b:Author>
    </b:Author>
    <b:Title>Mental health promotion and mental disorder prevention across European Member States: a collection of country stories.</b:Title>
    <b:Year>2006</b:Year>
    <b:Publisher>European Communities</b:Publisher>
    <b:City>Luxemburg</b:City>
    <b:RefOrder>12</b:RefOrder>
  </b:Source>
  <b:Source>
    <b:Tag>Com05</b:Tag>
    <b:SourceType>Report</b:SourceType>
    <b:Guid>{6B1E75F4-99E6-4AB0-9D0D-82205211E551}</b:Guid>
    <b:Author>
      <b:Author>
        <b:NameList>
          <b:Person>
            <b:Last>Commission</b:Last>
            <b:First>European</b:First>
          </b:Person>
        </b:NameList>
      </b:Author>
    </b:Author>
    <b:Title>Green Paper. Improving the mental health of the population: Towards a strategy on mental health for the European Union</b:Title>
    <b:Year>2005</b:Year>
    <b:Publisher>Health &amp; Consumer Protection Directorate-General</b:Publisher>
    <b:City>Brussels</b:City>
    <b:RefOrder>77</b:RefOrder>
  </b:Source>
  <b:Source xmlns:b="http://schemas.openxmlformats.org/officeDocument/2006/bibliography">
    <b:Tag>ISS13</b:Tag>
    <b:SourceType>InternetSite</b:SourceType>
    <b:Guid>{07730473-6FD2-42A7-BF96-32FEAA2F08E4}</b:Guid>
    <b:Author>
      <b:Author>
        <b:NameList>
          <b:Person>
            <b:Last>ISSA</b:Last>
          </b:Person>
        </b:NameList>
      </b:Author>
    </b:Author>
    <b:Title>Reform of the Spanish National Health System</b:Title>
    <b:Year>2013</b:Year>
    <b:Month>June</b:Month>
    <b:Day>23</b:Day>
    <b:URL>http://www.issa.int/News-Events/News2/Reform-of-the-Spanish-National-Health-System</b:URL>
    <b:RefOrder>78</b:RefOrder>
  </b:Source>
  <b:Source>
    <b:Tag>Mar09</b:Tag>
    <b:SourceType>JournalArticle</b:SourceType>
    <b:Guid>{2793F9F8-EE90-4649-8333-FB9FBFE935E2}</b:Guid>
    <b:Author>
      <b:Author>
        <b:NameList>
          <b:Person>
            <b:Last>Martin-Moreno</b:Last>
            <b:First>Jose</b:First>
            <b:Middle>M.</b:Middle>
          </b:Person>
          <b:Person>
            <b:Last>Collegues</b:Last>
          </b:Person>
        </b:NameList>
      </b:Author>
    </b:Author>
    <b:Title>Spain: A decentralized system in constant flux</b:Title>
    <b:Year>2009</b:Year>
    <b:Volume>338</b:Volume>
    <b:JournalName>British Medical Journal</b:JournalName>
    <b:RefOrder>13</b:RefOrder>
  </b:Source>
  <b:Source>
    <b:Tag>FBB11</b:Tag>
    <b:SourceType>InternetSite</b:SourceType>
    <b:Guid>{AF607B91-CE4D-457A-BCEA-6327FE9C2139}</b:Guid>
    <b:Author>
      <b:Author>
        <b:NameList>
          <b:Person>
            <b:Last>FBBVA</b:Last>
          </b:Person>
        </b:NameList>
      </b:Author>
    </b:Author>
    <b:Title>Fundación BBVA Bases de datos</b:Title>
    <b:Year>2011</b:Year>
    <b:City>Spain</b:City>
    <b:URL>http://www.fbbva.es/TLFU/tlfu/esp/areas/econosoc/bbdd/sistema_sanitario.jsp</b:URL>
    <b:RefOrder>14</b:RefOrder>
  </b:Source>
  <b:Source>
    <b:Tag>Lop00</b:Tag>
    <b:SourceType>JournalArticle</b:SourceType>
    <b:Guid>{AD1B936A-984B-44C7-9F2A-47C6D3EA6FDF}</b:Guid>
    <b:Author>
      <b:Author>
        <b:NameList>
          <b:Person>
            <b:Last>Lopez Bastida</b:Last>
            <b:First>J.</b:First>
          </b:Person>
          <b:Person>
            <b:Last>Mossialos</b:Last>
            <b:First>E.</b:First>
          </b:Person>
        </b:NameList>
      </b:Author>
    </b:Author>
    <b:Title>Pharmaceutical expenditure in Spain: cost and control.</b:Title>
    <b:Year>2000</b:Year>
    <b:JournalName>International Journal of Health Services</b:JournalName>
    <b:Pages>597-616</b:Pages>
    <b:Volume>30</b:Volume>
    <b:Issue>3</b:Issue>
    <b:RefOrder>15</b:RefOrder>
  </b:Source>
  <b:Source>
    <b:Tag>OEC11</b:Tag>
    <b:SourceType>InternetSite</b:SourceType>
    <b:Guid>{B4E79367-4931-489B-A814-A22390F4264F}</b:Guid>
    <b:Author>
      <b:Author>
        <b:NameList>
          <b:Person>
            <b:Last>OECD</b:Last>
          </b:Person>
        </b:NameList>
      </b:Author>
    </b:Author>
    <b:Title>"Pharmaceutical Expenditure", Health: Key Tables from OECD</b:Title>
    <b:Year>2011</b:Year>
    <b:URL>http://www.oecd-ilibrary.org/social-issues-migration-health/pharmaceutical-expenditure-2011_pharmexp-table-2011-1-en</b:URL>
    <b:RefOrder>79</b:RefOrder>
  </b:Source>
  <b:Source>
    <b:Tag>OEC13</b:Tag>
    <b:SourceType>InternetSite</b:SourceType>
    <b:Guid>{703DD750-BBE1-47C1-B1E3-ACAC2AA41915}</b:Guid>
    <b:Author>
      <b:Author>
        <b:NameList>
          <b:Person>
            <b:Last>OECD</b:Last>
          </b:Person>
        </b:NameList>
      </b:Author>
    </b:Author>
    <b:Title>"Pharmaceutical Expenditure", Health: Key tables from OECD</b:Title>
    <b:Year>2013</b:Year>
    <b:URL>http://www.oecd-ilibrary.org/social-issues-migration-health/pharmaceutical-expenditure-2013-1_pharmexp-table-2013-1-en</b:URL>
    <b:RefOrder>80</b:RefOrder>
  </b:Source>
  <b:Source>
    <b:Tag>WHO05</b:Tag>
    <b:SourceType>ConferenceProceedings</b:SourceType>
    <b:Guid>{94CCF323-03AA-4EAC-BCE0-ECABBE8D5714}</b:Guid>
    <b:Author>
      <b:Author>
        <b:NameList>
          <b:Person>
            <b:Last>WHO</b:Last>
          </b:Person>
        </b:NameList>
      </b:Author>
    </b:Author>
    <b:Title>WHO European Ministerial Conference on Mental Health. Mental Health Declaration for Europe. Facing the challenges, Building Solutions</b:Title>
    <b:Year>2005</b:Year>
    <b:City>Helsinki, Finland </b:City>
    <b:RefOrder>81</b:RefOrder>
  </b:Source>
  <b:Source>
    <b:Tag>Aff08</b:Tag>
    <b:SourceType>Report</b:SourceType>
    <b:Guid>{391F4FE2-1269-43F1-8398-075C4E108EAD}</b:Guid>
    <b:Author>
      <b:Author>
        <b:NameList>
          <b:Person>
            <b:Last>Affairs</b:Last>
            <b:First>Ministry</b:First>
            <b:Middle>of Health and Consumer</b:Middle>
          </b:Person>
        </b:NameList>
      </b:Author>
    </b:Author>
    <b:Title>Summary of the Strategy in Mental Health of the Spanish National Health System</b:Title>
    <b:Year>2008</b:Year>
    <b:RefOrder>82</b:RefOrder>
  </b:Source>
  <b:Source>
    <b:Tag>Cos11</b:Tag>
    <b:SourceType>JournalArticle</b:SourceType>
    <b:Guid>{EC6A1544-56A4-433E-AEE6-5761DCDE39ED}</b:Guid>
    <b:Author>
      <b:Author>
        <b:NameList>
          <b:Person>
            <b:Last>Costa-Font</b:Last>
            <b:First>Joan</b:First>
          </b:Person>
          <b:Person>
            <b:Last>Salvador-Carulla</b:Last>
            <b:First>Luis</b:First>
          </b:Person>
          <b:Person>
            <b:Last>Cabases</b:Last>
            <b:First>Juan</b:First>
            <b:Middle>M.</b:Middle>
          </b:Person>
          <b:Person>
            <b:Last>Alonso</b:Last>
            <b:First>Jordi</b:First>
          </b:Person>
          <b:Person>
            <b:Last>McDaid</b:Last>
            <b:First>David</b:First>
          </b:Person>
        </b:NameList>
      </b:Author>
    </b:Author>
    <b:Title>Tackling Neglect and Mental Health Reform in a Devolved System of Welfare Governance</b:Title>
    <b:Year>2011</b:Year>
    <b:JournalName>Journal of Social Policy</b:JournalName>
    <b:Pages>pp 295-312</b:Pages>
    <b:Volume>40</b:Volume>
    <b:Issue>02</b:Issue>
    <b:RefOrder>16</b:RefOrder>
  </b:Source>
  <b:Source>
    <b:Tag>Bob12</b:Tag>
    <b:SourceType>JournalArticle</b:SourceType>
    <b:Guid>{54CE179D-697B-4BA3-8D88-09C23B7C71FD}</b:Guid>
    <b:Author>
      <b:Author>
        <b:NameList>
          <b:Person>
            <b:Last>Bobes</b:Last>
            <b:First>Julio</b:First>
          </b:Person>
          <b:Person>
            <b:Last>Garcia-Portilla</b:Last>
            <b:First>Maria</b:First>
            <b:Middle>Paz</b:Middle>
          </b:Person>
          <b:Person>
            <b:Last>Bobes-Bascaran</b:Last>
            <b:First>Maria-Teresa</b:First>
          </b:Person>
          <b:Person>
            <b:Last>Parellada</b:Last>
            <b:First>Maria</b:First>
          </b:Person>
          <b:Person>
            <b:Last>Bascaran</b:Last>
            <b:First>Maria-Teresa</b:First>
          </b:Person>
          <b:Person>
            <b:Last>Saiz</b:Last>
            <b:First>Pilar</b:First>
            <b:Middle>Alejandra</b:Middle>
          </b:Person>
          <b:Person>
            <b:Last>Bousono</b:Last>
            <b:First>Manuel</b:First>
          </b:Person>
          <b:Person>
            <b:Last>Arango</b:Last>
            <b:First>Celso</b:First>
          </b:Person>
        </b:NameList>
      </b:Author>
    </b:Author>
    <b:Title>The state of psychiatry in Spain</b:Title>
    <b:JournalName>International Review of Psychiatry</b:JournalName>
    <b:Year>2012</b:Year>
    <b:Pages>pp 347-355</b:Pages>
    <b:Month>August</b:Month>
    <b:Volume>24</b:Volume>
    <b:Issue>4</b:Issue>
    <b:RefOrder>17</b:RefOrder>
  </b:Source>
  <b:Source>
    <b:Tag>Cab10</b:Tag>
    <b:SourceType>ConferenceProceedings</b:SourceType>
    <b:Guid>{06B54AE6-2EF4-4D31-B351-49B7694DA313}</b:Guid>
    <b:Author>
      <b:Author>
        <b:NameList>
          <b:Person>
            <b:Last>Cabasés</b:Last>
            <b:First>Juan</b:First>
            <b:Middle>M.</b:Middle>
          </b:Person>
          <b:Person>
            <b:Last>Salvador-Carulla</b:Last>
            <b:First>Luis</b:First>
          </b:Person>
        </b:NameList>
      </b:Author>
    </b:Author>
    <b:Title>Moving from institutional to community care in mental health: progress and gaps. The Spanish case.</b:Title>
    <b:Year>2010</b:Year>
    <b:ConferenceName>European Health Management Association: European Mental Health System Network</b:ConferenceName>
    <b:City>Brussels</b:City>
    <b:RefOrder>18</b:RefOrder>
  </b:Source>
  <b:Source>
    <b:Tag>Tec08</b:Tag>
    <b:SourceType>Report</b:SourceType>
    <b:Guid>{5E3B86B4-8C0A-4930-8435-6AC7B06195AB}</b:Guid>
    <b:Author>
      <b:Author>
        <b:NameList>
          <b:Person>
            <b:Last>Tecnología</b:Last>
            <b:First>Comisión</b:First>
            <b:Middle>Interministerial de Ciencia y</b:Middle>
          </b:Person>
        </b:NameList>
      </b:Author>
    </b:Author>
    <b:Title>Plan Nacional de Investigación Científica, Desarrollo e Innovación Tecnológica (Plan Nacional de I+D+i) 2008-2011</b:Title>
    <b:Year>2008</b:Year>
    <b:RefOrder>83</b:RefOrder>
  </b:Source>
  <b:Source>
    <b:Tag>Qua</b:Tag>
    <b:SourceType>Report</b:SourceType>
    <b:Guid>{E3DC284A-5A18-4E4B-9C25-B6A67848F9C2}</b:Guid>
    <b:Title>Quality Plan for the National Health System of Spain 2006-2010. Review of activities to date and summary of future actions.</b:Title>
    <b:Publisher>Spanish Ministry of Health and Social Policy</b:Publisher>
    <b:RefOrder>84</b:RefOrder>
  </b:Source>
  <b:Source>
    <b:Tag>Cat09</b:Tag>
    <b:SourceType>JournalArticle</b:SourceType>
    <b:Guid>{EBA2EB64-279B-449E-AA6F-74B235F6DB5E}</b:Guid>
    <b:Author>
      <b:Author>
        <b:NameList>
          <b:Person>
            <b:Last>Catalá López</b:Last>
            <b:First>Ferrán</b:First>
          </b:Person>
          <b:Person>
            <b:Last>Álvarez Martín</b:Last>
            <b:First>Elena</b:First>
          </b:Person>
          <b:Person>
            <b:Last>Gènova Maleras</b:Last>
            <b:First>Ricard</b:First>
          </b:Person>
          <b:Person>
            <b:Last>Morant Ginestar</b:Last>
            <b:First>Consuelo</b:First>
          </b:Person>
        </b:NameList>
      </b:Author>
    </b:Author>
    <b:Title>Relación en España entre la investigación sanitaria financiada por el Sistema Nacional de Salud y la carga de enfermedad en la comunidad</b:Title>
    <b:JournalName>Revista Española de Salud Pública</b:JournalName>
    <b:Year>2009</b:Year>
    <b:Pages>137-151</b:Pages>
    <b:Volume>83</b:Volume>
    <b:RefOrder>19</b:RefOrder>
  </b:Source>
  <b:Source>
    <b:Tag>Mur96</b:Tag>
    <b:SourceType>Book</b:SourceType>
    <b:Guid>{A6BE3E0D-A2A9-48F7-AA26-CF19C718A179}</b:Guid>
    <b:Author>
      <b:Author>
        <b:NameList>
          <b:Person>
            <b:Last>Murray</b:Last>
            <b:First>Christopher</b:First>
            <b:Middle>J.L.</b:Middle>
          </b:Person>
          <b:Person>
            <b:Last>Lopez</b:Last>
            <b:First>Alan</b:First>
            <b:Middle>D.</b:Middle>
          </b:Person>
        </b:NameList>
      </b:Author>
    </b:Author>
    <b:Title>The Global Burden of Disease</b:Title>
    <b:Year>1996</b:Year>
    <b:City>Boston</b:City>
    <b:Publisher>Harvard University Press</b:Publisher>
    <b:RefOrder>20</b:RefOrder>
  </b:Source>
  <b:Source>
    <b:Tag>Gra11</b:Tag>
    <b:SourceType>JournalArticle</b:SourceType>
    <b:Guid>{3B27F7BF-FFE7-453B-AD49-21F58271FC7E}</b:Guid>
    <b:Author>
      <b:Author>
        <b:NameList>
          <b:Person>
            <b:Last>Grandes</b:Last>
            <b:First>G.</b:First>
          </b:Person>
          <b:Person>
            <b:Last>Montoya</b:Last>
            <b:First>I.</b:First>
          </b:Person>
          <b:Person>
            <b:Last>Arietaleanizbeaskoa</b:Last>
            <b:First>M.S.</b:First>
          </b:Person>
          <b:Person>
            <b:Last>Arce</b:Last>
            <b:First>V.</b:First>
          </b:Person>
          <b:Person>
            <b:Last>Sanchez</b:Last>
            <b:First>A.</b:First>
          </b:Person>
        </b:NameList>
      </b:Author>
    </b:Author>
    <b:Title>The burden of mental disorders in primary care</b:Title>
    <b:Year>2011</b:Year>
    <b:JournalName>European Psychiatry</b:JournalName>
    <b:Pages>pp 428-435</b:Pages>
    <b:Volume>26</b:Volume>
    <b:Issue>7</b:Issue>
    <b:RefOrder>21</b:RefOrder>
  </b:Source>
  <b:Source>
    <b:Tag>Ayu08</b:Tag>
    <b:SourceType>Report</b:SourceType>
    <b:Guid>{54912821-B3FE-4276-903D-1B59D5A7F6F4}</b:Guid>
    <b:Author>
      <b:Author>
        <b:NameList>
          <b:Person>
            <b:Last>Ayuso-Mateos</b:Last>
            <b:First>José</b:First>
            <b:Middle>Luis</b:Middle>
          </b:Person>
          <b:Person>
            <b:Last>Gutiérrez Recacha</b:Last>
            <b:First>Pedro</b:First>
          </b:Person>
          <b:Person>
            <b:Last>Haro</b:Last>
            <b:First>Josep</b:First>
            <b:Middle>Maria</b:Middle>
          </b:Person>
          <b:Person>
            <b:Last>Salvador Carulla</b:Last>
            <b:First>Luis</b:First>
          </b:Person>
          <b:Person>
            <b:Last>Vázquez Polo</b:Last>
            <b:First>Francisco</b:First>
            <b:Middle>José</b:Middle>
          </b:Person>
          <b:Person>
            <b:Last>Ángel Negrín Hernández</b:Last>
            <b:First>Miguel</b:First>
          </b:Person>
          <b:Person>
            <b:Last>Chisholm</b:Last>
            <b:First>Daniel</b:First>
          </b:Person>
        </b:NameList>
      </b:Author>
    </b:Author>
    <b:Title>Reducing the Burden of Mental Illness in Spain. Population-level impact and Cost-effectiveness of Treatments in Depression and Schizophrenia</b:Title>
    <b:Year>2008</b:Year>
    <b:Publisher>Fundación BBVA</b:Publisher>
    <b:RefOrder>22</b:RefOrder>
  </b:Source>
  <b:Source>
    <b:Tag>Sal11</b:Tag>
    <b:SourceType>JournalArticle</b:SourceType>
    <b:Guid>{4CD7415E-AED4-4AC0-8C5B-AA88D874F581}</b:Guid>
    <b:Author>
      <b:Author>
        <b:NameList>
          <b:Person>
            <b:Last>Salvador-Carulla</b:Last>
            <b:First>Luis</b:First>
          </b:Person>
          <b:Person>
            <b:Last>Bendeck</b:Last>
            <b:First>Murielle</b:First>
          </b:Person>
          <b:Person>
            <b:Last>Fernández</b:Last>
            <b:First>Anna</b:First>
          </b:Person>
          <b:Person>
            <b:Last>Alberti</b:Last>
            <b:First>Constança</b:First>
          </b:Person>
          <b:Person>
            <b:Last>Sabes-Figuera</b:Last>
            <b:First>Ramón</b:First>
          </b:Person>
          <b:Person>
            <b:Last>Molina</b:Last>
            <b:First>Cristina</b:First>
          </b:Person>
          <b:Person>
            <b:Last>Knapp</b:Last>
            <b:First>Martin</b:First>
          </b:Person>
        </b:NameList>
      </b:Author>
    </b:Author>
    <b:Title>Costs of depression in Catalonia (Spain)</b:Title>
    <b:Year>2011</b:Year>
    <b:JournalName>Journal of Affective Disorders</b:JournalName>
    <b:Pages>pp 130-138</b:Pages>
    <b:Volume>132</b:Volume>
    <b:RefOrder>23</b:RefOrder>
  </b:Source>
  <b:Source>
    <b:Tag>Mir13</b:Tag>
    <b:SourceType>JournalArticle</b:SourceType>
    <b:Guid>{C31FADE1-7D5F-41F6-B492-0F1806AD47D4}</b:Guid>
    <b:Author>
      <b:Author>
        <b:NameList>
          <b:Person>
            <b:Last>Miret</b:Last>
            <b:First>Marta</b:First>
          </b:Person>
          <b:Person>
            <b:Last>Ayuso-Mateos</b:Last>
            <b:First>José</b:First>
            <b:Middle>Luis</b:Middle>
          </b:Person>
          <b:Person>
            <b:Last>Sanchez-Moreno</b:Last>
            <b:First>Jose</b:First>
          </b:Person>
          <b:Person>
            <b:Last>Vieta</b:Last>
            <b:First>Eduard</b:First>
          </b:Person>
        </b:NameList>
      </b:Author>
    </b:Author>
    <b:Title>Depressive disorders and suicide: Epidemiology, risk factors, and burden</b:Title>
    <b:JournalName>Neuroscience and Biobehavioral Reviews</b:JournalName>
    <b:Year>2013</b:Year>
    <b:RefOrder>24</b:RefOrder>
  </b:Source>
  <b:Source>
    <b:Tag>Bar12</b:Tag>
    <b:SourceType>JournalArticle</b:SourceType>
    <b:Guid>{98C1F324-7F8A-4A61-A3C8-4232AF1672FA}</b:Guid>
    <b:Author>
      <b:Author>
        <b:NameList>
          <b:Person>
            <b:Last>Barbaglia</b:Last>
            <b:First>Gabriela</b:First>
          </b:Person>
          <b:Person>
            <b:Last>Vilagut</b:Last>
            <b:First>Gemma</b:First>
          </b:Person>
          <b:Person>
            <b:Last>Artazcoz</b:Last>
            <b:First>Lucıa</b:First>
          </b:Person>
          <b:Person>
            <b:Last>Haro</b:Last>
            <b:First>Josep</b:First>
            <b:Middle>Maria</b:Middle>
          </b:Person>
          <b:Person>
            <b:Last>Ferrer</b:Last>
            <b:First>Montserrat</b:First>
          </b:Person>
          <b:Person>
            <b:Last>Garcıa Forero</b:Last>
            <b:First>Carlos</b:First>
          </b:Person>
          <b:Person>
            <b:Last>Alonso</b:Last>
            <b:First>Jordi</b:First>
          </b:Person>
        </b:NameList>
      </b:Author>
    </b:Author>
    <b:Title>Association between annual earnings and mental disorders in Spain: individual and societal-level estimates</b:Title>
    <b:JournalName>Social Psychiatry and Psychiatric Epidemiology</b:JournalName>
    <b:Year>2012</b:Year>
    <b:Pages>pp 1717-25</b:Pages>
    <b:Volume>47</b:Volume>
    <b:Issue>11</b:Issue>
    <b:RefOrder>25</b:RefOrder>
  </b:Source>
  <b:Source>
    <b:Tag>Viv13</b:Tag>
    <b:SourceType>JournalArticle</b:SourceType>
    <b:Guid>{DA22ECE6-793F-46F2-94B1-577D3EE808A5}</b:Guid>
    <b:Author>
      <b:Author>
        <b:NameList>
          <b:Person>
            <b:Last>Vives</b:Last>
            <b:First>Alejandra</b:First>
          </b:Person>
          <b:Person>
            <b:Last>Amable</b:Last>
            <b:First>Marcelo</b:First>
          </b:Person>
          <b:Person>
            <b:Last>Ferrer</b:Last>
            <b:First>Montserrat</b:First>
          </b:Person>
          <b:Person>
            <b:Last>Moncada</b:Last>
            <b:First>Salvador</b:First>
          </b:Person>
          <b:Person>
            <b:Last>Llorens</b:Last>
            <b:First>Clara</b:First>
          </b:Person>
          <b:Person>
            <b:Last>Muntaner</b:Last>
            <b:First>Carles</b:First>
          </b:Person>
          <b:Person>
            <b:Last>Benavides</b:Last>
            <b:First>Fernando</b:First>
            <b:Middle>G.</b:Middle>
          </b:Person>
          <b:Person>
            <b:Last>Benach</b:Last>
            <b:First>Joan</b:First>
          </b:Person>
        </b:NameList>
      </b:Author>
    </b:Author>
    <b:Title>Employment Precariousness and Poor Mental Health:Evidence from Spain on a New Social Determinant of Health.</b:Title>
    <b:JournalName>Journal of Environmental and Public Health</b:JournalName>
    <b:Year>2013</b:Year>
    <b:Volume>2013</b:Volume>
    <b:RefOrder>26</b:RefOrder>
  </b:Source>
  <b:Source>
    <b:Tag>Gil12</b:Tag>
    <b:SourceType>JournalArticle</b:SourceType>
    <b:Guid>{AACE010E-A11F-432E-930D-7ADBC130CA21}</b:Guid>
    <b:Author>
      <b:Author>
        <b:NameList>
          <b:Person>
            <b:Last>Gili</b:Last>
            <b:First>Margalida</b:First>
          </b:Person>
          <b:Person>
            <b:Last>Roca</b:Last>
            <b:First>Miquel</b:First>
          </b:Person>
          <b:Person>
            <b:Last>Basu</b:Last>
            <b:First>Sanjay</b:First>
          </b:Person>
          <b:Person>
            <b:Last>McKee</b:Last>
            <b:First>Martin</b:First>
          </b:Person>
          <b:Person>
            <b:Last>Stuckler</b:Last>
            <b:First>David</b:First>
          </b:Person>
        </b:NameList>
      </b:Author>
    </b:Author>
    <b:Title>The mental health risks of economic crisis in Spain:evidence from primary care centres, 2006 and 2010.</b:Title>
    <b:JournalName>The European Journal of Public Health</b:JournalName>
    <b:Year>2012</b:Year>
    <b:Pages>1-5</b:Pages>
    <b:RefOrder>27</b:RefOrder>
  </b:Source>
  <b:Source>
    <b:Tag>Jeh08</b:Tag>
    <b:SourceType>JournalArticle</b:SourceType>
    <b:Guid>{0FD6D454-2ECF-4BE5-87F8-0512D188DD98}</b:Guid>
    <b:Author>
      <b:Author>
        <b:NameList>
          <b:Person>
            <b:Last>Jehu-Appiah</b:Last>
            <b:First>Caroline</b:First>
          </b:Person>
          <b:Person>
            <b:Last>Baltussen</b:Last>
            <b:First>Rob</b:First>
          </b:Person>
          <b:Person>
            <b:Last>Acquah</b:Last>
            <b:First>Charles</b:First>
          </b:Person>
          <b:Person>
            <b:Last>Aikins</b:Last>
            <b:First>Moses</b:First>
          </b:Person>
          <b:Person>
            <b:Last>Amah d’Almeida</b:Last>
            <b:First>Salassi</b:First>
          </b:Person>
          <b:Person>
            <b:Last>Bosu</b:Last>
            <b:First>William</b:First>
            <b:Middle>K.</b:Middle>
          </b:Person>
          <b:Person>
            <b:Last>Koolman</b:Last>
            <b:First>Xander</b:First>
          </b:Person>
          <b:Person>
            <b:Last>Lauer</b:Last>
            <b:First>Jeremy</b:First>
          </b:Person>
          <b:Person>
            <b:Last>Osei</b:Last>
            <b:First>Dan</b:First>
          </b:Person>
          <b:Person>
            <b:Last>Adjei</b:Last>
            <b:First>Sam</b:First>
          </b:Person>
        </b:NameList>
      </b:Author>
    </b:Author>
    <b:Title>Balancing Equity and Efficiency in Health Priorities in Ghana:The Use of Multicriteria Decision Analysis</b:Title>
    <b:JournalName>Value in Health</b:JournalName>
    <b:Year>2008</b:Year>
    <b:Volume>11</b:Volume>
    <b:Issue>7</b:Issue>
    <b:RefOrder>29</b:RefOrder>
  </b:Source>
  <b:Source>
    <b:Tag>You12</b:Tag>
    <b:SourceType>JournalArticle</b:SourceType>
    <b:Guid>{E06F0DB3-4C67-4A3A-997A-CE7F782FC413}</b:Guid>
    <b:Author>
      <b:Author>
        <b:NameList>
          <b:Person>
            <b:Last>Youngkong</b:Last>
            <b:First>Sitaporn</b:First>
          </b:Person>
          <b:Person>
            <b:Last>Teerawattananon</b:Last>
            <b:First>Yot</b:First>
          </b:Person>
          <b:Person>
            <b:Last>Tantivess</b:Last>
            <b:First>Sripen</b:First>
          </b:Person>
          <b:Person>
            <b:Last>Baltussen</b:Last>
            <b:First>Rob</b:First>
          </b:Person>
        </b:NameList>
      </b:Author>
    </b:Author>
    <b:Title>Multi-criteria decision analysis for setting priorities on HIV/AIDS interventions in Thailand</b:Title>
    <b:JournalName>Health Research Policy and Systems</b:JournalName>
    <b:Year>2012</b:Year>
    <b:Volume>10</b:Volume>
    <b:Issue>6</b:Issue>
    <b:RefOrder>30</b:RefOrder>
  </b:Source>
  <b:Source>
    <b:Tag>Bal10</b:Tag>
    <b:SourceType>JournalArticle</b:SourceType>
    <b:Guid>{8F8A2B9F-1441-4573-BD27-6873A22029C1}</b:Guid>
    <b:Author>
      <b:Author>
        <b:NameList>
          <b:Person>
            <b:Last>Baltussen</b:Last>
            <b:First>Rob</b:First>
          </b:Person>
          <b:Person>
            <b:Last>Youngkong</b:Last>
            <b:First>Sitaporn</b:First>
          </b:Person>
          <b:Person>
            <b:Last>Paolucci</b:Last>
            <b:First>Francesco</b:First>
          </b:Person>
          <b:Person>
            <b:Last>Niessen</b:Last>
            <b:First>Louis</b:First>
          </b:Person>
        </b:NameList>
      </b:Author>
    </b:Author>
    <b:Title>Multi-criteria decision analysis to prioritize health interventions:Capitalizing on first experiences.</b:Title>
    <b:JournalName>Health Policy</b:JournalName>
    <b:Year>2010</b:Year>
    <b:Pages>pp 262-264</b:Pages>
    <b:Volume>96</b:Volume>
    <b:RefOrder>28</b:RefOrder>
  </b:Source>
  <b:Source>
    <b:Tag>Bal061</b:Tag>
    <b:SourceType>JournalArticle</b:SourceType>
    <b:Guid>{AC1BA94F-E690-43D4-A63F-1C8DE569D1E0}</b:Guid>
    <b:Author>
      <b:Author>
        <b:NameList>
          <b:Person>
            <b:Last>Baltussen</b:Last>
            <b:First>Rob</b:First>
          </b:Person>
          <b:Person>
            <b:Last>Stolk</b:Last>
            <b:First>Elly</b:First>
          </b:Person>
          <b:Person>
            <b:Last>Chisholm</b:Last>
            <b:First>Dan</b:First>
          </b:Person>
          <b:Person>
            <b:Last>Aikins</b:Last>
            <b:First>Moses</b:First>
          </b:Person>
        </b:NameList>
      </b:Author>
    </b:Author>
    <b:Title>Towards a multi-criteria apporach for priority setting: an application to Ghana</b:Title>
    <b:JournalName>Health Economics</b:JournalName>
    <b:Year>2006</b:Year>
    <b:Pages>pp 689-696</b:Pages>
    <b:Volume>15</b:Volume>
    <b:RefOrder>73</b:RefOrder>
  </b:Source>
  <b:Source>
    <b:Tag>Rob99</b:Tag>
    <b:SourceType>JournalArticle</b:SourceType>
    <b:Guid>{E01DA242-E539-43A5-A11D-5BFF99D3E43E}</b:Guid>
    <b:Author>
      <b:Author>
        <b:NameList>
          <b:Person>
            <b:Last>Robinson</b:Last>
            <b:First>R.</b:First>
          </b:Person>
        </b:NameList>
      </b:Author>
    </b:Author>
    <b:Title>Limits to rationality: economics, economists and priority setting.</b:Title>
    <b:JournalName>Health Policy</b:JournalName>
    <b:Year>1999</b:Year>
    <b:Pages>13-26</b:Pages>
    <b:Volume>49</b:Volume>
    <b:Issue>1-2</b:Issue>
    <b:RefOrder>85</b:RefOrder>
  </b:Source>
  <b:Source>
    <b:Tag>Gon06</b:Tag>
    <b:SourceType>JournalArticle</b:SourceType>
    <b:Guid>{B09EFD39-D4C5-452C-86ED-EFABEE471083}</b:Guid>
    <b:Author>
      <b:Author>
        <b:NameList>
          <b:Person>
            <b:Last>González-Pier</b:Last>
            <b:First>Eduardo</b:First>
          </b:Person>
          <b:Person>
            <b:Last>Gutiérrez-Delgado</b:Last>
            <b:First>Cristina</b:First>
          </b:Person>
          <b:Person>
            <b:Last>Stevens</b:Last>
            <b:First>Gretchen</b:First>
          </b:Person>
          <b:Person>
            <b:Last>Barraza-Lloréns</b:Last>
            <b:First>Mariana</b:First>
          </b:Person>
          <b:Person>
            <b:Last>Porras-Condey</b:Last>
            <b:First>Raúl</b:First>
          </b:Person>
          <b:Person>
            <b:Last>Carvalho</b:Last>
            <b:First>Natalie</b:First>
          </b:Person>
          <b:Person>
            <b:Last>Loncich</b:Last>
            <b:First>Kristen</b:First>
          </b:Person>
          <b:Person>
            <b:Last>Dias</b:Last>
            <b:First>Rodrigo</b:First>
            <b:Middle>H.</b:Middle>
          </b:Person>
          <b:Person>
            <b:Last>Kulkarni</b:Last>
            <b:First>Sandeep</b:First>
          </b:Person>
          <b:Person>
            <b:Last>Casey</b:Last>
            <b:First>Anna</b:First>
          </b:Person>
          <b:Person>
            <b:Last>Murakami</b:Last>
            <b:First>Yuki</b:First>
          </b:Person>
          <b:Person>
            <b:Last>Ezzati</b:Last>
            <b:First>Majid</b:First>
          </b:Person>
          <b:Person>
            <b:Last>Salomon</b:Last>
            <b:First>Joshua</b:First>
            <b:Middle>A.</b:Middle>
          </b:Person>
        </b:NameList>
      </b:Author>
    </b:Author>
    <b:Title>Health System reform in Mexico 2: Priority setting for health interventions in Mexico’s System of Social Protection in Health</b:Title>
    <b:JournalName>Lancet</b:JournalName>
    <b:Year>2006</b:Year>
    <b:Pages>1608-18</b:Pages>
    <b:Volume>368</b:Volume>
    <b:RefOrder>31</b:RefOrder>
  </b:Source>
  <b:Source>
    <b:Tag>Bal07</b:Tag>
    <b:SourceType>JournalArticle</b:SourceType>
    <b:Guid>{9F66D1F0-A17A-4CEF-A596-AF54E058C20D}</b:Guid>
    <b:Author>
      <b:Author>
        <b:NameList>
          <b:Person>
            <b:Last>Baltussen</b:Last>
            <b:First>R.</b:First>
          </b:Person>
          <b:Person>
            <b:Last>ten Asbroek</b:Last>
            <b:First>A</b:First>
            <b:Middle>H A</b:Middle>
          </b:Person>
          <b:Person>
            <b:Last>Koolman</b:Last>
            <b:First>X.</b:First>
          </b:Person>
          <b:Person>
            <b:Last>Shrestha</b:Last>
            <b:First>N.</b:First>
          </b:Person>
          <b:Person>
            <b:Last>Bhattarai</b:Last>
            <b:First>P.</b:First>
          </b:Person>
          <b:Person>
            <b:Last>Niessen</b:Last>
            <b:First>L.</b:First>
            <b:Middle>W.</b:Middle>
          </b:Person>
        </b:NameList>
      </b:Author>
    </b:Author>
    <b:Title>Priority setting using multiple criteria: should a lung health programme be implemented in Nepal?</b:Title>
    <b:JournalName>Health Policy and Planning</b:JournalName>
    <b:Year>2007</b:Year>
    <b:Pages>pp 178-185</b:Pages>
    <b:Publisher>Oxford University Press</b:Publisher>
    <b:Volume>22</b:Volume>
    <b:RefOrder>32</b:RefOrder>
  </b:Source>
  <b:Source>
    <b:Tag>You10</b:Tag>
    <b:SourceType>JournalArticle</b:SourceType>
    <b:Guid>{A933CCED-E569-4883-9D26-19C1087EEC7A}</b:Guid>
    <b:Author>
      <b:Author>
        <b:NameList>
          <b:Person>
            <b:Last>Youngkong</b:Last>
            <b:First>Sitaporn</b:First>
          </b:Person>
          <b:Person>
            <b:Last>Baltussen</b:Last>
            <b:First>Rob</b:First>
          </b:Person>
          <b:Person>
            <b:Last>Tantivess</b:Last>
            <b:First>Sripen</b:First>
          </b:Person>
          <b:Person>
            <b:Last>Koolman</b:Last>
            <b:First>Xander</b:First>
          </b:Person>
          <b:Person>
            <b:Last>Teerawattananon</b:Last>
            <b:First>Yot</b:First>
          </b:Person>
        </b:NameList>
      </b:Author>
    </b:Author>
    <b:Title>Criteria for priority setting of HIV/AIDS interventions in Thailand: a discrete choice experiment</b:Title>
    <b:JournalName>BMC Health Services Research</b:JournalName>
    <b:Year>2010</b:Year>
    <b:Volume>197</b:Volume>
    <b:Issue>10</b:Issue>
    <b:RefOrder>33</b:RefOrder>
  </b:Source>
  <b:Source>
    <b:Tag>Shi09</b:Tag>
    <b:SourceType>ConferenceProceedings</b:SourceType>
    <b:Guid>{40BE1BD5-76B2-49D8-8C61-C6DCD7F0650E}</b:Guid>
    <b:Author>
      <b:Author>
        <b:NameList>
          <b:Person>
            <b:Last>Shi</b:Last>
            <b:First>Y.</b:First>
          </b:Person>
          <b:Person>
            <b:Last>Paolucci</b:Last>
            <b:First>F.</b:First>
          </b:Person>
          <b:Person>
            <b:Last>Yu</b:Last>
            <b:First>M.</b:First>
          </b:Person>
        </b:NameList>
      </b:Author>
    </b:Author>
    <b:Title>Present and future desirability and options in the development of basic packages in China.</b:Title>
    <b:Year>2009</b:Year>
    <b:ConferenceName>In: Abstract presented at 7th International Health Economics Conference.</b:ConferenceName>
    <b:RefOrder>86</b:RefOrder>
  </b:Source>
  <b:Source>
    <b:Tag>Soa09</b:Tag>
    <b:SourceType>ConferenceProceedings</b:SourceType>
    <b:Guid>{2FCDEFC2-7D16-4B51-8BF9-DD605F8D7415}</b:Guid>
    <b:Author>
      <b:Author>
        <b:NameList>
          <b:Person>
            <b:Last>Soares</b:Last>
            <b:First>P.</b:First>
          </b:Person>
          <b:Person>
            <b:Last>Kinter</b:Last>
            <b:First>E.</b:First>
          </b:Person>
          <b:Person>
            <b:Last>Paolucci</b:Last>
            <b:First>F.</b:First>
          </b:Person>
          <b:Person>
            <b:Last>Ferraz</b:Last>
            <b:First>MB.</b:First>
          </b:Person>
          <b:Person>
            <b:Last>Niessen</b:Last>
            <b:First>L.</b:First>
          </b:Person>
        </b:NameList>
      </b:Author>
    </b:Author>
    <b:Title>Multi-criteria weighing for health policy—conjoint analysis results from a national level workshop of health stake-holders in Brazil.</b:Title>
    <b:Year>2009</b:Year>
    <b:ConferenceName>In: Abstract Presented at 7th International Health Economics Conference.</b:ConferenceName>
    <b:RefOrder>87</b:RefOrder>
  </b:Source>
  <b:Source>
    <b:Tag>Nie09</b:Tag>
    <b:SourceType>ConferenceProceedings</b:SourceType>
    <b:Guid>{1BB430BD-692A-4669-B511-4ED147097626}</b:Guid>
    <b:Author>
      <b:Author>
        <b:NameList>
          <b:Person>
            <b:Last>Niessen</b:Last>
            <b:First>L.</b:First>
          </b:Person>
          <b:Person>
            <b:Last>Paolucci</b:Last>
            <b:First>F.</b:First>
          </b:Person>
        </b:NameList>
      </b:Author>
    </b:Author>
    <b:Title>Compiling evidence from multiple criteria weighing for health policy, the cases of China, Cuba and Brazil.</b:Title>
    <b:Year>2009</b:Year>
    <b:ConferenceName>In: Abstract Presented at 7th International Health Economics Conference.</b:ConferenceName>
    <b:RefOrder>88</b:RefOrder>
  </b:Source>
  <b:Source>
    <b:Tag>Mar02</b:Tag>
    <b:SourceType>JournalArticle</b:SourceType>
    <b:Guid>{3744B224-C46F-41B8-8E58-5D2CBF442F3A}</b:Guid>
    <b:Author>
      <b:Author>
        <b:NameList>
          <b:Person>
            <b:Last>Martin</b:Last>
            <b:First>Douglas</b:First>
            <b:Middle>K.</b:Middle>
          </b:Person>
          <b:Person>
            <b:Last>Giacomini</b:Last>
            <b:First>Mita</b:First>
          </b:Person>
          <b:Person>
            <b:Last>Singer</b:Last>
            <b:First>Peter</b:First>
            <b:Middle>A.</b:Middle>
          </b:Person>
        </b:NameList>
      </b:Author>
    </b:Author>
    <b:Title>Fairness, accountability for reasonableness, and the views of priority setting decision-makers</b:Title>
    <b:Pages>pp 279-290</b:Pages>
    <b:Year>2002</b:Year>
    <b:JournalName>Health Policy</b:JournalName>
    <b:Volume>61</b:Volume>
    <b:RefOrder>44</b:RefOrder>
  </b:Source>
  <b:Source>
    <b:Tag>McK08</b:Tag>
    <b:SourceType>JournalArticle</b:SourceType>
    <b:Guid>{51E6EF4E-A62A-4B4A-852F-864B210E7C30}</b:Guid>
    <b:Author>
      <b:Author>
        <b:NameList>
          <b:Person>
            <b:Last>McKie</b:Last>
            <b:First>John</b:First>
          </b:Person>
          <b:Person>
            <b:Last>Shrimpton</b:Last>
            <b:First>Bradley</b:First>
          </b:Person>
          <b:Person>
            <b:Last>Hurworth</b:Last>
            <b:First>Rosalind</b:First>
          </b:Person>
          <b:Person>
            <b:Last>Bell</b:Last>
            <b:First>Catherine</b:First>
          </b:Person>
          <b:Person>
            <b:Last>Richardson</b:Last>
            <b:First>Jeff</b:First>
          </b:Person>
        </b:NameList>
      </b:Author>
    </b:Author>
    <b:Title>Who Should be Involved in Health Care Decision Making? A Qualitative Study</b:Title>
    <b:JournalName>Journal of Health Philosophy and Policy: Health Care Analysis (HCA)</b:JournalName>
    <b:Year>2008</b:Year>
    <b:Pages>114-26</b:Pages>
    <b:Volume>16</b:Volume>
    <b:Issue>2</b:Issue>
    <b:RefOrder>46</b:RefOrder>
  </b:Source>
  <b:Source>
    <b:Tag>You09</b:Tag>
    <b:SourceType>JournalArticle</b:SourceType>
    <b:Guid>{074954DA-58C7-48D0-8470-DC111AFB33B2}</b:Guid>
    <b:Author>
      <b:Author>
        <b:NameList>
          <b:Person>
            <b:Last>Youngkong</b:Last>
            <b:First>Sitaporn</b:First>
          </b:Person>
          <b:Person>
            <b:Last>Kapiriri</b:Last>
            <b:First>Lydia</b:First>
          </b:Person>
          <b:Person>
            <b:Last>Baltussen</b:Last>
            <b:First>Rob</b:First>
          </b:Person>
        </b:NameList>
      </b:Author>
    </b:Author>
    <b:Title>Setting priorities for health interventions in developing countries: a review of empirical studies</b:Title>
    <b:JournalName>Tropical Medicine and International Health</b:JournalName>
    <b:Year>2009</b:Year>
    <b:Pages>pp 930-939</b:Pages>
    <b:Volume>14</b:Volume>
    <b:Issue>8</b:Issue>
    <b:RefOrder>89</b:RefOrder>
  </b:Source>
  <b:Source>
    <b:Tag>Def12</b:Tag>
    <b:SourceType>JournalArticle</b:SourceType>
    <b:Guid>{72D08B99-3F9E-4F9C-A494-82390262258B}</b:Guid>
    <b:Author>
      <b:Author>
        <b:NameList>
          <b:Person>
            <b:Last>Defechereux</b:Last>
            <b:First>Thierry</b:First>
          </b:Person>
          <b:Person>
            <b:Last>Paolucci</b:Last>
            <b:First>Francesco</b:First>
          </b:Person>
          <b:Person>
            <b:Last>Mirelman</b:Last>
            <b:First>Andrew</b:First>
          </b:Person>
          <b:Person>
            <b:Last>Youngkong</b:Last>
            <b:First>Sitaporn</b:First>
          </b:Person>
          <b:Person>
            <b:Last>Botten</b:Last>
            <b:First>Grete</b:First>
          </b:Person>
          <b:Person>
            <b:Last>Hagen</b:Last>
            <b:First>Terje</b:First>
            <b:Middle>P.</b:Middle>
          </b:Person>
          <b:Person>
            <b:Last>Niessen</b:Last>
            <b:First>Louis</b:First>
            <b:Middle>W.</b:Middle>
          </b:Person>
        </b:NameList>
      </b:Author>
    </b:Author>
    <b:Title>Health care priority setting in Norway a multi-criteria decision analysis</b:Title>
    <b:JournalName>BMC Health Services Research</b:JournalName>
    <b:Year>2012</b:Year>
    <b:Volume>12</b:Volume>
    <b:Issue>7</b:Issue>
    <b:RefOrder>34</b:RefOrder>
  </b:Source>
  <b:Source>
    <b:Tag>Koo10</b:Tag>
    <b:SourceType>JournalArticle</b:SourceType>
    <b:Guid>{016C1176-E06D-45F1-8E17-A829E2B87B10}</b:Guid>
    <b:Author>
      <b:Author>
        <b:NameList>
          <b:Person>
            <b:Last>Koopmanschap</b:Last>
            <b:First>Marc</b:First>
            <b:Middle>A.</b:Middle>
          </b:Person>
          <b:Person>
            <b:Last>Stolk</b:Last>
            <b:First>Elly</b:First>
            <b:Middle>A.</b:Middle>
          </b:Person>
        </b:NameList>
      </b:Author>
    </b:Author>
    <b:Title>Dear policy maker: Have you made up your mind? A discrete choice experiment among policy makers and other health professionals</b:Title>
    <b:JournalName>International Journal of Technology Assessment in Health Care</b:JournalName>
    <b:Year>2010</b:Year>
    <b:Pages>pp 198-204</b:Pages>
    <b:Volume>26</b:Volume>
    <b:Issue>2</b:Issue>
    <b:RefOrder>35</b:RefOrder>
  </b:Source>
  <b:Source>
    <b:Tag>Men123</b:Tag>
    <b:SourceType>ConferenceProceedings</b:SourceType>
    <b:Guid>{074C2808-CAFE-43CE-8A9C-A7D44A5269EC}</b:Guid>
    <b:Author>
      <b:Author>
        <b:NameList>
          <b:Person>
            <b:Last>Mentzakis</b:Last>
            <b:First>Emmanouil</b:First>
          </b:Person>
          <b:Person>
            <b:Last>Paolucci</b:Last>
            <b:First>Francesco</b:First>
          </b:Person>
          <b:Person>
            <b:Last>Rubicko</b:Last>
            <b:First>Georg</b:First>
          </b:Person>
        </b:NameList>
      </b:Author>
    </b:Author>
    <b:Title>Priority setting for mental health in the Austrian healthcare system: results from a discrete choice experiment</b:Title>
    <b:Year>2012</b:Year>
    <b:ConferenceName> In: As presented in the European Conference of Health Economics</b:ConferenceName>
    <b:City>Zurich Switzerland</b:City>
    <b:RefOrder>1</b:RefOrder>
  </b:Source>
  <b:Source>
    <b:Tag>DeB12</b:Tag>
    <b:SourceType>JournalArticle</b:SourceType>
    <b:Guid>{602E90BA-8F63-43F8-B6D5-E8550728B196}</b:Guid>
    <b:Author>
      <b:Author>
        <b:NameList>
          <b:Person>
            <b:Last>De Bekker-Grob</b:Last>
            <b:First>Esther</b:First>
            <b:Middle>W.</b:Middle>
          </b:Person>
          <b:Person>
            <b:Last>Ryan</b:Last>
            <b:First>Mandy</b:First>
          </b:Person>
          <b:Person>
            <b:Last>Gerard</b:Last>
            <b:First>Karen</b:First>
          </b:Person>
        </b:NameList>
      </b:Author>
    </b:Author>
    <b:Title>Discrete Choice Experiments in Health Economics: A review of the literature.</b:Title>
    <b:JournalName>Health Economics</b:JournalName>
    <b:Year>2012</b:Year>
    <b:Pages>pp 145-172</b:Pages>
    <b:Volume>21</b:Volume>
    <b:RefOrder>36</b:RefOrder>
  </b:Source>
  <b:Source>
    <b:Tag>Rya01</b:Tag>
    <b:SourceType>JournalArticle</b:SourceType>
    <b:Guid>{5585219C-CED4-4572-89E2-BD29EEAF6D14}</b:Guid>
    <b:Author>
      <b:Author>
        <b:NameList>
          <b:Person>
            <b:Last>Ryan</b:Last>
            <b:First>M.</b:First>
          </b:Person>
          <b:Person>
            <b:Last>Bate</b:Last>
            <b:First>A.</b:First>
          </b:Person>
          <b:Person>
            <b:Last>Eastmond</b:Last>
            <b:First>C</b:First>
            <b:Middle>J</b:Middle>
          </b:Person>
          <b:Person>
            <b:Last>Ludbrook</b:Last>
            <b:First>A.</b:First>
          </b:Person>
        </b:NameList>
      </b:Author>
    </b:Author>
    <b:Title>Use of discrete choice experiments to elicit preferences</b:Title>
    <b:JournalName>Quality in Health Care</b:JournalName>
    <b:Year>2001</b:Year>
    <b:Pages>i55-i60</b:Pages>
    <b:Volume>10</b:Volume>
    <b:RefOrder>37</b:RefOrder>
  </b:Source>
  <b:Source>
    <b:Tag>Rya03</b:Tag>
    <b:SourceType>JournalArticle</b:SourceType>
    <b:Guid>{E4C86729-8645-4CE9-A16F-9D301AE0DE1A}</b:Guid>
    <b:Author>
      <b:Author>
        <b:NameList>
          <b:Person>
            <b:Last>Ryan</b:Last>
            <b:First>Mandy</b:First>
          </b:Person>
          <b:Person>
            <b:Last>Gerard</b:Last>
            <b:First>Karen</b:First>
          </b:Person>
        </b:NameList>
      </b:Author>
    </b:Author>
    <b:Title>Using discrete choice experiments to value health care programmes: current practise and future research reflections</b:Title>
    <b:JournalName>Applied Health Economics Health Policy</b:JournalName>
    <b:Year>2003</b:Year>
    <b:Pages>55-64</b:Pages>
    <b:Volume>2</b:Volume>
    <b:RefOrder>38</b:RefOrder>
  </b:Source>
  <b:Source>
    <b:Tag>Kja05</b:Tag>
    <b:SourceType>Book</b:SourceType>
    <b:Guid>{624F0C00-DD46-40CF-8472-2E2B325B111C}</b:Guid>
    <b:Author>
      <b:Author>
        <b:NameList>
          <b:Person>
            <b:Last>Kjaer</b:Last>
            <b:First>Trine</b:First>
          </b:Person>
        </b:NameList>
      </b:Author>
    </b:Author>
    <b:Title>A review of the discrete choice experiment-with emphasis on its application in health care.</b:Title>
    <b:Year>2005</b:Year>
    <b:Publisher>Health Economics Papers</b:Publisher>
    <b:Volume>1</b:Volume>
    <b:RefOrder>39</b:RefOrder>
  </b:Source>
  <b:Source>
    <b:Tag>Ama08</b:Tag>
    <b:SourceType>Book</b:SourceType>
    <b:Guid>{63AF5C85-41C5-4A93-9066-769411B54478}</b:Guid>
    <b:Author>
      <b:Author>
        <b:NameList>
          <b:Person>
            <b:Last>Ryan</b:Last>
            <b:First>Mandy</b:First>
          </b:Person>
          <b:Person>
            <b:Last>Gerard</b:Last>
            <b:First>Karen</b:First>
          </b:Person>
          <b:Person>
            <b:Last>Amaya-Amaya</b:Last>
            <b:First>Mabel</b:First>
          </b:Person>
        </b:NameList>
      </b:Author>
    </b:Author>
    <b:Title>Using Discrete Choice Experiments to Value Health and Health Care</b:Title>
    <b:Year>2008</b:Year>
    <b:Publisher>Springer</b:Publisher>
    <b:BookTitle>Using Discrete Choice Experiments to Value Health and Health Care</b:BookTitle>
    <b:Volume>11</b:Volume>
    <b:RefOrder>90</b:RefOrder>
  </b:Source>
  <b:Source>
    <b:Tag>Dru97</b:Tag>
    <b:SourceType>Book</b:SourceType>
    <b:Guid>{B3F4D57C-3BA9-4BC8-90D6-DCE619A0E6C4}</b:Guid>
    <b:Author>
      <b:Author>
        <b:NameList>
          <b:Person>
            <b:Last>Drummond</b:Last>
            <b:First>M.F.</b:First>
          </b:Person>
          <b:Person>
            <b:Last>O'Brian</b:Last>
            <b:First>B.</b:First>
          </b:Person>
          <b:Person>
            <b:Last>Stoddart</b:Last>
            <b:First>G.L.</b:First>
          </b:Person>
          <b:Person>
            <b:Last>Torrance</b:Last>
            <b:First>G.W.</b:First>
          </b:Person>
        </b:NameList>
      </b:Author>
    </b:Author>
    <b:Title>Methods for the Economic Evaluation of Health Care Programmes</b:Title>
    <b:Year>1997</b:Year>
    <b:Publisher>Oxford Medical Publications, Oxford University Press</b:Publisher>
    <b:Edition>second edn</b:Edition>
    <b:RefOrder>40</b:RefOrder>
  </b:Source>
  <b:Source>
    <b:Tag>Lan66</b:Tag>
    <b:SourceType>JournalArticle</b:SourceType>
    <b:Guid>{1AC9DC60-ED0D-4CCC-A445-08559C271927}</b:Guid>
    <b:Author>
      <b:Author>
        <b:NameList>
          <b:Person>
            <b:Last>Lancaster</b:Last>
            <b:First>Kelvin</b:First>
            <b:Middle>J.</b:Middle>
          </b:Person>
        </b:NameList>
      </b:Author>
    </b:Author>
    <b:Title>A New Approach to Consumer Theory</b:Title>
    <b:Year>1966</b:Year>
    <b:Publisher>Chicago Journals</b:Publisher>
    <b:JournalName>The Journal of Political Economy</b:JournalName>
    <b:Pages>pp.132-157</b:Pages>
    <b:Volume>74</b:Volume>
    <b:Issue>2</b:Issue>
    <b:RefOrder>41</b:RefOrder>
  </b:Source>
  <b:Source>
    <b:Tag>McF01</b:Tag>
    <b:SourceType>JournalArticle</b:SourceType>
    <b:Guid>{4CE0EFFD-8AC6-4FFF-B323-1AAEE26107D6}</b:Guid>
    <b:Author>
      <b:Author>
        <b:NameList>
          <b:Person>
            <b:Last>McFadden</b:Last>
            <b:First>Daniel</b:First>
          </b:Person>
        </b:NameList>
      </b:Author>
    </b:Author>
    <b:Title>Economic Choices</b:Title>
    <b:JournalName>The American Economic Review</b:JournalName>
    <b:Year>2001</b:Year>
    <b:Pages>pp. 351-378</b:Pages>
    <b:Volume>91</b:Volume>
    <b:Issue>3</b:Issue>
    <b:RefOrder>42</b:RefOrder>
  </b:Source>
  <b:Source>
    <b:Tag>McF74</b:Tag>
    <b:SourceType>JournalArticle</b:SourceType>
    <b:Guid>{9AB2D9D0-AC4D-47ED-BC37-B3FEFAA82D2C}</b:Guid>
    <b:Author>
      <b:Author>
        <b:NameList>
          <b:Person>
            <b:Last>McFadden</b:Last>
            <b:First>Daniel</b:First>
          </b:Person>
        </b:NameList>
      </b:Author>
    </b:Author>
    <b:Title>Conditional logit analysis of qualitative choice behaviour</b:Title>
    <b:JournalName>Frontiers in Econometrics</b:JournalName>
    <b:Year>1974</b:Year>
    <b:Pages>pp.105-142</b:Pages>
    <b:Publisher>New York: Academic Press</b:Publisher>
    <b:RefOrder>91</b:RefOrder>
  </b:Source>
  <b:Source>
    <b:Tag>Man77</b:Tag>
    <b:SourceType>JournalArticle</b:SourceType>
    <b:Guid>{15853702-2CC0-4E68-A840-D3144B850C35}</b:Guid>
    <b:Author>
      <b:Author>
        <b:NameList>
          <b:Person>
            <b:Last>Manski</b:Last>
            <b:First>Charles</b:First>
            <b:Middle>F.</b:Middle>
          </b:Person>
        </b:NameList>
      </b:Author>
    </b:Author>
    <b:Title>The structure of random utility models</b:Title>
    <b:JournalName>Theory and decision</b:JournalName>
    <b:Year>1977</b:Year>
    <b:Pages>pp.229-254</b:Pages>
    <b:Volume>8</b:Volume>
    <b:Issue>3</b:Issue>
    <b:RefOrder>43</b:RefOrder>
  </b:Source>
  <b:Source>
    <b:Tag>Dan97</b:Tag>
    <b:SourceType>JournalArticle</b:SourceType>
    <b:Guid>{D63F1F28-D2C8-4F29-8809-AD2A5E428BBB}</b:Guid>
    <b:Author>
      <b:Author>
        <b:NameList>
          <b:Person>
            <b:Last>Daniels</b:Last>
            <b:First>N.</b:First>
          </b:Person>
          <b:Person>
            <b:Last>Sabin</b:Last>
            <b:First>JE.</b:First>
          </b:Person>
        </b:NameList>
      </b:Author>
    </b:Author>
    <b:Title>Limits to health care: fair procedures, democratic deliberation and the legitimacy problem for insurers.</b:Title>
    <b:JournalName>Philosophy and Public Affairs</b:JournalName>
    <b:Year>1997</b:Year>
    <b:Pages>pp.303-50</b:Pages>
    <b:Volume>26</b:Volume>
    <b:Issue>4</b:Issue>
    <b:RefOrder>92</b:RefOrder>
  </b:Source>
  <b:Source>
    <b:Tag>Dan98</b:Tag>
    <b:SourceType>JournalArticle</b:SourceType>
    <b:Guid>{D203E61E-5FDB-45CA-96AF-205DF818B27C}</b:Guid>
    <b:Author>
      <b:Author>
        <b:NameList>
          <b:Person>
            <b:Last>Daniels</b:Last>
            <b:First>N.</b:First>
          </b:Person>
          <b:Person>
            <b:Last>Sabin</b:Last>
            <b:First>J</b:First>
          </b:Person>
        </b:NameList>
      </b:Author>
    </b:Author>
    <b:Title>Ethics of accountability in managed care reform</b:Title>
    <b:JournalName>Health Affairs</b:JournalName>
    <b:Year>1998</b:Year>
    <b:Pages>pp.50-64</b:Pages>
    <b:Volume>17</b:Volume>
    <b:RefOrder>93</b:RefOrder>
  </b:Source>
  <b:Source>
    <b:Tag>Kap04</b:Tag>
    <b:SourceType>JournalArticle</b:SourceType>
    <b:Guid>{FE8487D4-89B9-4648-BDA2-32CBB8F17862}</b:Guid>
    <b:Author>
      <b:Author>
        <b:NameList>
          <b:Person>
            <b:Last>Kapiriri</b:Last>
            <b:First>Lydia</b:First>
          </b:Person>
          <b:Person>
            <b:Last>Norheim</b:Last>
            <b:First>Ole</b:First>
            <b:Middle>Frithjof</b:Middle>
          </b:Person>
        </b:NameList>
      </b:Author>
    </b:Author>
    <b:Title>Criteria for priority-setting in health care in Uganda: exploration of stakeholders’ values</b:Title>
    <b:JournalName>Bulletin of the World Health Organization</b:JournalName>
    <b:Year>2004</b:Year>
    <b:Pages>pp.172-9</b:Pages>
    <b:Volume>82</b:Volume>
    <b:Issue>3</b:Issue>
    <b:RefOrder>45</b:RefOrder>
  </b:Source>
  <b:Source>
    <b:Tag>Bae10</b:Tag>
    <b:SourceType>JournalArticle</b:SourceType>
    <b:Guid>{853E11E7-29AE-49B2-B7A0-EB2DE3A3C26C}</b:Guid>
    <b:Author>
      <b:Author>
        <b:NameList>
          <b:Person>
            <b:Last>Baeten</b:Last>
            <b:First>Stefan</b:First>
            <b:Middle>A.</b:Middle>
          </b:Person>
          <b:Person>
            <b:Last>Baltussen</b:Last>
            <b:First>Rob</b:First>
            <b:Middle>M.P.M.</b:Middle>
          </b:Person>
          <b:Person>
            <b:Last>Uyl-de Groot</b:Last>
            <b:First>Carin</b:First>
            <b:Middle>A.</b:Middle>
          </b:Person>
          <b:Person>
            <b:Last>Bridges</b:Last>
            <b:First>John</b:First>
          </b:Person>
          <b:Person>
            <b:Last>Niessen</b:Last>
            <b:First>Louis</b:First>
            <b:Middle>W.</b:Middle>
          </b:Person>
        </b:NameList>
      </b:Author>
    </b:Author>
    <b:Title>Incorporating Equity–Efficiency Interactions in Cost-Effectiveness Analysis—Three Approaches Applied toBreast Cancer Control</b:Title>
    <b:JournalName>Value in Health</b:JournalName>
    <b:Year>2010</b:Year>
    <b:Volume>13</b:Volume>
    <b:Issue>5</b:Issue>
    <b:RefOrder>47</b:RefOrder>
  </b:Source>
  <b:Source>
    <b:Tag>Noo07</b:Tag>
    <b:SourceType>JournalArticle</b:SourceType>
    <b:Guid>{95AC2073-3079-42BF-BBDF-5ABE9063CA46}</b:Guid>
    <b:Author>
      <b:Author>
        <b:NameList>
          <b:Person>
            <b:Last>Noordani</b:Last>
            <b:First>Hussein</b:First>
            <b:Middle>Z.</b:Middle>
          </b:Person>
          <b:Person>
            <b:Last>Husereau</b:Last>
            <b:First>Donald</b:First>
            <b:Middle>R.</b:Middle>
          </b:Person>
          <b:Person>
            <b:Last>Boudreau</b:Last>
            <b:First>Rhonda</b:First>
          </b:Person>
          <b:Person>
            <b:Last>Skidmore</b:Last>
            <b:First>Becky</b:First>
          </b:Person>
        </b:NameList>
      </b:Author>
    </b:Author>
    <b:Title>Priority setting for health technology assessments: A systematic review of current practical approaches</b:Title>
    <b:JournalName>International Journal of Technology Assessment in Health Care</b:JournalName>
    <b:Year>2007</b:Year>
    <b:Pages>pp. 310-315</b:Pages>
    <b:Volume>23</b:Volume>
    <b:Issue>3</b:Issue>
    <b:RefOrder>48</b:RefOrder>
  </b:Source>
  <b:Source>
    <b:Tag>Sto04</b:Tag>
    <b:SourceType>JournalArticle</b:SourceType>
    <b:Guid>{D8CB3E45-A2A5-48FE-86F6-4D272BF712FC}</b:Guid>
    <b:Author>
      <b:Author>
        <b:NameList>
          <b:Person>
            <b:Last>Stolk</b:Last>
            <b:First>Elly</b:First>
            <b:Middle>A.</b:Middle>
          </b:Person>
          <b:Person>
            <b:Last>van Donselaar</b:Last>
            <b:First>Gijs</b:First>
          </b:Person>
          <b:Person>
            <b:Last>Brouwer</b:Last>
            <b:First>Werner</b:First>
            <b:Middle>B.F.</b:Middle>
          </b:Person>
          <b:Person>
            <b:Last>Busschbach</b:Last>
            <b:First>Jan</b:First>
            <b:Middle>J.V.</b:Middle>
          </b:Person>
        </b:NameList>
      </b:Author>
    </b:Author>
    <b:Title>Reconciliation of Economic Concerns and Health Policy. Illustration of an Equity Adjustment Procedure Using Proportional Shortfall.</b:Title>
    <b:JournalName>Pharmaeconomics</b:JournalName>
    <b:Year>2004</b:Year>
    <b:Pages>1097-1107</b:Pages>
    <b:Volume>22</b:Volume>
    <b:Issue>17</b:Issue>
    <b:RefOrder>49</b:RefOrder>
  </b:Source>
  <b:Source>
    <b:Tag>Tsu99</b:Tag>
    <b:SourceType>JournalArticle</b:SourceType>
    <b:Guid>{9DA905ED-9E90-404D-8C13-427338FE4638}</b:Guid>
    <b:Author>
      <b:Author>
        <b:NameList>
          <b:Person>
            <b:Last>Tsuchiya</b:Last>
            <b:First>Aki</b:First>
          </b:Person>
        </b:NameList>
      </b:Author>
    </b:Author>
    <b:Title>Age-related preferences and age weighting health benefits.</b:Title>
    <b:JournalName>Social Science &amp; Medicine</b:JournalName>
    <b:Year>1999</b:Year>
    <b:Pages>pp. 267-276</b:Pages>
    <b:Volume>48</b:Volume>
    <b:RefOrder>50</b:RefOrder>
  </b:Source>
  <b:Source>
    <b:Tag>WHO01</b:Tag>
    <b:SourceType>Report</b:SourceType>
    <b:Guid>{DCC6E563-76C0-4DDC-A9BD-B2919B69FA22}</b:Guid>
    <b:Author>
      <b:Author>
        <b:NameList>
          <b:Person>
            <b:Last>Health</b:Last>
            <b:First>WHO</b:First>
            <b:Middle>Commission on Macroeconomics and</b:Middle>
          </b:Person>
        </b:NameList>
      </b:Author>
    </b:Author>
    <b:Title>Macroeconomics and health: investing in health for economic development. Report of the Commission on Macroeconomics and Health.</b:Title>
    <b:Year>2001</b:Year>
    <b:Publisher>World Health Organization</b:Publisher>
    <b:City>Geneva</b:City>
    <b:RefOrder>94</b:RefOrder>
  </b:Source>
  <b:Source>
    <b:Tag>McI00</b:Tag>
    <b:SourceType>JournalArticle</b:SourceType>
    <b:Guid>{26CA4F0F-2BFE-4BE1-A242-9A1168AC6684}</b:Guid>
    <b:Author>
      <b:Author>
        <b:NameList>
          <b:Person>
            <b:Last>McIntyre</b:Last>
            <b:First>Di</b:First>
          </b:Person>
          <b:Person>
            <b:Last>Gilson</b:Last>
            <b:First>Lucy</b:First>
          </b:Person>
        </b:NameList>
      </b:Author>
    </b:Author>
    <b:Title>Redressing Dis-advantage: Promoting Vertical Equity within South Africa.</b:Title>
    <b:Year>2000</b:Year>
    <b:Publisher>Kluwer Academic Publishers</b:Publisher>
    <b:JournalName>Health Care Analysis</b:JournalName>
    <b:Pages>pp. 235-258</b:Pages>
    <b:Volume>8</b:Volume>
    <b:RefOrder>51</b:RefOrder>
  </b:Source>
  <b:Source>
    <b:Tag>Jam05</b:Tag>
    <b:SourceType>JournalArticle</b:SourceType>
    <b:Guid>{75DC0ED7-8BF4-4300-B499-560B6CA90C89}</b:Guid>
    <b:Author>
      <b:Author>
        <b:NameList>
          <b:Person>
            <b:Last>James</b:Last>
            <b:First>Chris</b:First>
          </b:Person>
          <b:Person>
            <b:Last>Carrin</b:Last>
            <b:First>Guy</b:First>
          </b:Person>
          <b:Person>
            <b:Last>Savedoff</b:Last>
            <b:First>William</b:First>
          </b:Person>
          <b:Person>
            <b:Last>Hanvoravongchai</b:Last>
            <b:First>Piya</b:First>
          </b:Person>
        </b:NameList>
      </b:Author>
    </b:Author>
    <b:Title>Clarifying Efficiency-Equity Tradeoffs Through Explicit Criteria, With a Focus on Developing Countries</b:Title>
    <b:JournalName>Health Care Analysis</b:JournalName>
    <b:Year>2005</b:Year>
    <b:Volume>13</b:Volume>
    <b:Issue>1</b:Issue>
    <b:RefOrder>52</b:RefOrder>
  </b:Source>
  <b:Source>
    <b:Tag>Lou00</b:Tag>
    <b:SourceType>Book</b:SourceType>
    <b:Guid>{36BF9F47-C36C-47D5-B7DB-0CAC70C8D54C}</b:Guid>
    <b:Author>
      <b:Author>
        <b:NameList>
          <b:Person>
            <b:Last>Louviere</b:Last>
            <b:First>J.J.</b:First>
          </b:Person>
          <b:Person>
            <b:Last>Hensher</b:Last>
            <b:First>D.A.</b:First>
          </b:Person>
          <b:Person>
            <b:Last>Swait</b:Last>
            <b:First>J.D.</b:First>
          </b:Person>
        </b:NameList>
      </b:Author>
    </b:Author>
    <b:Title>Stated choice methods: analysis and applications.</b:Title>
    <b:Year>2000</b:Year>
    <b:City>Cambridge</b:City>
    <b:Publisher>Cambridge University Press</b:Publisher>
    <b:RefOrder>53</b:RefOrder>
  </b:Source>
  <b:Source>
    <b:Tag>Hub96</b:Tag>
    <b:SourceType>JournalArticle</b:SourceType>
    <b:Guid>{E13C5447-D08A-43BF-A0EF-0544A809EBC0}</b:Guid>
    <b:Author>
      <b:Author>
        <b:NameList>
          <b:Person>
            <b:Last>Huber</b:Last>
            <b:First>J.</b:First>
          </b:Person>
          <b:Person>
            <b:Last>Zwerina</b:Last>
            <b:First>K.</b:First>
          </b:Person>
        </b:NameList>
      </b:Author>
    </b:Author>
    <b:Title>The importance of utility balance in efficient choice designs.</b:Title>
    <b:Year>1996</b:Year>
    <b:JournalName>Journal of Marketing Research</b:JournalName>
    <b:Pages>307-317</b:Pages>
    <b:Volume>vol.73</b:Volume>
    <b:RefOrder>54</b:RefOrder>
  </b:Source>
  <b:Source>
    <b:Tag>Lou01</b:Tag>
    <b:SourceType>Report</b:SourceType>
    <b:Guid>{766111A4-13B9-421E-A65F-C034952A8294}</b:Guid>
    <b:Author>
      <b:Author>
        <b:NameList>
          <b:Person>
            <b:Last>Louviere</b:Last>
            <b:First>J.J.</b:First>
          </b:Person>
        </b:NameList>
      </b:Author>
    </b:Author>
    <b:Title>Choice experiments: an overview of concepts and issues. In: The Choice Modelling Approach to Enviromental Valuation.</b:Title>
    <b:Year>2001</b:Year>
    <b:Pages>pp. 13-36</b:Pages>
    <b:City>Northhampton</b:City>
    <b:Publisher>Bennet J. &amp; Blamey R. </b:Publisher>
    <b:RefOrder>95</b:RefOrder>
  </b:Source>
  <b:Source>
    <b:Tag>Hen</b:Tag>
    <b:SourceType>Book</b:SourceType>
    <b:Guid>{717C4888-2E6B-4540-A2FE-3D89854AF2CD}</b:Guid>
    <b:Author>
      <b:Author>
        <b:NameList>
          <b:Person>
            <b:Last>Hensher</b:Last>
            <b:First>David</b:First>
            <b:Middle>A.</b:Middle>
          </b:Person>
          <b:Person>
            <b:Last>Rose</b:Last>
            <b:First>John</b:First>
            <b:Middle>M.</b:Middle>
          </b:Person>
          <b:Person>
            <b:Last>Green</b:Last>
            <b:First>William</b:First>
            <b:Middle>H.</b:Middle>
          </b:Person>
        </b:NameList>
      </b:Author>
    </b:Author>
    <b:Title>Applied Choice Analysis: A primer</b:Title>
    <b:Year>2005</b:Year>
    <b:Publisher>Cambridge University Press</b:Publisher>
    <b:RefOrder>55</b:RefOrder>
  </b:Source>
  <b:Source>
    <b:Tag>McF00</b:Tag>
    <b:SourceType>JournalArticle</b:SourceType>
    <b:Guid>{5F74C2EB-85F4-4267-A4C4-6D7008DD1A03}</b:Guid>
    <b:Author>
      <b:Author>
        <b:NameList>
          <b:Person>
            <b:Last>McFadden</b:Last>
            <b:First>D.</b:First>
          </b:Person>
          <b:Person>
            <b:Last>Train</b:Last>
            <b:First>K.</b:First>
          </b:Person>
        </b:NameList>
      </b:Author>
    </b:Author>
    <b:Title>Mixed MNL models for discrete response.</b:Title>
    <b:Year>2000</b:Year>
    <b:JournalName>Journal of Applied Econometrics</b:JournalName>
    <b:Pages>pp.447-470</b:Pages>
    <b:Volume>15</b:Volume>
    <b:RefOrder>56</b:RefOrder>
  </b:Source>
  <b:Source>
    <b:Tag>Lan07</b:Tag>
    <b:SourceType>JournalArticle</b:SourceType>
    <b:Guid>{BAD79C4C-37A5-48D1-8D3E-861C28482EB5}</b:Guid>
    <b:Author>
      <b:Author>
        <b:NameList>
          <b:Person>
            <b:Last>Lanscar</b:Last>
            <b:First>Emily</b:First>
          </b:Person>
          <b:Person>
            <b:Last>Louviere</b:Last>
            <b:First>Jordan</b:First>
          </b:Person>
          <b:Person>
            <b:Last>Flynn</b:Last>
            <b:First>Terry</b:First>
          </b:Person>
        </b:NameList>
      </b:Author>
    </b:Author>
    <b:Title>Several methods to investigate relative attribute impact in stated preference experiments</b:Title>
    <b:JournalName>Social Science &amp; Medicine</b:JournalName>
    <b:Year>2007</b:Year>
    <b:Pages>1738–1753</b:Pages>
    <b:Volume>64</b:Volume>
    <b:RefOrder>57</b:RefOrder>
  </b:Source>
  <b:Source>
    <b:Tag>Lan</b:Tag>
    <b:SourceType>Report</b:SourceType>
    <b:Guid>{56BA272F-7956-449B-80C1-90993703569E}</b:Guid>
    <b:Author>
      <b:Author>
        <b:NameList>
          <b:Person>
            <b:Last>Lancsar</b:Last>
            <b:First>E.</b:First>
          </b:Person>
        </b:NameList>
      </b:Author>
    </b:Author>
    <b:Title>Deriving welfare measures from stated preference discrete choice modelling experiments.</b:Title>
    <b:Year>2002</b:Year>
    <b:City>Sydney</b:City>
    <b:ThesisType>Discussion Paper</b:ThesisType>
    <b:Department>Centre for Health Economics Research &amp; Evaluation </b:Department>
    <b:Institution>University of Technology</b:Institution>
    <b:StandardNumber>48</b:StandardNumber>
    <b:RefOrder>58</b:RefOrder>
  </b:Source>
  <b:Source>
    <b:Tag>Lou04</b:Tag>
    <b:SourceType>Report</b:SourceType>
    <b:Guid>{2169C76D-AA7C-4AF6-B99F-52CB0F02B27F}</b:Guid>
    <b:Author>
      <b:Author>
        <b:NameList>
          <b:Person>
            <b:Last>Louviere</b:Last>
            <b:First>J.J.</b:First>
          </b:Person>
          <b:Person>
            <b:Last>Islam</b:Last>
            <b:First>T.</b:First>
          </b:Person>
        </b:NameList>
      </b:Author>
    </b:Author>
    <b:Title>A comparison of importance weights/measures derived from choice-based conjoint, constant sum scales and best– worst scaling.</b:Title>
    <b:Year>2004</b:Year>
    <b:City>Sydney</b:City>
    <b:ThesisType>Working Paper</b:ThesisType>
    <b:Department>CenSoC</b:Department>
    <b:Institution>University of Technology</b:Institution>
    <b:RefOrder>96</b:RefOrder>
  </b:Source>
  <b:Source>
    <b:Tag>Alw10</b:Tag>
    <b:SourceType>Report</b:SourceType>
    <b:Guid>{59D1BA21-1645-44FE-9B50-32A078F40760}</b:Guid>
    <b:Author>
      <b:Author>
        <b:NameList>
          <b:Person>
            <b:Last>Alwan</b:Last>
            <b:First>A.</b:First>
          </b:Person>
          <b:Person>
            <b:Last>Armstrong</b:Last>
            <b:First>T.</b:First>
          </b:Person>
          <b:Person>
            <b:Last>Bettcher</b:Last>
            <b:First>D.</b:First>
          </b:Person>
          <b:Person>
            <b:Last>Branca</b:Last>
            <b:First>F.</b:First>
          </b:Person>
          <b:Person>
            <b:Last>Chisholm</b:Last>
            <b:First>D.</b:First>
          </b:Person>
          <b:Person>
            <b:Last>Ezzati</b:Last>
            <b:First>M.</b:First>
          </b:Person>
          <b:Person>
            <b:Last>Garfield</b:Last>
            <b:First>R.</b:First>
          </b:Person>
          <b:Person>
            <b:Last>MacLean</b:Last>
            <b:First>D.</b:First>
          </b:Person>
          <b:Person>
            <b:Last>Mathers</b:Last>
            <b:First>C.</b:First>
          </b:Person>
          <b:Person>
            <b:Last>Mendis</b:Last>
            <b:First>C.</b:First>
          </b:Person>
          <b:Person>
            <b:Last>Poznyak</b:Last>
            <b:First>V.</b:First>
          </b:Person>
          <b:Person>
            <b:Last>Riley</b:Last>
            <b:First>L.</b:First>
          </b:Person>
          <b:Person>
            <b:Last>Tang</b:Last>
            <b:First>KC</b:First>
          </b:Person>
          <b:Person>
            <b:Last>Wild</b:Last>
            <b:First>C.</b:First>
          </b:Person>
        </b:NameList>
      </b:Author>
    </b:Author>
    <b:Title>Global status report on noncommunicable diseases 2010</b:Title>
    <b:Year>2010</b:Year>
    <b:Publisher>World Health Organization</b:Publisher>
    <b:City>Geneva</b:City>
    <b:StandardNumber>ISBN: 978 92 4 156422 9</b:StandardNumber>
    <b:RefOrder>59</b:RefOrder>
  </b:Source>
  <b:Source>
    <b:Tag>WHO08</b:Tag>
    <b:SourceType>Report</b:SourceType>
    <b:Guid>{DD342701-DE63-4CDF-A8A3-3C95C50CF0C9}</b:Guid>
    <b:Author>
      <b:Author>
        <b:NameList>
          <b:Person>
            <b:Last>WHO</b:Last>
          </b:Person>
        </b:NameList>
      </b:Author>
    </b:Author>
    <b:Title>2008-2013 Action plan for the global strategy for prevention and control of noncommunicable diseases</b:Title>
    <b:Year>2008</b:Year>
    <b:Publisher>World Health Organization</b:Publisher>
    <b:City>Geneva</b:City>
    <b:StandardNumber>ISBN: 978 92 4 159741 8</b:StandardNumber>
    <b:RefOrder>97</b:RefOrder>
  </b:Source>
  <b:Source>
    <b:Tag>Lop06</b:Tag>
    <b:SourceType>Book</b:SourceType>
    <b:Guid>{ABC78841-1542-49AB-AD6C-6AD832F870CE}</b:Guid>
    <b:Author>
      <b:Author>
        <b:NameList>
          <b:Person>
            <b:Last>Lopez</b:Last>
            <b:First>A.</b:First>
          </b:Person>
          <b:Person>
            <b:Last>Mathers</b:Last>
            <b:First>CD</b:First>
          </b:Person>
          <b:Person>
            <b:Last>Ezzati</b:Last>
            <b:First>M.</b:First>
          </b:Person>
          <b:Person>
            <b:Last>Jamison</b:Last>
            <b:First>DT</b:First>
          </b:Person>
          <b:Person>
            <b:Last>Murray</b:Last>
            <b:First>CJL</b:First>
          </b:Person>
        </b:NameList>
      </b:Author>
    </b:Author>
    <b:Title>Global burden of disease and risk factors</b:Title>
    <b:Year>2006</b:Year>
    <b:Publisher>Oxford University Press</b:Publisher>
    <b:City>New York</b:City>
    <b:RefOrder>60</b:RefOrder>
  </b:Source>
  <b:Source>
    <b:Tag>Chi04</b:Tag>
    <b:SourceType>JournalArticle</b:SourceType>
    <b:Guid>{C1B45D28-C6F1-4245-92F6-8A6071CB4016}</b:Guid>
    <b:Author>
      <b:Author>
        <b:NameList>
          <b:Person>
            <b:Last>Chisholm</b:Last>
            <b:First>D.</b:First>
          </b:Person>
          <b:Person>
            <b:Last>Sanderson</b:Last>
            <b:First>K.</b:First>
          </b:Person>
          <b:Person>
            <b:Last>Ayuso-Mateos</b:Last>
            <b:First>JL</b:First>
          </b:Person>
          <b:Person>
            <b:Last>Saxena</b:Last>
            <b:First>S.</b:First>
          </b:Person>
        </b:NameList>
      </b:Author>
    </b:Author>
    <b:Title>Reducing the burden of depression: a population-level analysis of intervention cost-effectiveness in 14 epidemiologically-defined sub-regions (WHO CHOICE)</b:Title>
    <b:Year>2004</b:Year>
    <b:JournalName>British Journal of Psychiatry</b:JournalName>
    <b:Pages>393-403</b:Pages>
    <b:Volume>184</b:Volume>
    <b:RefOrder>61</b:RefOrder>
  </b:Source>
  <b:Source>
    <b:Tag>Wik</b:Tag>
    <b:SourceType>InternetSite</b:SourceType>
    <b:Guid>{C3F006A4-5AD7-4DB9-B10C-90BCE3EDBF79}</b:Guid>
    <b:Author>
      <b:Author>
        <b:NameList>
          <b:Person>
            <b:Last>Wikipedia</b:Last>
          </b:Person>
        </b:NameList>
      </b:Author>
    </b:Author>
    <b:Title>Bayesian Information Criterion </b:Title>
    <b:URL>http://en.wikipedia.org/wiki/Bayesian_information_criterion</b:URL>
    <b:RefOrder>98</b:RefOrder>
  </b:Source>
  <b:Source>
    <b:Tag>Har97</b:Tag>
    <b:SourceType>JournalArticle</b:SourceType>
    <b:Guid>{9E895EFD-96C1-4823-BA5A-952799B1B1F5}</b:Guid>
    <b:Author>
      <b:Author>
        <b:NameList>
          <b:Person>
            <b:Last>Harris</b:Last>
            <b:First>AC</b:First>
          </b:Person>
          <b:Person>
            <b:Last>Barraclough</b:Last>
            <b:First>B.</b:First>
          </b:Person>
        </b:NameList>
      </b:Author>
    </b:Author>
    <b:Title>Suicide as an outcome for mental disorders: a meta-analysis</b:Title>
    <b:Year>1997</b:Year>
    <b:JournalName>British Journal of Psychiatry</b:JournalName>
    <b:Pages>105-228</b:Pages>
    <b:Volume>170</b:Volume>
    <b:RefOrder>63</b:RefOrder>
  </b:Source>
  <b:Source>
    <b:Tag>Haw09</b:Tag>
    <b:SourceType>JournalArticle</b:SourceType>
    <b:Guid>{5D9E5D5F-86EC-4404-903E-646AFE9F8A5D}</b:Guid>
    <b:Author>
      <b:Author>
        <b:NameList>
          <b:Person>
            <b:Last>Hawton</b:Last>
            <b:First>K.</b:First>
          </b:Person>
          <b:Person>
            <b:Last>van Heeringen</b:Last>
            <b:First>K.</b:First>
          </b:Person>
        </b:NameList>
      </b:Author>
    </b:Author>
    <b:Title>Suicide</b:Title>
    <b:JournalName>Lancet</b:JournalName>
    <b:Year>2009</b:Year>
    <b:Pages>1372-1381</b:Pages>
    <b:Volume>373</b:Volume>
    <b:RefOrder>64</b:RefOrder>
  </b:Source>
  <b:Source>
    <b:Tag>Dav10</b:Tag>
    <b:SourceType>JournalArticle</b:SourceType>
    <b:Guid>{44416105-173F-44F4-AFFB-95B25138877E}</b:Guid>
    <b:Author>
      <b:Author>
        <b:NameList>
          <b:Person>
            <b:Last>Davidson</b:Last>
            <b:First>JRT.</b:First>
          </b:Person>
        </b:NameList>
      </b:Author>
    </b:Author>
    <b:Title>Major depressive disorder treatment guidelines in America and Europe</b:Title>
    <b:JournalName>Journal of Clinical Psychiatry</b:JournalName>
    <b:Year>2010</b:Year>
    <b:Volume>71</b:Volume>
    <b:RefOrder>65</b:RefOrder>
  </b:Source>
  <b:Source>
    <b:Tag>Cru12</b:Tag>
    <b:SourceType>JournalArticle</b:SourceType>
    <b:Guid>{86BEA7EC-2B55-45E5-BA26-97D01DC938D2}</b:Guid>
    <b:Author>
      <b:Author>
        <b:NameList>
          <b:Person>
            <b:Last>Cruz</b:Last>
            <b:First>Inés</b:First>
          </b:Person>
          <b:Person>
            <b:Last>Serna</b:Last>
            <b:First>Catalina</b:First>
          </b:Person>
          <b:Person>
            <b:Last>Rué</b:Last>
            <b:First>Montserrat</b:First>
          </b:Person>
          <b:Person>
            <b:Last>Real</b:Last>
            <b:First>Jordi</b:First>
          </b:Person>
          <b:Person>
            <b:Last>Soler-Gonzalez</b:Last>
            <b:First>Jorge</b:First>
          </b:Person>
          <b:Person>
            <b:Last>Galván</b:Last>
            <b:First>Leondardo</b:First>
          </b:Person>
        </b:NameList>
      </b:Author>
    </b:Author>
    <b:Title>Duration and compliance with antidepressant treatment in immigrant and native-born populations in Spain: a four year follow-up descriptive study</b:Title>
    <b:JournalName>BMC Public Health</b:JournalName>
    <b:Year>2012</b:Year>
    <b:RefOrder>66</b:RefOrder>
  </b:Source>
  <b:Source>
    <b:Tag>Wan07</b:Tag>
    <b:SourceType>JournalArticle</b:SourceType>
    <b:Guid>{AD75AFA6-E22E-452B-9853-8C80BEA7CC47}</b:Guid>
    <b:Author>
      <b:Author>
        <b:NameList>
          <b:Person>
            <b:Last>Wang</b:Last>
            <b:First>PS</b:First>
          </b:Person>
          <b:Person>
            <b:Last>Aguilar-Gaxiola</b:Last>
            <b:First>S.</b:First>
          </b:Person>
          <b:Person>
            <b:Last>Alonso</b:Last>
            <b:First>J.</b:First>
          </b:Person>
          <b:Person>
            <b:Last>Angermeyer</b:Last>
            <b:First>MC</b:First>
          </b:Person>
          <b:Person>
            <b:Last>Borges</b:Last>
            <b:First>G.</b:First>
          </b:Person>
          <b:Person>
            <b:Last>Bromet</b:Last>
            <b:First>EJ</b:First>
          </b:Person>
          <b:Person>
            <b:Last>Bruffaerts</b:Last>
            <b:First>R.</b:First>
          </b:Person>
          <b:Person>
            <b:Last>de Girolamo</b:Last>
            <b:First>G.</b:First>
          </b:Person>
          <b:Person>
            <b:Last>de Graaf</b:Last>
            <b:First>R.</b:First>
          </b:Person>
          <b:Person>
            <b:Last>Gureje</b:Last>
            <b:First>O.</b:First>
          </b:Person>
          <b:Person>
            <b:Last>Haro</b:Last>
            <b:First>JM</b:First>
          </b:Person>
          <b:Person>
            <b:Last>Karam</b:Last>
            <b:First>EG</b:First>
          </b:Person>
          <b:Person>
            <b:Last>Kessler</b:Last>
            <b:First>RC</b:First>
          </b:Person>
          <b:Person>
            <b:Last>Kovess</b:Last>
            <b:First>V</b:First>
          </b:Person>
          <b:Person>
            <b:Last>Lane</b:Last>
            <b:First>MC</b:First>
          </b:Person>
          <b:Person>
            <b:Last>Lee</b:Last>
            <b:First>S.</b:First>
          </b:Person>
          <b:Person>
            <b:Last>Levinson</b:Last>
            <b:First>D.</b:First>
          </b:Person>
          <b:Person>
            <b:Last>Ono</b:Last>
            <b:First>Y.</b:First>
          </b:Person>
          <b:Person>
            <b:Last>Petukhova</b:Last>
            <b:First>M.</b:First>
          </b:Person>
          <b:Person>
            <b:Last>Posada-Villa</b:Last>
            <b:First>J.</b:First>
          </b:Person>
          <b:Person>
            <b:Last>Seedat</b:Last>
            <b:First>S.</b:First>
          </b:Person>
          <b:Person>
            <b:Last>Wells</b:Last>
            <b:First>JE</b:First>
          </b:Person>
        </b:NameList>
      </b:Author>
    </b:Author>
    <b:Title>Worldwide use of mental health services for anxiety, mood, and substance disorders in 17 countries in the WHO World Mental Health (WMH) Surveys</b:Title>
    <b:JournalName>Lancet</b:JournalName>
    <b:Year>2007</b:Year>
    <b:Pages>841-50</b:Pages>
    <b:Volume>370</b:Volume>
    <b:RefOrder>67</b:RefOrder>
  </b:Source>
  <b:Source>
    <b:Tag>Eur13</b:Tag>
    <b:SourceType>Report</b:SourceType>
    <b:Guid>{66149BF7-E8CE-4A54-A4CB-9C121D7FD49B}</b:Guid>
    <b:Author>
      <b:Author>
        <b:NameList>
          <b:Person>
            <b:Last>Commission</b:Last>
            <b:First>European</b:First>
          </b:Person>
        </b:NameList>
      </b:Author>
    </b:Author>
    <b:Title>Council Reccomendation on Spain’s 2013 national reform programme and delivering a Council opinion on Spain’s stability programme for 2012-2016</b:Title>
    <b:Year>2013</b:Year>
    <b:City>Brussels</b:City>
    <b:RefOrder>99</b:RefOrder>
  </b:Source>
  <b:Source>
    <b:Tag>Ref13</b:Tag>
    <b:SourceType>InternetSite</b:SourceType>
    <b:Guid>{13FDA301-B47D-46E8-B0A8-940B66879400}</b:Guid>
    <b:Title>Reforma Sanidad </b:Title>
    <b:Year>2013</b:Year>
    <b:URL>http://www.msssi.gob.es/en/gabinetePrensa/reformaSanidad/claves.htm</b:URL>
    <b:RefOrder>68</b:RefOrder>
  </b:Source>
  <b:Source>
    <b:Tag>Sal10</b:Tag>
    <b:SourceType>JournalArticle</b:SourceType>
    <b:Guid>{B43EF0B8-907D-46F1-9F41-2305FD0FE283}</b:Guid>
    <b:Author>
      <b:Author>
        <b:NameList>
          <b:Person>
            <b:Last>Salvador-Carulla</b:Last>
            <b:First>L.</b:First>
          </b:Person>
          <b:Person>
            <b:Last>Costa-Font</b:Last>
            <b:First>J.</b:First>
          </b:Person>
          <b:Person>
            <b:Last>Cabases</b:Last>
            <b:First>J.</b:First>
          </b:Person>
          <b:Person>
            <b:Last>McDaid</b:Last>
            <b:First>D.</b:First>
          </b:Person>
          <b:Person>
            <b:Last>Alonso</b:Last>
            <b:First>J.</b:First>
          </b:Person>
        </b:NameList>
      </b:Author>
    </b:Author>
    <b:Title>Evaluating mental health care and policy in Spain</b:Title>
    <b:Year>2010</b:Year>
    <b:JournalName>The Journal of Mental Health Policy and Economics</b:JournalName>
    <b:Pages>pp. 73-86</b:Pages>
    <b:Volume>13</b:Volume>
    <b:Issue>2</b:Issue>
    <b:RefOrder>69</b:RefOrder>
  </b:Source>
  <b:Source>
    <b:Tag>Cos09</b:Tag>
    <b:SourceType>JournalArticle</b:SourceType>
    <b:Guid>{6262B9DE-6399-439E-8621-17DBF37AE77C}</b:Guid>
    <b:Author>
      <b:Author>
        <b:NameList>
          <b:Person>
            <b:Last>Costa-Font</b:Last>
            <b:First>J.</b:First>
          </b:Person>
          <b:Person>
            <b:Last>Cabases Hita</b:Last>
            <b:First>J.</b:First>
          </b:Person>
          <b:Person>
            <b:Last>Alonso</b:Last>
            <b:First>J.</b:First>
          </b:Person>
          <b:Person>
            <b:Last>Salvador-Carulla</b:Last>
            <b:First>L.</b:First>
          </b:Person>
          <b:Person>
            <b:Last>McDaid</b:Last>
            <b:First>D.</b:First>
          </b:Person>
        </b:NameList>
      </b:Author>
    </b:Author>
    <b:Title>New and old challenges in the reform of mental health systems in Spain</b:Title>
    <b:JournalName>Eurohealth</b:JournalName>
    <b:Year>2009</b:Year>
    <b:Pages>pp. 14-18</b:Pages>
    <b:Volume>14</b:Volume>
    <b:RefOrder>70</b:RefOrder>
  </b:Source>
  <b:Source>
    <b:Tag>Cal11</b:Tag>
    <b:SourceType>Report</b:SourceType>
    <b:Guid>{C1E817CF-B816-4C2A-84BE-C86BE4B0DB04}</b:Guid>
    <b:Author>
      <b:Author>
        <b:NameList>
          <b:Person>
            <b:Last>Caldas de Almeida</b:Last>
            <b:First>J.M.</b:First>
          </b:Person>
          <b:Person>
            <b:Last>Killaspy</b:Last>
            <b:First>Helen</b:First>
          </b:Person>
        </b:NameList>
      </b:Author>
    </b:Author>
    <b:Title>Long-term Mental Health Care for People with Severe Mental Disorders</b:Title>
    <b:Year>2011</b:Year>
    <b:Publisher>European Commission</b:Publisher>
    <b:RefOrder>71</b:RefOrder>
  </b:Source>
  <b:Source>
    <b:Tag>Alo07</b:Tag>
    <b:SourceType>JournalArticle</b:SourceType>
    <b:Guid>{45891FBB-C5AC-4E91-9ED5-AFC2A6E84D91}</b:Guid>
    <b:Author>
      <b:Author>
        <b:NameList>
          <b:Person>
            <b:Last>Alonso</b:Last>
            <b:First>J.</b:First>
          </b:Person>
          <b:Person>
            <b:Last>Codony</b:Last>
            <b:First>M.</b:First>
          </b:Person>
          <b:Person>
            <b:Last>Kovess</b:Last>
            <b:First>V.</b:First>
          </b:Person>
          <b:Person>
            <b:Last>Angermeyer</b:Last>
            <b:First>M.C.</b:First>
          </b:Person>
          <b:Person>
            <b:Last>Katz</b:Last>
            <b:First>S.J.</b:First>
          </b:Person>
          <b:Person>
            <b:Last>Haro</b:Last>
            <b:First>J.M.</b:First>
          </b:Person>
          <b:Person>
            <b:Last>De Girolamo</b:Last>
            <b:First>G.</b:First>
          </b:Person>
          <b:Person>
            <b:Last>De Graaf</b:Last>
            <b:First>R.</b:First>
          </b:Person>
          <b:Person>
            <b:Last>Demyttenaere</b:Last>
            <b:First>K.</b:First>
          </b:Person>
          <b:Person>
            <b:Last>Vilagut</b:Last>
            <b:First>G.</b:First>
          </b:Person>
          <b:Person>
            <b:Last>Almansa</b:Last>
            <b:First>J.</b:First>
          </b:Person>
          <b:Person>
            <b:Last>Pierre Lepine</b:Last>
            <b:First>J.</b:First>
          </b:Person>
          <b:Person>
            <b:Last>Brugha</b:Last>
            <b:First>T.S.</b:First>
          </b:Person>
        </b:NameList>
      </b:Author>
    </b:Author>
    <b:Title>Population levelof unmet need for mental health in Europe</b:Title>
    <b:Year>2007</b:Year>
    <b:JournalName>British Journal of Psychiatry</b:JournalName>
    <b:Pages>pp. 299-306</b:Pages>
    <b:Volume>190</b:Volume>
    <b:RefOrder>72</b:RefOrder>
  </b:Source>
  <b:Source>
    <b:Tag>Gui05</b:Tag>
    <b:SourceType>JournalArticle</b:SourceType>
    <b:Guid>{8FDE17E1-55E1-4216-A43F-FDB87B906249}</b:Guid>
    <b:Author>
      <b:Author>
        <b:NameList>
          <b:Person>
            <b:Last>Lopez-Casasnovas</b:Last>
            <b:First>Guillem</b:First>
          </b:Person>
          <b:Person>
            <b:Last>Costa-Font</b:Last>
            <b:First>Joan</b:First>
          </b:Person>
          <b:Person>
            <b:Last>Planasa</b:Last>
            <b:First>Ivan</b:First>
          </b:Person>
        </b:NameList>
      </b:Author>
    </b:Author>
    <b:Title>Diversity and regional inequalities in the Spanish ‘system of health services'</b:Title>
    <b:JournalName>Health Economics</b:JournalName>
    <b:Year>2005</b:Year>
    <b:Pages>S221–S235</b:Pages>
    <b:Publisher>www.interscience.wiley.com</b:Publisher>
    <b:Issue>14</b:Issue>
    <b:RefOrder>5</b:RefOrder>
  </b:Source>
  <b:Source>
    <b:Tag>Che08</b:Tag>
    <b:SourceType>JournalArticle</b:SourceType>
    <b:Guid>{91CE1176-379C-432D-9141-3BA7EA245973}</b:Guid>
    <b:Author>
      <b:Author>
        <b:NameList>
          <b:Person>
            <b:Last>Chen</b:Last>
            <b:First>Jiahua</b:First>
          </b:Person>
        </b:NameList>
      </b:Author>
    </b:Author>
    <b:Title>Extended Bayesian Information Criteria for model selection with large model spaces</b:Title>
    <b:JournalName>Biometrika</b:JournalName>
    <b:Year>2008</b:Year>
    <b:Pages>pp. 759-771</b:Pages>
    <b:Publisher>Oxford Journals, Life Sciences &amp; Mathematics &amp; Physical Sciences</b:Publisher>
    <b:Volume>95</b:Volume>
    <b:Issue>3</b:Issue>
    <b:RefOrder>62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68DFC4-83C8-4EC2-B042-1122CAFDE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30011</Words>
  <Characters>171069</Characters>
  <Application>Microsoft Office Word</Application>
  <DocSecurity>0</DocSecurity>
  <Lines>1425</Lines>
  <Paragraphs>401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Priority setting in the Spanish health system: A discrete choice experiment discussing mental health</vt:lpstr>
      <vt:lpstr>Priority setting in the Spanish health system: A discrete choice experiment discussing mental health</vt:lpstr>
    </vt:vector>
  </TitlesOfParts>
  <Company>Agni Baka</Company>
  <LinksUpToDate>false</LinksUpToDate>
  <CharactersWithSpaces>200679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Priority setting in the Spanish health system: A discrete choice experiment discussing mental health</dc:title>
  <dc:creator>Supervised by Francesco Paolucci</dc:creator>
  <cp:lastModifiedBy>Nita Ramsaransing</cp:lastModifiedBy>
  <cp:revision>2</cp:revision>
  <dcterms:created xsi:type="dcterms:W3CDTF">2013-09-25T05:59:00Z</dcterms:created>
  <dcterms:modified xsi:type="dcterms:W3CDTF">2013-09-25T05:59:00Z</dcterms:modified>
</cp:coreProperties>
</file>