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28" w:rsidRPr="004A7562" w:rsidRDefault="00AE7828" w:rsidP="00AE7828">
      <w:pPr>
        <w:rPr>
          <w:rFonts w:ascii="Times New Roman" w:hAnsi="Times New Roman" w:cs="Times New Roman"/>
          <w:sz w:val="22"/>
          <w:szCs w:val="22"/>
          <w:lang w:val="en-US"/>
        </w:rPr>
      </w:pPr>
      <w:r w:rsidRPr="004A7562">
        <w:rPr>
          <w:rFonts w:ascii="Times New Roman" w:hAnsi="Times New Roman" w:cs="Times New Roman"/>
          <w:sz w:val="22"/>
          <w:szCs w:val="22"/>
          <w:lang w:val="en-US"/>
        </w:rPr>
        <w:t>ERASMUS UNIVERSIT</w:t>
      </w:r>
      <w:r w:rsidR="00DC471B">
        <w:rPr>
          <w:rFonts w:ascii="Times New Roman" w:hAnsi="Times New Roman" w:cs="Times New Roman"/>
          <w:sz w:val="22"/>
          <w:szCs w:val="22"/>
          <w:lang w:val="en-US"/>
        </w:rPr>
        <w:t>Y ROTTERDAM</w:t>
      </w:r>
      <w:r w:rsidR="00DC471B">
        <w:rPr>
          <w:rFonts w:ascii="Times New Roman" w:hAnsi="Times New Roman" w:cs="Times New Roman"/>
          <w:sz w:val="22"/>
          <w:szCs w:val="22"/>
          <w:lang w:val="en-US"/>
        </w:rPr>
        <w:br/>
        <w:t>SCHOOL OF ECONOMICS</w:t>
      </w:r>
      <w:r w:rsidRPr="004A7562">
        <w:rPr>
          <w:rFonts w:ascii="Times New Roman" w:hAnsi="Times New Roman" w:cs="Times New Roman"/>
          <w:sz w:val="22"/>
          <w:szCs w:val="22"/>
          <w:lang w:val="en-US"/>
        </w:rPr>
        <w:br/>
        <w:t>SECTION ACCOUNTING, AUDITING AND CONTROL</w:t>
      </w:r>
    </w:p>
    <w:p w:rsidR="00AE7828" w:rsidRPr="004A7562" w:rsidRDefault="00AE7828" w:rsidP="00AE7828">
      <w:pPr>
        <w:rPr>
          <w:rFonts w:ascii="Times New Roman" w:hAnsi="Times New Roman" w:cs="Times New Roman"/>
          <w:sz w:val="22"/>
          <w:szCs w:val="22"/>
          <w:lang w:val="en-US"/>
        </w:rPr>
      </w:pPr>
    </w:p>
    <w:p w:rsidR="00AE7828" w:rsidRDefault="00AE7828" w:rsidP="00AE7828">
      <w:pPr>
        <w:rPr>
          <w:rFonts w:ascii="Times New Roman" w:hAnsi="Times New Roman" w:cs="Times New Roman"/>
          <w:sz w:val="22"/>
          <w:szCs w:val="22"/>
          <w:lang w:val="en-US"/>
        </w:rPr>
      </w:pPr>
    </w:p>
    <w:p w:rsidR="004A7562" w:rsidRDefault="004A7562" w:rsidP="00AE7828">
      <w:pPr>
        <w:rPr>
          <w:rFonts w:ascii="Times New Roman" w:hAnsi="Times New Roman" w:cs="Times New Roman"/>
          <w:sz w:val="22"/>
          <w:szCs w:val="22"/>
          <w:lang w:val="en-US"/>
        </w:rPr>
      </w:pPr>
    </w:p>
    <w:p w:rsidR="004A7562" w:rsidRPr="004A7562" w:rsidRDefault="004A7562" w:rsidP="00AE7828">
      <w:pPr>
        <w:rPr>
          <w:rFonts w:ascii="Times New Roman" w:hAnsi="Times New Roman" w:cs="Times New Roman"/>
          <w:sz w:val="22"/>
          <w:szCs w:val="22"/>
          <w:lang w:val="en-US"/>
        </w:rPr>
      </w:pPr>
    </w:p>
    <w:p w:rsidR="00AE7828" w:rsidRPr="004A7562" w:rsidRDefault="00AE7828" w:rsidP="00AE7828">
      <w:pPr>
        <w:rPr>
          <w:rFonts w:ascii="Times New Roman" w:hAnsi="Times New Roman" w:cs="Times New Roman"/>
          <w:sz w:val="22"/>
          <w:szCs w:val="22"/>
          <w:lang w:val="en-US"/>
        </w:rPr>
      </w:pPr>
    </w:p>
    <w:p w:rsidR="00AE7828" w:rsidRPr="004A7562" w:rsidRDefault="00AE7828" w:rsidP="00AE7828">
      <w:pPr>
        <w:jc w:val="center"/>
        <w:rPr>
          <w:rFonts w:ascii="Times New Roman" w:hAnsi="Times New Roman" w:cs="Times New Roman"/>
          <w:sz w:val="22"/>
          <w:szCs w:val="22"/>
          <w:lang w:val="en-US"/>
        </w:rPr>
      </w:pPr>
      <w:r w:rsidRPr="004A7562">
        <w:rPr>
          <w:rFonts w:ascii="Times New Roman" w:hAnsi="Times New Roman" w:cs="Times New Roman"/>
          <w:sz w:val="22"/>
          <w:szCs w:val="22"/>
          <w:lang w:val="en-US"/>
        </w:rPr>
        <w:t>Master thesis</w:t>
      </w:r>
    </w:p>
    <w:p w:rsidR="00AE7828" w:rsidRPr="004A7562" w:rsidRDefault="00AE7828" w:rsidP="00AE7828">
      <w:pPr>
        <w:jc w:val="center"/>
        <w:rPr>
          <w:rFonts w:ascii="Times New Roman" w:hAnsi="Times New Roman" w:cs="Times New Roman"/>
          <w:sz w:val="22"/>
          <w:szCs w:val="22"/>
          <w:lang w:val="en-US"/>
        </w:rPr>
      </w:pPr>
    </w:p>
    <w:p w:rsidR="00AE7828" w:rsidRPr="004A7562" w:rsidRDefault="00AE7828" w:rsidP="00AE7828">
      <w:pPr>
        <w:jc w:val="center"/>
        <w:rPr>
          <w:rFonts w:ascii="Times New Roman" w:hAnsi="Times New Roman" w:cs="Times New Roman"/>
          <w:sz w:val="22"/>
          <w:szCs w:val="22"/>
          <w:lang w:val="en-US"/>
        </w:rPr>
      </w:pPr>
    </w:p>
    <w:p w:rsidR="00AE7828" w:rsidRPr="004A7562" w:rsidRDefault="00AE7828" w:rsidP="00AE7828">
      <w:pPr>
        <w:jc w:val="center"/>
        <w:rPr>
          <w:rFonts w:ascii="Times New Roman" w:hAnsi="Times New Roman" w:cs="Times New Roman"/>
          <w:sz w:val="22"/>
          <w:szCs w:val="22"/>
          <w:lang w:val="en-US"/>
        </w:rPr>
      </w:pPr>
    </w:p>
    <w:p w:rsidR="00AE7828" w:rsidRPr="004A7562" w:rsidRDefault="00AE7828" w:rsidP="00AE7828">
      <w:pPr>
        <w:jc w:val="center"/>
        <w:rPr>
          <w:rFonts w:ascii="Times New Roman" w:hAnsi="Times New Roman" w:cs="Times New Roman"/>
          <w:sz w:val="22"/>
          <w:szCs w:val="22"/>
          <w:lang w:val="en-US"/>
        </w:rPr>
      </w:pPr>
    </w:p>
    <w:p w:rsidR="00AE7828" w:rsidRPr="004A7562" w:rsidRDefault="00AE7828" w:rsidP="00AE7828">
      <w:pPr>
        <w:jc w:val="center"/>
        <w:rPr>
          <w:rFonts w:ascii="Times New Roman" w:hAnsi="Times New Roman" w:cs="Times New Roman"/>
          <w:b/>
          <w:caps/>
          <w:szCs w:val="24"/>
          <w:lang w:val="en-US"/>
        </w:rPr>
      </w:pPr>
      <w:r w:rsidRPr="004A7562">
        <w:rPr>
          <w:rFonts w:ascii="Times New Roman" w:hAnsi="Times New Roman" w:cs="Times New Roman"/>
          <w:b/>
          <w:caps/>
          <w:szCs w:val="24"/>
          <w:lang w:val="en-US"/>
        </w:rPr>
        <w:t>Impairment of goodwill</w:t>
      </w:r>
    </w:p>
    <w:p w:rsidR="00AE7828" w:rsidRPr="004A7562" w:rsidRDefault="00AE7828" w:rsidP="00AE7828">
      <w:pPr>
        <w:jc w:val="center"/>
        <w:rPr>
          <w:rFonts w:ascii="Times New Roman" w:hAnsi="Times New Roman" w:cs="Times New Roman"/>
          <w:sz w:val="22"/>
          <w:szCs w:val="22"/>
          <w:lang w:val="en-US"/>
        </w:rPr>
      </w:pPr>
      <w:r w:rsidRPr="004A7562">
        <w:rPr>
          <w:rFonts w:ascii="Times New Roman" w:hAnsi="Times New Roman" w:cs="Times New Roman"/>
          <w:sz w:val="22"/>
          <w:szCs w:val="22"/>
          <w:lang w:val="en-US"/>
        </w:rPr>
        <w:t>In relation to earnings management and the financial crisis</w:t>
      </w: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Pr="007D2AB6" w:rsidRDefault="00AE7828" w:rsidP="00AE7828">
      <w:pPr>
        <w:jc w:val="center"/>
        <w:rPr>
          <w:sz w:val="22"/>
          <w:szCs w:val="22"/>
          <w:lang w:val="en-US"/>
        </w:rPr>
      </w:pPr>
    </w:p>
    <w:p w:rsidR="00AE7828" w:rsidRDefault="00AE7828">
      <w:pPr>
        <w:rPr>
          <w:rFonts w:asciiTheme="majorHAnsi" w:eastAsiaTheme="majorEastAsia" w:hAnsiTheme="majorHAnsi" w:cstheme="majorBidi"/>
          <w:b/>
          <w:bCs/>
          <w:i/>
          <w:sz w:val="36"/>
          <w:szCs w:val="28"/>
          <w:lang w:val="en-US"/>
        </w:rPr>
      </w:pPr>
      <w:r w:rsidRPr="004A7562">
        <w:rPr>
          <w:rFonts w:ascii="Times New Roman" w:hAnsi="Times New Roman" w:cs="Times New Roman"/>
          <w:sz w:val="22"/>
          <w:szCs w:val="22"/>
          <w:lang w:val="en-US"/>
        </w:rPr>
        <w:t>Author</w:t>
      </w:r>
      <w:r w:rsidRPr="004A7562">
        <w:rPr>
          <w:rFonts w:ascii="Times New Roman" w:hAnsi="Times New Roman" w:cs="Times New Roman"/>
          <w:sz w:val="22"/>
          <w:szCs w:val="22"/>
          <w:lang w:val="en-US"/>
        </w:rPr>
        <w:tab/>
      </w:r>
      <w:r w:rsidRPr="004A7562">
        <w:rPr>
          <w:rFonts w:ascii="Times New Roman" w:hAnsi="Times New Roman" w:cs="Times New Roman"/>
          <w:sz w:val="22"/>
          <w:szCs w:val="22"/>
          <w:lang w:val="en-US"/>
        </w:rPr>
        <w:tab/>
      </w:r>
      <w:r w:rsidR="004A7562" w:rsidRPr="004A7562">
        <w:rPr>
          <w:rFonts w:ascii="Times New Roman" w:hAnsi="Times New Roman" w:cs="Times New Roman"/>
          <w:sz w:val="22"/>
          <w:szCs w:val="22"/>
          <w:lang w:val="en-US"/>
        </w:rPr>
        <w:tab/>
      </w:r>
      <w:r w:rsidRPr="004A7562">
        <w:rPr>
          <w:rFonts w:ascii="Times New Roman" w:hAnsi="Times New Roman" w:cs="Times New Roman"/>
          <w:sz w:val="22"/>
          <w:szCs w:val="22"/>
          <w:lang w:val="en-US"/>
        </w:rPr>
        <w:t>: S. Visser</w:t>
      </w:r>
      <w:r w:rsidRPr="004A7562">
        <w:rPr>
          <w:rFonts w:ascii="Times New Roman" w:hAnsi="Times New Roman" w:cs="Times New Roman"/>
          <w:sz w:val="22"/>
          <w:szCs w:val="22"/>
          <w:lang w:val="en-US"/>
        </w:rPr>
        <w:br/>
        <w:t>Student number</w:t>
      </w:r>
      <w:r w:rsidRPr="004A7562">
        <w:rPr>
          <w:rFonts w:ascii="Times New Roman" w:hAnsi="Times New Roman" w:cs="Times New Roman"/>
          <w:sz w:val="22"/>
          <w:szCs w:val="22"/>
          <w:lang w:val="en-US"/>
        </w:rPr>
        <w:tab/>
      </w:r>
      <w:r w:rsidR="004A7562">
        <w:rPr>
          <w:rFonts w:ascii="Times New Roman" w:hAnsi="Times New Roman" w:cs="Times New Roman"/>
          <w:sz w:val="22"/>
          <w:szCs w:val="22"/>
          <w:lang w:val="en-US"/>
        </w:rPr>
        <w:tab/>
      </w:r>
      <w:r w:rsidRPr="004A7562">
        <w:rPr>
          <w:rFonts w:ascii="Times New Roman" w:hAnsi="Times New Roman" w:cs="Times New Roman"/>
          <w:sz w:val="22"/>
          <w:szCs w:val="22"/>
          <w:lang w:val="en-US"/>
        </w:rPr>
        <w:t>: 326556</w:t>
      </w:r>
      <w:r w:rsidR="004A7562" w:rsidRPr="004A7562">
        <w:rPr>
          <w:rFonts w:ascii="Times New Roman" w:hAnsi="Times New Roman" w:cs="Times New Roman"/>
          <w:sz w:val="22"/>
          <w:szCs w:val="22"/>
          <w:lang w:val="en-US"/>
        </w:rPr>
        <w:br/>
        <w:t>Dat</w:t>
      </w:r>
      <w:r w:rsidR="00A113F0">
        <w:rPr>
          <w:rFonts w:ascii="Times New Roman" w:hAnsi="Times New Roman" w:cs="Times New Roman"/>
          <w:sz w:val="22"/>
          <w:szCs w:val="22"/>
          <w:lang w:val="en-US"/>
        </w:rPr>
        <w:t>e</w:t>
      </w:r>
      <w:r w:rsidR="00A113F0">
        <w:rPr>
          <w:rFonts w:ascii="Times New Roman" w:hAnsi="Times New Roman" w:cs="Times New Roman"/>
          <w:sz w:val="22"/>
          <w:szCs w:val="22"/>
          <w:lang w:val="en-US"/>
        </w:rPr>
        <w:tab/>
      </w:r>
      <w:r w:rsidR="00A113F0">
        <w:rPr>
          <w:rFonts w:ascii="Times New Roman" w:hAnsi="Times New Roman" w:cs="Times New Roman"/>
          <w:sz w:val="22"/>
          <w:szCs w:val="22"/>
          <w:lang w:val="en-US"/>
        </w:rPr>
        <w:tab/>
      </w:r>
      <w:r w:rsidR="00A113F0">
        <w:rPr>
          <w:rFonts w:ascii="Times New Roman" w:hAnsi="Times New Roman" w:cs="Times New Roman"/>
          <w:sz w:val="22"/>
          <w:szCs w:val="22"/>
          <w:lang w:val="en-US"/>
        </w:rPr>
        <w:tab/>
        <w:t xml:space="preserve">: June </w:t>
      </w:r>
      <w:r w:rsidR="004A7562" w:rsidRPr="004A7562">
        <w:rPr>
          <w:rFonts w:ascii="Times New Roman" w:hAnsi="Times New Roman" w:cs="Times New Roman"/>
          <w:sz w:val="22"/>
          <w:szCs w:val="22"/>
          <w:lang w:val="en-US"/>
        </w:rPr>
        <w:t>2013</w:t>
      </w:r>
      <w:r w:rsidR="004A7562" w:rsidRPr="004A7562">
        <w:rPr>
          <w:rFonts w:ascii="Times New Roman" w:hAnsi="Times New Roman" w:cs="Times New Roman"/>
          <w:sz w:val="22"/>
          <w:szCs w:val="22"/>
          <w:lang w:val="en-US"/>
        </w:rPr>
        <w:br/>
        <w:t>Supervisor</w:t>
      </w:r>
      <w:r w:rsidR="004A7562" w:rsidRPr="004A7562">
        <w:rPr>
          <w:rFonts w:ascii="Times New Roman" w:hAnsi="Times New Roman" w:cs="Times New Roman"/>
          <w:sz w:val="22"/>
          <w:szCs w:val="22"/>
          <w:lang w:val="en-US"/>
        </w:rPr>
        <w:tab/>
      </w:r>
      <w:r w:rsidR="004A7562" w:rsidRPr="004A7562">
        <w:rPr>
          <w:rFonts w:ascii="Times New Roman" w:hAnsi="Times New Roman" w:cs="Times New Roman"/>
          <w:sz w:val="22"/>
          <w:szCs w:val="22"/>
          <w:lang w:val="en-US"/>
        </w:rPr>
        <w:tab/>
        <w:t xml:space="preserve">: </w:t>
      </w:r>
      <w:proofErr w:type="spellStart"/>
      <w:proofErr w:type="gramStart"/>
      <w:r w:rsidR="004A7562" w:rsidRPr="004A7562">
        <w:rPr>
          <w:rFonts w:ascii="Times New Roman" w:hAnsi="Times New Roman" w:cs="Times New Roman"/>
          <w:sz w:val="22"/>
          <w:szCs w:val="22"/>
          <w:lang w:val="en-US"/>
        </w:rPr>
        <w:t>drs</w:t>
      </w:r>
      <w:proofErr w:type="gramEnd"/>
      <w:r w:rsidR="004A7562" w:rsidRPr="004A7562">
        <w:rPr>
          <w:rFonts w:ascii="Times New Roman" w:hAnsi="Times New Roman" w:cs="Times New Roman"/>
          <w:sz w:val="22"/>
          <w:szCs w:val="22"/>
          <w:lang w:val="en-US"/>
        </w:rPr>
        <w:t>.</w:t>
      </w:r>
      <w:proofErr w:type="spellEnd"/>
      <w:r w:rsidR="004A7562" w:rsidRPr="004A7562">
        <w:rPr>
          <w:rFonts w:ascii="Times New Roman" w:hAnsi="Times New Roman" w:cs="Times New Roman"/>
          <w:sz w:val="22"/>
          <w:szCs w:val="22"/>
          <w:lang w:val="en-US"/>
        </w:rPr>
        <w:t xml:space="preserve"> R.D. </w:t>
      </w:r>
      <w:proofErr w:type="spellStart"/>
      <w:r w:rsidR="004A7562" w:rsidRPr="004A7562">
        <w:rPr>
          <w:rFonts w:ascii="Times New Roman" w:hAnsi="Times New Roman" w:cs="Times New Roman"/>
          <w:sz w:val="22"/>
          <w:szCs w:val="22"/>
        </w:rPr>
        <w:t>Achaibersing</w:t>
      </w:r>
      <w:proofErr w:type="spellEnd"/>
      <w:r w:rsidR="007A0B11">
        <w:rPr>
          <w:rFonts w:ascii="Times New Roman" w:hAnsi="Times New Roman" w:cs="Times New Roman"/>
          <w:sz w:val="22"/>
          <w:szCs w:val="22"/>
        </w:rPr>
        <w:t xml:space="preserve"> RA</w:t>
      </w:r>
      <w:r w:rsidR="007A0B11">
        <w:rPr>
          <w:rFonts w:ascii="Times New Roman" w:hAnsi="Times New Roman" w:cs="Times New Roman"/>
          <w:sz w:val="22"/>
          <w:szCs w:val="22"/>
        </w:rPr>
        <w:br/>
      </w:r>
      <w:r w:rsidR="007A0B11" w:rsidRPr="007A0B11">
        <w:rPr>
          <w:rFonts w:ascii="Times New Roman" w:hAnsi="Times New Roman" w:cs="Times New Roman"/>
          <w:sz w:val="22"/>
          <w:szCs w:val="22"/>
          <w:lang w:val="en-US"/>
        </w:rPr>
        <w:t>Co-reader</w:t>
      </w:r>
      <w:r w:rsidR="007A0B11">
        <w:rPr>
          <w:rFonts w:ascii="Times New Roman" w:hAnsi="Times New Roman" w:cs="Times New Roman"/>
          <w:sz w:val="22"/>
          <w:szCs w:val="22"/>
          <w:lang w:val="en-US"/>
        </w:rPr>
        <w:tab/>
      </w:r>
      <w:r w:rsidR="007A0B11">
        <w:rPr>
          <w:rFonts w:ascii="Times New Roman" w:hAnsi="Times New Roman" w:cs="Times New Roman"/>
          <w:sz w:val="22"/>
          <w:szCs w:val="22"/>
          <w:lang w:val="en-US"/>
        </w:rPr>
        <w:tab/>
      </w:r>
      <w:r w:rsidR="007A0B11" w:rsidRPr="007A0B11">
        <w:rPr>
          <w:rFonts w:ascii="Times New Roman" w:hAnsi="Times New Roman" w:cs="Times New Roman"/>
          <w:sz w:val="22"/>
          <w:szCs w:val="22"/>
          <w:lang w:val="en-US"/>
        </w:rPr>
        <w:t>:</w:t>
      </w:r>
      <w:r w:rsidR="007A0B11">
        <w:rPr>
          <w:rFonts w:ascii="Times New Roman" w:hAnsi="Times New Roman" w:cs="Times New Roman"/>
          <w:sz w:val="22"/>
          <w:szCs w:val="22"/>
          <w:lang w:val="en-US"/>
        </w:rPr>
        <w:t xml:space="preserve"> </w:t>
      </w:r>
      <w:r w:rsidR="007A0B11" w:rsidRPr="007A0B11">
        <w:rPr>
          <w:rFonts w:ascii="Times New Roman" w:hAnsi="Times New Roman" w:cs="Times New Roman"/>
          <w:sz w:val="22"/>
          <w:szCs w:val="22"/>
          <w:lang w:val="en-US"/>
        </w:rPr>
        <w:t xml:space="preserve">E.A. de </w:t>
      </w:r>
      <w:proofErr w:type="spellStart"/>
      <w:r w:rsidR="007A0B11" w:rsidRPr="007A0B11">
        <w:rPr>
          <w:rFonts w:ascii="Times New Roman" w:hAnsi="Times New Roman" w:cs="Times New Roman"/>
          <w:sz w:val="22"/>
          <w:szCs w:val="22"/>
          <w:lang w:val="en-US"/>
        </w:rPr>
        <w:t>Knecht</w:t>
      </w:r>
      <w:proofErr w:type="spellEnd"/>
      <w:r w:rsidR="007A0B11" w:rsidRPr="007A0B11">
        <w:rPr>
          <w:rFonts w:ascii="Times New Roman" w:hAnsi="Times New Roman" w:cs="Times New Roman"/>
          <w:sz w:val="22"/>
          <w:szCs w:val="22"/>
          <w:lang w:val="en-US"/>
        </w:rPr>
        <w:t xml:space="preserve"> RA</w:t>
      </w:r>
      <w:r w:rsidR="007A0B11" w:rsidRPr="007A0B11">
        <w:rPr>
          <w:rFonts w:ascii="Times New Roman" w:hAnsi="Times New Roman" w:cs="Times New Roman"/>
          <w:sz w:val="22"/>
          <w:szCs w:val="22"/>
          <w:lang w:val="en-US"/>
        </w:rPr>
        <w:br/>
      </w:r>
    </w:p>
    <w:p w:rsidR="00032377" w:rsidRDefault="00032377" w:rsidP="00032377">
      <w:pPr>
        <w:pStyle w:val="Heading1"/>
        <w:ind w:left="1080"/>
        <w:rPr>
          <w:lang w:val="en-US"/>
        </w:rPr>
      </w:pPr>
      <w:bookmarkStart w:id="0" w:name="_Toc357345612"/>
      <w:r>
        <w:rPr>
          <w:lang w:val="en-US"/>
        </w:rPr>
        <w:br w:type="column"/>
      </w:r>
      <w:bookmarkStart w:id="1" w:name="_Toc357962372"/>
      <w:bookmarkStart w:id="2" w:name="_Toc357962533"/>
      <w:bookmarkStart w:id="3" w:name="_Toc359957119"/>
      <w:r>
        <w:rPr>
          <w:lang w:val="en-US"/>
        </w:rPr>
        <w:lastRenderedPageBreak/>
        <w:t>Preface</w:t>
      </w:r>
      <w:bookmarkEnd w:id="1"/>
      <w:bookmarkEnd w:id="2"/>
      <w:bookmarkEnd w:id="3"/>
    </w:p>
    <w:p w:rsidR="00032377" w:rsidRDefault="00032377" w:rsidP="00032377">
      <w:pPr>
        <w:rPr>
          <w:lang w:val="en-US"/>
        </w:rPr>
      </w:pPr>
    </w:p>
    <w:p w:rsidR="000031DB" w:rsidRDefault="00032377" w:rsidP="000031DB">
      <w:pPr>
        <w:rPr>
          <w:rFonts w:ascii="Verdana" w:hAnsi="Verdana"/>
          <w:lang w:val="en-US"/>
        </w:rPr>
      </w:pPr>
      <w:r w:rsidRPr="00032377">
        <w:rPr>
          <w:rFonts w:ascii="Verdana" w:hAnsi="Verdana"/>
          <w:lang w:val="en-US"/>
        </w:rPr>
        <w:t>This</w:t>
      </w:r>
      <w:r>
        <w:rPr>
          <w:rFonts w:ascii="Verdana" w:hAnsi="Verdana"/>
          <w:lang w:val="en-US"/>
        </w:rPr>
        <w:t xml:space="preserve"> thesis has been written as a part of the master’s program</w:t>
      </w:r>
      <w:r w:rsidRPr="00032377">
        <w:rPr>
          <w:rFonts w:ascii="Verdana" w:hAnsi="Verdana"/>
          <w:lang w:val="en-US"/>
        </w:rPr>
        <w:t xml:space="preserve"> for the master in Accounting, Auditing and Control at the Erasmus University, Rotterdam. </w:t>
      </w:r>
    </w:p>
    <w:p w:rsidR="00032377" w:rsidRPr="000031DB" w:rsidRDefault="000031DB" w:rsidP="000031DB">
      <w:pPr>
        <w:rPr>
          <w:rFonts w:ascii="Verdana" w:hAnsi="Verdana"/>
          <w:lang w:val="en-US"/>
        </w:rPr>
      </w:pPr>
      <w:r>
        <w:rPr>
          <w:rFonts w:ascii="Verdana" w:hAnsi="Verdana"/>
          <w:lang w:val="en-US"/>
        </w:rPr>
        <w:t xml:space="preserve">Before presenting this thesis I </w:t>
      </w:r>
      <w:r w:rsidR="007559E2">
        <w:rPr>
          <w:rFonts w:ascii="Verdana" w:hAnsi="Verdana"/>
          <w:lang w:val="en-US"/>
        </w:rPr>
        <w:t xml:space="preserve">especially </w:t>
      </w:r>
      <w:r>
        <w:rPr>
          <w:rFonts w:ascii="Verdana" w:hAnsi="Verdana"/>
          <w:lang w:val="en-US"/>
        </w:rPr>
        <w:t xml:space="preserve">want to express my gratitude to </w:t>
      </w:r>
      <w:proofErr w:type="spellStart"/>
      <w:proofErr w:type="gramStart"/>
      <w:r>
        <w:rPr>
          <w:rFonts w:ascii="Verdana" w:hAnsi="Verdana"/>
          <w:lang w:val="en-US"/>
        </w:rPr>
        <w:t>d</w:t>
      </w:r>
      <w:r w:rsidRPr="000031DB">
        <w:rPr>
          <w:rFonts w:ascii="Verdana" w:hAnsi="Verdana"/>
          <w:lang w:val="en-US"/>
        </w:rPr>
        <w:t>rs</w:t>
      </w:r>
      <w:proofErr w:type="gramEnd"/>
      <w:r w:rsidRPr="000031DB">
        <w:rPr>
          <w:rFonts w:ascii="Verdana" w:hAnsi="Verdana"/>
          <w:lang w:val="en-US"/>
        </w:rPr>
        <w:t>.</w:t>
      </w:r>
      <w:proofErr w:type="spellEnd"/>
      <w:r w:rsidRPr="000031DB">
        <w:rPr>
          <w:rFonts w:ascii="Verdana" w:hAnsi="Verdana"/>
          <w:lang w:val="en-US"/>
        </w:rPr>
        <w:t xml:space="preserve"> R.D. </w:t>
      </w:r>
      <w:proofErr w:type="spellStart"/>
      <w:r w:rsidRPr="000031DB">
        <w:rPr>
          <w:rFonts w:ascii="Verdana" w:hAnsi="Verdana"/>
        </w:rPr>
        <w:t>Achaibersing</w:t>
      </w:r>
      <w:proofErr w:type="spellEnd"/>
      <w:r w:rsidRPr="000031DB">
        <w:rPr>
          <w:rFonts w:ascii="Verdana" w:hAnsi="Verdana"/>
        </w:rPr>
        <w:t xml:space="preserve"> RA</w:t>
      </w:r>
      <w:r w:rsidR="00032377" w:rsidRPr="00032377">
        <w:rPr>
          <w:rFonts w:ascii="Verdana" w:hAnsi="Verdana"/>
          <w:lang w:val="en-US"/>
        </w:rPr>
        <w:t>, for</w:t>
      </w:r>
      <w:r>
        <w:rPr>
          <w:rFonts w:ascii="Verdana" w:hAnsi="Verdana"/>
          <w:lang w:val="en-US"/>
        </w:rPr>
        <w:t xml:space="preserve"> giving guidance throughout the writing of this thesis. </w:t>
      </w:r>
      <w:r w:rsidR="007559E2">
        <w:rPr>
          <w:rFonts w:ascii="Verdana" w:hAnsi="Verdana"/>
          <w:lang w:val="en-US"/>
        </w:rPr>
        <w:t xml:space="preserve">Because of his guidance and comments the quality of my thesis has improved. </w:t>
      </w:r>
      <w:r w:rsidR="00032377" w:rsidRPr="00032377">
        <w:rPr>
          <w:rFonts w:ascii="Verdana" w:hAnsi="Verdana"/>
          <w:lang w:val="en-US"/>
        </w:rPr>
        <w:t xml:space="preserve">Secondly, I would like to thank my </w:t>
      </w:r>
      <w:r>
        <w:rPr>
          <w:rFonts w:ascii="Verdana" w:hAnsi="Verdana"/>
          <w:lang w:val="en-US"/>
        </w:rPr>
        <w:t xml:space="preserve">fellow </w:t>
      </w:r>
      <w:r w:rsidR="00032377" w:rsidRPr="00032377">
        <w:rPr>
          <w:rFonts w:ascii="Verdana" w:hAnsi="Verdana"/>
          <w:lang w:val="en-US"/>
        </w:rPr>
        <w:t xml:space="preserve">students and friends </w:t>
      </w:r>
      <w:r>
        <w:rPr>
          <w:rFonts w:ascii="Verdana" w:hAnsi="Verdana"/>
          <w:lang w:val="en-US"/>
        </w:rPr>
        <w:t xml:space="preserve">M. van </w:t>
      </w:r>
      <w:proofErr w:type="spellStart"/>
      <w:r>
        <w:rPr>
          <w:rFonts w:ascii="Verdana" w:hAnsi="Verdana"/>
          <w:lang w:val="en-US"/>
        </w:rPr>
        <w:t>Wissen</w:t>
      </w:r>
      <w:proofErr w:type="spellEnd"/>
      <w:r>
        <w:rPr>
          <w:rFonts w:ascii="Verdana" w:hAnsi="Verdana"/>
          <w:lang w:val="en-US"/>
        </w:rPr>
        <w:t xml:space="preserve"> and </w:t>
      </w:r>
      <w:r w:rsidR="00032377" w:rsidRPr="00032377">
        <w:rPr>
          <w:rFonts w:ascii="Verdana" w:hAnsi="Verdana"/>
          <w:lang w:val="en-US"/>
        </w:rPr>
        <w:t xml:space="preserve">J.L.P. van </w:t>
      </w:r>
      <w:proofErr w:type="spellStart"/>
      <w:r w:rsidR="00032377" w:rsidRPr="00032377">
        <w:rPr>
          <w:rFonts w:ascii="Verdana" w:hAnsi="Verdana"/>
          <w:lang w:val="en-US"/>
        </w:rPr>
        <w:t>Emmerik</w:t>
      </w:r>
      <w:proofErr w:type="spellEnd"/>
      <w:r w:rsidR="00032377" w:rsidRPr="00032377">
        <w:rPr>
          <w:rFonts w:ascii="Verdana" w:hAnsi="Verdana"/>
          <w:lang w:val="en-US"/>
        </w:rPr>
        <w:t xml:space="preserve"> MSc</w:t>
      </w:r>
      <w:r>
        <w:rPr>
          <w:rFonts w:ascii="Verdana" w:hAnsi="Verdana"/>
          <w:lang w:val="en-US"/>
        </w:rPr>
        <w:t xml:space="preserve"> for thei</w:t>
      </w:r>
      <w:r w:rsidR="007559E2">
        <w:rPr>
          <w:rFonts w:ascii="Verdana" w:hAnsi="Verdana"/>
          <w:lang w:val="en-US"/>
        </w:rPr>
        <w:t xml:space="preserve">r </w:t>
      </w:r>
      <w:r>
        <w:rPr>
          <w:rFonts w:ascii="Verdana" w:hAnsi="Verdana"/>
          <w:lang w:val="en-US"/>
        </w:rPr>
        <w:t xml:space="preserve">comments. </w:t>
      </w:r>
      <w:r w:rsidR="007559E2">
        <w:rPr>
          <w:rFonts w:ascii="Verdana" w:hAnsi="Verdana"/>
          <w:lang w:val="en-US"/>
        </w:rPr>
        <w:t>Finally I would like to thank my girlfriend and parents for supporting and encouraging me throughout my study.</w:t>
      </w:r>
      <w:r w:rsidR="00032377">
        <w:rPr>
          <w:lang w:val="en-US"/>
        </w:rPr>
        <w:br w:type="page"/>
      </w:r>
    </w:p>
    <w:p w:rsidR="00FC747D" w:rsidRDefault="00FC747D" w:rsidP="00FC747D">
      <w:pPr>
        <w:pStyle w:val="Heading1"/>
        <w:ind w:left="1080"/>
        <w:rPr>
          <w:lang w:val="en-US"/>
        </w:rPr>
      </w:pPr>
      <w:bookmarkStart w:id="4" w:name="_Toc357962373"/>
      <w:bookmarkStart w:id="5" w:name="_Toc357962534"/>
      <w:bookmarkStart w:id="6" w:name="_Toc359957120"/>
      <w:r>
        <w:rPr>
          <w:lang w:val="en-US"/>
        </w:rPr>
        <w:lastRenderedPageBreak/>
        <w:t>Abstract</w:t>
      </w:r>
      <w:bookmarkEnd w:id="0"/>
      <w:bookmarkEnd w:id="4"/>
      <w:bookmarkEnd w:id="5"/>
      <w:bookmarkEnd w:id="6"/>
    </w:p>
    <w:p w:rsidR="00FC747D" w:rsidRDefault="00FC747D" w:rsidP="00FC747D">
      <w:pPr>
        <w:rPr>
          <w:lang w:val="en-US"/>
        </w:rPr>
      </w:pPr>
    </w:p>
    <w:p w:rsidR="00FC747D" w:rsidRDefault="00FC747D" w:rsidP="00FC747D">
      <w:pPr>
        <w:rPr>
          <w:rFonts w:ascii="Verdana" w:hAnsi="Verdana"/>
          <w:lang w:val="en-US"/>
        </w:rPr>
      </w:pPr>
      <w:r w:rsidRPr="00C2447D">
        <w:rPr>
          <w:rFonts w:ascii="Verdana" w:hAnsi="Verdana"/>
          <w:lang w:val="en-US"/>
        </w:rPr>
        <w:t xml:space="preserve">This </w:t>
      </w:r>
      <w:r>
        <w:rPr>
          <w:rFonts w:ascii="Verdana" w:hAnsi="Verdana"/>
          <w:lang w:val="en-US"/>
        </w:rPr>
        <w:t xml:space="preserve">research first discusses the concept of goodwill and the relating accounting standards. Then the practice of performing an impairment test of goodwill is discussed where it becomes apparent that the management has to make several assumptions to calculate the recoverable value which influences the impairment of the goodwill. This indicates that if the management has the proper incentives they could be tempted to make their assumptions more aggressive or conservative. </w:t>
      </w:r>
    </w:p>
    <w:p w:rsidR="00FC747D" w:rsidRDefault="00FC747D" w:rsidP="00FC747D">
      <w:pPr>
        <w:rPr>
          <w:rFonts w:ascii="Verdana" w:hAnsi="Verdana"/>
          <w:lang w:val="en-US"/>
        </w:rPr>
      </w:pPr>
      <w:r>
        <w:rPr>
          <w:rFonts w:ascii="Verdana" w:hAnsi="Verdana"/>
          <w:lang w:val="en-US"/>
        </w:rPr>
        <w:t xml:space="preserve">To make assumptions more aggressive or conservative indicates earnings management. The definitions and ranges of earnings management are discussed and the incentives which management can have are set out. </w:t>
      </w:r>
      <w:r w:rsidR="007A0B11">
        <w:rPr>
          <w:rFonts w:ascii="Verdana" w:hAnsi="Verdana"/>
          <w:lang w:val="en-US"/>
        </w:rPr>
        <w:t>Two</w:t>
      </w:r>
      <w:r>
        <w:rPr>
          <w:rFonts w:ascii="Verdana" w:hAnsi="Verdana"/>
          <w:lang w:val="en-US"/>
        </w:rPr>
        <w:t xml:space="preserve"> types of earning</w:t>
      </w:r>
      <w:r w:rsidR="007A0B11">
        <w:rPr>
          <w:rFonts w:ascii="Verdana" w:hAnsi="Verdana"/>
          <w:lang w:val="en-US"/>
        </w:rPr>
        <w:t>s management are also discussed:</w:t>
      </w:r>
      <w:r>
        <w:rPr>
          <w:rFonts w:ascii="Verdana" w:hAnsi="Verdana"/>
          <w:lang w:val="en-US"/>
        </w:rPr>
        <w:t xml:space="preserve"> big bath accounting and income smoothing. Big bath accounting is based on the fact that sometimes it can be better on the long run to make extra losses one year and take advantages of that in the following years. Income smoothing is to deliberate decrease fluctuations in the level of income. </w:t>
      </w:r>
    </w:p>
    <w:p w:rsidR="00FC747D" w:rsidRDefault="00FC747D" w:rsidP="00FC747D">
      <w:pPr>
        <w:pStyle w:val="BodyText"/>
        <w:rPr>
          <w:rFonts w:ascii="Verdana" w:hAnsi="Verdana"/>
          <w:lang w:val="en-US"/>
        </w:rPr>
      </w:pPr>
      <w:r>
        <w:rPr>
          <w:rFonts w:ascii="Verdana" w:hAnsi="Verdana"/>
          <w:lang w:val="en-US"/>
        </w:rPr>
        <w:t xml:space="preserve">The first two hypotheses are based on the combined effects of goodwill impairment losses and the types of earnings management. The first hypothesis states that </w:t>
      </w:r>
      <w:r w:rsidRPr="00DC1E35">
        <w:rPr>
          <w:rFonts w:ascii="Verdana" w:hAnsi="Verdana"/>
          <w:lang w:val="en-US"/>
        </w:rPr>
        <w:t>Industrial firms are more likely to recognize a goodwill impairment loss when th</w:t>
      </w:r>
      <w:r>
        <w:rPr>
          <w:rFonts w:ascii="Verdana" w:hAnsi="Verdana"/>
          <w:lang w:val="en-US"/>
        </w:rPr>
        <w:t xml:space="preserve">ey perform below branch average and the second hypothesis states that </w:t>
      </w:r>
      <w:r w:rsidRPr="00DC1E35">
        <w:rPr>
          <w:rFonts w:ascii="Verdana" w:hAnsi="Verdana"/>
          <w:lang w:val="en-US"/>
        </w:rPr>
        <w:t>Industrial firms are more likely to recognize a goodwill impairment loss when they perform above branch average.</w:t>
      </w:r>
    </w:p>
    <w:p w:rsidR="00FC747D" w:rsidRPr="00DC1E35" w:rsidRDefault="00FC747D" w:rsidP="00FC747D">
      <w:pPr>
        <w:pStyle w:val="BodyText"/>
        <w:rPr>
          <w:rFonts w:ascii="Verdana" w:hAnsi="Verdana"/>
          <w:lang w:val="en-US"/>
        </w:rPr>
      </w:pPr>
      <w:r>
        <w:rPr>
          <w:rFonts w:ascii="Verdana" w:hAnsi="Verdana"/>
          <w:lang w:val="en-US"/>
        </w:rPr>
        <w:t xml:space="preserve">The third factor that is considered in this thesis is the effect of the financial crisis. The financial crisis is expected to have a significant impact on the results of the first two hypotheses and therefore the research model has been performed on a year before and after the start of the crisis and lead to the third hypothesis: </w:t>
      </w:r>
      <w:r w:rsidRPr="00DC1E35">
        <w:rPr>
          <w:rFonts w:ascii="Verdana" w:hAnsi="Verdana"/>
          <w:lang w:val="en-US"/>
        </w:rPr>
        <w:t>Due to the crisis the incentive for management to perform earnings management has increased.</w:t>
      </w:r>
    </w:p>
    <w:p w:rsidR="00FC747D" w:rsidRDefault="00FC747D" w:rsidP="00FC747D">
      <w:pPr>
        <w:rPr>
          <w:rFonts w:ascii="Verdana" w:hAnsi="Verdana"/>
          <w:lang w:val="en-US"/>
        </w:rPr>
      </w:pPr>
      <w:r>
        <w:rPr>
          <w:rFonts w:ascii="Verdana" w:hAnsi="Verdana"/>
          <w:lang w:val="en-US"/>
        </w:rPr>
        <w:t>The research model has been based on a multiple logistic regression model with a dummy for the dependent variable impairment of goodwill, two independent variables to indicate big bath accounting and income smoothing and three economic independent variables which indicate the economic performance of a company. Besides these variables there are also two control variables added to the model to control for the effect on the impairment decision caused by the relative size of goodwill compared to total assets and the size of the company’s assets.</w:t>
      </w:r>
    </w:p>
    <w:p w:rsidR="00F41DE6" w:rsidRDefault="00FC747D" w:rsidP="00FC747D">
      <w:pPr>
        <w:rPr>
          <w:rFonts w:ascii="Verdana" w:hAnsi="Verdana"/>
          <w:lang w:val="en-US"/>
        </w:rPr>
      </w:pPr>
      <w:r>
        <w:rPr>
          <w:rFonts w:ascii="Verdana" w:hAnsi="Verdana"/>
          <w:lang w:val="en-US"/>
        </w:rPr>
        <w:t>To obtain proper research sample</w:t>
      </w:r>
      <w:r w:rsidR="00F41DE6">
        <w:rPr>
          <w:rFonts w:ascii="Verdana" w:hAnsi="Verdana"/>
          <w:lang w:val="en-US"/>
        </w:rPr>
        <w:t>s</w:t>
      </w:r>
      <w:r>
        <w:rPr>
          <w:rFonts w:ascii="Verdana" w:hAnsi="Verdana"/>
          <w:lang w:val="en-US"/>
        </w:rPr>
        <w:t xml:space="preserve"> with comparable data the sample exists only out of </w:t>
      </w:r>
      <w:r w:rsidR="00FD03E4">
        <w:rPr>
          <w:rFonts w:ascii="Verdana" w:hAnsi="Verdana"/>
          <w:lang w:val="en-US"/>
        </w:rPr>
        <w:t xml:space="preserve">listed </w:t>
      </w:r>
      <w:r>
        <w:rPr>
          <w:rFonts w:ascii="Verdana" w:hAnsi="Verdana"/>
          <w:lang w:val="en-US"/>
        </w:rPr>
        <w:t xml:space="preserve">industrial production companies </w:t>
      </w:r>
      <w:r w:rsidR="00FD03E4">
        <w:rPr>
          <w:rFonts w:ascii="Verdana" w:hAnsi="Verdana"/>
          <w:lang w:val="en-US"/>
        </w:rPr>
        <w:t xml:space="preserve">and based </w:t>
      </w:r>
      <w:r>
        <w:rPr>
          <w:rFonts w:ascii="Verdana" w:hAnsi="Verdana"/>
          <w:lang w:val="en-US"/>
        </w:rPr>
        <w:t xml:space="preserve">within </w:t>
      </w:r>
      <w:r w:rsidR="00FD03E4">
        <w:rPr>
          <w:rFonts w:ascii="Verdana" w:hAnsi="Verdana"/>
          <w:lang w:val="en-US"/>
        </w:rPr>
        <w:t xml:space="preserve">member </w:t>
      </w:r>
      <w:r>
        <w:rPr>
          <w:rFonts w:ascii="Verdana" w:hAnsi="Verdana"/>
          <w:lang w:val="en-US"/>
        </w:rPr>
        <w:t>c</w:t>
      </w:r>
      <w:r w:rsidR="00F41DE6">
        <w:rPr>
          <w:rFonts w:ascii="Verdana" w:hAnsi="Verdana"/>
          <w:lang w:val="en-US"/>
        </w:rPr>
        <w:t>ountries of the European Union in 2007 and 2009</w:t>
      </w:r>
      <w:r w:rsidR="00A60ADA">
        <w:rPr>
          <w:rFonts w:ascii="Verdana" w:hAnsi="Verdana"/>
          <w:lang w:val="en-US"/>
        </w:rPr>
        <w:t>, with respectively 767 and 826 companies</w:t>
      </w:r>
      <w:r w:rsidR="00F41DE6">
        <w:rPr>
          <w:rFonts w:ascii="Verdana" w:hAnsi="Verdana"/>
          <w:lang w:val="en-US"/>
        </w:rPr>
        <w:t>. On these research samples statistical regression analys</w:t>
      </w:r>
      <w:r w:rsidR="00CC46EF">
        <w:rPr>
          <w:rFonts w:ascii="Verdana" w:hAnsi="Verdana"/>
          <w:lang w:val="en-US"/>
        </w:rPr>
        <w:t>e</w:t>
      </w:r>
      <w:r w:rsidR="00F41DE6">
        <w:rPr>
          <w:rFonts w:ascii="Verdana" w:hAnsi="Verdana"/>
          <w:lang w:val="en-US"/>
        </w:rPr>
        <w:t xml:space="preserve">s are performed in chapter 7. </w:t>
      </w:r>
    </w:p>
    <w:p w:rsidR="00B63C2F" w:rsidRDefault="00F41DE6" w:rsidP="00CC46EF">
      <w:pPr>
        <w:rPr>
          <w:rFonts w:ascii="Verdana" w:hAnsi="Verdana"/>
          <w:lang w:val="en-US"/>
        </w:rPr>
      </w:pPr>
      <w:r>
        <w:rPr>
          <w:rFonts w:ascii="Verdana" w:hAnsi="Verdana"/>
          <w:lang w:val="en-US"/>
        </w:rPr>
        <w:t>The conclusion of these regression analyses are stated in chapter 8. For both years</w:t>
      </w:r>
      <w:r w:rsidR="007A0B11">
        <w:rPr>
          <w:rFonts w:ascii="Verdana" w:hAnsi="Verdana"/>
          <w:lang w:val="en-US"/>
        </w:rPr>
        <w:t>,</w:t>
      </w:r>
      <w:r>
        <w:rPr>
          <w:rFonts w:ascii="Verdana" w:hAnsi="Verdana"/>
          <w:lang w:val="en-US"/>
        </w:rPr>
        <w:t xml:space="preserve"> 2007 and 2009</w:t>
      </w:r>
      <w:r w:rsidR="007A0B11">
        <w:rPr>
          <w:rFonts w:ascii="Verdana" w:hAnsi="Verdana"/>
          <w:lang w:val="en-US"/>
        </w:rPr>
        <w:t>,</w:t>
      </w:r>
      <w:r>
        <w:rPr>
          <w:rFonts w:ascii="Verdana" w:hAnsi="Verdana"/>
          <w:lang w:val="en-US"/>
        </w:rPr>
        <w:t xml:space="preserve"> there is significant evidence that industrial firms are more likely to recognize a goodwill impairment loss when they perform below branch average</w:t>
      </w:r>
      <w:r w:rsidR="00B63C2F">
        <w:rPr>
          <w:rFonts w:ascii="Verdana" w:hAnsi="Verdana"/>
          <w:lang w:val="en-US"/>
        </w:rPr>
        <w:t>. This is in line with expectations based on big bath accounting.</w:t>
      </w:r>
      <w:r>
        <w:rPr>
          <w:rFonts w:ascii="Verdana" w:hAnsi="Verdana"/>
          <w:lang w:val="en-US"/>
        </w:rPr>
        <w:t xml:space="preserve"> </w:t>
      </w:r>
    </w:p>
    <w:p w:rsidR="00CC46EF" w:rsidRDefault="00F41DE6" w:rsidP="00CC46EF">
      <w:pPr>
        <w:rPr>
          <w:rFonts w:ascii="Verdana" w:hAnsi="Verdana"/>
          <w:lang w:val="en-US"/>
        </w:rPr>
      </w:pPr>
      <w:r>
        <w:rPr>
          <w:rFonts w:ascii="Verdana" w:hAnsi="Verdana"/>
          <w:lang w:val="en-US"/>
        </w:rPr>
        <w:lastRenderedPageBreak/>
        <w:t xml:space="preserve">There is no significant evidence </w:t>
      </w:r>
      <w:r w:rsidR="00B63C2F">
        <w:rPr>
          <w:rFonts w:ascii="Verdana" w:hAnsi="Verdana"/>
          <w:lang w:val="en-US"/>
        </w:rPr>
        <w:t xml:space="preserve">however </w:t>
      </w:r>
      <w:r>
        <w:rPr>
          <w:rFonts w:ascii="Verdana" w:hAnsi="Verdana"/>
          <w:lang w:val="en-US"/>
        </w:rPr>
        <w:t xml:space="preserve">that the industrial firms which are performing above branch average are more likely to recognize a goodwill impairment loss. </w:t>
      </w:r>
    </w:p>
    <w:p w:rsidR="00CC46EF" w:rsidRDefault="00F41DE6" w:rsidP="00CC46EF">
      <w:pPr>
        <w:rPr>
          <w:rFonts w:ascii="Verdana" w:hAnsi="Verdana"/>
          <w:lang w:val="en-US"/>
        </w:rPr>
      </w:pPr>
      <w:r>
        <w:rPr>
          <w:rFonts w:ascii="Verdana" w:hAnsi="Verdana"/>
          <w:lang w:val="en-US"/>
        </w:rPr>
        <w:t xml:space="preserve">It was expected that the financial crisis would increase the effect of earnings management, if first proven by the hypotheses 1 and 2. However, </w:t>
      </w:r>
      <w:r w:rsidR="00CC46EF">
        <w:rPr>
          <w:rFonts w:ascii="Verdana" w:hAnsi="Verdana"/>
          <w:lang w:val="en-US"/>
        </w:rPr>
        <w:t>a</w:t>
      </w:r>
      <w:r>
        <w:rPr>
          <w:rFonts w:ascii="Verdana" w:hAnsi="Verdana"/>
          <w:lang w:val="en-US"/>
        </w:rPr>
        <w:t xml:space="preserve">lthough for both years significant evidence was found </w:t>
      </w:r>
      <w:r w:rsidR="00CC46EF">
        <w:rPr>
          <w:rFonts w:ascii="Verdana" w:hAnsi="Verdana"/>
          <w:lang w:val="en-US"/>
        </w:rPr>
        <w:t>that industrial firms are more likely to recognize a goodwill impairment loss when they perform below branch average</w:t>
      </w:r>
      <w:r>
        <w:rPr>
          <w:rFonts w:ascii="Verdana" w:hAnsi="Verdana"/>
          <w:lang w:val="en-US"/>
        </w:rPr>
        <w:t xml:space="preserve">, it was found that the significance and effect of the year 2009, the year after the crisis </w:t>
      </w:r>
      <w:r w:rsidR="00B63C2F">
        <w:rPr>
          <w:rFonts w:ascii="Verdana" w:hAnsi="Verdana"/>
          <w:lang w:val="en-US"/>
        </w:rPr>
        <w:t>begun</w:t>
      </w:r>
      <w:r>
        <w:rPr>
          <w:rFonts w:ascii="Verdana" w:hAnsi="Verdana"/>
          <w:lang w:val="en-US"/>
        </w:rPr>
        <w:t xml:space="preserve">, was less than the year before the crisis. This indicates that the crisis weakened the significance and effect. </w:t>
      </w:r>
    </w:p>
    <w:p w:rsidR="00F41DE6" w:rsidRDefault="00F41DE6" w:rsidP="00F41DE6">
      <w:pPr>
        <w:pStyle w:val="BodyText"/>
        <w:rPr>
          <w:rFonts w:ascii="Verdana" w:hAnsi="Verdana"/>
          <w:lang w:val="en-US"/>
        </w:rPr>
      </w:pPr>
      <w:r>
        <w:rPr>
          <w:rFonts w:ascii="Verdana" w:hAnsi="Verdana"/>
          <w:lang w:val="en-US"/>
        </w:rPr>
        <w:t xml:space="preserve">For </w:t>
      </w:r>
      <w:r w:rsidR="00CC46EF">
        <w:rPr>
          <w:rFonts w:ascii="Verdana" w:hAnsi="Verdana"/>
          <w:lang w:val="en-US"/>
        </w:rPr>
        <w:t xml:space="preserve">neither year of the second hypothesis </w:t>
      </w:r>
      <w:r>
        <w:rPr>
          <w:rFonts w:ascii="Verdana" w:hAnsi="Verdana"/>
          <w:lang w:val="en-US"/>
        </w:rPr>
        <w:t xml:space="preserve">significant evidence was obtained </w:t>
      </w:r>
      <w:r w:rsidR="00CC46EF">
        <w:rPr>
          <w:rFonts w:ascii="Verdana" w:hAnsi="Verdana"/>
          <w:lang w:val="en-US"/>
        </w:rPr>
        <w:t>that the</w:t>
      </w:r>
      <w:r w:rsidR="00CC46EF" w:rsidRPr="00CC46EF">
        <w:rPr>
          <w:rFonts w:ascii="Verdana" w:hAnsi="Verdana"/>
          <w:lang w:val="en-US"/>
        </w:rPr>
        <w:t xml:space="preserve"> </w:t>
      </w:r>
      <w:r w:rsidR="00CC46EF">
        <w:rPr>
          <w:rFonts w:ascii="Verdana" w:hAnsi="Verdana"/>
          <w:lang w:val="en-US"/>
        </w:rPr>
        <w:t>industrial firms which are performing above branch average are more likely to recognize a goodwill impairment loss. N</w:t>
      </w:r>
      <w:r>
        <w:rPr>
          <w:rFonts w:ascii="Verdana" w:hAnsi="Verdana"/>
          <w:lang w:val="en-US"/>
        </w:rPr>
        <w:t xml:space="preserve">o supporting evidence for an increased effect due to the crisis was noted. </w:t>
      </w:r>
    </w:p>
    <w:p w:rsidR="00BB1525" w:rsidRDefault="00F41DE6" w:rsidP="00BB1525">
      <w:pPr>
        <w:pStyle w:val="BodyText"/>
        <w:rPr>
          <w:rFonts w:ascii="Verdana" w:hAnsi="Verdana"/>
          <w:lang w:val="en-US"/>
        </w:rPr>
      </w:pPr>
      <w:r>
        <w:rPr>
          <w:rFonts w:ascii="Verdana" w:hAnsi="Verdana"/>
          <w:lang w:val="en-US"/>
        </w:rPr>
        <w:t xml:space="preserve">Based on </w:t>
      </w:r>
      <w:r w:rsidR="00CC46EF">
        <w:rPr>
          <w:rFonts w:ascii="Verdana" w:hAnsi="Verdana"/>
          <w:lang w:val="en-US"/>
        </w:rPr>
        <w:t>these</w:t>
      </w:r>
      <w:r>
        <w:rPr>
          <w:rFonts w:ascii="Verdana" w:hAnsi="Verdana"/>
          <w:lang w:val="en-US"/>
        </w:rPr>
        <w:t xml:space="preserve"> results </w:t>
      </w:r>
      <w:r w:rsidR="00CC46EF">
        <w:rPr>
          <w:rFonts w:ascii="Verdana" w:hAnsi="Verdana"/>
          <w:lang w:val="en-US"/>
        </w:rPr>
        <w:t>n</w:t>
      </w:r>
      <w:r>
        <w:rPr>
          <w:rFonts w:ascii="Verdana" w:hAnsi="Verdana"/>
          <w:lang w:val="en-US"/>
        </w:rPr>
        <w:t xml:space="preserve">o significant evidence is found that the crisis increased the incentive of management to </w:t>
      </w:r>
      <w:r w:rsidR="00CC46EF">
        <w:rPr>
          <w:rFonts w:ascii="Verdana" w:hAnsi="Verdana"/>
          <w:lang w:val="en-US"/>
        </w:rPr>
        <w:t xml:space="preserve">make the decision to </w:t>
      </w:r>
      <w:r>
        <w:rPr>
          <w:rFonts w:ascii="Verdana" w:hAnsi="Verdana"/>
          <w:lang w:val="en-US"/>
        </w:rPr>
        <w:t xml:space="preserve">perform earnings management. </w:t>
      </w:r>
      <w:r w:rsidR="00BB1525">
        <w:rPr>
          <w:rFonts w:ascii="Verdana" w:hAnsi="Verdana"/>
          <w:lang w:val="en-US"/>
        </w:rPr>
        <w:t>This is an interesting and relevant outcome because this indicates that due to the crisis the impairment of goodwill and therefor</w:t>
      </w:r>
      <w:r w:rsidR="007A0B11">
        <w:rPr>
          <w:rFonts w:ascii="Verdana" w:hAnsi="Verdana"/>
          <w:lang w:val="en-US"/>
        </w:rPr>
        <w:t>e</w:t>
      </w:r>
      <w:r w:rsidR="00BB1525">
        <w:rPr>
          <w:rFonts w:ascii="Verdana" w:hAnsi="Verdana"/>
          <w:lang w:val="en-US"/>
        </w:rPr>
        <w:t>, the financial statements were not influenced by earnings management more than before the crisis.</w:t>
      </w:r>
    </w:p>
    <w:p w:rsidR="00F41DE6" w:rsidRDefault="00F41DE6" w:rsidP="00F41DE6">
      <w:pPr>
        <w:pStyle w:val="BodyText"/>
        <w:rPr>
          <w:rFonts w:ascii="Verdana" w:hAnsi="Verdana"/>
          <w:lang w:val="en-US"/>
        </w:rPr>
      </w:pPr>
    </w:p>
    <w:p w:rsidR="00FC747D" w:rsidRDefault="00FC747D">
      <w:pPr>
        <w:rPr>
          <w:rFonts w:asciiTheme="majorHAnsi" w:eastAsiaTheme="majorEastAsia" w:hAnsiTheme="majorHAnsi" w:cstheme="majorBidi"/>
          <w:b/>
          <w:bCs/>
          <w:i/>
          <w:sz w:val="36"/>
          <w:szCs w:val="28"/>
        </w:rPr>
      </w:pPr>
      <w:r>
        <w:br w:type="page"/>
      </w:r>
    </w:p>
    <w:p w:rsidR="00A40472" w:rsidRDefault="00A40472" w:rsidP="00A40472">
      <w:pPr>
        <w:pStyle w:val="Heading1"/>
      </w:pPr>
      <w:bookmarkStart w:id="7" w:name="_Toc357345613"/>
      <w:bookmarkStart w:id="8" w:name="_Toc357962374"/>
      <w:bookmarkStart w:id="9" w:name="_Toc357962535"/>
      <w:bookmarkStart w:id="10" w:name="_Toc359957121"/>
      <w:r>
        <w:lastRenderedPageBreak/>
        <w:t>Table of Contents</w:t>
      </w:r>
      <w:bookmarkEnd w:id="7"/>
      <w:bookmarkEnd w:id="8"/>
      <w:bookmarkEnd w:id="9"/>
      <w:bookmarkEnd w:id="10"/>
    </w:p>
    <w:p w:rsidR="007B5E7B" w:rsidRDefault="001652D0" w:rsidP="007B5E7B">
      <w:pPr>
        <w:pStyle w:val="TOC1"/>
        <w:tabs>
          <w:tab w:val="right" w:leader="dot" w:pos="8779"/>
        </w:tabs>
        <w:rPr>
          <w:rFonts w:asciiTheme="minorHAnsi" w:eastAsiaTheme="minorEastAsia" w:hAnsiTheme="minorHAnsi" w:cstheme="minorBidi"/>
          <w:b w:val="0"/>
          <w:bCs w:val="0"/>
          <w:i w:val="0"/>
          <w:noProof/>
          <w:color w:val="auto"/>
          <w:sz w:val="22"/>
          <w:szCs w:val="22"/>
          <w:lang w:val="nl-NL" w:eastAsia="nl-NL"/>
        </w:rPr>
      </w:pPr>
      <w:r>
        <w:rPr>
          <w:rFonts w:ascii="Verdana" w:hAnsi="Verdana"/>
          <w:lang w:val="en-US"/>
        </w:rPr>
        <w:fldChar w:fldCharType="begin"/>
      </w:r>
      <w:r w:rsidR="00073097">
        <w:rPr>
          <w:rFonts w:ascii="Verdana" w:hAnsi="Verdana"/>
          <w:lang w:val="en-US"/>
        </w:rPr>
        <w:instrText xml:space="preserve"> TOC \o "1-3" \h \z \u </w:instrText>
      </w:r>
      <w:r>
        <w:rPr>
          <w:rFonts w:ascii="Verdana" w:hAnsi="Verdana"/>
          <w:lang w:val="en-US"/>
        </w:rPr>
        <w:fldChar w:fldCharType="separate"/>
      </w: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22" w:history="1">
        <w:r w:rsidRPr="00822F67">
          <w:rPr>
            <w:rStyle w:val="Hyperlink"/>
            <w:noProof/>
            <w:lang w:val="en-US"/>
          </w:rPr>
          <w:t>1.</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Introduction</w:t>
        </w:r>
        <w:r>
          <w:rPr>
            <w:noProof/>
            <w:webHidden/>
          </w:rPr>
          <w:tab/>
        </w:r>
        <w:r>
          <w:rPr>
            <w:noProof/>
            <w:webHidden/>
          </w:rPr>
          <w:fldChar w:fldCharType="begin"/>
        </w:r>
        <w:r>
          <w:rPr>
            <w:noProof/>
            <w:webHidden/>
          </w:rPr>
          <w:instrText xml:space="preserve"> PAGEREF _Toc359957122 \h </w:instrText>
        </w:r>
        <w:r>
          <w:rPr>
            <w:noProof/>
            <w:webHidden/>
          </w:rPr>
        </w:r>
        <w:r>
          <w:rPr>
            <w:noProof/>
            <w:webHidden/>
          </w:rPr>
          <w:fldChar w:fldCharType="separate"/>
        </w:r>
        <w:r>
          <w:rPr>
            <w:noProof/>
            <w:webHidden/>
          </w:rPr>
          <w:t>7</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3" w:history="1">
        <w:r w:rsidRPr="00822F67">
          <w:rPr>
            <w:rStyle w:val="Hyperlink"/>
          </w:rPr>
          <w:t>1.1 Research question</w:t>
        </w:r>
        <w:r>
          <w:rPr>
            <w:webHidden/>
          </w:rPr>
          <w:tab/>
        </w:r>
        <w:r>
          <w:rPr>
            <w:webHidden/>
          </w:rPr>
          <w:fldChar w:fldCharType="begin"/>
        </w:r>
        <w:r>
          <w:rPr>
            <w:webHidden/>
          </w:rPr>
          <w:instrText xml:space="preserve"> PAGEREF _Toc359957123 \h </w:instrText>
        </w:r>
        <w:r>
          <w:rPr>
            <w:webHidden/>
          </w:rPr>
        </w:r>
        <w:r>
          <w:rPr>
            <w:webHidden/>
          </w:rPr>
          <w:fldChar w:fldCharType="separate"/>
        </w:r>
        <w:r>
          <w:rPr>
            <w:webHidden/>
          </w:rPr>
          <w:t>8</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4" w:history="1">
        <w:r w:rsidRPr="00822F67">
          <w:rPr>
            <w:rStyle w:val="Hyperlink"/>
          </w:rPr>
          <w:t>1.2 Expectations</w:t>
        </w:r>
        <w:r>
          <w:rPr>
            <w:webHidden/>
          </w:rPr>
          <w:tab/>
        </w:r>
        <w:r>
          <w:rPr>
            <w:webHidden/>
          </w:rPr>
          <w:fldChar w:fldCharType="begin"/>
        </w:r>
        <w:r>
          <w:rPr>
            <w:webHidden/>
          </w:rPr>
          <w:instrText xml:space="preserve"> PAGEREF _Toc359957124 \h </w:instrText>
        </w:r>
        <w:r>
          <w:rPr>
            <w:webHidden/>
          </w:rPr>
        </w:r>
        <w:r>
          <w:rPr>
            <w:webHidden/>
          </w:rPr>
          <w:fldChar w:fldCharType="separate"/>
        </w:r>
        <w:r>
          <w:rPr>
            <w:webHidden/>
          </w:rPr>
          <w:t>8</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5" w:history="1">
        <w:r w:rsidRPr="00822F67">
          <w:rPr>
            <w:rStyle w:val="Hyperlink"/>
          </w:rPr>
          <w:t>1.3 Limitations</w:t>
        </w:r>
        <w:r>
          <w:rPr>
            <w:webHidden/>
          </w:rPr>
          <w:tab/>
        </w:r>
        <w:r>
          <w:rPr>
            <w:webHidden/>
          </w:rPr>
          <w:fldChar w:fldCharType="begin"/>
        </w:r>
        <w:r>
          <w:rPr>
            <w:webHidden/>
          </w:rPr>
          <w:instrText xml:space="preserve"> PAGEREF _Toc359957125 \h </w:instrText>
        </w:r>
        <w:r>
          <w:rPr>
            <w:webHidden/>
          </w:rPr>
        </w:r>
        <w:r>
          <w:rPr>
            <w:webHidden/>
          </w:rPr>
          <w:fldChar w:fldCharType="separate"/>
        </w:r>
        <w:r>
          <w:rPr>
            <w:webHidden/>
          </w:rPr>
          <w:t>10</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26" w:history="1">
        <w:r w:rsidRPr="00822F67">
          <w:rPr>
            <w:rStyle w:val="Hyperlink"/>
            <w:noProof/>
            <w:lang w:val="en-US"/>
          </w:rPr>
          <w:t>2.</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Goodwill and related accounting standards.</w:t>
        </w:r>
        <w:r>
          <w:rPr>
            <w:noProof/>
            <w:webHidden/>
          </w:rPr>
          <w:tab/>
        </w:r>
        <w:r>
          <w:rPr>
            <w:noProof/>
            <w:webHidden/>
          </w:rPr>
          <w:fldChar w:fldCharType="begin"/>
        </w:r>
        <w:r>
          <w:rPr>
            <w:noProof/>
            <w:webHidden/>
          </w:rPr>
          <w:instrText xml:space="preserve"> PAGEREF _Toc359957126 \h </w:instrText>
        </w:r>
        <w:r>
          <w:rPr>
            <w:noProof/>
            <w:webHidden/>
          </w:rPr>
        </w:r>
        <w:r>
          <w:rPr>
            <w:noProof/>
            <w:webHidden/>
          </w:rPr>
          <w:fldChar w:fldCharType="separate"/>
        </w:r>
        <w:r>
          <w:rPr>
            <w:noProof/>
            <w:webHidden/>
          </w:rPr>
          <w:t>11</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7" w:history="1">
        <w:r w:rsidRPr="00822F67">
          <w:rPr>
            <w:rStyle w:val="Hyperlink"/>
          </w:rPr>
          <w:t>2.1 Business combinations.</w:t>
        </w:r>
        <w:r>
          <w:rPr>
            <w:webHidden/>
          </w:rPr>
          <w:tab/>
        </w:r>
        <w:r>
          <w:rPr>
            <w:webHidden/>
          </w:rPr>
          <w:fldChar w:fldCharType="begin"/>
        </w:r>
        <w:r>
          <w:rPr>
            <w:webHidden/>
          </w:rPr>
          <w:instrText xml:space="preserve"> PAGEREF _Toc359957127 \h </w:instrText>
        </w:r>
        <w:r>
          <w:rPr>
            <w:webHidden/>
          </w:rPr>
        </w:r>
        <w:r>
          <w:rPr>
            <w:webHidden/>
          </w:rPr>
          <w:fldChar w:fldCharType="separate"/>
        </w:r>
        <w:r>
          <w:rPr>
            <w:webHidden/>
          </w:rPr>
          <w:t>11</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8" w:history="1">
        <w:r w:rsidRPr="00822F67">
          <w:rPr>
            <w:rStyle w:val="Hyperlink"/>
          </w:rPr>
          <w:t>2.2 On balance goodwill.</w:t>
        </w:r>
        <w:r>
          <w:rPr>
            <w:webHidden/>
          </w:rPr>
          <w:tab/>
        </w:r>
        <w:r>
          <w:rPr>
            <w:webHidden/>
          </w:rPr>
          <w:fldChar w:fldCharType="begin"/>
        </w:r>
        <w:r>
          <w:rPr>
            <w:webHidden/>
          </w:rPr>
          <w:instrText xml:space="preserve"> PAGEREF _Toc359957128 \h </w:instrText>
        </w:r>
        <w:r>
          <w:rPr>
            <w:webHidden/>
          </w:rPr>
        </w:r>
        <w:r>
          <w:rPr>
            <w:webHidden/>
          </w:rPr>
          <w:fldChar w:fldCharType="separate"/>
        </w:r>
        <w:r>
          <w:rPr>
            <w:webHidden/>
          </w:rPr>
          <w:t>12</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29" w:history="1">
        <w:r w:rsidRPr="00822F67">
          <w:rPr>
            <w:rStyle w:val="Hyperlink"/>
          </w:rPr>
          <w:t>2.3 Relevant accounting standards.</w:t>
        </w:r>
        <w:r>
          <w:rPr>
            <w:webHidden/>
          </w:rPr>
          <w:tab/>
        </w:r>
        <w:r>
          <w:rPr>
            <w:webHidden/>
          </w:rPr>
          <w:fldChar w:fldCharType="begin"/>
        </w:r>
        <w:r>
          <w:rPr>
            <w:webHidden/>
          </w:rPr>
          <w:instrText xml:space="preserve"> PAGEREF _Toc359957129 \h </w:instrText>
        </w:r>
        <w:r>
          <w:rPr>
            <w:webHidden/>
          </w:rPr>
        </w:r>
        <w:r>
          <w:rPr>
            <w:webHidden/>
          </w:rPr>
          <w:fldChar w:fldCharType="separate"/>
        </w:r>
        <w:r>
          <w:rPr>
            <w:webHidden/>
          </w:rPr>
          <w:t>13</w:t>
        </w:r>
        <w:r>
          <w:rPr>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30" w:history="1">
        <w:r w:rsidRPr="00822F67">
          <w:rPr>
            <w:rStyle w:val="Hyperlink"/>
            <w:noProof/>
          </w:rPr>
          <w:t>2.3.1 Implementation of IFRS in the European Union</w:t>
        </w:r>
        <w:r>
          <w:rPr>
            <w:noProof/>
            <w:webHidden/>
          </w:rPr>
          <w:tab/>
        </w:r>
        <w:r>
          <w:rPr>
            <w:noProof/>
            <w:webHidden/>
          </w:rPr>
          <w:fldChar w:fldCharType="begin"/>
        </w:r>
        <w:r>
          <w:rPr>
            <w:noProof/>
            <w:webHidden/>
          </w:rPr>
          <w:instrText xml:space="preserve"> PAGEREF _Toc359957130 \h </w:instrText>
        </w:r>
        <w:r>
          <w:rPr>
            <w:noProof/>
            <w:webHidden/>
          </w:rPr>
        </w:r>
        <w:r>
          <w:rPr>
            <w:noProof/>
            <w:webHidden/>
          </w:rPr>
          <w:fldChar w:fldCharType="separate"/>
        </w:r>
        <w:r>
          <w:rPr>
            <w:noProof/>
            <w:webHidden/>
          </w:rPr>
          <w:t>13</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31" w:history="1">
        <w:r w:rsidRPr="00822F67">
          <w:rPr>
            <w:rStyle w:val="Hyperlink"/>
            <w:noProof/>
          </w:rPr>
          <w:t>2.3.2 International Financial Reporting Standards 3</w:t>
        </w:r>
        <w:r>
          <w:rPr>
            <w:noProof/>
            <w:webHidden/>
          </w:rPr>
          <w:tab/>
        </w:r>
        <w:r>
          <w:rPr>
            <w:noProof/>
            <w:webHidden/>
          </w:rPr>
          <w:fldChar w:fldCharType="begin"/>
        </w:r>
        <w:r>
          <w:rPr>
            <w:noProof/>
            <w:webHidden/>
          </w:rPr>
          <w:instrText xml:space="preserve"> PAGEREF _Toc359957131 \h </w:instrText>
        </w:r>
        <w:r>
          <w:rPr>
            <w:noProof/>
            <w:webHidden/>
          </w:rPr>
        </w:r>
        <w:r>
          <w:rPr>
            <w:noProof/>
            <w:webHidden/>
          </w:rPr>
          <w:fldChar w:fldCharType="separate"/>
        </w:r>
        <w:r>
          <w:rPr>
            <w:noProof/>
            <w:webHidden/>
          </w:rPr>
          <w:t>14</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32" w:history="1">
        <w:r w:rsidRPr="00822F67">
          <w:rPr>
            <w:rStyle w:val="Hyperlink"/>
            <w:noProof/>
          </w:rPr>
          <w:t>2.3.3 Statement of Financial Accounting Standards (SFAS) 142.</w:t>
        </w:r>
        <w:r>
          <w:rPr>
            <w:noProof/>
            <w:webHidden/>
          </w:rPr>
          <w:tab/>
        </w:r>
        <w:r>
          <w:rPr>
            <w:noProof/>
            <w:webHidden/>
          </w:rPr>
          <w:fldChar w:fldCharType="begin"/>
        </w:r>
        <w:r>
          <w:rPr>
            <w:noProof/>
            <w:webHidden/>
          </w:rPr>
          <w:instrText xml:space="preserve"> PAGEREF _Toc359957132 \h </w:instrText>
        </w:r>
        <w:r>
          <w:rPr>
            <w:noProof/>
            <w:webHidden/>
          </w:rPr>
        </w:r>
        <w:r>
          <w:rPr>
            <w:noProof/>
            <w:webHidden/>
          </w:rPr>
          <w:fldChar w:fldCharType="separate"/>
        </w:r>
        <w:r>
          <w:rPr>
            <w:noProof/>
            <w:webHidden/>
          </w:rPr>
          <w:t>15</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33" w:history="1">
        <w:r w:rsidRPr="00822F67">
          <w:rPr>
            <w:rStyle w:val="Hyperlink"/>
            <w:noProof/>
            <w:lang w:val="en-US"/>
          </w:rPr>
          <w:t>2.3.4 Differences between IFRS and SFAS</w:t>
        </w:r>
        <w:r>
          <w:rPr>
            <w:noProof/>
            <w:webHidden/>
          </w:rPr>
          <w:tab/>
        </w:r>
        <w:r>
          <w:rPr>
            <w:noProof/>
            <w:webHidden/>
          </w:rPr>
          <w:fldChar w:fldCharType="begin"/>
        </w:r>
        <w:r>
          <w:rPr>
            <w:noProof/>
            <w:webHidden/>
          </w:rPr>
          <w:instrText xml:space="preserve"> PAGEREF _Toc359957133 \h </w:instrText>
        </w:r>
        <w:r>
          <w:rPr>
            <w:noProof/>
            <w:webHidden/>
          </w:rPr>
        </w:r>
        <w:r>
          <w:rPr>
            <w:noProof/>
            <w:webHidden/>
          </w:rPr>
          <w:fldChar w:fldCharType="separate"/>
        </w:r>
        <w:r>
          <w:rPr>
            <w:noProof/>
            <w:webHidden/>
          </w:rPr>
          <w:t>16</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34" w:history="1">
        <w:r w:rsidRPr="00822F67">
          <w:rPr>
            <w:rStyle w:val="Hyperlink"/>
          </w:rPr>
          <w:t>2.4 Summary and Conclusion</w:t>
        </w:r>
        <w:r>
          <w:rPr>
            <w:webHidden/>
          </w:rPr>
          <w:tab/>
        </w:r>
        <w:r>
          <w:rPr>
            <w:webHidden/>
          </w:rPr>
          <w:fldChar w:fldCharType="begin"/>
        </w:r>
        <w:r>
          <w:rPr>
            <w:webHidden/>
          </w:rPr>
          <w:instrText xml:space="preserve"> PAGEREF _Toc359957134 \h </w:instrText>
        </w:r>
        <w:r>
          <w:rPr>
            <w:webHidden/>
          </w:rPr>
        </w:r>
        <w:r>
          <w:rPr>
            <w:webHidden/>
          </w:rPr>
          <w:fldChar w:fldCharType="separate"/>
        </w:r>
        <w:r>
          <w:rPr>
            <w:webHidden/>
          </w:rPr>
          <w:t>16</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35" w:history="1">
        <w:r w:rsidRPr="00822F67">
          <w:rPr>
            <w:rStyle w:val="Hyperlink"/>
            <w:noProof/>
            <w:lang w:val="en-US"/>
          </w:rPr>
          <w:t>3.</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Goodwill Impairment</w:t>
        </w:r>
        <w:r>
          <w:rPr>
            <w:noProof/>
            <w:webHidden/>
          </w:rPr>
          <w:tab/>
        </w:r>
        <w:r>
          <w:rPr>
            <w:noProof/>
            <w:webHidden/>
          </w:rPr>
          <w:fldChar w:fldCharType="begin"/>
        </w:r>
        <w:r>
          <w:rPr>
            <w:noProof/>
            <w:webHidden/>
          </w:rPr>
          <w:instrText xml:space="preserve"> PAGEREF _Toc359957135 \h </w:instrText>
        </w:r>
        <w:r>
          <w:rPr>
            <w:noProof/>
            <w:webHidden/>
          </w:rPr>
        </w:r>
        <w:r>
          <w:rPr>
            <w:noProof/>
            <w:webHidden/>
          </w:rPr>
          <w:fldChar w:fldCharType="separate"/>
        </w:r>
        <w:r>
          <w:rPr>
            <w:noProof/>
            <w:webHidden/>
          </w:rPr>
          <w:t>18</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36" w:history="1">
        <w:r w:rsidRPr="00822F67">
          <w:rPr>
            <w:rStyle w:val="Hyperlink"/>
          </w:rPr>
          <w:t>3.1 Impairment test conform IAS 36</w:t>
        </w:r>
        <w:r>
          <w:rPr>
            <w:webHidden/>
          </w:rPr>
          <w:tab/>
        </w:r>
        <w:r>
          <w:rPr>
            <w:webHidden/>
          </w:rPr>
          <w:fldChar w:fldCharType="begin"/>
        </w:r>
        <w:r>
          <w:rPr>
            <w:webHidden/>
          </w:rPr>
          <w:instrText xml:space="preserve"> PAGEREF _Toc359957136 \h </w:instrText>
        </w:r>
        <w:r>
          <w:rPr>
            <w:webHidden/>
          </w:rPr>
        </w:r>
        <w:r>
          <w:rPr>
            <w:webHidden/>
          </w:rPr>
          <w:fldChar w:fldCharType="separate"/>
        </w:r>
        <w:r>
          <w:rPr>
            <w:webHidden/>
          </w:rPr>
          <w:t>18</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37" w:history="1">
        <w:r w:rsidRPr="00822F67">
          <w:rPr>
            <w:rStyle w:val="Hyperlink"/>
          </w:rPr>
          <w:t>3.2 Impairment test and Earnings Management</w:t>
        </w:r>
        <w:r>
          <w:rPr>
            <w:webHidden/>
          </w:rPr>
          <w:tab/>
        </w:r>
        <w:r>
          <w:rPr>
            <w:webHidden/>
          </w:rPr>
          <w:fldChar w:fldCharType="begin"/>
        </w:r>
        <w:r>
          <w:rPr>
            <w:webHidden/>
          </w:rPr>
          <w:instrText xml:space="preserve"> PAGEREF _Toc359957137 \h </w:instrText>
        </w:r>
        <w:r>
          <w:rPr>
            <w:webHidden/>
          </w:rPr>
        </w:r>
        <w:r>
          <w:rPr>
            <w:webHidden/>
          </w:rPr>
          <w:fldChar w:fldCharType="separate"/>
        </w:r>
        <w:r>
          <w:rPr>
            <w:webHidden/>
          </w:rPr>
          <w:t>19</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38" w:history="1">
        <w:r w:rsidRPr="00822F67">
          <w:rPr>
            <w:rStyle w:val="Hyperlink"/>
          </w:rPr>
          <w:t>3.3 Summary and conclusion</w:t>
        </w:r>
        <w:r>
          <w:rPr>
            <w:webHidden/>
          </w:rPr>
          <w:tab/>
        </w:r>
        <w:r>
          <w:rPr>
            <w:webHidden/>
          </w:rPr>
          <w:fldChar w:fldCharType="begin"/>
        </w:r>
        <w:r>
          <w:rPr>
            <w:webHidden/>
          </w:rPr>
          <w:instrText xml:space="preserve"> PAGEREF _Toc359957138 \h </w:instrText>
        </w:r>
        <w:r>
          <w:rPr>
            <w:webHidden/>
          </w:rPr>
        </w:r>
        <w:r>
          <w:rPr>
            <w:webHidden/>
          </w:rPr>
          <w:fldChar w:fldCharType="separate"/>
        </w:r>
        <w:r>
          <w:rPr>
            <w:webHidden/>
          </w:rPr>
          <w:t>20</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39" w:history="1">
        <w:r w:rsidRPr="00822F67">
          <w:rPr>
            <w:rStyle w:val="Hyperlink"/>
            <w:noProof/>
            <w:lang w:val="en-US"/>
          </w:rPr>
          <w:t>4.</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Earnings Management</w:t>
        </w:r>
        <w:r>
          <w:rPr>
            <w:noProof/>
            <w:webHidden/>
          </w:rPr>
          <w:tab/>
        </w:r>
        <w:r>
          <w:rPr>
            <w:noProof/>
            <w:webHidden/>
          </w:rPr>
          <w:fldChar w:fldCharType="begin"/>
        </w:r>
        <w:r>
          <w:rPr>
            <w:noProof/>
            <w:webHidden/>
          </w:rPr>
          <w:instrText xml:space="preserve"> PAGEREF _Toc359957139 \h </w:instrText>
        </w:r>
        <w:r>
          <w:rPr>
            <w:noProof/>
            <w:webHidden/>
          </w:rPr>
        </w:r>
        <w:r>
          <w:rPr>
            <w:noProof/>
            <w:webHidden/>
          </w:rPr>
          <w:fldChar w:fldCharType="separate"/>
        </w:r>
        <w:r>
          <w:rPr>
            <w:noProof/>
            <w:webHidden/>
          </w:rPr>
          <w:t>21</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0" w:history="1">
        <w:r w:rsidRPr="00822F67">
          <w:rPr>
            <w:rStyle w:val="Hyperlink"/>
          </w:rPr>
          <w:t>4.1 Definition of earnings management</w:t>
        </w:r>
        <w:r>
          <w:rPr>
            <w:webHidden/>
          </w:rPr>
          <w:tab/>
        </w:r>
        <w:r>
          <w:rPr>
            <w:webHidden/>
          </w:rPr>
          <w:fldChar w:fldCharType="begin"/>
        </w:r>
        <w:r>
          <w:rPr>
            <w:webHidden/>
          </w:rPr>
          <w:instrText xml:space="preserve"> PAGEREF _Toc359957140 \h </w:instrText>
        </w:r>
        <w:r>
          <w:rPr>
            <w:webHidden/>
          </w:rPr>
        </w:r>
        <w:r>
          <w:rPr>
            <w:webHidden/>
          </w:rPr>
          <w:fldChar w:fldCharType="separate"/>
        </w:r>
        <w:r>
          <w:rPr>
            <w:webHidden/>
          </w:rPr>
          <w:t>21</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1" w:history="1">
        <w:r w:rsidRPr="00822F67">
          <w:rPr>
            <w:rStyle w:val="Hyperlink"/>
          </w:rPr>
          <w:t>4.2 Incentives for earnings management</w:t>
        </w:r>
        <w:r>
          <w:rPr>
            <w:webHidden/>
          </w:rPr>
          <w:tab/>
        </w:r>
        <w:r>
          <w:rPr>
            <w:webHidden/>
          </w:rPr>
          <w:fldChar w:fldCharType="begin"/>
        </w:r>
        <w:r>
          <w:rPr>
            <w:webHidden/>
          </w:rPr>
          <w:instrText xml:space="preserve"> PAGEREF _Toc359957141 \h </w:instrText>
        </w:r>
        <w:r>
          <w:rPr>
            <w:webHidden/>
          </w:rPr>
        </w:r>
        <w:r>
          <w:rPr>
            <w:webHidden/>
          </w:rPr>
          <w:fldChar w:fldCharType="separate"/>
        </w:r>
        <w:r>
          <w:rPr>
            <w:webHidden/>
          </w:rPr>
          <w:t>23</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2" w:history="1">
        <w:r w:rsidRPr="00822F67">
          <w:rPr>
            <w:rStyle w:val="Hyperlink"/>
          </w:rPr>
          <w:t>4.3 Types of earnings management</w:t>
        </w:r>
        <w:r>
          <w:rPr>
            <w:webHidden/>
          </w:rPr>
          <w:tab/>
        </w:r>
        <w:r>
          <w:rPr>
            <w:webHidden/>
          </w:rPr>
          <w:fldChar w:fldCharType="begin"/>
        </w:r>
        <w:r>
          <w:rPr>
            <w:webHidden/>
          </w:rPr>
          <w:instrText xml:space="preserve"> PAGEREF _Toc359957142 \h </w:instrText>
        </w:r>
        <w:r>
          <w:rPr>
            <w:webHidden/>
          </w:rPr>
        </w:r>
        <w:r>
          <w:rPr>
            <w:webHidden/>
          </w:rPr>
          <w:fldChar w:fldCharType="separate"/>
        </w:r>
        <w:r>
          <w:rPr>
            <w:webHidden/>
          </w:rPr>
          <w:t>25</w:t>
        </w:r>
        <w:r>
          <w:rPr>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43" w:history="1">
        <w:r w:rsidRPr="00822F67">
          <w:rPr>
            <w:rStyle w:val="Hyperlink"/>
            <w:noProof/>
            <w:lang w:val="en-US"/>
          </w:rPr>
          <w:t>4.3.1 Taking a bath</w:t>
        </w:r>
        <w:r>
          <w:rPr>
            <w:noProof/>
            <w:webHidden/>
          </w:rPr>
          <w:tab/>
        </w:r>
        <w:r>
          <w:rPr>
            <w:noProof/>
            <w:webHidden/>
          </w:rPr>
          <w:fldChar w:fldCharType="begin"/>
        </w:r>
        <w:r>
          <w:rPr>
            <w:noProof/>
            <w:webHidden/>
          </w:rPr>
          <w:instrText xml:space="preserve"> PAGEREF _Toc359957143 \h </w:instrText>
        </w:r>
        <w:r>
          <w:rPr>
            <w:noProof/>
            <w:webHidden/>
          </w:rPr>
        </w:r>
        <w:r>
          <w:rPr>
            <w:noProof/>
            <w:webHidden/>
          </w:rPr>
          <w:fldChar w:fldCharType="separate"/>
        </w:r>
        <w:r>
          <w:rPr>
            <w:noProof/>
            <w:webHidden/>
          </w:rPr>
          <w:t>25</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44" w:history="1">
        <w:r w:rsidRPr="00822F67">
          <w:rPr>
            <w:rStyle w:val="Hyperlink"/>
            <w:noProof/>
            <w:lang w:val="en-US"/>
          </w:rPr>
          <w:t>4.3.2 Income smoothing</w:t>
        </w:r>
        <w:r>
          <w:rPr>
            <w:noProof/>
            <w:webHidden/>
          </w:rPr>
          <w:tab/>
        </w:r>
        <w:r>
          <w:rPr>
            <w:noProof/>
            <w:webHidden/>
          </w:rPr>
          <w:fldChar w:fldCharType="begin"/>
        </w:r>
        <w:r>
          <w:rPr>
            <w:noProof/>
            <w:webHidden/>
          </w:rPr>
          <w:instrText xml:space="preserve"> PAGEREF _Toc359957144 \h </w:instrText>
        </w:r>
        <w:r>
          <w:rPr>
            <w:noProof/>
            <w:webHidden/>
          </w:rPr>
        </w:r>
        <w:r>
          <w:rPr>
            <w:noProof/>
            <w:webHidden/>
          </w:rPr>
          <w:fldChar w:fldCharType="separate"/>
        </w:r>
        <w:r>
          <w:rPr>
            <w:noProof/>
            <w:webHidden/>
          </w:rPr>
          <w:t>26</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5" w:history="1">
        <w:r w:rsidRPr="00822F67">
          <w:rPr>
            <w:rStyle w:val="Hyperlink"/>
          </w:rPr>
          <w:t>4.4 Summary and Conclusion</w:t>
        </w:r>
        <w:r>
          <w:rPr>
            <w:webHidden/>
          </w:rPr>
          <w:tab/>
        </w:r>
        <w:r>
          <w:rPr>
            <w:webHidden/>
          </w:rPr>
          <w:fldChar w:fldCharType="begin"/>
        </w:r>
        <w:r>
          <w:rPr>
            <w:webHidden/>
          </w:rPr>
          <w:instrText xml:space="preserve"> PAGEREF _Toc359957145 \h </w:instrText>
        </w:r>
        <w:r>
          <w:rPr>
            <w:webHidden/>
          </w:rPr>
        </w:r>
        <w:r>
          <w:rPr>
            <w:webHidden/>
          </w:rPr>
          <w:fldChar w:fldCharType="separate"/>
        </w:r>
        <w:r>
          <w:rPr>
            <w:webHidden/>
          </w:rPr>
          <w:t>27</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46" w:history="1">
        <w:r w:rsidRPr="00822F67">
          <w:rPr>
            <w:rStyle w:val="Hyperlink"/>
            <w:noProof/>
            <w:lang w:val="en-US"/>
          </w:rPr>
          <w:t>5.</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Research design</w:t>
        </w:r>
        <w:r>
          <w:rPr>
            <w:noProof/>
            <w:webHidden/>
          </w:rPr>
          <w:tab/>
        </w:r>
        <w:r>
          <w:rPr>
            <w:noProof/>
            <w:webHidden/>
          </w:rPr>
          <w:fldChar w:fldCharType="begin"/>
        </w:r>
        <w:r>
          <w:rPr>
            <w:noProof/>
            <w:webHidden/>
          </w:rPr>
          <w:instrText xml:space="preserve"> PAGEREF _Toc359957146 \h </w:instrText>
        </w:r>
        <w:r>
          <w:rPr>
            <w:noProof/>
            <w:webHidden/>
          </w:rPr>
        </w:r>
        <w:r>
          <w:rPr>
            <w:noProof/>
            <w:webHidden/>
          </w:rPr>
          <w:fldChar w:fldCharType="separate"/>
        </w:r>
        <w:r>
          <w:rPr>
            <w:noProof/>
            <w:webHidden/>
          </w:rPr>
          <w:t>28</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7" w:history="1">
        <w:r w:rsidRPr="00822F67">
          <w:rPr>
            <w:rStyle w:val="Hyperlink"/>
          </w:rPr>
          <w:t>5.1 Development of Hypotheses</w:t>
        </w:r>
        <w:r>
          <w:rPr>
            <w:webHidden/>
          </w:rPr>
          <w:tab/>
        </w:r>
        <w:r>
          <w:rPr>
            <w:webHidden/>
          </w:rPr>
          <w:fldChar w:fldCharType="begin"/>
        </w:r>
        <w:r>
          <w:rPr>
            <w:webHidden/>
          </w:rPr>
          <w:instrText xml:space="preserve"> PAGEREF _Toc359957147 \h </w:instrText>
        </w:r>
        <w:r>
          <w:rPr>
            <w:webHidden/>
          </w:rPr>
        </w:r>
        <w:r>
          <w:rPr>
            <w:webHidden/>
          </w:rPr>
          <w:fldChar w:fldCharType="separate"/>
        </w:r>
        <w:r>
          <w:rPr>
            <w:webHidden/>
          </w:rPr>
          <w:t>28</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48" w:history="1">
        <w:r w:rsidRPr="00822F67">
          <w:rPr>
            <w:rStyle w:val="Hyperlink"/>
          </w:rPr>
          <w:t>5.2 Development of Model</w:t>
        </w:r>
        <w:r>
          <w:rPr>
            <w:webHidden/>
          </w:rPr>
          <w:tab/>
        </w:r>
        <w:r>
          <w:rPr>
            <w:webHidden/>
          </w:rPr>
          <w:fldChar w:fldCharType="begin"/>
        </w:r>
        <w:r>
          <w:rPr>
            <w:webHidden/>
          </w:rPr>
          <w:instrText xml:space="preserve"> PAGEREF _Toc359957148 \h </w:instrText>
        </w:r>
        <w:r>
          <w:rPr>
            <w:webHidden/>
          </w:rPr>
        </w:r>
        <w:r>
          <w:rPr>
            <w:webHidden/>
          </w:rPr>
          <w:fldChar w:fldCharType="separate"/>
        </w:r>
        <w:r>
          <w:rPr>
            <w:webHidden/>
          </w:rPr>
          <w:t>30</w:t>
        </w:r>
        <w:r>
          <w:rPr>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49" w:history="1">
        <w:r w:rsidRPr="00822F67">
          <w:rPr>
            <w:rStyle w:val="Hyperlink"/>
            <w:noProof/>
          </w:rPr>
          <w:t>5.2.1 Types of Variables</w:t>
        </w:r>
        <w:r>
          <w:rPr>
            <w:noProof/>
            <w:webHidden/>
          </w:rPr>
          <w:tab/>
        </w:r>
        <w:r>
          <w:rPr>
            <w:noProof/>
            <w:webHidden/>
          </w:rPr>
          <w:fldChar w:fldCharType="begin"/>
        </w:r>
        <w:r>
          <w:rPr>
            <w:noProof/>
            <w:webHidden/>
          </w:rPr>
          <w:instrText xml:space="preserve"> PAGEREF _Toc359957149 \h </w:instrText>
        </w:r>
        <w:r>
          <w:rPr>
            <w:noProof/>
            <w:webHidden/>
          </w:rPr>
        </w:r>
        <w:r>
          <w:rPr>
            <w:noProof/>
            <w:webHidden/>
          </w:rPr>
          <w:fldChar w:fldCharType="separate"/>
        </w:r>
        <w:r>
          <w:rPr>
            <w:noProof/>
            <w:webHidden/>
          </w:rPr>
          <w:t>30</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50" w:history="1">
        <w:r w:rsidRPr="00822F67">
          <w:rPr>
            <w:rStyle w:val="Hyperlink"/>
            <w:noProof/>
            <w:lang w:val="en-US"/>
          </w:rPr>
          <w:t>5.2.2 Research variables</w:t>
        </w:r>
        <w:r>
          <w:rPr>
            <w:noProof/>
            <w:webHidden/>
          </w:rPr>
          <w:tab/>
        </w:r>
        <w:r>
          <w:rPr>
            <w:noProof/>
            <w:webHidden/>
          </w:rPr>
          <w:fldChar w:fldCharType="begin"/>
        </w:r>
        <w:r>
          <w:rPr>
            <w:noProof/>
            <w:webHidden/>
          </w:rPr>
          <w:instrText xml:space="preserve"> PAGEREF _Toc359957150 \h </w:instrText>
        </w:r>
        <w:r>
          <w:rPr>
            <w:noProof/>
            <w:webHidden/>
          </w:rPr>
        </w:r>
        <w:r>
          <w:rPr>
            <w:noProof/>
            <w:webHidden/>
          </w:rPr>
          <w:fldChar w:fldCharType="separate"/>
        </w:r>
        <w:r>
          <w:rPr>
            <w:noProof/>
            <w:webHidden/>
          </w:rPr>
          <w:t>32</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1" w:history="1">
        <w:r w:rsidRPr="00822F67">
          <w:rPr>
            <w:rStyle w:val="Hyperlink"/>
          </w:rPr>
          <w:t>5.3 Conclusion of research model</w:t>
        </w:r>
        <w:r>
          <w:rPr>
            <w:webHidden/>
          </w:rPr>
          <w:tab/>
        </w:r>
        <w:r>
          <w:rPr>
            <w:webHidden/>
          </w:rPr>
          <w:fldChar w:fldCharType="begin"/>
        </w:r>
        <w:r>
          <w:rPr>
            <w:webHidden/>
          </w:rPr>
          <w:instrText xml:space="preserve"> PAGEREF _Toc359957151 \h </w:instrText>
        </w:r>
        <w:r>
          <w:rPr>
            <w:webHidden/>
          </w:rPr>
        </w:r>
        <w:r>
          <w:rPr>
            <w:webHidden/>
          </w:rPr>
          <w:fldChar w:fldCharType="separate"/>
        </w:r>
        <w:r>
          <w:rPr>
            <w:webHidden/>
          </w:rPr>
          <w:t>34</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2" w:history="1">
        <w:r w:rsidRPr="00822F67">
          <w:rPr>
            <w:rStyle w:val="Hyperlink"/>
          </w:rPr>
          <w:t>5.4 Research sample</w:t>
        </w:r>
        <w:r>
          <w:rPr>
            <w:webHidden/>
          </w:rPr>
          <w:tab/>
        </w:r>
        <w:r>
          <w:rPr>
            <w:webHidden/>
          </w:rPr>
          <w:fldChar w:fldCharType="begin"/>
        </w:r>
        <w:r>
          <w:rPr>
            <w:webHidden/>
          </w:rPr>
          <w:instrText xml:space="preserve"> PAGEREF _Toc359957152 \h </w:instrText>
        </w:r>
        <w:r>
          <w:rPr>
            <w:webHidden/>
          </w:rPr>
        </w:r>
        <w:r>
          <w:rPr>
            <w:webHidden/>
          </w:rPr>
          <w:fldChar w:fldCharType="separate"/>
        </w:r>
        <w:r>
          <w:rPr>
            <w:webHidden/>
          </w:rPr>
          <w:t>35</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3" w:history="1">
        <w:r w:rsidRPr="00822F67">
          <w:rPr>
            <w:rStyle w:val="Hyperlink"/>
          </w:rPr>
          <w:t>5.5 Summary and Conclusion</w:t>
        </w:r>
        <w:r>
          <w:rPr>
            <w:webHidden/>
          </w:rPr>
          <w:tab/>
        </w:r>
        <w:r>
          <w:rPr>
            <w:webHidden/>
          </w:rPr>
          <w:fldChar w:fldCharType="begin"/>
        </w:r>
        <w:r>
          <w:rPr>
            <w:webHidden/>
          </w:rPr>
          <w:instrText xml:space="preserve"> PAGEREF _Toc359957153 \h </w:instrText>
        </w:r>
        <w:r>
          <w:rPr>
            <w:webHidden/>
          </w:rPr>
        </w:r>
        <w:r>
          <w:rPr>
            <w:webHidden/>
          </w:rPr>
          <w:fldChar w:fldCharType="separate"/>
        </w:r>
        <w:r>
          <w:rPr>
            <w:webHidden/>
          </w:rPr>
          <w:t>37</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54" w:history="1">
        <w:r w:rsidRPr="00822F67">
          <w:rPr>
            <w:rStyle w:val="Hyperlink"/>
            <w:noProof/>
            <w:lang w:val="en-US"/>
          </w:rPr>
          <w:t>6.</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Descriptive statistics</w:t>
        </w:r>
        <w:r>
          <w:rPr>
            <w:noProof/>
            <w:webHidden/>
          </w:rPr>
          <w:tab/>
        </w:r>
        <w:r>
          <w:rPr>
            <w:noProof/>
            <w:webHidden/>
          </w:rPr>
          <w:fldChar w:fldCharType="begin"/>
        </w:r>
        <w:r>
          <w:rPr>
            <w:noProof/>
            <w:webHidden/>
          </w:rPr>
          <w:instrText xml:space="preserve"> PAGEREF _Toc359957154 \h </w:instrText>
        </w:r>
        <w:r>
          <w:rPr>
            <w:noProof/>
            <w:webHidden/>
          </w:rPr>
        </w:r>
        <w:r>
          <w:rPr>
            <w:noProof/>
            <w:webHidden/>
          </w:rPr>
          <w:fldChar w:fldCharType="separate"/>
        </w:r>
        <w:r>
          <w:rPr>
            <w:noProof/>
            <w:webHidden/>
          </w:rPr>
          <w:t>38</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5" w:history="1">
        <w:r w:rsidRPr="00822F67">
          <w:rPr>
            <w:rStyle w:val="Hyperlink"/>
          </w:rPr>
          <w:t>6.1 Descriptive statistics</w:t>
        </w:r>
        <w:r>
          <w:rPr>
            <w:webHidden/>
          </w:rPr>
          <w:tab/>
        </w:r>
        <w:r>
          <w:rPr>
            <w:webHidden/>
          </w:rPr>
          <w:fldChar w:fldCharType="begin"/>
        </w:r>
        <w:r>
          <w:rPr>
            <w:webHidden/>
          </w:rPr>
          <w:instrText xml:space="preserve"> PAGEREF _Toc359957155 \h </w:instrText>
        </w:r>
        <w:r>
          <w:rPr>
            <w:webHidden/>
          </w:rPr>
        </w:r>
        <w:r>
          <w:rPr>
            <w:webHidden/>
          </w:rPr>
          <w:fldChar w:fldCharType="separate"/>
        </w:r>
        <w:r>
          <w:rPr>
            <w:webHidden/>
          </w:rPr>
          <w:t>38</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6" w:history="1">
        <w:r w:rsidRPr="00822F67">
          <w:rPr>
            <w:rStyle w:val="Hyperlink"/>
          </w:rPr>
          <w:t>6.2 Power and significance</w:t>
        </w:r>
        <w:r>
          <w:rPr>
            <w:webHidden/>
          </w:rPr>
          <w:tab/>
        </w:r>
        <w:r>
          <w:rPr>
            <w:webHidden/>
          </w:rPr>
          <w:fldChar w:fldCharType="begin"/>
        </w:r>
        <w:r>
          <w:rPr>
            <w:webHidden/>
          </w:rPr>
          <w:instrText xml:space="preserve"> PAGEREF _Toc359957156 \h </w:instrText>
        </w:r>
        <w:r>
          <w:rPr>
            <w:webHidden/>
          </w:rPr>
        </w:r>
        <w:r>
          <w:rPr>
            <w:webHidden/>
          </w:rPr>
          <w:fldChar w:fldCharType="separate"/>
        </w:r>
        <w:r>
          <w:rPr>
            <w:webHidden/>
          </w:rPr>
          <w:t>40</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7" w:history="1">
        <w:r w:rsidRPr="00822F67">
          <w:rPr>
            <w:rStyle w:val="Hyperlink"/>
          </w:rPr>
          <w:t>6.3 Multicollinearity</w:t>
        </w:r>
        <w:r>
          <w:rPr>
            <w:webHidden/>
          </w:rPr>
          <w:tab/>
        </w:r>
        <w:r>
          <w:rPr>
            <w:webHidden/>
          </w:rPr>
          <w:fldChar w:fldCharType="begin"/>
        </w:r>
        <w:r>
          <w:rPr>
            <w:webHidden/>
          </w:rPr>
          <w:instrText xml:space="preserve"> PAGEREF _Toc359957157 \h </w:instrText>
        </w:r>
        <w:r>
          <w:rPr>
            <w:webHidden/>
          </w:rPr>
        </w:r>
        <w:r>
          <w:rPr>
            <w:webHidden/>
          </w:rPr>
          <w:fldChar w:fldCharType="separate"/>
        </w:r>
        <w:r>
          <w:rPr>
            <w:webHidden/>
          </w:rPr>
          <w:t>41</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58" w:history="1">
        <w:r w:rsidRPr="00822F67">
          <w:rPr>
            <w:rStyle w:val="Hyperlink"/>
          </w:rPr>
          <w:t>6.4 Summary and conclusion</w:t>
        </w:r>
        <w:r>
          <w:rPr>
            <w:webHidden/>
          </w:rPr>
          <w:tab/>
        </w:r>
        <w:r>
          <w:rPr>
            <w:webHidden/>
          </w:rPr>
          <w:fldChar w:fldCharType="begin"/>
        </w:r>
        <w:r>
          <w:rPr>
            <w:webHidden/>
          </w:rPr>
          <w:instrText xml:space="preserve"> PAGEREF _Toc359957158 \h </w:instrText>
        </w:r>
        <w:r>
          <w:rPr>
            <w:webHidden/>
          </w:rPr>
        </w:r>
        <w:r>
          <w:rPr>
            <w:webHidden/>
          </w:rPr>
          <w:fldChar w:fldCharType="separate"/>
        </w:r>
        <w:r>
          <w:rPr>
            <w:webHidden/>
          </w:rPr>
          <w:t>42</w:t>
        </w:r>
        <w:r>
          <w:rPr>
            <w:webHidden/>
          </w:rPr>
          <w:fldChar w:fldCharType="end"/>
        </w:r>
      </w:hyperlink>
    </w:p>
    <w:p w:rsidR="007B5E7B" w:rsidRDefault="007B5E7B">
      <w:pPr>
        <w:pStyle w:val="TOC1"/>
        <w:tabs>
          <w:tab w:val="left" w:pos="660"/>
          <w:tab w:val="right" w:leader="dot" w:pos="8779"/>
        </w:tabs>
        <w:rPr>
          <w:rStyle w:val="Hyperlink"/>
          <w:noProof/>
        </w:rPr>
      </w:pPr>
    </w:p>
    <w:p w:rsidR="007B5E7B" w:rsidRDefault="007B5E7B">
      <w:pPr>
        <w:pStyle w:val="TOC1"/>
        <w:tabs>
          <w:tab w:val="left" w:pos="660"/>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59" w:history="1">
        <w:r w:rsidRPr="00822F67">
          <w:rPr>
            <w:rStyle w:val="Hyperlink"/>
            <w:noProof/>
            <w:lang w:val="en-US"/>
          </w:rPr>
          <w:t>7.</w:t>
        </w:r>
        <w:r>
          <w:rPr>
            <w:rFonts w:asciiTheme="minorHAnsi" w:eastAsiaTheme="minorEastAsia" w:hAnsiTheme="minorHAnsi" w:cstheme="minorBidi"/>
            <w:b w:val="0"/>
            <w:bCs w:val="0"/>
            <w:i w:val="0"/>
            <w:noProof/>
            <w:color w:val="auto"/>
            <w:sz w:val="22"/>
            <w:szCs w:val="22"/>
            <w:lang w:val="nl-NL" w:eastAsia="nl-NL"/>
          </w:rPr>
          <w:tab/>
        </w:r>
        <w:r w:rsidRPr="00822F67">
          <w:rPr>
            <w:rStyle w:val="Hyperlink"/>
            <w:noProof/>
            <w:lang w:val="en-US"/>
          </w:rPr>
          <w:t>Results and Analysis</w:t>
        </w:r>
        <w:r>
          <w:rPr>
            <w:noProof/>
            <w:webHidden/>
          </w:rPr>
          <w:tab/>
        </w:r>
        <w:r>
          <w:rPr>
            <w:noProof/>
            <w:webHidden/>
          </w:rPr>
          <w:fldChar w:fldCharType="begin"/>
        </w:r>
        <w:r>
          <w:rPr>
            <w:noProof/>
            <w:webHidden/>
          </w:rPr>
          <w:instrText xml:space="preserve"> PAGEREF _Toc359957159 \h </w:instrText>
        </w:r>
        <w:r>
          <w:rPr>
            <w:noProof/>
            <w:webHidden/>
          </w:rPr>
        </w:r>
        <w:r>
          <w:rPr>
            <w:noProof/>
            <w:webHidden/>
          </w:rPr>
          <w:fldChar w:fldCharType="separate"/>
        </w:r>
        <w:r>
          <w:rPr>
            <w:noProof/>
            <w:webHidden/>
          </w:rPr>
          <w:t>43</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60" w:history="1">
        <w:r w:rsidRPr="00822F67">
          <w:rPr>
            <w:rStyle w:val="Hyperlink"/>
          </w:rPr>
          <w:t>7.1 Regression analysis 2007</w:t>
        </w:r>
        <w:r>
          <w:rPr>
            <w:webHidden/>
          </w:rPr>
          <w:tab/>
        </w:r>
        <w:r>
          <w:rPr>
            <w:webHidden/>
          </w:rPr>
          <w:fldChar w:fldCharType="begin"/>
        </w:r>
        <w:r>
          <w:rPr>
            <w:webHidden/>
          </w:rPr>
          <w:instrText xml:space="preserve"> PAGEREF _Toc359957160 \h </w:instrText>
        </w:r>
        <w:r>
          <w:rPr>
            <w:webHidden/>
          </w:rPr>
        </w:r>
        <w:r>
          <w:rPr>
            <w:webHidden/>
          </w:rPr>
          <w:fldChar w:fldCharType="separate"/>
        </w:r>
        <w:r>
          <w:rPr>
            <w:webHidden/>
          </w:rPr>
          <w:t>43</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61" w:history="1">
        <w:r w:rsidRPr="00822F67">
          <w:rPr>
            <w:rStyle w:val="Hyperlink"/>
          </w:rPr>
          <w:t>7.2 Regression analysis 2009</w:t>
        </w:r>
        <w:r>
          <w:rPr>
            <w:webHidden/>
          </w:rPr>
          <w:tab/>
        </w:r>
        <w:r>
          <w:rPr>
            <w:webHidden/>
          </w:rPr>
          <w:fldChar w:fldCharType="begin"/>
        </w:r>
        <w:r>
          <w:rPr>
            <w:webHidden/>
          </w:rPr>
          <w:instrText xml:space="preserve"> PAGEREF _Toc359957161 \h </w:instrText>
        </w:r>
        <w:r>
          <w:rPr>
            <w:webHidden/>
          </w:rPr>
        </w:r>
        <w:r>
          <w:rPr>
            <w:webHidden/>
          </w:rPr>
          <w:fldChar w:fldCharType="separate"/>
        </w:r>
        <w:r>
          <w:rPr>
            <w:webHidden/>
          </w:rPr>
          <w:t>45</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62" w:history="1">
        <w:r w:rsidRPr="00822F67">
          <w:rPr>
            <w:rStyle w:val="Hyperlink"/>
          </w:rPr>
          <w:t>7.3 Effects of the crisis</w:t>
        </w:r>
        <w:r>
          <w:rPr>
            <w:webHidden/>
          </w:rPr>
          <w:tab/>
        </w:r>
        <w:r>
          <w:rPr>
            <w:webHidden/>
          </w:rPr>
          <w:fldChar w:fldCharType="begin"/>
        </w:r>
        <w:r>
          <w:rPr>
            <w:webHidden/>
          </w:rPr>
          <w:instrText xml:space="preserve"> PAGEREF _Toc359957162 \h </w:instrText>
        </w:r>
        <w:r>
          <w:rPr>
            <w:webHidden/>
          </w:rPr>
        </w:r>
        <w:r>
          <w:rPr>
            <w:webHidden/>
          </w:rPr>
          <w:fldChar w:fldCharType="separate"/>
        </w:r>
        <w:r>
          <w:rPr>
            <w:webHidden/>
          </w:rPr>
          <w:t>46</w:t>
        </w:r>
        <w:r>
          <w:rPr>
            <w:webHidden/>
          </w:rPr>
          <w:fldChar w:fldCharType="end"/>
        </w:r>
      </w:hyperlink>
    </w:p>
    <w:p w:rsidR="007B5E7B" w:rsidRDefault="007B5E7B">
      <w:pPr>
        <w:pStyle w:val="TOC1"/>
        <w:tabs>
          <w:tab w:val="right" w:leader="dot" w:pos="8779"/>
        </w:tabs>
        <w:rPr>
          <w:rStyle w:val="Hyperlink"/>
          <w:noProof/>
        </w:rPr>
      </w:pPr>
    </w:p>
    <w:p w:rsidR="007B5E7B" w:rsidRDefault="007B5E7B">
      <w:pPr>
        <w:pStyle w:val="TOC1"/>
        <w:tabs>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63" w:history="1">
        <w:r w:rsidRPr="00822F67">
          <w:rPr>
            <w:rStyle w:val="Hyperlink"/>
            <w:noProof/>
            <w:lang w:val="en-US"/>
          </w:rPr>
          <w:t>8. Conclusion</w:t>
        </w:r>
        <w:r>
          <w:rPr>
            <w:noProof/>
            <w:webHidden/>
          </w:rPr>
          <w:tab/>
        </w:r>
        <w:r>
          <w:rPr>
            <w:noProof/>
            <w:webHidden/>
          </w:rPr>
          <w:fldChar w:fldCharType="begin"/>
        </w:r>
        <w:r>
          <w:rPr>
            <w:noProof/>
            <w:webHidden/>
          </w:rPr>
          <w:instrText xml:space="preserve"> PAGEREF _Toc359957163 \h </w:instrText>
        </w:r>
        <w:r>
          <w:rPr>
            <w:noProof/>
            <w:webHidden/>
          </w:rPr>
        </w:r>
        <w:r>
          <w:rPr>
            <w:noProof/>
            <w:webHidden/>
          </w:rPr>
          <w:fldChar w:fldCharType="separate"/>
        </w:r>
        <w:r>
          <w:rPr>
            <w:noProof/>
            <w:webHidden/>
          </w:rPr>
          <w:t>47</w:t>
        </w:r>
        <w:r>
          <w:rPr>
            <w:noProof/>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64" w:history="1">
        <w:r w:rsidRPr="00822F67">
          <w:rPr>
            <w:rStyle w:val="Hyperlink"/>
          </w:rPr>
          <w:t>8.1 Conclusion</w:t>
        </w:r>
        <w:r>
          <w:rPr>
            <w:webHidden/>
          </w:rPr>
          <w:tab/>
        </w:r>
        <w:r>
          <w:rPr>
            <w:webHidden/>
          </w:rPr>
          <w:fldChar w:fldCharType="begin"/>
        </w:r>
        <w:r>
          <w:rPr>
            <w:webHidden/>
          </w:rPr>
          <w:instrText xml:space="preserve"> PAGEREF _Toc359957164 \h </w:instrText>
        </w:r>
        <w:r>
          <w:rPr>
            <w:webHidden/>
          </w:rPr>
        </w:r>
        <w:r>
          <w:rPr>
            <w:webHidden/>
          </w:rPr>
          <w:fldChar w:fldCharType="separate"/>
        </w:r>
        <w:r>
          <w:rPr>
            <w:webHidden/>
          </w:rPr>
          <w:t>47</w:t>
        </w:r>
        <w:r>
          <w:rPr>
            <w:webHidden/>
          </w:rPr>
          <w:fldChar w:fldCharType="end"/>
        </w:r>
      </w:hyperlink>
    </w:p>
    <w:p w:rsidR="007B5E7B" w:rsidRDefault="007B5E7B">
      <w:pPr>
        <w:pStyle w:val="TOC2"/>
        <w:rPr>
          <w:rFonts w:asciiTheme="minorHAnsi" w:eastAsiaTheme="minorEastAsia" w:hAnsiTheme="minorHAnsi" w:cstheme="minorBidi"/>
          <w:bCs w:val="0"/>
          <w:color w:val="auto"/>
          <w:sz w:val="22"/>
          <w:szCs w:val="22"/>
          <w:lang w:val="nl-NL" w:eastAsia="nl-NL"/>
        </w:rPr>
      </w:pPr>
      <w:hyperlink w:anchor="_Toc359957165" w:history="1">
        <w:r w:rsidRPr="00822F67">
          <w:rPr>
            <w:rStyle w:val="Hyperlink"/>
          </w:rPr>
          <w:t>8.2 Future research</w:t>
        </w:r>
        <w:r>
          <w:rPr>
            <w:webHidden/>
          </w:rPr>
          <w:tab/>
        </w:r>
        <w:r>
          <w:rPr>
            <w:webHidden/>
          </w:rPr>
          <w:fldChar w:fldCharType="begin"/>
        </w:r>
        <w:r>
          <w:rPr>
            <w:webHidden/>
          </w:rPr>
          <w:instrText xml:space="preserve"> PAGEREF _Toc359957165 \h </w:instrText>
        </w:r>
        <w:r>
          <w:rPr>
            <w:webHidden/>
          </w:rPr>
        </w:r>
        <w:r>
          <w:rPr>
            <w:webHidden/>
          </w:rPr>
          <w:fldChar w:fldCharType="separate"/>
        </w:r>
        <w:r>
          <w:rPr>
            <w:webHidden/>
          </w:rPr>
          <w:t>48</w:t>
        </w:r>
        <w:r>
          <w:rPr>
            <w:webHidden/>
          </w:rPr>
          <w:fldChar w:fldCharType="end"/>
        </w:r>
      </w:hyperlink>
    </w:p>
    <w:p w:rsidR="007B5E7B" w:rsidRDefault="007B5E7B">
      <w:pPr>
        <w:pStyle w:val="TOC1"/>
        <w:tabs>
          <w:tab w:val="right" w:leader="dot" w:pos="8779"/>
        </w:tabs>
        <w:rPr>
          <w:rStyle w:val="Hyperlink"/>
          <w:noProof/>
        </w:rPr>
      </w:pPr>
    </w:p>
    <w:p w:rsidR="007B5E7B" w:rsidRDefault="007B5E7B">
      <w:pPr>
        <w:pStyle w:val="TOC1"/>
        <w:tabs>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66" w:history="1">
        <w:r w:rsidRPr="00822F67">
          <w:rPr>
            <w:rStyle w:val="Hyperlink"/>
            <w:noProof/>
            <w:lang w:val="en-US"/>
          </w:rPr>
          <w:t>References</w:t>
        </w:r>
        <w:r>
          <w:rPr>
            <w:noProof/>
            <w:webHidden/>
          </w:rPr>
          <w:tab/>
        </w:r>
        <w:r>
          <w:rPr>
            <w:noProof/>
            <w:webHidden/>
          </w:rPr>
          <w:fldChar w:fldCharType="begin"/>
        </w:r>
        <w:r>
          <w:rPr>
            <w:noProof/>
            <w:webHidden/>
          </w:rPr>
          <w:instrText xml:space="preserve"> PAGEREF _Toc359957166 \h </w:instrText>
        </w:r>
        <w:r>
          <w:rPr>
            <w:noProof/>
            <w:webHidden/>
          </w:rPr>
        </w:r>
        <w:r>
          <w:rPr>
            <w:noProof/>
            <w:webHidden/>
          </w:rPr>
          <w:fldChar w:fldCharType="separate"/>
        </w:r>
        <w:r>
          <w:rPr>
            <w:noProof/>
            <w:webHidden/>
          </w:rPr>
          <w:t>50</w:t>
        </w:r>
        <w:r>
          <w:rPr>
            <w:noProof/>
            <w:webHidden/>
          </w:rPr>
          <w:fldChar w:fldCharType="end"/>
        </w:r>
      </w:hyperlink>
    </w:p>
    <w:p w:rsidR="007B5E7B" w:rsidRDefault="007B5E7B">
      <w:pPr>
        <w:pStyle w:val="TOC1"/>
        <w:tabs>
          <w:tab w:val="right" w:leader="dot" w:pos="8779"/>
        </w:tabs>
        <w:rPr>
          <w:rStyle w:val="Hyperlink"/>
          <w:noProof/>
        </w:rPr>
      </w:pPr>
    </w:p>
    <w:p w:rsidR="007B5E7B" w:rsidRDefault="007B5E7B">
      <w:pPr>
        <w:pStyle w:val="TOC1"/>
        <w:tabs>
          <w:tab w:val="right" w:leader="dot" w:pos="8779"/>
        </w:tabs>
        <w:rPr>
          <w:rFonts w:asciiTheme="minorHAnsi" w:eastAsiaTheme="minorEastAsia" w:hAnsiTheme="minorHAnsi" w:cstheme="minorBidi"/>
          <w:b w:val="0"/>
          <w:bCs w:val="0"/>
          <w:i w:val="0"/>
          <w:noProof/>
          <w:color w:val="auto"/>
          <w:sz w:val="22"/>
          <w:szCs w:val="22"/>
          <w:lang w:val="nl-NL" w:eastAsia="nl-NL"/>
        </w:rPr>
      </w:pPr>
      <w:hyperlink w:anchor="_Toc359957167" w:history="1">
        <w:r w:rsidRPr="00822F67">
          <w:rPr>
            <w:rStyle w:val="Hyperlink"/>
            <w:noProof/>
            <w:lang w:val="en-US"/>
          </w:rPr>
          <w:t>Appendix</w:t>
        </w:r>
        <w:r>
          <w:rPr>
            <w:noProof/>
            <w:webHidden/>
          </w:rPr>
          <w:tab/>
        </w:r>
        <w:r>
          <w:rPr>
            <w:noProof/>
            <w:webHidden/>
          </w:rPr>
          <w:fldChar w:fldCharType="begin"/>
        </w:r>
        <w:r>
          <w:rPr>
            <w:noProof/>
            <w:webHidden/>
          </w:rPr>
          <w:instrText xml:space="preserve"> PAGEREF _Toc359957167 \h </w:instrText>
        </w:r>
        <w:r>
          <w:rPr>
            <w:noProof/>
            <w:webHidden/>
          </w:rPr>
        </w:r>
        <w:r>
          <w:rPr>
            <w:noProof/>
            <w:webHidden/>
          </w:rPr>
          <w:fldChar w:fldCharType="separate"/>
        </w:r>
        <w:r>
          <w:rPr>
            <w:noProof/>
            <w:webHidden/>
          </w:rPr>
          <w:t>52</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68" w:history="1">
        <w:r w:rsidRPr="00822F67">
          <w:rPr>
            <w:rStyle w:val="Hyperlink"/>
            <w:noProof/>
            <w:lang w:val="en-US"/>
          </w:rPr>
          <w:t>1. Use of options in the IAS Regulation by Member States</w:t>
        </w:r>
        <w:r>
          <w:rPr>
            <w:noProof/>
            <w:webHidden/>
          </w:rPr>
          <w:tab/>
        </w:r>
        <w:r>
          <w:rPr>
            <w:noProof/>
            <w:webHidden/>
          </w:rPr>
          <w:fldChar w:fldCharType="begin"/>
        </w:r>
        <w:r>
          <w:rPr>
            <w:noProof/>
            <w:webHidden/>
          </w:rPr>
          <w:instrText xml:space="preserve"> PAGEREF _Toc359957168 \h </w:instrText>
        </w:r>
        <w:r>
          <w:rPr>
            <w:noProof/>
            <w:webHidden/>
          </w:rPr>
        </w:r>
        <w:r>
          <w:rPr>
            <w:noProof/>
            <w:webHidden/>
          </w:rPr>
          <w:fldChar w:fldCharType="separate"/>
        </w:r>
        <w:r>
          <w:rPr>
            <w:noProof/>
            <w:webHidden/>
          </w:rPr>
          <w:t>53</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69" w:history="1">
        <w:r w:rsidRPr="00822F67">
          <w:rPr>
            <w:rStyle w:val="Hyperlink"/>
            <w:noProof/>
            <w:lang w:val="en-US"/>
          </w:rPr>
          <w:t>2. Theoretical outcomes:</w:t>
        </w:r>
        <w:r>
          <w:rPr>
            <w:noProof/>
            <w:webHidden/>
          </w:rPr>
          <w:tab/>
        </w:r>
        <w:r>
          <w:rPr>
            <w:noProof/>
            <w:webHidden/>
          </w:rPr>
          <w:fldChar w:fldCharType="begin"/>
        </w:r>
        <w:r>
          <w:rPr>
            <w:noProof/>
            <w:webHidden/>
          </w:rPr>
          <w:instrText xml:space="preserve"> PAGEREF _Toc359957169 \h </w:instrText>
        </w:r>
        <w:r>
          <w:rPr>
            <w:noProof/>
            <w:webHidden/>
          </w:rPr>
        </w:r>
        <w:r>
          <w:rPr>
            <w:noProof/>
            <w:webHidden/>
          </w:rPr>
          <w:fldChar w:fldCharType="separate"/>
        </w:r>
        <w:r>
          <w:rPr>
            <w:noProof/>
            <w:webHidden/>
          </w:rPr>
          <w:t>54</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70" w:history="1">
        <w:r w:rsidRPr="00822F67">
          <w:rPr>
            <w:rStyle w:val="Hyperlink"/>
            <w:noProof/>
            <w:lang w:val="en-US"/>
          </w:rPr>
          <w:t>3. Model as used by van the Poel et al. (2008):</w:t>
        </w:r>
        <w:r>
          <w:rPr>
            <w:noProof/>
            <w:webHidden/>
          </w:rPr>
          <w:tab/>
        </w:r>
        <w:r>
          <w:rPr>
            <w:noProof/>
            <w:webHidden/>
          </w:rPr>
          <w:fldChar w:fldCharType="begin"/>
        </w:r>
        <w:r>
          <w:rPr>
            <w:noProof/>
            <w:webHidden/>
          </w:rPr>
          <w:instrText xml:space="preserve"> PAGEREF _Toc359957170 \h </w:instrText>
        </w:r>
        <w:r>
          <w:rPr>
            <w:noProof/>
            <w:webHidden/>
          </w:rPr>
        </w:r>
        <w:r>
          <w:rPr>
            <w:noProof/>
            <w:webHidden/>
          </w:rPr>
          <w:fldChar w:fldCharType="separate"/>
        </w:r>
        <w:r>
          <w:rPr>
            <w:noProof/>
            <w:webHidden/>
          </w:rPr>
          <w:t>56</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71" w:history="1">
        <w:r w:rsidRPr="00822F67">
          <w:rPr>
            <w:rStyle w:val="Hyperlink"/>
            <w:noProof/>
            <w:lang w:val="en-US"/>
          </w:rPr>
          <w:t>4. Box plots:</w:t>
        </w:r>
        <w:r>
          <w:rPr>
            <w:noProof/>
            <w:webHidden/>
          </w:rPr>
          <w:tab/>
        </w:r>
        <w:r>
          <w:rPr>
            <w:noProof/>
            <w:webHidden/>
          </w:rPr>
          <w:fldChar w:fldCharType="begin"/>
        </w:r>
        <w:r>
          <w:rPr>
            <w:noProof/>
            <w:webHidden/>
          </w:rPr>
          <w:instrText xml:space="preserve"> PAGEREF _Toc359957171 \h </w:instrText>
        </w:r>
        <w:r>
          <w:rPr>
            <w:noProof/>
            <w:webHidden/>
          </w:rPr>
        </w:r>
        <w:r>
          <w:rPr>
            <w:noProof/>
            <w:webHidden/>
          </w:rPr>
          <w:fldChar w:fldCharType="separate"/>
        </w:r>
        <w:r>
          <w:rPr>
            <w:noProof/>
            <w:webHidden/>
          </w:rPr>
          <w:t>57</w:t>
        </w:r>
        <w:r>
          <w:rPr>
            <w:noProof/>
            <w:webHidden/>
          </w:rPr>
          <w:fldChar w:fldCharType="end"/>
        </w:r>
      </w:hyperlink>
    </w:p>
    <w:p w:rsidR="007B5E7B" w:rsidRDefault="007B5E7B">
      <w:pPr>
        <w:pStyle w:val="TOC3"/>
        <w:tabs>
          <w:tab w:val="right" w:leader="dot" w:pos="8779"/>
        </w:tabs>
        <w:rPr>
          <w:rFonts w:asciiTheme="minorHAnsi" w:eastAsiaTheme="minorEastAsia" w:hAnsiTheme="minorHAnsi" w:cstheme="minorBidi"/>
          <w:iCs w:val="0"/>
          <w:noProof/>
          <w:color w:val="auto"/>
          <w:sz w:val="22"/>
          <w:szCs w:val="22"/>
          <w:lang w:val="nl-NL" w:eastAsia="nl-NL"/>
        </w:rPr>
      </w:pPr>
      <w:hyperlink w:anchor="_Toc359957172" w:history="1">
        <w:r>
          <w:rPr>
            <w:rStyle w:val="Hyperlink"/>
            <w:noProof/>
            <w:lang w:val="en-US"/>
          </w:rPr>
          <w:t>5</w:t>
        </w:r>
        <w:r w:rsidRPr="00822F67">
          <w:rPr>
            <w:rStyle w:val="Hyperlink"/>
            <w:noProof/>
            <w:lang w:val="en-US"/>
          </w:rPr>
          <w:t>. Used Data:</w:t>
        </w:r>
        <w:r>
          <w:rPr>
            <w:noProof/>
            <w:webHidden/>
          </w:rPr>
          <w:tab/>
        </w:r>
        <w:r>
          <w:rPr>
            <w:noProof/>
            <w:webHidden/>
          </w:rPr>
          <w:fldChar w:fldCharType="begin"/>
        </w:r>
        <w:r>
          <w:rPr>
            <w:noProof/>
            <w:webHidden/>
          </w:rPr>
          <w:instrText xml:space="preserve"> PAGEREF _Toc359957172 \h </w:instrText>
        </w:r>
        <w:r>
          <w:rPr>
            <w:noProof/>
            <w:webHidden/>
          </w:rPr>
        </w:r>
        <w:r>
          <w:rPr>
            <w:noProof/>
            <w:webHidden/>
          </w:rPr>
          <w:fldChar w:fldCharType="separate"/>
        </w:r>
        <w:r>
          <w:rPr>
            <w:noProof/>
            <w:webHidden/>
          </w:rPr>
          <w:t>62</w:t>
        </w:r>
        <w:r>
          <w:rPr>
            <w:noProof/>
            <w:webHidden/>
          </w:rPr>
          <w:fldChar w:fldCharType="end"/>
        </w:r>
      </w:hyperlink>
    </w:p>
    <w:p w:rsidR="00585016" w:rsidRPr="00CF4BC1" w:rsidRDefault="001652D0" w:rsidP="00585016">
      <w:pPr>
        <w:pStyle w:val="Heading1"/>
        <w:ind w:left="1080"/>
        <w:rPr>
          <w:rFonts w:ascii="Verdana" w:hAnsi="Verdana"/>
          <w:sz w:val="21"/>
          <w:szCs w:val="21"/>
          <w:lang w:val="en-US"/>
        </w:rPr>
      </w:pPr>
      <w:r>
        <w:rPr>
          <w:rFonts w:ascii="Verdana" w:hAnsi="Verdana"/>
          <w:sz w:val="24"/>
          <w:szCs w:val="21"/>
          <w:lang w:val="en-US"/>
        </w:rPr>
        <w:fldChar w:fldCharType="end"/>
      </w:r>
    </w:p>
    <w:p w:rsidR="00585016" w:rsidRDefault="00585016" w:rsidP="00585016">
      <w:pPr>
        <w:pStyle w:val="BodyText"/>
        <w:rPr>
          <w:rFonts w:asciiTheme="majorHAnsi" w:eastAsiaTheme="majorEastAsia" w:hAnsiTheme="majorHAnsi" w:cstheme="majorBidi"/>
          <w:sz w:val="36"/>
          <w:szCs w:val="28"/>
          <w:lang w:val="en-US"/>
        </w:rPr>
      </w:pPr>
      <w:r>
        <w:rPr>
          <w:lang w:val="en-US"/>
        </w:rPr>
        <w:br w:type="page"/>
      </w:r>
    </w:p>
    <w:p w:rsidR="00585016" w:rsidRDefault="00585016" w:rsidP="00585016">
      <w:pPr>
        <w:pStyle w:val="Heading1"/>
        <w:numPr>
          <w:ilvl w:val="0"/>
          <w:numId w:val="27"/>
        </w:numPr>
        <w:rPr>
          <w:lang w:val="en-US"/>
        </w:rPr>
      </w:pPr>
      <w:bookmarkStart w:id="11" w:name="_Toc338350536"/>
      <w:bookmarkStart w:id="12" w:name="_Toc359957122"/>
      <w:r>
        <w:rPr>
          <w:lang w:val="en-US"/>
        </w:rPr>
        <w:lastRenderedPageBreak/>
        <w:t>Introduction</w:t>
      </w:r>
      <w:bookmarkEnd w:id="11"/>
      <w:bookmarkEnd w:id="12"/>
    </w:p>
    <w:p w:rsidR="009873F5" w:rsidRPr="00E80609" w:rsidRDefault="00FC747D">
      <w:pPr>
        <w:rPr>
          <w:rFonts w:ascii="Verdana" w:hAnsi="Verdana"/>
          <w:lang w:val="en-US"/>
        </w:rPr>
      </w:pPr>
      <w:r>
        <w:rPr>
          <w:lang w:val="en-US"/>
        </w:rPr>
        <w:br/>
      </w:r>
      <w:r w:rsidR="009873F5" w:rsidRPr="00E80609">
        <w:rPr>
          <w:rFonts w:ascii="Verdana" w:hAnsi="Verdana"/>
          <w:lang w:val="en-US"/>
        </w:rPr>
        <w:t>This thesis is written to investigate the combined effects of three different factors</w:t>
      </w:r>
      <w:r w:rsidR="000562B9">
        <w:rPr>
          <w:rFonts w:ascii="Verdana" w:hAnsi="Verdana"/>
          <w:lang w:val="en-US"/>
        </w:rPr>
        <w:t xml:space="preserve"> on each other</w:t>
      </w:r>
      <w:r w:rsidR="009873F5" w:rsidRPr="00E80609">
        <w:rPr>
          <w:rFonts w:ascii="Verdana" w:hAnsi="Verdana"/>
          <w:lang w:val="en-US"/>
        </w:rPr>
        <w:t>:</w:t>
      </w:r>
    </w:p>
    <w:p w:rsidR="00223EA3" w:rsidRPr="00E80609" w:rsidRDefault="009873F5" w:rsidP="00D839DC">
      <w:pPr>
        <w:pStyle w:val="ListParagraph"/>
        <w:numPr>
          <w:ilvl w:val="0"/>
          <w:numId w:val="31"/>
        </w:numPr>
        <w:rPr>
          <w:rFonts w:ascii="Verdana" w:hAnsi="Verdana"/>
          <w:lang w:val="en-US"/>
        </w:rPr>
      </w:pPr>
      <w:r w:rsidRPr="00E80609">
        <w:rPr>
          <w:rFonts w:ascii="Verdana" w:hAnsi="Verdana"/>
          <w:lang w:val="en-US"/>
        </w:rPr>
        <w:t>Impairment of goodwill.</w:t>
      </w:r>
    </w:p>
    <w:p w:rsidR="00223EA3" w:rsidRPr="00E80609" w:rsidRDefault="00CD2C64" w:rsidP="00223EA3">
      <w:pPr>
        <w:rPr>
          <w:rFonts w:ascii="Verdana" w:hAnsi="Verdana"/>
          <w:lang w:val="en-US"/>
        </w:rPr>
      </w:pPr>
      <w:r>
        <w:rPr>
          <w:rFonts w:ascii="Verdana" w:hAnsi="Verdana"/>
          <w:lang w:val="en-US"/>
        </w:rPr>
        <w:t>Impairment of goodwill has been subjected to research many times before. This has several reasons. Partially this is caused by the nature of the goodwill. For the impairment of goodwill assumptions have to be made. These assumptions give the management an opportunity to perform earnings management. Besides the nature</w:t>
      </w:r>
      <w:r w:rsidR="0048281C">
        <w:rPr>
          <w:rFonts w:ascii="Verdana" w:hAnsi="Verdana"/>
          <w:lang w:val="en-US"/>
        </w:rPr>
        <w:t>,</w:t>
      </w:r>
      <w:r>
        <w:rPr>
          <w:rFonts w:ascii="Verdana" w:hAnsi="Verdana"/>
          <w:lang w:val="en-US"/>
        </w:rPr>
        <w:t xml:space="preserve"> the </w:t>
      </w:r>
      <w:r w:rsidR="0048281C">
        <w:rPr>
          <w:rFonts w:ascii="Verdana" w:hAnsi="Verdana"/>
          <w:lang w:val="en-US"/>
        </w:rPr>
        <w:t xml:space="preserve">impact of impairing goodwill can be significant to the balance sheet and income statement of a company. </w:t>
      </w:r>
      <w:proofErr w:type="spellStart"/>
      <w:r w:rsidR="0048281C" w:rsidRPr="0048281C">
        <w:rPr>
          <w:rFonts w:ascii="Verdana" w:hAnsi="Verdana"/>
          <w:lang w:val="en-US"/>
        </w:rPr>
        <w:t>Alciat</w:t>
      </w:r>
      <w:r w:rsidR="0048281C">
        <w:rPr>
          <w:rFonts w:ascii="Verdana" w:hAnsi="Verdana"/>
          <w:lang w:val="en-US"/>
        </w:rPr>
        <w:t>ore</w:t>
      </w:r>
      <w:proofErr w:type="spellEnd"/>
      <w:r w:rsidR="0048281C">
        <w:rPr>
          <w:rFonts w:ascii="Verdana" w:hAnsi="Verdana"/>
          <w:lang w:val="en-US"/>
        </w:rPr>
        <w:t xml:space="preserve"> et al. (1998) noted that t</w:t>
      </w:r>
      <w:r w:rsidR="0048281C" w:rsidRPr="0048281C">
        <w:rPr>
          <w:rFonts w:ascii="Verdana" w:hAnsi="Verdana"/>
          <w:lang w:val="en-US"/>
        </w:rPr>
        <w:t>he mean amount of impairments of the firms in their research ranged from</w:t>
      </w:r>
      <w:r w:rsidR="0048281C">
        <w:rPr>
          <w:rFonts w:ascii="Verdana" w:hAnsi="Verdana"/>
          <w:lang w:val="en-US"/>
        </w:rPr>
        <w:t xml:space="preserve"> </w:t>
      </w:r>
      <w:r w:rsidR="0048281C" w:rsidRPr="0048281C">
        <w:rPr>
          <w:rFonts w:ascii="Verdana" w:hAnsi="Verdana"/>
          <w:lang w:val="en-US"/>
        </w:rPr>
        <w:t>four to more than nineteen percent of the assets. The maximum impairment found represented ninety</w:t>
      </w:r>
      <w:r w:rsidR="0048281C">
        <w:rPr>
          <w:rFonts w:ascii="Verdana" w:hAnsi="Verdana"/>
          <w:lang w:val="en-US"/>
        </w:rPr>
        <w:t xml:space="preserve"> </w:t>
      </w:r>
      <w:r w:rsidR="0048281C" w:rsidRPr="0048281C">
        <w:rPr>
          <w:rFonts w:ascii="Verdana" w:hAnsi="Verdana"/>
          <w:lang w:val="en-US"/>
        </w:rPr>
        <w:t>percent of the firm’s assets.</w:t>
      </w:r>
    </w:p>
    <w:p w:rsidR="009873F5" w:rsidRPr="00E80609" w:rsidRDefault="009873F5" w:rsidP="00D839DC">
      <w:pPr>
        <w:pStyle w:val="ListParagraph"/>
        <w:numPr>
          <w:ilvl w:val="0"/>
          <w:numId w:val="31"/>
        </w:numPr>
        <w:rPr>
          <w:rFonts w:ascii="Verdana" w:hAnsi="Verdana"/>
          <w:lang w:val="en-US"/>
        </w:rPr>
      </w:pPr>
      <w:r w:rsidRPr="00E80609">
        <w:rPr>
          <w:rFonts w:ascii="Verdana" w:hAnsi="Verdana"/>
          <w:lang w:val="en-US"/>
        </w:rPr>
        <w:t>Earnings management.</w:t>
      </w:r>
    </w:p>
    <w:p w:rsidR="00612A58" w:rsidRPr="00612A58" w:rsidRDefault="00F16DDC" w:rsidP="00612A58">
      <w:pPr>
        <w:rPr>
          <w:rFonts w:ascii="Verdana" w:hAnsi="Verdana"/>
          <w:lang w:val="en-US"/>
        </w:rPr>
      </w:pPr>
      <w:r>
        <w:rPr>
          <w:rFonts w:ascii="Verdana" w:hAnsi="Verdana"/>
          <w:lang w:val="en-US"/>
        </w:rPr>
        <w:t xml:space="preserve">High quality accounting standards do not immediately mean high quality financial reporting. </w:t>
      </w:r>
      <w:r w:rsidR="00612A58">
        <w:rPr>
          <w:rFonts w:ascii="Verdana" w:hAnsi="Verdana"/>
          <w:lang w:val="en-US"/>
        </w:rPr>
        <w:t xml:space="preserve">As Arthur Levitt, former Chairman of the Security and Exchange Commission said in his speech </w:t>
      </w:r>
      <w:r w:rsidR="00612A58" w:rsidRPr="00612A58">
        <w:rPr>
          <w:rFonts w:ascii="Verdana" w:hAnsi="Verdana"/>
          <w:lang w:val="en-US"/>
        </w:rPr>
        <w:t>at the NYU Center for Law and Busines</w:t>
      </w:r>
      <w:r w:rsidR="00612A58">
        <w:rPr>
          <w:rFonts w:ascii="Verdana" w:hAnsi="Verdana"/>
          <w:lang w:val="en-US"/>
        </w:rPr>
        <w:t xml:space="preserve">s: "...Well, </w:t>
      </w:r>
      <w:r w:rsidR="00612A58" w:rsidRPr="00612A58">
        <w:rPr>
          <w:rFonts w:ascii="Verdana" w:hAnsi="Verdana"/>
          <w:lang w:val="en-US"/>
        </w:rPr>
        <w:t>today, I'd like to talk to you about another widespread, but too little</w:t>
      </w:r>
      <w:r w:rsidR="00612A58">
        <w:rPr>
          <w:rFonts w:ascii="Verdana" w:hAnsi="Verdana"/>
          <w:lang w:val="en-US"/>
        </w:rPr>
        <w:t xml:space="preserve"> challenged </w:t>
      </w:r>
      <w:r w:rsidR="00612A58" w:rsidRPr="00612A58">
        <w:rPr>
          <w:rFonts w:ascii="Verdana" w:hAnsi="Verdana"/>
          <w:lang w:val="en-US"/>
        </w:rPr>
        <w:t>custom: earnings management. This process has evolved over the years</w:t>
      </w:r>
      <w:r w:rsidR="00612A58">
        <w:rPr>
          <w:rFonts w:ascii="Verdana" w:hAnsi="Verdana"/>
          <w:lang w:val="en-US"/>
        </w:rPr>
        <w:t xml:space="preserve"> into</w:t>
      </w:r>
      <w:r w:rsidR="00612A58" w:rsidRPr="00612A58">
        <w:rPr>
          <w:rFonts w:ascii="Verdana" w:hAnsi="Verdana"/>
          <w:lang w:val="en-US"/>
        </w:rPr>
        <w:t xml:space="preserve"> what can best be characterized as a game among market participants</w:t>
      </w:r>
      <w:r w:rsidR="00612A58">
        <w:rPr>
          <w:rFonts w:ascii="Verdana" w:hAnsi="Verdana"/>
          <w:lang w:val="en-US"/>
        </w:rPr>
        <w:t xml:space="preserve">. Increasingly, </w:t>
      </w:r>
      <w:r w:rsidR="00612A58" w:rsidRPr="00612A58">
        <w:rPr>
          <w:rFonts w:ascii="Verdana" w:hAnsi="Verdana"/>
          <w:lang w:val="en-US"/>
        </w:rPr>
        <w:t>I have become concerned that the motivation to meet Wall Street</w:t>
      </w:r>
      <w:r w:rsidR="00612A58">
        <w:rPr>
          <w:rFonts w:ascii="Verdana" w:hAnsi="Verdana"/>
          <w:lang w:val="en-US"/>
        </w:rPr>
        <w:t xml:space="preserve"> earnings</w:t>
      </w:r>
      <w:r w:rsidR="00612A58" w:rsidRPr="00612A58">
        <w:rPr>
          <w:rFonts w:ascii="Verdana" w:hAnsi="Verdana"/>
          <w:lang w:val="en-US"/>
        </w:rPr>
        <w:t xml:space="preserve"> expectations may be overriding common sense business practices. Too many</w:t>
      </w:r>
      <w:r w:rsidR="00612A58">
        <w:rPr>
          <w:rFonts w:ascii="Verdana" w:hAnsi="Verdana"/>
          <w:lang w:val="en-US"/>
        </w:rPr>
        <w:t xml:space="preserve"> corporate</w:t>
      </w:r>
      <w:r w:rsidR="00612A58" w:rsidRPr="00612A58">
        <w:rPr>
          <w:rFonts w:ascii="Verdana" w:hAnsi="Verdana"/>
          <w:lang w:val="en-US"/>
        </w:rPr>
        <w:t xml:space="preserve"> managers, auditors, and analysts are participants in a game of nods and</w:t>
      </w:r>
      <w:r w:rsidR="00612A58">
        <w:rPr>
          <w:rFonts w:ascii="Verdana" w:hAnsi="Verdana"/>
          <w:lang w:val="en-US"/>
        </w:rPr>
        <w:t xml:space="preserve"> winks.</w:t>
      </w:r>
      <w:r w:rsidR="00612A58" w:rsidRPr="00612A58">
        <w:rPr>
          <w:rFonts w:ascii="Verdana" w:hAnsi="Verdana"/>
          <w:lang w:val="en-US"/>
        </w:rPr>
        <w:t xml:space="preserve"> In the zeal to satisfy consensus earnings estimates and project a smooth</w:t>
      </w:r>
      <w:r w:rsidR="00612A58">
        <w:rPr>
          <w:rFonts w:ascii="Verdana" w:hAnsi="Verdana"/>
          <w:lang w:val="en-US"/>
        </w:rPr>
        <w:t xml:space="preserve"> earnings</w:t>
      </w:r>
      <w:r w:rsidR="00612A58" w:rsidRPr="00612A58">
        <w:rPr>
          <w:rFonts w:ascii="Verdana" w:hAnsi="Verdana"/>
          <w:lang w:val="en-US"/>
        </w:rPr>
        <w:t xml:space="preserve"> path, wishful thinking may be winning the day over faithful</w:t>
      </w:r>
      <w:r w:rsidR="00612A58">
        <w:rPr>
          <w:rFonts w:ascii="Verdana" w:hAnsi="Verdana"/>
          <w:lang w:val="en-US"/>
        </w:rPr>
        <w:t xml:space="preserve"> </w:t>
      </w:r>
      <w:r w:rsidR="00612A58" w:rsidRPr="00612A58">
        <w:rPr>
          <w:rFonts w:ascii="Verdana" w:hAnsi="Verdana"/>
          <w:lang w:val="en-US"/>
        </w:rPr>
        <w:t>representation</w:t>
      </w:r>
      <w:r w:rsidR="00612A58">
        <w:rPr>
          <w:rFonts w:ascii="Verdana" w:hAnsi="Verdana"/>
          <w:lang w:val="en-US"/>
        </w:rPr>
        <w:t>.” Although this speech was held in 1998 it accurately describes the core of earnings management. Listed entities can feel pressure to meet expectations</w:t>
      </w:r>
      <w:r w:rsidR="00725CA4">
        <w:rPr>
          <w:rFonts w:ascii="Verdana" w:hAnsi="Verdana"/>
          <w:lang w:val="en-US"/>
        </w:rPr>
        <w:t xml:space="preserve"> from investors and to conceal the actual firm performance from outsiders. </w:t>
      </w:r>
    </w:p>
    <w:p w:rsidR="009873F5" w:rsidRPr="00E80609" w:rsidRDefault="009873F5" w:rsidP="00D839DC">
      <w:pPr>
        <w:pStyle w:val="ListParagraph"/>
        <w:numPr>
          <w:ilvl w:val="0"/>
          <w:numId w:val="31"/>
        </w:numPr>
        <w:rPr>
          <w:rFonts w:ascii="Verdana" w:hAnsi="Verdana"/>
          <w:lang w:val="en-US"/>
        </w:rPr>
      </w:pPr>
      <w:r w:rsidRPr="00E80609">
        <w:rPr>
          <w:rFonts w:ascii="Verdana" w:hAnsi="Verdana"/>
          <w:lang w:val="en-US"/>
        </w:rPr>
        <w:t>The financial crisis.</w:t>
      </w:r>
    </w:p>
    <w:p w:rsidR="00D839DC" w:rsidRPr="00E80609" w:rsidRDefault="00D839DC" w:rsidP="00D839DC">
      <w:pPr>
        <w:rPr>
          <w:rFonts w:ascii="Verdana" w:hAnsi="Verdana"/>
          <w:lang w:val="en-US"/>
        </w:rPr>
      </w:pPr>
      <w:r w:rsidRPr="00E80609">
        <w:rPr>
          <w:rFonts w:ascii="Verdana" w:hAnsi="Verdana"/>
          <w:lang w:val="en-US"/>
        </w:rPr>
        <w:t>In 2007 the economic growth in the Netherlands remained 3,5% but came to a grinding halt in the second quarter of 2008 (</w:t>
      </w:r>
      <w:proofErr w:type="spellStart"/>
      <w:r w:rsidRPr="00E80609">
        <w:rPr>
          <w:rFonts w:ascii="Verdana" w:hAnsi="Verdana"/>
          <w:lang w:val="en-US"/>
        </w:rPr>
        <w:t>Masselink</w:t>
      </w:r>
      <w:proofErr w:type="spellEnd"/>
      <w:r w:rsidRPr="00E80609">
        <w:rPr>
          <w:rFonts w:ascii="Verdana" w:hAnsi="Verdana"/>
          <w:lang w:val="en-US"/>
        </w:rPr>
        <w:t xml:space="preserve"> and </w:t>
      </w:r>
      <w:proofErr w:type="spellStart"/>
      <w:r w:rsidRPr="00E80609">
        <w:rPr>
          <w:rFonts w:ascii="Verdana" w:hAnsi="Verdana"/>
          <w:lang w:val="en-US"/>
        </w:rPr>
        <w:t>Noord</w:t>
      </w:r>
      <w:proofErr w:type="spellEnd"/>
      <w:r w:rsidR="00744189">
        <w:rPr>
          <w:rFonts w:ascii="Verdana" w:hAnsi="Verdana"/>
          <w:lang w:val="en-US"/>
        </w:rPr>
        <w:t>,</w:t>
      </w:r>
      <w:r w:rsidRPr="00E80609">
        <w:rPr>
          <w:rFonts w:ascii="Verdana" w:hAnsi="Verdana"/>
          <w:lang w:val="en-US"/>
        </w:rPr>
        <w:t xml:space="preserve"> 2009). This effect has been seen throughout Europe. The Annual Report on the Euro Area – 2009, by the Directorate-General for Economic and Financial Affairs of the European Commission states that the global and financial economic crisis sprang up in the second half of 2008. It originated in the US subprime mortgage market during the summer of 2007 and intensified in September 2008. The effects of the financial market turmoil on the ‘real’ economy were noted in worsening financing conditions and confidence effects. Banks tightened their lending conditions which also was a result of the filing for bankruptcy of the financial services firm Lehman Brothers in September 2008. </w:t>
      </w:r>
      <w:r w:rsidR="00E80609" w:rsidRPr="00E80609">
        <w:rPr>
          <w:rFonts w:ascii="Verdana" w:hAnsi="Verdana"/>
          <w:lang w:val="en-US"/>
        </w:rPr>
        <w:t>The real effect of the crisis was noted in the fourth quarter of 2008 when GDP in the Economic and Monetary Union dropped with 1,8% which was the biggest decrease since the start of the Economic and Monetary Union.</w:t>
      </w:r>
    </w:p>
    <w:p w:rsidR="00D839DC" w:rsidRPr="00D839DC" w:rsidRDefault="00D839DC" w:rsidP="00D839DC">
      <w:pPr>
        <w:rPr>
          <w:lang w:val="en-US"/>
        </w:rPr>
      </w:pPr>
    </w:p>
    <w:p w:rsidR="00D839DC" w:rsidRPr="00E80609" w:rsidRDefault="00D839DC" w:rsidP="00D839DC">
      <w:pPr>
        <w:pStyle w:val="Heading2"/>
        <w:rPr>
          <w:rFonts w:ascii="Verdana" w:hAnsi="Verdana"/>
          <w:lang w:val="en-US"/>
        </w:rPr>
      </w:pPr>
      <w:bookmarkStart w:id="13" w:name="_Toc359957123"/>
      <w:r>
        <w:rPr>
          <w:lang w:val="en-US"/>
        </w:rPr>
        <w:lastRenderedPageBreak/>
        <w:t xml:space="preserve">1.1 </w:t>
      </w:r>
      <w:r w:rsidR="002019AB">
        <w:rPr>
          <w:lang w:val="en-US"/>
        </w:rPr>
        <w:t>Research question</w:t>
      </w:r>
      <w:bookmarkEnd w:id="13"/>
      <w:r>
        <w:rPr>
          <w:lang w:val="en-US"/>
        </w:rPr>
        <w:br/>
      </w:r>
    </w:p>
    <w:p w:rsidR="00A60ADA" w:rsidRDefault="00D839DC" w:rsidP="009873F5">
      <w:pPr>
        <w:rPr>
          <w:rFonts w:ascii="Verdana" w:hAnsi="Verdana"/>
          <w:lang w:val="en-US"/>
        </w:rPr>
      </w:pPr>
      <w:r w:rsidRPr="00E80609">
        <w:rPr>
          <w:rFonts w:ascii="Verdana" w:hAnsi="Verdana"/>
          <w:lang w:val="en-US"/>
        </w:rPr>
        <w:t xml:space="preserve">The combination of the </w:t>
      </w:r>
      <w:r w:rsidR="00725CA4">
        <w:rPr>
          <w:rFonts w:ascii="Verdana" w:hAnsi="Verdana"/>
          <w:lang w:val="en-US"/>
        </w:rPr>
        <w:t xml:space="preserve">above </w:t>
      </w:r>
      <w:r w:rsidRPr="00E80609">
        <w:rPr>
          <w:rFonts w:ascii="Verdana" w:hAnsi="Verdana"/>
          <w:lang w:val="en-US"/>
        </w:rPr>
        <w:t xml:space="preserve">three factors </w:t>
      </w:r>
      <w:r w:rsidR="00725CA4">
        <w:rPr>
          <w:rFonts w:ascii="Verdana" w:hAnsi="Verdana"/>
          <w:lang w:val="en-US"/>
        </w:rPr>
        <w:t xml:space="preserve">will be </w:t>
      </w:r>
      <w:r w:rsidR="00A94F3B" w:rsidRPr="00E80609">
        <w:rPr>
          <w:rFonts w:ascii="Verdana" w:hAnsi="Verdana"/>
          <w:lang w:val="en-US"/>
        </w:rPr>
        <w:t>research</w:t>
      </w:r>
      <w:r w:rsidR="00725CA4">
        <w:rPr>
          <w:rFonts w:ascii="Verdana" w:hAnsi="Verdana"/>
          <w:lang w:val="en-US"/>
        </w:rPr>
        <w:t>ed</w:t>
      </w:r>
      <w:r w:rsidR="002019AB">
        <w:rPr>
          <w:rFonts w:ascii="Verdana" w:hAnsi="Verdana"/>
          <w:lang w:val="en-US"/>
        </w:rPr>
        <w:t xml:space="preserve">, and leads to the following central research question: </w:t>
      </w:r>
    </w:p>
    <w:p w:rsidR="008C7327" w:rsidRPr="00BD7786" w:rsidRDefault="002019AB" w:rsidP="009873F5">
      <w:pPr>
        <w:rPr>
          <w:rFonts w:ascii="Verdana" w:hAnsi="Verdana"/>
          <w:i/>
          <w:lang w:val="en-US"/>
        </w:rPr>
      </w:pPr>
      <w:r w:rsidRPr="00BD7786">
        <w:rPr>
          <w:rFonts w:ascii="Verdana" w:hAnsi="Verdana"/>
          <w:b/>
          <w:i/>
          <w:lang w:val="en-US"/>
        </w:rPr>
        <w:t>Is there a</w:t>
      </w:r>
      <w:r w:rsidR="0045340F" w:rsidRPr="00BD7786">
        <w:rPr>
          <w:rFonts w:ascii="Verdana" w:hAnsi="Verdana"/>
          <w:b/>
          <w:i/>
          <w:lang w:val="en-US"/>
        </w:rPr>
        <w:t xml:space="preserve"> relation </w:t>
      </w:r>
      <w:r w:rsidRPr="00BD7786">
        <w:rPr>
          <w:rFonts w:ascii="Verdana" w:hAnsi="Verdana"/>
          <w:b/>
          <w:i/>
          <w:lang w:val="en-US"/>
        </w:rPr>
        <w:t>b</w:t>
      </w:r>
      <w:r w:rsidR="0045340F" w:rsidRPr="00BD7786">
        <w:rPr>
          <w:rFonts w:ascii="Verdana" w:hAnsi="Verdana"/>
          <w:b/>
          <w:i/>
          <w:lang w:val="en-US"/>
        </w:rPr>
        <w:t xml:space="preserve">etween performing </w:t>
      </w:r>
      <w:r w:rsidRPr="00BD7786">
        <w:rPr>
          <w:rFonts w:ascii="Verdana" w:hAnsi="Verdana"/>
          <w:b/>
          <w:i/>
          <w:lang w:val="en-US"/>
        </w:rPr>
        <w:t>impairment</w:t>
      </w:r>
      <w:r w:rsidR="0045340F" w:rsidRPr="00BD7786">
        <w:rPr>
          <w:rFonts w:ascii="Verdana" w:hAnsi="Verdana"/>
          <w:b/>
          <w:i/>
          <w:lang w:val="en-US"/>
        </w:rPr>
        <w:t xml:space="preserve"> of goodwill and </w:t>
      </w:r>
      <w:r w:rsidR="00A94F3B" w:rsidRPr="00BD7786">
        <w:rPr>
          <w:rFonts w:ascii="Verdana" w:hAnsi="Verdana"/>
          <w:b/>
          <w:i/>
          <w:lang w:val="en-US"/>
        </w:rPr>
        <w:t xml:space="preserve">earnings management and </w:t>
      </w:r>
      <w:r w:rsidRPr="00BD7786">
        <w:rPr>
          <w:rFonts w:ascii="Verdana" w:hAnsi="Verdana"/>
          <w:b/>
          <w:i/>
          <w:lang w:val="en-US"/>
        </w:rPr>
        <w:t>did th</w:t>
      </w:r>
      <w:r w:rsidR="00BA7D7D" w:rsidRPr="00BD7786">
        <w:rPr>
          <w:rFonts w:ascii="Verdana" w:hAnsi="Verdana"/>
          <w:b/>
          <w:i/>
          <w:lang w:val="en-US"/>
        </w:rPr>
        <w:t>e financial crisis impact this relation</w:t>
      </w:r>
      <w:r w:rsidRPr="00BD7786">
        <w:rPr>
          <w:rFonts w:ascii="Verdana" w:hAnsi="Verdana"/>
          <w:b/>
          <w:i/>
          <w:lang w:val="en-US"/>
        </w:rPr>
        <w:t>?</w:t>
      </w:r>
    </w:p>
    <w:p w:rsidR="00BA7D7D" w:rsidRDefault="002019AB" w:rsidP="009873F5">
      <w:pPr>
        <w:rPr>
          <w:rFonts w:ascii="Verdana" w:hAnsi="Verdana"/>
          <w:lang w:val="en-US"/>
        </w:rPr>
      </w:pPr>
      <w:r>
        <w:rPr>
          <w:rFonts w:ascii="Verdana" w:hAnsi="Verdana"/>
          <w:lang w:val="en-US"/>
        </w:rPr>
        <w:t>To give an answer to this research question it has been divided i</w:t>
      </w:r>
      <w:r w:rsidR="00BA7D7D">
        <w:rPr>
          <w:rFonts w:ascii="Verdana" w:hAnsi="Verdana"/>
          <w:lang w:val="en-US"/>
        </w:rPr>
        <w:t>nto three sub questions</w:t>
      </w:r>
      <w:r>
        <w:rPr>
          <w:rFonts w:ascii="Verdana" w:hAnsi="Verdana"/>
          <w:lang w:val="en-US"/>
        </w:rPr>
        <w:t xml:space="preserve">: </w:t>
      </w:r>
    </w:p>
    <w:p w:rsidR="00BA7D7D" w:rsidRPr="00A60ADA" w:rsidRDefault="00BA7D7D" w:rsidP="00BA7D7D">
      <w:pPr>
        <w:pStyle w:val="ListParagraph"/>
        <w:numPr>
          <w:ilvl w:val="0"/>
          <w:numId w:val="32"/>
        </w:numPr>
        <w:rPr>
          <w:rFonts w:ascii="Verdana" w:hAnsi="Verdana"/>
          <w:i/>
          <w:lang w:val="en-US"/>
        </w:rPr>
      </w:pPr>
      <w:r w:rsidRPr="00A60ADA">
        <w:rPr>
          <w:rFonts w:ascii="Verdana" w:hAnsi="Verdana"/>
          <w:i/>
          <w:lang w:val="en-US"/>
        </w:rPr>
        <w:t xml:space="preserve">Is there a relation between companies performing below branch average and higher incentive for earnings management in the form of big bath accounting through impairment of goodwill? </w:t>
      </w:r>
    </w:p>
    <w:p w:rsidR="00BA7D7D" w:rsidRPr="00A60ADA" w:rsidRDefault="00BA7D7D" w:rsidP="00BA7D7D">
      <w:pPr>
        <w:pStyle w:val="ListParagraph"/>
        <w:numPr>
          <w:ilvl w:val="0"/>
          <w:numId w:val="32"/>
        </w:numPr>
        <w:rPr>
          <w:rFonts w:ascii="Verdana" w:hAnsi="Verdana"/>
          <w:i/>
          <w:lang w:val="en-US"/>
        </w:rPr>
      </w:pPr>
      <w:r w:rsidRPr="00A60ADA">
        <w:rPr>
          <w:rFonts w:ascii="Verdana" w:hAnsi="Verdana"/>
          <w:i/>
          <w:lang w:val="en-US"/>
        </w:rPr>
        <w:t>Is there a relation between companies performing above branch average and higher incentive for earnings management in the form of income smoothing</w:t>
      </w:r>
      <w:r w:rsidR="0060015A" w:rsidRPr="00A60ADA">
        <w:rPr>
          <w:rFonts w:ascii="Verdana" w:hAnsi="Verdana"/>
          <w:i/>
          <w:lang w:val="en-US"/>
        </w:rPr>
        <w:t xml:space="preserve"> through impairment of goodwill</w:t>
      </w:r>
      <w:r w:rsidRPr="00A60ADA">
        <w:rPr>
          <w:rFonts w:ascii="Verdana" w:hAnsi="Verdana"/>
          <w:i/>
          <w:lang w:val="en-US"/>
        </w:rPr>
        <w:t xml:space="preserve">? </w:t>
      </w:r>
    </w:p>
    <w:p w:rsidR="002019AB" w:rsidRPr="00A60ADA" w:rsidRDefault="00BA7D7D" w:rsidP="00BA7D7D">
      <w:pPr>
        <w:pStyle w:val="ListParagraph"/>
        <w:numPr>
          <w:ilvl w:val="0"/>
          <w:numId w:val="32"/>
        </w:numPr>
        <w:rPr>
          <w:rFonts w:ascii="Verdana" w:hAnsi="Verdana"/>
          <w:i/>
          <w:lang w:val="en-US"/>
        </w:rPr>
      </w:pPr>
      <w:r w:rsidRPr="00A60ADA">
        <w:rPr>
          <w:rFonts w:ascii="Verdana" w:hAnsi="Verdana"/>
          <w:i/>
          <w:lang w:val="en-US"/>
        </w:rPr>
        <w:t>Does the financial crisis</w:t>
      </w:r>
      <w:r w:rsidR="0060015A" w:rsidRPr="00A60ADA">
        <w:rPr>
          <w:rFonts w:ascii="Verdana" w:hAnsi="Verdana"/>
          <w:i/>
          <w:lang w:val="en-US"/>
        </w:rPr>
        <w:t xml:space="preserve"> increase the significance of the</w:t>
      </w:r>
      <w:r w:rsidRPr="00A60ADA">
        <w:rPr>
          <w:rFonts w:ascii="Verdana" w:hAnsi="Verdana"/>
          <w:i/>
          <w:lang w:val="en-US"/>
        </w:rPr>
        <w:t xml:space="preserve"> effects </w:t>
      </w:r>
      <w:r w:rsidR="0060015A" w:rsidRPr="00A60ADA">
        <w:rPr>
          <w:rFonts w:ascii="Verdana" w:hAnsi="Verdana"/>
          <w:i/>
          <w:lang w:val="en-US"/>
        </w:rPr>
        <w:t>seen in the research performe</w:t>
      </w:r>
      <w:r w:rsidR="00A60ADA" w:rsidRPr="00A60ADA">
        <w:rPr>
          <w:rFonts w:ascii="Verdana" w:hAnsi="Verdana"/>
          <w:i/>
          <w:lang w:val="en-US"/>
        </w:rPr>
        <w:t>d on the questions stated above?</w:t>
      </w:r>
    </w:p>
    <w:p w:rsidR="00157FFB" w:rsidRDefault="00157FFB" w:rsidP="009873F5">
      <w:pPr>
        <w:rPr>
          <w:rFonts w:ascii="Verdana" w:hAnsi="Verdana"/>
        </w:rPr>
      </w:pPr>
      <w:r>
        <w:rPr>
          <w:rFonts w:ascii="Verdana" w:hAnsi="Verdana"/>
          <w:lang w:val="en-US"/>
        </w:rPr>
        <w:t>Each sub question exists out of several different elements. To give a proper answer to the central research question, these elements</w:t>
      </w:r>
      <w:r w:rsidR="00BA7D7D">
        <w:rPr>
          <w:rFonts w:ascii="Verdana" w:hAnsi="Verdana"/>
          <w:lang w:val="en-US"/>
        </w:rPr>
        <w:t xml:space="preserve"> will be researched th</w:t>
      </w:r>
      <w:r w:rsidR="0060015A">
        <w:rPr>
          <w:rFonts w:ascii="Verdana" w:hAnsi="Verdana"/>
          <w:lang w:val="en-US"/>
        </w:rPr>
        <w:t>r</w:t>
      </w:r>
      <w:r w:rsidR="00BA7D7D">
        <w:rPr>
          <w:rFonts w:ascii="Verdana" w:hAnsi="Verdana"/>
          <w:lang w:val="en-US"/>
        </w:rPr>
        <w:t>ough literature research and empirical re</w:t>
      </w:r>
      <w:r w:rsidR="0060015A">
        <w:rPr>
          <w:rFonts w:ascii="Verdana" w:hAnsi="Verdana"/>
          <w:lang w:val="en-US"/>
        </w:rPr>
        <w:t xml:space="preserve">search. The literature research </w:t>
      </w:r>
      <w:r w:rsidR="00BA7D7D">
        <w:rPr>
          <w:rFonts w:ascii="Verdana" w:hAnsi="Verdana"/>
          <w:lang w:val="en-US"/>
        </w:rPr>
        <w:t xml:space="preserve">will </w:t>
      </w:r>
      <w:r w:rsidR="0060015A">
        <w:rPr>
          <w:rFonts w:ascii="Verdana" w:hAnsi="Verdana"/>
          <w:lang w:val="en-US"/>
        </w:rPr>
        <w:t>first</w:t>
      </w:r>
      <w:r w:rsidR="00BA7D7D">
        <w:rPr>
          <w:rFonts w:ascii="Verdana" w:hAnsi="Verdana"/>
          <w:lang w:val="en-US"/>
        </w:rPr>
        <w:t xml:space="preserve"> focus on goo</w:t>
      </w:r>
      <w:r w:rsidR="0060015A">
        <w:rPr>
          <w:rFonts w:ascii="Verdana" w:hAnsi="Verdana"/>
          <w:lang w:val="en-US"/>
        </w:rPr>
        <w:t>dwill</w:t>
      </w:r>
      <w:r>
        <w:rPr>
          <w:rFonts w:ascii="Verdana" w:hAnsi="Verdana"/>
          <w:lang w:val="en-US"/>
        </w:rPr>
        <w:t xml:space="preserve"> in chapter 2</w:t>
      </w:r>
      <w:r w:rsidR="0060015A">
        <w:rPr>
          <w:rFonts w:ascii="Verdana" w:hAnsi="Verdana"/>
          <w:lang w:val="en-US"/>
        </w:rPr>
        <w:t>.</w:t>
      </w:r>
      <w:r w:rsidR="00BA7D7D">
        <w:rPr>
          <w:rFonts w:ascii="Verdana" w:hAnsi="Verdana"/>
          <w:lang w:val="en-US"/>
        </w:rPr>
        <w:t xml:space="preserve"> </w:t>
      </w:r>
      <w:r>
        <w:rPr>
          <w:rFonts w:ascii="Verdana" w:hAnsi="Verdana"/>
          <w:lang w:val="en-US"/>
        </w:rPr>
        <w:t xml:space="preserve">The researched areas are: </w:t>
      </w:r>
      <w:r w:rsidR="0060015A">
        <w:rPr>
          <w:rFonts w:ascii="Verdana" w:hAnsi="Verdana"/>
          <w:lang w:val="en-US"/>
        </w:rPr>
        <w:t xml:space="preserve">What are the advantages for a company to merge with another company? What are business combinations and when does a business combination result in goodwill? What do accounting standards say about </w:t>
      </w:r>
      <w:r w:rsidR="0060015A">
        <w:rPr>
          <w:rFonts w:ascii="Verdana" w:hAnsi="Verdana"/>
        </w:rPr>
        <w:t xml:space="preserve">the financial accounting and reporting concerning goodwill, and why have these specific standards been published? </w:t>
      </w:r>
    </w:p>
    <w:p w:rsidR="00157FFB" w:rsidRDefault="0060015A" w:rsidP="00157FFB">
      <w:pPr>
        <w:rPr>
          <w:rFonts w:ascii="Verdana" w:hAnsi="Verdana"/>
          <w:lang w:val="en-US"/>
        </w:rPr>
      </w:pPr>
      <w:r>
        <w:rPr>
          <w:rFonts w:ascii="Verdana" w:hAnsi="Verdana"/>
        </w:rPr>
        <w:t>After the theoretical research on goodwill, the research will focus on impairment of goodwill</w:t>
      </w:r>
      <w:r w:rsidR="00157FFB">
        <w:rPr>
          <w:rFonts w:ascii="Verdana" w:hAnsi="Verdana"/>
        </w:rPr>
        <w:t xml:space="preserve"> in chapter 3. How is an impairment test performed and which estimates are used in an impairment test? These estimates lead to the following theoretical research chapter; earnings management in chapter 4</w:t>
      </w:r>
      <w:r w:rsidR="00FB27BE">
        <w:rPr>
          <w:rFonts w:ascii="Verdana" w:hAnsi="Verdana"/>
        </w:rPr>
        <w:t xml:space="preserve">. In this chapter the following questions will be researched: What is earnings management? Which incentives does the management </w:t>
      </w:r>
      <w:r w:rsidR="00B63C2F">
        <w:rPr>
          <w:rFonts w:ascii="Verdana" w:hAnsi="Verdana"/>
        </w:rPr>
        <w:t>have</w:t>
      </w:r>
      <w:r w:rsidR="00FB27BE">
        <w:rPr>
          <w:rFonts w:ascii="Verdana" w:hAnsi="Verdana"/>
        </w:rPr>
        <w:t xml:space="preserve"> to perform earnings management? </w:t>
      </w:r>
      <w:r w:rsidR="00831419">
        <w:rPr>
          <w:rFonts w:ascii="Verdana" w:hAnsi="Verdana"/>
        </w:rPr>
        <w:t>And w</w:t>
      </w:r>
      <w:r w:rsidR="00FB27BE">
        <w:rPr>
          <w:rFonts w:ascii="Verdana" w:hAnsi="Verdana"/>
        </w:rPr>
        <w:t>hat are big bath accounting and income smoothing?</w:t>
      </w:r>
    </w:p>
    <w:p w:rsidR="00E26150" w:rsidRDefault="00831419" w:rsidP="00157FFB">
      <w:pPr>
        <w:rPr>
          <w:rFonts w:ascii="Verdana" w:hAnsi="Verdana"/>
          <w:lang w:val="en-US"/>
        </w:rPr>
      </w:pPr>
      <w:r>
        <w:rPr>
          <w:rFonts w:ascii="Verdana" w:hAnsi="Verdana"/>
          <w:lang w:val="en-US"/>
        </w:rPr>
        <w:t>The central research question, the sub questions and the theoretical research lead</w:t>
      </w:r>
      <w:r w:rsidR="00157FFB">
        <w:rPr>
          <w:rFonts w:ascii="Verdana" w:hAnsi="Verdana"/>
          <w:lang w:val="en-US"/>
        </w:rPr>
        <w:t xml:space="preserve"> to the hypotheses</w:t>
      </w:r>
      <w:r w:rsidR="00A97004">
        <w:rPr>
          <w:rFonts w:ascii="Verdana" w:hAnsi="Verdana"/>
          <w:lang w:val="en-US"/>
        </w:rPr>
        <w:t>, the multiple logistic regression model</w:t>
      </w:r>
      <w:r w:rsidR="00157FFB">
        <w:rPr>
          <w:rFonts w:ascii="Verdana" w:hAnsi="Verdana"/>
          <w:lang w:val="en-US"/>
        </w:rPr>
        <w:t xml:space="preserve"> </w:t>
      </w:r>
      <w:r w:rsidR="00A97004">
        <w:rPr>
          <w:rFonts w:ascii="Verdana" w:hAnsi="Verdana"/>
          <w:lang w:val="en-US"/>
        </w:rPr>
        <w:t xml:space="preserve">and the research sample </w:t>
      </w:r>
      <w:r w:rsidR="008B1F7A">
        <w:rPr>
          <w:rFonts w:ascii="Verdana" w:hAnsi="Verdana"/>
          <w:lang w:val="en-US"/>
        </w:rPr>
        <w:t xml:space="preserve">which will be discussed </w:t>
      </w:r>
      <w:r w:rsidR="00A97004">
        <w:rPr>
          <w:rFonts w:ascii="Verdana" w:hAnsi="Verdana"/>
          <w:lang w:val="en-US"/>
        </w:rPr>
        <w:t>in chapter 5.</w:t>
      </w:r>
      <w:r w:rsidR="00886A6F">
        <w:rPr>
          <w:rFonts w:ascii="Verdana" w:hAnsi="Verdana"/>
          <w:lang w:val="en-US"/>
        </w:rPr>
        <w:t xml:space="preserve"> Based thereon the empiri</w:t>
      </w:r>
      <w:r w:rsidR="008B1F7A">
        <w:rPr>
          <w:rFonts w:ascii="Verdana" w:hAnsi="Verdana"/>
          <w:lang w:val="en-US"/>
        </w:rPr>
        <w:t>cal research will be performed starting with the descriptive statistics in chapter 6 and the regression analysis in chapter 7.</w:t>
      </w:r>
      <w:r w:rsidR="00E26150">
        <w:rPr>
          <w:rFonts w:ascii="Verdana" w:hAnsi="Verdana"/>
          <w:lang w:val="en-US"/>
        </w:rPr>
        <w:t xml:space="preserve"> To finalize the research the conclusion will be drawn in chapter 8.</w:t>
      </w:r>
    </w:p>
    <w:p w:rsidR="008B1F7A" w:rsidRDefault="008B1F7A" w:rsidP="00157FFB">
      <w:pPr>
        <w:rPr>
          <w:rFonts w:ascii="Verdana" w:hAnsi="Verdana"/>
          <w:lang w:val="en-US"/>
        </w:rPr>
      </w:pPr>
    </w:p>
    <w:p w:rsidR="00E26150" w:rsidRDefault="008B1F7A" w:rsidP="00E26150">
      <w:pPr>
        <w:pStyle w:val="Heading2"/>
        <w:rPr>
          <w:rFonts w:ascii="Verdana" w:hAnsi="Verdana"/>
        </w:rPr>
      </w:pPr>
      <w:bookmarkStart w:id="14" w:name="_Toc359957124"/>
      <w:r>
        <w:rPr>
          <w:lang w:val="en-US"/>
        </w:rPr>
        <w:t xml:space="preserve">1.2 </w:t>
      </w:r>
      <w:r w:rsidR="00BC62C4">
        <w:rPr>
          <w:lang w:val="en-US"/>
        </w:rPr>
        <w:t>Expectations</w:t>
      </w:r>
      <w:bookmarkEnd w:id="14"/>
      <w:r>
        <w:rPr>
          <w:lang w:val="en-US"/>
        </w:rPr>
        <w:br/>
      </w:r>
    </w:p>
    <w:p w:rsidR="00E90071" w:rsidRDefault="00E90071" w:rsidP="00E07C9E">
      <w:pPr>
        <w:pStyle w:val="BodyText"/>
        <w:rPr>
          <w:rFonts w:ascii="Verdana" w:hAnsi="Verdana"/>
        </w:rPr>
      </w:pPr>
      <w:r>
        <w:rPr>
          <w:rFonts w:ascii="Verdana" w:hAnsi="Verdana"/>
        </w:rPr>
        <w:t>This subchapter will state the expectations for the</w:t>
      </w:r>
      <w:r w:rsidR="008A1452">
        <w:rPr>
          <w:rFonts w:ascii="Verdana" w:hAnsi="Verdana"/>
        </w:rPr>
        <w:t xml:space="preserve"> research sub questions</w:t>
      </w:r>
      <w:r>
        <w:rPr>
          <w:rFonts w:ascii="Verdana" w:hAnsi="Verdana"/>
        </w:rPr>
        <w:t xml:space="preserve"> as described in the previous subchapter, based</w:t>
      </w:r>
      <w:r w:rsidR="008A1452">
        <w:rPr>
          <w:rFonts w:ascii="Verdana" w:hAnsi="Verdana"/>
        </w:rPr>
        <w:t xml:space="preserve"> on previous research. </w:t>
      </w:r>
    </w:p>
    <w:p w:rsidR="00E07C9E" w:rsidRDefault="00E07C9E" w:rsidP="00E07C9E">
      <w:pPr>
        <w:pStyle w:val="BodyText"/>
        <w:rPr>
          <w:rFonts w:ascii="Verdana" w:hAnsi="Verdana"/>
          <w:lang w:val="en-US"/>
        </w:rPr>
      </w:pPr>
      <w:r>
        <w:rPr>
          <w:rFonts w:ascii="Verdana" w:hAnsi="Verdana"/>
        </w:rPr>
        <w:t xml:space="preserve">It is expected that there is </w:t>
      </w:r>
      <w:r w:rsidRPr="00BA7D7D">
        <w:rPr>
          <w:rFonts w:ascii="Verdana" w:hAnsi="Verdana"/>
          <w:lang w:val="en-US"/>
        </w:rPr>
        <w:t xml:space="preserve">a relation between companies performing below branch average and </w:t>
      </w:r>
      <w:r w:rsidR="00E90071">
        <w:rPr>
          <w:rFonts w:ascii="Verdana" w:hAnsi="Verdana"/>
          <w:lang w:val="en-US"/>
        </w:rPr>
        <w:t>applying</w:t>
      </w:r>
      <w:r w:rsidRPr="00BA7D7D">
        <w:rPr>
          <w:rFonts w:ascii="Verdana" w:hAnsi="Verdana"/>
          <w:lang w:val="en-US"/>
        </w:rPr>
        <w:t xml:space="preserve"> earnings management in the form of big bath accounting </w:t>
      </w:r>
      <w:r w:rsidRPr="00BA7D7D">
        <w:rPr>
          <w:rFonts w:ascii="Verdana" w:hAnsi="Verdana"/>
          <w:lang w:val="en-US"/>
        </w:rPr>
        <w:lastRenderedPageBreak/>
        <w:t>through impairment of goodwill</w:t>
      </w:r>
      <w:r>
        <w:rPr>
          <w:rFonts w:ascii="Verdana" w:hAnsi="Verdana"/>
        </w:rPr>
        <w:t xml:space="preserve"> b</w:t>
      </w:r>
      <w:r w:rsidR="008A1452">
        <w:rPr>
          <w:rFonts w:ascii="Verdana" w:hAnsi="Verdana"/>
        </w:rPr>
        <w:t xml:space="preserve">ased on </w:t>
      </w:r>
      <w:r>
        <w:rPr>
          <w:rFonts w:ascii="Verdana" w:hAnsi="Verdana"/>
          <w:lang w:val="en-US"/>
        </w:rPr>
        <w:t xml:space="preserve">research of </w:t>
      </w:r>
      <w:proofErr w:type="spellStart"/>
      <w:r>
        <w:rPr>
          <w:rFonts w:ascii="Verdana" w:hAnsi="Verdana"/>
          <w:lang w:val="en-US"/>
        </w:rPr>
        <w:t>Hayn</w:t>
      </w:r>
      <w:proofErr w:type="spellEnd"/>
      <w:r>
        <w:rPr>
          <w:rFonts w:ascii="Verdana" w:hAnsi="Verdana"/>
          <w:lang w:val="en-US"/>
        </w:rPr>
        <w:t xml:space="preserve"> and Hughes (2006), they state that the timing of goodwill write-offs can lag behind the economic impairment of goodwill. Henning et al. (2004) found a comparable result from their research. </w:t>
      </w:r>
      <w:r w:rsidR="00E90071">
        <w:rPr>
          <w:rFonts w:ascii="Verdana" w:hAnsi="Verdana"/>
          <w:lang w:val="en-US"/>
        </w:rPr>
        <w:t>They discovered</w:t>
      </w:r>
      <w:r>
        <w:rPr>
          <w:rFonts w:ascii="Verdana" w:hAnsi="Verdana"/>
          <w:lang w:val="en-US"/>
        </w:rPr>
        <w:t xml:space="preserve"> that firms delay goodwill write-offs strategically for a certain period, when they know that their ratios are being scrutinized more securely by their shareholders. These researches support the idea that the management takes goodwill write-offs when it suits them the best, for example in a year where big bath accounting can be exploited.</w:t>
      </w:r>
      <w:r w:rsidR="001C76A9">
        <w:rPr>
          <w:rFonts w:ascii="Verdana" w:hAnsi="Verdana"/>
          <w:lang w:val="en-US"/>
        </w:rPr>
        <w:t xml:space="preserve"> </w:t>
      </w:r>
    </w:p>
    <w:p w:rsidR="001C76A9" w:rsidRDefault="001C76A9" w:rsidP="00E07C9E">
      <w:pPr>
        <w:pStyle w:val="BodyText"/>
        <w:rPr>
          <w:rFonts w:ascii="Verdana" w:hAnsi="Verdana"/>
          <w:lang w:val="en-US"/>
        </w:rPr>
      </w:pPr>
      <w:r>
        <w:rPr>
          <w:rFonts w:ascii="Verdana" w:hAnsi="Verdana"/>
          <w:lang w:val="en-US"/>
        </w:rPr>
        <w:t xml:space="preserve">These results, that management takes goodwill write-offs when it suits them, also indicates </w:t>
      </w:r>
      <w:r w:rsidRPr="001C76A9">
        <w:rPr>
          <w:rFonts w:ascii="Verdana" w:hAnsi="Verdana"/>
          <w:lang w:val="en-US"/>
        </w:rPr>
        <w:t>a relation between companies performing above branch average and earnings management in the form of income smoothing through impairment of goodwill</w:t>
      </w:r>
      <w:r>
        <w:rPr>
          <w:rFonts w:ascii="Verdana" w:hAnsi="Verdana"/>
          <w:lang w:val="en-US"/>
        </w:rPr>
        <w:t>.</w:t>
      </w:r>
      <w:r w:rsidR="00B50D3C">
        <w:rPr>
          <w:rFonts w:ascii="Verdana" w:hAnsi="Verdana"/>
          <w:lang w:val="en-US"/>
        </w:rPr>
        <w:t xml:space="preserve"> A</w:t>
      </w:r>
      <w:r w:rsidR="00B50D3C">
        <w:rPr>
          <w:rFonts w:ascii="Verdana" w:hAnsi="Verdana"/>
          <w:iCs/>
          <w:lang w:val="en-US"/>
        </w:rPr>
        <w:t xml:space="preserve">ccording to </w:t>
      </w:r>
      <w:proofErr w:type="spellStart"/>
      <w:r w:rsidR="00B50D3C">
        <w:rPr>
          <w:rFonts w:ascii="Verdana" w:hAnsi="Verdana"/>
          <w:iCs/>
          <w:lang w:val="en-US"/>
        </w:rPr>
        <w:t>Fudenberg</w:t>
      </w:r>
      <w:proofErr w:type="spellEnd"/>
      <w:r w:rsidR="00B50D3C">
        <w:rPr>
          <w:rFonts w:ascii="Verdana" w:hAnsi="Verdana"/>
          <w:iCs/>
          <w:lang w:val="en-US"/>
        </w:rPr>
        <w:t xml:space="preserve"> and </w:t>
      </w:r>
      <w:proofErr w:type="spellStart"/>
      <w:r w:rsidR="00B50D3C">
        <w:rPr>
          <w:rFonts w:ascii="Verdana" w:hAnsi="Verdana"/>
          <w:iCs/>
          <w:lang w:val="en-US"/>
        </w:rPr>
        <w:t>Tirole</w:t>
      </w:r>
      <w:proofErr w:type="spellEnd"/>
      <w:r w:rsidR="00B50D3C">
        <w:rPr>
          <w:rFonts w:ascii="Verdana" w:hAnsi="Verdana"/>
          <w:iCs/>
          <w:lang w:val="en-US"/>
        </w:rPr>
        <w:t xml:space="preserve"> (1995) the reason managers perform income smoothing is because they are afraid to lose their jobs. Their theory is based on the presumption that if a company has had a bad year the management has bigger chances of getting fired and when there is a good year, it does not secure the manager’s position for the coming years. This gives managers the incentive to perform income smoothing. Han and Wang (1998) support this statement; in their research they found that oil firms which expected to profit from the Persian Gulf crisis used earnings management to reduce their quarterly reported earnings. They state that the oil firms did this because the positive effect generated by reporting good news, i.e., a higher amount of earnings, is outweighed by the negative effect of political sensitivity and associated costs.</w:t>
      </w:r>
    </w:p>
    <w:p w:rsidR="00B50D3C" w:rsidRDefault="00B50D3C" w:rsidP="00B50D3C">
      <w:pPr>
        <w:pStyle w:val="BodyText"/>
        <w:rPr>
          <w:rFonts w:ascii="Verdana" w:hAnsi="Verdana"/>
          <w:lang w:val="en-US"/>
        </w:rPr>
      </w:pPr>
      <w:r>
        <w:rPr>
          <w:rFonts w:ascii="Verdana" w:hAnsi="Verdana"/>
        </w:rPr>
        <w:t xml:space="preserve">Although research on the impact of the financial crisis on earnings management </w:t>
      </w:r>
      <w:r w:rsidR="006B7FA6">
        <w:rPr>
          <w:rFonts w:ascii="Verdana" w:hAnsi="Verdana"/>
        </w:rPr>
        <w:t xml:space="preserve">through impairment of goodwill </w:t>
      </w:r>
      <w:r>
        <w:rPr>
          <w:rFonts w:ascii="Verdana" w:hAnsi="Verdana"/>
        </w:rPr>
        <w:t xml:space="preserve">is limited, based on </w:t>
      </w:r>
      <w:r w:rsidR="00E90071">
        <w:rPr>
          <w:rFonts w:ascii="Verdana" w:hAnsi="Verdana"/>
        </w:rPr>
        <w:t>the</w:t>
      </w:r>
      <w:r>
        <w:rPr>
          <w:rFonts w:ascii="Verdana" w:hAnsi="Verdana"/>
        </w:rPr>
        <w:t xml:space="preserve"> study</w:t>
      </w:r>
      <w:r w:rsidR="00E90071">
        <w:rPr>
          <w:rFonts w:ascii="Verdana" w:hAnsi="Verdana"/>
        </w:rPr>
        <w:t xml:space="preserve"> of </w:t>
      </w:r>
      <w:proofErr w:type="spellStart"/>
      <w:r w:rsidR="00E90071">
        <w:rPr>
          <w:rFonts w:ascii="Verdana" w:hAnsi="Verdana"/>
        </w:rPr>
        <w:t>Sevin</w:t>
      </w:r>
      <w:proofErr w:type="spellEnd"/>
      <w:r w:rsidR="00E90071">
        <w:rPr>
          <w:rFonts w:ascii="Verdana" w:hAnsi="Verdana"/>
        </w:rPr>
        <w:t xml:space="preserve"> and Schroeder (2005)</w:t>
      </w:r>
      <w:r>
        <w:rPr>
          <w:rFonts w:ascii="Verdana" w:hAnsi="Verdana"/>
        </w:rPr>
        <w:t xml:space="preserve"> relating to ear</w:t>
      </w:r>
      <w:r w:rsidR="006B7FA6">
        <w:rPr>
          <w:rFonts w:ascii="Verdana" w:hAnsi="Verdana"/>
        </w:rPr>
        <w:t xml:space="preserve">nings management an expectation can be formed on the effects </w:t>
      </w:r>
      <w:r w:rsidR="00E90071">
        <w:rPr>
          <w:rFonts w:ascii="Verdana" w:hAnsi="Verdana"/>
        </w:rPr>
        <w:t>of</w:t>
      </w:r>
      <w:r w:rsidR="006B7FA6">
        <w:rPr>
          <w:rFonts w:ascii="Verdana" w:hAnsi="Verdana"/>
        </w:rPr>
        <w:t xml:space="preserve"> the financial crisis on earnings management through impairment of goodwill</w:t>
      </w:r>
      <w:r>
        <w:rPr>
          <w:rFonts w:ascii="Verdana" w:hAnsi="Verdana"/>
        </w:rPr>
        <w:t xml:space="preserve">. </w:t>
      </w:r>
      <w:proofErr w:type="spellStart"/>
      <w:r>
        <w:rPr>
          <w:rFonts w:ascii="Verdana" w:hAnsi="Verdana"/>
          <w:lang w:val="en-US"/>
        </w:rPr>
        <w:t>Sevin</w:t>
      </w:r>
      <w:proofErr w:type="spellEnd"/>
      <w:r>
        <w:rPr>
          <w:rFonts w:ascii="Verdana" w:hAnsi="Verdana"/>
          <w:lang w:val="en-US"/>
        </w:rPr>
        <w:t xml:space="preserve"> and Schroeder (2005) </w:t>
      </w:r>
      <w:r w:rsidR="00D80CC4">
        <w:rPr>
          <w:rFonts w:ascii="Verdana" w:hAnsi="Verdana"/>
          <w:lang w:val="en-US"/>
        </w:rPr>
        <w:t>stated</w:t>
      </w:r>
      <w:r>
        <w:rPr>
          <w:rFonts w:ascii="Verdana" w:hAnsi="Verdana"/>
          <w:lang w:val="en-US"/>
        </w:rPr>
        <w:t xml:space="preserve"> that the adoption of SFAS 142 had the effect on companies that they engaged in earnings management. They found that a significantly greater part of firms indeed reported negative earnings in the year of SFAS 142 adoption. This is an interesting result and it would indicate that managers are more likely to perform earnings management when there are external factors which give them an opportunity to get away with less positive results than normal. This is also shown through the political cost hypothesis and income smoothing. The political cost hypothesis states that companies which are bigger than other companies are more likely to use earnings management to weaken their results because they will gather more attention from the government once they are large (high earning) companies</w:t>
      </w:r>
      <w:r w:rsidR="000562B9">
        <w:rPr>
          <w:rFonts w:ascii="Verdana" w:hAnsi="Verdana"/>
          <w:lang w:val="en-US"/>
        </w:rPr>
        <w:t xml:space="preserve"> </w:t>
      </w:r>
      <w:r w:rsidR="000562B9">
        <w:rPr>
          <w:rFonts w:ascii="Verdana" w:hAnsi="Verdana"/>
          <w:color w:val="auto"/>
          <w:lang w:val="en-US"/>
        </w:rPr>
        <w:t>(</w:t>
      </w:r>
      <w:r w:rsidR="000562B9">
        <w:rPr>
          <w:rFonts w:ascii="Verdana" w:hAnsi="Verdana"/>
          <w:color w:val="auto"/>
        </w:rPr>
        <w:t>Watts and Zimmermann, 1986)</w:t>
      </w:r>
      <w:r>
        <w:rPr>
          <w:rFonts w:ascii="Verdana" w:hAnsi="Verdana"/>
          <w:lang w:val="en-US"/>
        </w:rPr>
        <w:t>. Because of the crisis, companies who are doing good will stand out even more and will have more incentive to weaken their results. Next to this, when a company has got a good year, the management is more inclined to make larger impairments so that they do not have to make these impairments in the coming years when the performance of the company could be getting dissatisfactory.</w:t>
      </w:r>
    </w:p>
    <w:p w:rsidR="00725CA4" w:rsidRDefault="00D80CC4" w:rsidP="00D80CC4">
      <w:pPr>
        <w:rPr>
          <w:lang w:val="en-US"/>
        </w:rPr>
      </w:pPr>
      <w:r>
        <w:rPr>
          <w:rFonts w:ascii="Verdana" w:hAnsi="Verdana"/>
        </w:rPr>
        <w:t>Therefore t</w:t>
      </w:r>
      <w:r w:rsidR="00A94F3B" w:rsidRPr="00B50D3C">
        <w:rPr>
          <w:rFonts w:ascii="Verdana" w:hAnsi="Verdana"/>
        </w:rPr>
        <w:t xml:space="preserve">he financial crisis </w:t>
      </w:r>
      <w:r w:rsidR="00725CA4" w:rsidRPr="00B50D3C">
        <w:rPr>
          <w:rFonts w:ascii="Verdana" w:hAnsi="Verdana"/>
        </w:rPr>
        <w:t>provides</w:t>
      </w:r>
      <w:r w:rsidR="00A94F3B" w:rsidRPr="00B50D3C">
        <w:rPr>
          <w:rFonts w:ascii="Verdana" w:hAnsi="Verdana"/>
        </w:rPr>
        <w:t xml:space="preserve"> a unique opportunity to assess </w:t>
      </w:r>
      <w:r w:rsidR="0049548B">
        <w:rPr>
          <w:rFonts w:ascii="Verdana" w:hAnsi="Verdana"/>
        </w:rPr>
        <w:t xml:space="preserve">if impairment of goodwill is used for </w:t>
      </w:r>
      <w:r w:rsidR="00A94F3B" w:rsidRPr="00B50D3C">
        <w:rPr>
          <w:rFonts w:ascii="Verdana" w:hAnsi="Verdana"/>
        </w:rPr>
        <w:t>earnings</w:t>
      </w:r>
      <w:r w:rsidR="00A94F3B" w:rsidRPr="008B1F7A">
        <w:rPr>
          <w:rFonts w:ascii="Verdana" w:hAnsi="Verdana"/>
        </w:rPr>
        <w:t xml:space="preserve"> management. This </w:t>
      </w:r>
      <w:r w:rsidR="00BC62C4">
        <w:rPr>
          <w:rFonts w:ascii="Verdana" w:hAnsi="Verdana"/>
        </w:rPr>
        <w:t>unique opportunity is caused by the financial crisis</w:t>
      </w:r>
      <w:r w:rsidR="00A94F3B" w:rsidRPr="008B1F7A">
        <w:rPr>
          <w:rFonts w:ascii="Verdana" w:hAnsi="Verdana"/>
        </w:rPr>
        <w:t xml:space="preserve"> because management needs incentives and opportunities to perform earnings management and </w:t>
      </w:r>
      <w:r w:rsidR="00E90071">
        <w:rPr>
          <w:rFonts w:ascii="Verdana" w:hAnsi="Verdana"/>
        </w:rPr>
        <w:t xml:space="preserve">it is expected that </w:t>
      </w:r>
      <w:r w:rsidR="00A94F3B" w:rsidRPr="008B1F7A">
        <w:rPr>
          <w:rFonts w:ascii="Verdana" w:hAnsi="Verdana"/>
        </w:rPr>
        <w:t>the financial crisis increase</w:t>
      </w:r>
      <w:r w:rsidR="00E90071">
        <w:rPr>
          <w:rFonts w:ascii="Verdana" w:hAnsi="Verdana"/>
        </w:rPr>
        <w:t>s</w:t>
      </w:r>
      <w:r w:rsidR="00A94F3B" w:rsidRPr="008B1F7A">
        <w:rPr>
          <w:rFonts w:ascii="Verdana" w:hAnsi="Verdana"/>
        </w:rPr>
        <w:t xml:space="preserve"> these incentives and opportunities. </w:t>
      </w:r>
    </w:p>
    <w:p w:rsidR="00725CA4" w:rsidRDefault="00725CA4">
      <w:pPr>
        <w:rPr>
          <w:lang w:val="en-US"/>
        </w:rPr>
      </w:pPr>
    </w:p>
    <w:p w:rsidR="00E26150" w:rsidRDefault="00223EA3" w:rsidP="00E26150">
      <w:pPr>
        <w:pStyle w:val="Heading2"/>
        <w:rPr>
          <w:lang w:val="en-US"/>
        </w:rPr>
      </w:pPr>
      <w:r>
        <w:rPr>
          <w:lang w:val="en-US"/>
        </w:rPr>
        <w:lastRenderedPageBreak/>
        <w:t xml:space="preserve"> </w:t>
      </w:r>
      <w:bookmarkStart w:id="15" w:name="_Toc359957125"/>
      <w:r w:rsidR="00E26150">
        <w:rPr>
          <w:lang w:val="en-US"/>
        </w:rPr>
        <w:t>1.3 Limitations</w:t>
      </w:r>
      <w:bookmarkEnd w:id="15"/>
      <w:r w:rsidR="00E26150">
        <w:rPr>
          <w:lang w:val="en-US"/>
        </w:rPr>
        <w:br/>
      </w:r>
    </w:p>
    <w:p w:rsidR="00105359" w:rsidRDefault="00105359" w:rsidP="00E26150">
      <w:pPr>
        <w:rPr>
          <w:rFonts w:ascii="Verdana" w:hAnsi="Verdana"/>
        </w:rPr>
      </w:pPr>
      <w:r>
        <w:rPr>
          <w:rFonts w:ascii="Verdana" w:hAnsi="Verdana"/>
        </w:rPr>
        <w:t xml:space="preserve">In this </w:t>
      </w:r>
      <w:r w:rsidR="00406266">
        <w:rPr>
          <w:rFonts w:ascii="Verdana" w:hAnsi="Verdana"/>
        </w:rPr>
        <w:t>subchapter</w:t>
      </w:r>
      <w:r>
        <w:rPr>
          <w:rFonts w:ascii="Verdana" w:hAnsi="Verdana"/>
        </w:rPr>
        <w:t xml:space="preserve"> the limitation</w:t>
      </w:r>
      <w:r w:rsidR="00E90071">
        <w:rPr>
          <w:rFonts w:ascii="Verdana" w:hAnsi="Verdana"/>
        </w:rPr>
        <w:t>s</w:t>
      </w:r>
      <w:r>
        <w:rPr>
          <w:rFonts w:ascii="Verdana" w:hAnsi="Verdana"/>
        </w:rPr>
        <w:t xml:space="preserve"> of this thesis will be discussed. Relating to </w:t>
      </w:r>
      <w:r w:rsidR="0049548B">
        <w:rPr>
          <w:rFonts w:ascii="Verdana" w:hAnsi="Verdana"/>
        </w:rPr>
        <w:t xml:space="preserve">the </w:t>
      </w:r>
      <w:r>
        <w:rPr>
          <w:rFonts w:ascii="Verdana" w:hAnsi="Verdana"/>
        </w:rPr>
        <w:t>internal validity</w:t>
      </w:r>
      <w:r w:rsidR="0049548B">
        <w:rPr>
          <w:rFonts w:ascii="Verdana" w:hAnsi="Verdana"/>
        </w:rPr>
        <w:t xml:space="preserve"> of the research model</w:t>
      </w:r>
      <w:r>
        <w:rPr>
          <w:rFonts w:ascii="Verdana" w:hAnsi="Verdana"/>
        </w:rPr>
        <w:t>, several economic and control variables are in</w:t>
      </w:r>
      <w:r w:rsidR="0060656A">
        <w:rPr>
          <w:rFonts w:ascii="Verdana" w:hAnsi="Verdana"/>
        </w:rPr>
        <w:t xml:space="preserve">corporated in the research model to </w:t>
      </w:r>
      <w:r>
        <w:rPr>
          <w:rFonts w:ascii="Verdana" w:hAnsi="Verdana"/>
        </w:rPr>
        <w:t>get the best results as possible and to ascertain that the changes in the dependent variable are certain to be caused by the independent variable. However, as the impairment of goodwill can be influenced by more</w:t>
      </w:r>
      <w:r w:rsidR="00DF4091">
        <w:rPr>
          <w:rFonts w:ascii="Verdana" w:hAnsi="Verdana"/>
        </w:rPr>
        <w:t xml:space="preserve"> external</w:t>
      </w:r>
      <w:r>
        <w:rPr>
          <w:rFonts w:ascii="Verdana" w:hAnsi="Verdana"/>
        </w:rPr>
        <w:t xml:space="preserve"> factors</w:t>
      </w:r>
      <w:r w:rsidR="00DF4091">
        <w:rPr>
          <w:rFonts w:ascii="Verdana" w:hAnsi="Verdana"/>
        </w:rPr>
        <w:t xml:space="preserve"> </w:t>
      </w:r>
      <w:r w:rsidR="006C1151">
        <w:rPr>
          <w:rFonts w:ascii="Verdana" w:hAnsi="Verdana"/>
        </w:rPr>
        <w:t xml:space="preserve">for </w:t>
      </w:r>
      <w:r w:rsidR="00DF4091">
        <w:rPr>
          <w:rFonts w:ascii="Verdana" w:hAnsi="Verdana"/>
        </w:rPr>
        <w:t>which cannot be controlled</w:t>
      </w:r>
      <w:r w:rsidR="006C1151">
        <w:rPr>
          <w:rFonts w:ascii="Verdana" w:hAnsi="Verdana"/>
        </w:rPr>
        <w:t>,</w:t>
      </w:r>
      <w:r w:rsidR="00E90071" w:rsidRPr="00E90071">
        <w:rPr>
          <w:rFonts w:ascii="Verdana" w:hAnsi="Verdana"/>
        </w:rPr>
        <w:t xml:space="preserve"> </w:t>
      </w:r>
      <w:r w:rsidR="00E90071">
        <w:rPr>
          <w:rFonts w:ascii="Verdana" w:hAnsi="Verdana"/>
        </w:rPr>
        <w:t>this is a limitation of the research. An example of such a factor can be</w:t>
      </w:r>
      <w:r w:rsidR="00DF4091">
        <w:rPr>
          <w:rFonts w:ascii="Verdana" w:hAnsi="Verdana"/>
        </w:rPr>
        <w:t xml:space="preserve"> an earthquake that destroys a cash generating unit after which it’s relating goodwill is impaired to € 0,-</w:t>
      </w:r>
      <w:r w:rsidR="00E90071">
        <w:rPr>
          <w:rFonts w:ascii="Verdana" w:hAnsi="Verdana"/>
        </w:rPr>
        <w:t>.</w:t>
      </w:r>
    </w:p>
    <w:p w:rsidR="0049548B" w:rsidRDefault="0049548B" w:rsidP="00E26150">
      <w:pPr>
        <w:rPr>
          <w:rFonts w:ascii="Verdana" w:hAnsi="Verdana"/>
        </w:rPr>
      </w:pPr>
      <w:r>
        <w:rPr>
          <w:rFonts w:ascii="Verdana" w:hAnsi="Verdana"/>
        </w:rPr>
        <w:t xml:space="preserve">The population which is used to perform the empirical research was taken from the years 2007 and 2009, refer to </w:t>
      </w:r>
      <w:r w:rsidR="00406266">
        <w:rPr>
          <w:rFonts w:ascii="Verdana" w:hAnsi="Verdana"/>
        </w:rPr>
        <w:t>subchapter</w:t>
      </w:r>
      <w:r>
        <w:rPr>
          <w:rFonts w:ascii="Verdana" w:hAnsi="Verdana"/>
        </w:rPr>
        <w:t xml:space="preserve"> 5.4 Research sample. </w:t>
      </w:r>
      <w:r w:rsidR="00E61589">
        <w:rPr>
          <w:rFonts w:ascii="Verdana" w:hAnsi="Verdana"/>
        </w:rPr>
        <w:t>There are several reasons why the years before 2007 and after 2009 are not included in the research. The first reason is that the population in these years exist out of 767 companies in 2007 and 826 companies in 2009. These populations therefor</w:t>
      </w:r>
      <w:r w:rsidR="007A0B11">
        <w:rPr>
          <w:rFonts w:ascii="Verdana" w:hAnsi="Verdana"/>
        </w:rPr>
        <w:t>e</w:t>
      </w:r>
      <w:r w:rsidR="00E61589">
        <w:rPr>
          <w:rFonts w:ascii="Verdana" w:hAnsi="Verdana"/>
        </w:rPr>
        <w:t xml:space="preserve"> provide a very good basis for a statistical regression analysis. Besides this, refer to chapter 2.3 </w:t>
      </w:r>
      <w:r w:rsidR="004B49F5">
        <w:rPr>
          <w:rFonts w:ascii="Verdana" w:hAnsi="Verdana"/>
        </w:rPr>
        <w:t>Relevant</w:t>
      </w:r>
      <w:r w:rsidR="00E61589">
        <w:rPr>
          <w:rFonts w:ascii="Verdana" w:hAnsi="Verdana"/>
        </w:rPr>
        <w:t xml:space="preserve"> accounting standards, the </w:t>
      </w:r>
      <w:r w:rsidR="00802734">
        <w:rPr>
          <w:rFonts w:ascii="Verdana" w:hAnsi="Verdana"/>
        </w:rPr>
        <w:t xml:space="preserve">International Financial Reporting Standards </w:t>
      </w:r>
      <w:r w:rsidR="00E61589">
        <w:rPr>
          <w:rFonts w:ascii="Verdana" w:hAnsi="Verdana"/>
        </w:rPr>
        <w:t xml:space="preserve">was </w:t>
      </w:r>
      <w:r w:rsidR="004B49F5">
        <w:rPr>
          <w:rFonts w:ascii="Verdana" w:hAnsi="Verdana"/>
        </w:rPr>
        <w:t xml:space="preserve">made mandatory for listed companies in the European Union per January </w:t>
      </w:r>
      <w:r w:rsidR="00E61589">
        <w:rPr>
          <w:rFonts w:ascii="Verdana" w:hAnsi="Verdana"/>
        </w:rPr>
        <w:t>2005</w:t>
      </w:r>
      <w:r w:rsidR="004B49F5">
        <w:rPr>
          <w:rFonts w:ascii="Verdana" w:hAnsi="Verdana"/>
        </w:rPr>
        <w:t xml:space="preserve">. </w:t>
      </w:r>
      <w:proofErr w:type="spellStart"/>
      <w:r w:rsidR="003F585F">
        <w:rPr>
          <w:rFonts w:ascii="Verdana" w:hAnsi="Verdana"/>
        </w:rPr>
        <w:t>Pownall</w:t>
      </w:r>
      <w:proofErr w:type="spellEnd"/>
      <w:r w:rsidR="003F585F">
        <w:rPr>
          <w:rFonts w:ascii="Verdana" w:hAnsi="Verdana"/>
        </w:rPr>
        <w:t xml:space="preserve"> and </w:t>
      </w:r>
      <w:proofErr w:type="spellStart"/>
      <w:r w:rsidR="003F585F">
        <w:rPr>
          <w:rFonts w:ascii="Verdana" w:hAnsi="Verdana"/>
        </w:rPr>
        <w:t>Wieczynska</w:t>
      </w:r>
      <w:proofErr w:type="spellEnd"/>
      <w:r w:rsidR="003F585F">
        <w:rPr>
          <w:rFonts w:ascii="Verdana" w:hAnsi="Verdana"/>
        </w:rPr>
        <w:t xml:space="preserve">, 2012, note that the IFRS regulation came into effect in 2005 and in 2007 most exemptions and deferrals from IFRS adoption expired. Therefore, seen as the population of 2007 is large enough for regression analysis, the results are more precise then when 2006 is also incorporated in the regression analysis. </w:t>
      </w:r>
    </w:p>
    <w:p w:rsidR="00105359" w:rsidRDefault="00105359" w:rsidP="00E26150">
      <w:pPr>
        <w:rPr>
          <w:rFonts w:ascii="Verdana" w:hAnsi="Verdana"/>
        </w:rPr>
      </w:pPr>
      <w:r>
        <w:rPr>
          <w:rFonts w:ascii="Verdana" w:hAnsi="Verdana"/>
        </w:rPr>
        <w:t>Relating to external validity, the research focusses on industrial companies inside countries of the European Union</w:t>
      </w:r>
      <w:r w:rsidR="003F585F">
        <w:rPr>
          <w:rFonts w:ascii="Verdana" w:hAnsi="Verdana"/>
        </w:rPr>
        <w:t xml:space="preserve"> which report based on IFRS</w:t>
      </w:r>
      <w:r>
        <w:rPr>
          <w:rFonts w:ascii="Verdana" w:hAnsi="Verdana"/>
        </w:rPr>
        <w:t>. Therefor</w:t>
      </w:r>
      <w:r w:rsidR="00753B30">
        <w:rPr>
          <w:rFonts w:ascii="Verdana" w:hAnsi="Verdana"/>
        </w:rPr>
        <w:t>e</w:t>
      </w:r>
      <w:r>
        <w:rPr>
          <w:rFonts w:ascii="Verdana" w:hAnsi="Verdana"/>
        </w:rPr>
        <w:t xml:space="preserve"> generalization of the results to other industries cannot be made. But due to the further </w:t>
      </w:r>
      <w:r w:rsidR="0049548B">
        <w:rPr>
          <w:rFonts w:ascii="Verdana" w:hAnsi="Verdana"/>
        </w:rPr>
        <w:t>adoption</w:t>
      </w:r>
      <w:r>
        <w:rPr>
          <w:rFonts w:ascii="Verdana" w:hAnsi="Verdana"/>
        </w:rPr>
        <w:t xml:space="preserve"> of IFRS throughout the world the results of this study could be used when assessing the financial statements of an industrial company </w:t>
      </w:r>
      <w:r w:rsidR="00753B30">
        <w:rPr>
          <w:rFonts w:ascii="Verdana" w:hAnsi="Verdana"/>
        </w:rPr>
        <w:t>outside of the European Union, which is reporting under IFRS, and</w:t>
      </w:r>
      <w:r w:rsidR="00DF4091">
        <w:rPr>
          <w:rFonts w:ascii="Verdana" w:hAnsi="Verdana"/>
        </w:rPr>
        <w:t xml:space="preserve"> </w:t>
      </w:r>
      <w:r w:rsidR="00753B30">
        <w:rPr>
          <w:rFonts w:ascii="Verdana" w:hAnsi="Verdana"/>
        </w:rPr>
        <w:t xml:space="preserve">operates </w:t>
      </w:r>
      <w:r w:rsidR="00DF4091">
        <w:rPr>
          <w:rFonts w:ascii="Verdana" w:hAnsi="Verdana"/>
        </w:rPr>
        <w:t>in a comparable situation as industrial companies in</w:t>
      </w:r>
      <w:r w:rsidR="00753B30">
        <w:rPr>
          <w:rFonts w:ascii="Verdana" w:hAnsi="Verdana"/>
        </w:rPr>
        <w:t>side</w:t>
      </w:r>
      <w:r w:rsidR="00DF4091">
        <w:rPr>
          <w:rFonts w:ascii="Verdana" w:hAnsi="Verdana"/>
        </w:rPr>
        <w:t xml:space="preserve"> the European Union</w:t>
      </w:r>
      <w:r>
        <w:rPr>
          <w:rFonts w:ascii="Verdana" w:hAnsi="Verdana"/>
        </w:rPr>
        <w:t xml:space="preserve">. </w:t>
      </w:r>
    </w:p>
    <w:p w:rsidR="00585016" w:rsidRPr="00E26150" w:rsidRDefault="00585016" w:rsidP="00E26150">
      <w:pPr>
        <w:rPr>
          <w:rFonts w:ascii="Verdana" w:hAnsi="Verdana"/>
        </w:rPr>
      </w:pPr>
      <w:r w:rsidRPr="00E26150">
        <w:rPr>
          <w:rFonts w:ascii="Verdana" w:hAnsi="Verdana"/>
        </w:rPr>
        <w:br w:type="page"/>
      </w:r>
    </w:p>
    <w:p w:rsidR="00585016" w:rsidRPr="00585016" w:rsidRDefault="00585016" w:rsidP="00585016">
      <w:pPr>
        <w:pStyle w:val="Heading1"/>
        <w:numPr>
          <w:ilvl w:val="0"/>
          <w:numId w:val="27"/>
        </w:numPr>
        <w:rPr>
          <w:lang w:val="en-US"/>
        </w:rPr>
      </w:pPr>
      <w:bookmarkStart w:id="16" w:name="_Toc338350538"/>
      <w:bookmarkStart w:id="17" w:name="_Toc359957126"/>
      <w:r w:rsidRPr="00585016">
        <w:rPr>
          <w:lang w:val="en-US"/>
        </w:rPr>
        <w:lastRenderedPageBreak/>
        <w:t>Goodwill and related accounting standards.</w:t>
      </w:r>
      <w:bookmarkEnd w:id="16"/>
      <w:bookmarkEnd w:id="17"/>
    </w:p>
    <w:p w:rsidR="00585016" w:rsidRDefault="00055E08" w:rsidP="00585016">
      <w:pPr>
        <w:pStyle w:val="BodyText"/>
        <w:rPr>
          <w:rFonts w:ascii="Verdana" w:hAnsi="Verdana"/>
        </w:rPr>
      </w:pPr>
      <w:r>
        <w:rPr>
          <w:rFonts w:ascii="Verdana" w:hAnsi="Verdana"/>
          <w:lang w:val="en-US"/>
        </w:rPr>
        <w:br/>
      </w:r>
      <w:r w:rsidR="00585016">
        <w:rPr>
          <w:rFonts w:ascii="Verdana" w:hAnsi="Verdana"/>
          <w:lang w:val="en-US"/>
        </w:rPr>
        <w:t xml:space="preserve">To be able to make a relation between goodwill, earnings management and the financial crisis, it is important to get a good understanding of goodwill. This chapter will give an answer to the following questions: What are the advantages for a company to merge with another company? What are business combinations and when does a business combination result in goodwill? What do accounting standards say about </w:t>
      </w:r>
      <w:r w:rsidR="00585016">
        <w:rPr>
          <w:rFonts w:ascii="Verdana" w:hAnsi="Verdana"/>
        </w:rPr>
        <w:t>the financial accounting and reporting concerning goodwill, and why have these specific standards been published? By answering these questions this chapter will set out the foundation for this thesis.</w:t>
      </w:r>
    </w:p>
    <w:p w:rsidR="00585016" w:rsidRDefault="00585016" w:rsidP="00585016">
      <w:pPr>
        <w:pStyle w:val="BodyText"/>
        <w:rPr>
          <w:rFonts w:ascii="Verdana" w:hAnsi="Verdana"/>
        </w:rPr>
      </w:pPr>
    </w:p>
    <w:p w:rsidR="00585016" w:rsidRDefault="003C2D90" w:rsidP="00585016">
      <w:pPr>
        <w:pStyle w:val="Heading2"/>
      </w:pPr>
      <w:bookmarkStart w:id="18" w:name="_Toc338350432"/>
      <w:bookmarkStart w:id="19" w:name="_Toc338350539"/>
      <w:bookmarkStart w:id="20" w:name="_Toc338350705"/>
      <w:bookmarkStart w:id="21" w:name="_Toc359957127"/>
      <w:r>
        <w:t>2</w:t>
      </w:r>
      <w:r w:rsidR="00585016">
        <w:t>.1 Business combinations.</w:t>
      </w:r>
      <w:bookmarkEnd w:id="18"/>
      <w:bookmarkEnd w:id="19"/>
      <w:bookmarkEnd w:id="20"/>
      <w:bookmarkEnd w:id="21"/>
    </w:p>
    <w:p w:rsidR="00585016" w:rsidRDefault="00055E08" w:rsidP="00585016">
      <w:pPr>
        <w:pStyle w:val="BodyText"/>
        <w:rPr>
          <w:rFonts w:ascii="Verdana" w:hAnsi="Verdana"/>
        </w:rPr>
      </w:pPr>
      <w:r>
        <w:rPr>
          <w:rFonts w:ascii="Verdana" w:hAnsi="Verdana"/>
        </w:rPr>
        <w:br/>
      </w:r>
      <w:r w:rsidR="00585016">
        <w:rPr>
          <w:rFonts w:ascii="Verdana" w:hAnsi="Verdana"/>
        </w:rPr>
        <w:t xml:space="preserve">Goodwill is a possible result of a business merger. There are a lot of reasons why entities could choose to merge with another entity. The most important reasons all have to do with the fact that entities want to create new economic value for the shareholders. </w:t>
      </w:r>
      <w:proofErr w:type="spellStart"/>
      <w:r w:rsidR="00585016">
        <w:rPr>
          <w:rFonts w:ascii="Verdana" w:hAnsi="Verdana"/>
        </w:rPr>
        <w:t>Palepu</w:t>
      </w:r>
      <w:proofErr w:type="spellEnd"/>
      <w:r w:rsidR="00585016">
        <w:rPr>
          <w:rFonts w:ascii="Verdana" w:hAnsi="Verdana"/>
        </w:rPr>
        <w:t xml:space="preserve"> et al. (2007) mention the following ways in which value can be created:</w:t>
      </w:r>
    </w:p>
    <w:p w:rsidR="00585016" w:rsidRDefault="00D80CC4" w:rsidP="00D80CC4">
      <w:pPr>
        <w:pStyle w:val="BodyText"/>
        <w:numPr>
          <w:ilvl w:val="0"/>
          <w:numId w:val="19"/>
        </w:numPr>
        <w:rPr>
          <w:rFonts w:ascii="Verdana" w:hAnsi="Verdana"/>
        </w:rPr>
      </w:pPr>
      <w:r>
        <w:rPr>
          <w:rFonts w:ascii="Verdana" w:hAnsi="Verdana"/>
        </w:rPr>
        <w:t xml:space="preserve">Let the target management perform better by </w:t>
      </w:r>
      <w:r w:rsidR="00585016">
        <w:rPr>
          <w:rFonts w:ascii="Verdana" w:hAnsi="Verdana"/>
        </w:rPr>
        <w:t>letting the managemen</w:t>
      </w:r>
      <w:r>
        <w:rPr>
          <w:rFonts w:ascii="Verdana" w:hAnsi="Verdana"/>
        </w:rPr>
        <w:t>t follow the same line as the overtaking entity</w:t>
      </w:r>
      <w:r w:rsidR="00585016">
        <w:rPr>
          <w:rFonts w:ascii="Verdana" w:hAnsi="Verdana"/>
        </w:rPr>
        <w:t>.</w:t>
      </w:r>
    </w:p>
    <w:p w:rsidR="00585016" w:rsidRPr="00720E62" w:rsidRDefault="00720E62" w:rsidP="00720E62">
      <w:pPr>
        <w:pStyle w:val="BodyText"/>
        <w:numPr>
          <w:ilvl w:val="0"/>
          <w:numId w:val="19"/>
        </w:numPr>
        <w:rPr>
          <w:rFonts w:ascii="Verdana" w:hAnsi="Verdana"/>
        </w:rPr>
      </w:pPr>
      <w:r>
        <w:rPr>
          <w:rFonts w:ascii="Verdana" w:hAnsi="Verdana"/>
        </w:rPr>
        <w:t>Capturing tax benefits by being able to utilize a carry forward option.</w:t>
      </w:r>
    </w:p>
    <w:p w:rsidR="00585016" w:rsidRPr="00720E62" w:rsidRDefault="00720E62" w:rsidP="00720E62">
      <w:pPr>
        <w:pStyle w:val="BodyText"/>
        <w:numPr>
          <w:ilvl w:val="0"/>
          <w:numId w:val="19"/>
        </w:numPr>
        <w:rPr>
          <w:rFonts w:ascii="Verdana" w:hAnsi="Verdana"/>
        </w:rPr>
      </w:pPr>
      <w:r>
        <w:rPr>
          <w:rFonts w:ascii="Verdana" w:hAnsi="Verdana"/>
        </w:rPr>
        <w:t>T</w:t>
      </w:r>
      <w:r w:rsidR="00585016">
        <w:rPr>
          <w:rFonts w:ascii="Verdana" w:hAnsi="Verdana"/>
        </w:rPr>
        <w:t>aking a</w:t>
      </w:r>
      <w:r>
        <w:rPr>
          <w:rFonts w:ascii="Verdana" w:hAnsi="Verdana"/>
        </w:rPr>
        <w:t>dvantage of economies of scale, for example through combining research facilities.</w:t>
      </w:r>
    </w:p>
    <w:p w:rsidR="00585016" w:rsidRPr="00720E62" w:rsidRDefault="00720E62" w:rsidP="00720E62">
      <w:pPr>
        <w:pStyle w:val="BodyText"/>
        <w:numPr>
          <w:ilvl w:val="0"/>
          <w:numId w:val="19"/>
        </w:numPr>
        <w:rPr>
          <w:rFonts w:ascii="Verdana" w:hAnsi="Verdana"/>
        </w:rPr>
      </w:pPr>
      <w:r>
        <w:rPr>
          <w:rFonts w:ascii="Verdana" w:hAnsi="Verdana"/>
        </w:rPr>
        <w:t>Becoming a more dominant firm to take out competitors and i</w:t>
      </w:r>
      <w:r w:rsidR="00585016">
        <w:rPr>
          <w:rFonts w:ascii="Verdana" w:hAnsi="Verdana"/>
        </w:rPr>
        <w:t>ncreasing product-market rents.</w:t>
      </w:r>
    </w:p>
    <w:p w:rsidR="00585016" w:rsidRDefault="00585016" w:rsidP="00585016">
      <w:pPr>
        <w:pStyle w:val="BodyText"/>
        <w:rPr>
          <w:rFonts w:ascii="Verdana" w:hAnsi="Verdana"/>
        </w:rPr>
      </w:pPr>
      <w:r>
        <w:rPr>
          <w:rFonts w:ascii="Verdana" w:hAnsi="Verdana"/>
        </w:rPr>
        <w:t xml:space="preserve">Once an entity has decided it wants a merger with another entity, they have to look at the best way to make this happen. Business combinations occur in several different forms. The three main ways </w:t>
      </w:r>
      <w:r w:rsidR="00720E62">
        <w:rPr>
          <w:rFonts w:ascii="Verdana" w:hAnsi="Verdana"/>
        </w:rPr>
        <w:t>resulting</w:t>
      </w:r>
      <w:r>
        <w:rPr>
          <w:rFonts w:ascii="Verdana" w:hAnsi="Verdana"/>
        </w:rPr>
        <w:t xml:space="preserve"> in a business combination are:</w:t>
      </w:r>
    </w:p>
    <w:p w:rsidR="00585016" w:rsidRDefault="00585016" w:rsidP="00585016">
      <w:pPr>
        <w:pStyle w:val="BodyText"/>
        <w:numPr>
          <w:ilvl w:val="0"/>
          <w:numId w:val="20"/>
        </w:numPr>
        <w:rPr>
          <w:rFonts w:ascii="Verdana" w:hAnsi="Verdana"/>
        </w:rPr>
      </w:pPr>
      <w:r>
        <w:rPr>
          <w:rFonts w:ascii="Verdana" w:hAnsi="Verdana"/>
        </w:rPr>
        <w:t>The company merger</w:t>
      </w:r>
    </w:p>
    <w:p w:rsidR="00585016" w:rsidRDefault="00585016" w:rsidP="00585016">
      <w:pPr>
        <w:pStyle w:val="BodyText"/>
        <w:ind w:left="720"/>
        <w:rPr>
          <w:rFonts w:ascii="Verdana" w:hAnsi="Verdana"/>
        </w:rPr>
      </w:pPr>
      <w:r>
        <w:rPr>
          <w:rFonts w:ascii="Verdana" w:hAnsi="Verdana"/>
        </w:rPr>
        <w:t>If an entity buys all the assets and liabilities of another entity, then it is called a company merger.</w:t>
      </w:r>
    </w:p>
    <w:p w:rsidR="00585016" w:rsidRDefault="00585016" w:rsidP="00585016">
      <w:pPr>
        <w:pStyle w:val="BodyText"/>
        <w:numPr>
          <w:ilvl w:val="0"/>
          <w:numId w:val="20"/>
        </w:numPr>
        <w:rPr>
          <w:rFonts w:ascii="Verdana" w:hAnsi="Verdana"/>
        </w:rPr>
      </w:pPr>
      <w:r>
        <w:rPr>
          <w:rFonts w:ascii="Verdana" w:hAnsi="Verdana"/>
        </w:rPr>
        <w:t>The stock merger</w:t>
      </w:r>
    </w:p>
    <w:p w:rsidR="00585016" w:rsidRDefault="00585016" w:rsidP="00585016">
      <w:pPr>
        <w:pStyle w:val="BodyText"/>
        <w:ind w:left="720"/>
        <w:rPr>
          <w:rFonts w:ascii="Verdana" w:hAnsi="Verdana"/>
        </w:rPr>
      </w:pPr>
      <w:r>
        <w:rPr>
          <w:rFonts w:ascii="Verdana" w:hAnsi="Verdana"/>
        </w:rPr>
        <w:t>A merger is a stock merger when an entity buys the majority of the shares of another entity or if a third company is created where the majority of the shares of the merging companies are brought in.</w:t>
      </w:r>
    </w:p>
    <w:p w:rsidR="00585016" w:rsidRDefault="00585016" w:rsidP="00585016">
      <w:pPr>
        <w:pStyle w:val="BodyText"/>
        <w:numPr>
          <w:ilvl w:val="0"/>
          <w:numId w:val="20"/>
        </w:numPr>
        <w:rPr>
          <w:rFonts w:ascii="Verdana" w:hAnsi="Verdana"/>
        </w:rPr>
      </w:pPr>
      <w:r>
        <w:rPr>
          <w:rFonts w:ascii="Verdana" w:hAnsi="Verdana"/>
        </w:rPr>
        <w:t>The legal merger</w:t>
      </w:r>
    </w:p>
    <w:p w:rsidR="00585016" w:rsidRDefault="00585016" w:rsidP="00585016">
      <w:pPr>
        <w:pStyle w:val="BodyText"/>
        <w:ind w:left="720"/>
        <w:rPr>
          <w:rFonts w:ascii="Verdana" w:hAnsi="Verdana"/>
        </w:rPr>
      </w:pPr>
      <w:r>
        <w:rPr>
          <w:rFonts w:ascii="Verdana" w:hAnsi="Verdana"/>
        </w:rPr>
        <w:t>When the two merging entities cease to exist and the shareholders of the merging entities become automatically the shareholders of the new entity the merger is called a legal merger.</w:t>
      </w:r>
    </w:p>
    <w:p w:rsidR="00585016" w:rsidRDefault="00585016" w:rsidP="00585016">
      <w:pPr>
        <w:pStyle w:val="BodyText"/>
        <w:rPr>
          <w:rFonts w:ascii="Verdana" w:hAnsi="Verdana"/>
        </w:rPr>
      </w:pPr>
      <w:r>
        <w:rPr>
          <w:rFonts w:ascii="Verdana" w:hAnsi="Verdana"/>
        </w:rPr>
        <w:lastRenderedPageBreak/>
        <w:t>Each of these methods results in a business combination. Seen from the perspective of the relationship between the two companies that are merging the merger can also be qualified in the following five ways:</w:t>
      </w:r>
    </w:p>
    <w:p w:rsidR="00585016" w:rsidRDefault="00585016" w:rsidP="00585016">
      <w:pPr>
        <w:pStyle w:val="BodyText"/>
        <w:numPr>
          <w:ilvl w:val="0"/>
          <w:numId w:val="21"/>
        </w:numPr>
        <w:rPr>
          <w:rFonts w:ascii="Verdana" w:hAnsi="Verdana"/>
        </w:rPr>
      </w:pPr>
      <w:r>
        <w:rPr>
          <w:rFonts w:ascii="Verdana" w:hAnsi="Verdana"/>
          <w:lang w:val="en-US"/>
        </w:rPr>
        <w:t>Horizontal</w:t>
      </w:r>
      <w:r w:rsidR="00720E62">
        <w:rPr>
          <w:rFonts w:ascii="Verdana" w:hAnsi="Verdana"/>
          <w:lang w:val="en-US"/>
        </w:rPr>
        <w:t>; merging competitors.</w:t>
      </w:r>
    </w:p>
    <w:p w:rsidR="00585016" w:rsidRDefault="00720E62" w:rsidP="00585016">
      <w:pPr>
        <w:pStyle w:val="BodyText"/>
        <w:numPr>
          <w:ilvl w:val="0"/>
          <w:numId w:val="21"/>
        </w:numPr>
        <w:rPr>
          <w:rFonts w:ascii="Verdana" w:hAnsi="Verdana"/>
        </w:rPr>
      </w:pPr>
      <w:r>
        <w:rPr>
          <w:rFonts w:ascii="Verdana" w:hAnsi="Verdana"/>
          <w:lang w:val="en-US"/>
        </w:rPr>
        <w:t>Vertical; for example a visor supplier and a helmet factory.</w:t>
      </w:r>
    </w:p>
    <w:p w:rsidR="00585016" w:rsidRDefault="00585016" w:rsidP="00720E62">
      <w:pPr>
        <w:pStyle w:val="BodyText"/>
        <w:numPr>
          <w:ilvl w:val="0"/>
          <w:numId w:val="21"/>
        </w:numPr>
        <w:rPr>
          <w:rFonts w:ascii="Verdana" w:hAnsi="Verdana"/>
        </w:rPr>
      </w:pPr>
      <w:r>
        <w:rPr>
          <w:rFonts w:ascii="Verdana" w:hAnsi="Verdana"/>
          <w:lang w:val="en-US"/>
        </w:rPr>
        <w:t>Market-extension</w:t>
      </w:r>
      <w:r w:rsidR="00720E62">
        <w:rPr>
          <w:rFonts w:ascii="Verdana" w:hAnsi="Verdana"/>
          <w:lang w:val="en-US"/>
        </w:rPr>
        <w:t xml:space="preserve">; </w:t>
      </w:r>
      <w:r>
        <w:rPr>
          <w:rFonts w:ascii="Verdana" w:hAnsi="Verdana"/>
          <w:lang w:val="en-US"/>
        </w:rPr>
        <w:t>two</w:t>
      </w:r>
      <w:r w:rsidR="00720E62">
        <w:rPr>
          <w:rFonts w:ascii="Verdana" w:hAnsi="Verdana"/>
          <w:lang w:val="en-US"/>
        </w:rPr>
        <w:t xml:space="preserve"> merging</w:t>
      </w:r>
      <w:r>
        <w:rPr>
          <w:rFonts w:ascii="Verdana" w:hAnsi="Verdana"/>
          <w:lang w:val="en-US"/>
        </w:rPr>
        <w:t xml:space="preserve"> entities </w:t>
      </w:r>
      <w:r w:rsidR="00720E62">
        <w:rPr>
          <w:rFonts w:ascii="Verdana" w:hAnsi="Verdana"/>
          <w:lang w:val="en-US"/>
        </w:rPr>
        <w:t>with</w:t>
      </w:r>
      <w:r>
        <w:rPr>
          <w:rFonts w:ascii="Verdana" w:hAnsi="Verdana"/>
          <w:lang w:val="en-US"/>
        </w:rPr>
        <w:t xml:space="preserve"> the same products but in different markets. </w:t>
      </w:r>
    </w:p>
    <w:p w:rsidR="00585016" w:rsidRPr="00720E62" w:rsidRDefault="00720E62" w:rsidP="00585016">
      <w:pPr>
        <w:pStyle w:val="BodyText"/>
        <w:numPr>
          <w:ilvl w:val="0"/>
          <w:numId w:val="21"/>
        </w:numPr>
        <w:rPr>
          <w:rFonts w:ascii="Verdana" w:hAnsi="Verdana"/>
        </w:rPr>
      </w:pPr>
      <w:r w:rsidRPr="00720E62">
        <w:rPr>
          <w:rFonts w:ascii="Verdana" w:hAnsi="Verdana"/>
          <w:lang w:val="en-US"/>
        </w:rPr>
        <w:t xml:space="preserve">Product-extension; </w:t>
      </w:r>
      <w:r w:rsidR="00585016" w:rsidRPr="00720E62">
        <w:rPr>
          <w:rFonts w:ascii="Verdana" w:hAnsi="Verdana"/>
          <w:lang w:val="en-US"/>
        </w:rPr>
        <w:t>two</w:t>
      </w:r>
      <w:r>
        <w:rPr>
          <w:rFonts w:ascii="Verdana" w:hAnsi="Verdana"/>
          <w:lang w:val="en-US"/>
        </w:rPr>
        <w:t xml:space="preserve"> merging</w:t>
      </w:r>
      <w:r w:rsidR="00585016" w:rsidRPr="00720E62">
        <w:rPr>
          <w:rFonts w:ascii="Verdana" w:hAnsi="Verdana"/>
          <w:lang w:val="en-US"/>
        </w:rPr>
        <w:t xml:space="preserve"> entities in the same market and with related but different products.</w:t>
      </w:r>
    </w:p>
    <w:p w:rsidR="00585016" w:rsidRPr="00720E62" w:rsidRDefault="00585016" w:rsidP="00585016">
      <w:pPr>
        <w:pStyle w:val="BodyText"/>
        <w:numPr>
          <w:ilvl w:val="0"/>
          <w:numId w:val="21"/>
        </w:numPr>
        <w:rPr>
          <w:rFonts w:ascii="Verdana" w:hAnsi="Verdana"/>
        </w:rPr>
      </w:pPr>
      <w:r w:rsidRPr="00720E62">
        <w:rPr>
          <w:rFonts w:ascii="Verdana" w:hAnsi="Verdana"/>
          <w:lang w:val="en-US"/>
        </w:rPr>
        <w:t>Conglomeration</w:t>
      </w:r>
      <w:r w:rsidR="00720E62" w:rsidRPr="00720E62">
        <w:rPr>
          <w:rFonts w:ascii="Verdana" w:hAnsi="Verdana"/>
          <w:lang w:val="en-US"/>
        </w:rPr>
        <w:t xml:space="preserve">; </w:t>
      </w:r>
      <w:r w:rsidR="00720E62">
        <w:rPr>
          <w:rFonts w:ascii="Verdana" w:hAnsi="Verdana"/>
          <w:lang w:val="en-US"/>
        </w:rPr>
        <w:t>merging of two</w:t>
      </w:r>
      <w:r w:rsidRPr="00720E62">
        <w:rPr>
          <w:rFonts w:ascii="Verdana" w:hAnsi="Verdana"/>
          <w:lang w:val="en-US"/>
        </w:rPr>
        <w:t xml:space="preserve"> entities who have no common business areas</w:t>
      </w:r>
      <w:r w:rsidR="00720E62">
        <w:rPr>
          <w:rFonts w:ascii="Verdana" w:hAnsi="Verdana"/>
          <w:lang w:val="en-US"/>
        </w:rPr>
        <w:t>.</w:t>
      </w:r>
    </w:p>
    <w:p w:rsidR="00585016" w:rsidRDefault="00585016" w:rsidP="00585016">
      <w:pPr>
        <w:pStyle w:val="BodyText"/>
        <w:rPr>
          <w:rFonts w:ascii="Verdana" w:hAnsi="Verdana"/>
        </w:rPr>
      </w:pPr>
      <w:r>
        <w:rPr>
          <w:rFonts w:ascii="Verdana" w:hAnsi="Verdana"/>
        </w:rPr>
        <w:t>All possibilities together give a lot of different reasons and ways for a company to merge with another. But every option leads to the possibility of bringing goodwill in existence on the balance sheet of the acquirer. In the following subchapter there will be explained how this business combination leads to on balance goodwill.</w:t>
      </w:r>
    </w:p>
    <w:p w:rsidR="00055E08" w:rsidRDefault="00055E08" w:rsidP="00585016">
      <w:pPr>
        <w:pStyle w:val="Heading2"/>
      </w:pPr>
      <w:bookmarkStart w:id="22" w:name="_Toc338350433"/>
      <w:bookmarkStart w:id="23" w:name="_Toc338350540"/>
      <w:bookmarkStart w:id="24" w:name="_Toc338350706"/>
    </w:p>
    <w:p w:rsidR="00585016" w:rsidRDefault="003C2D90" w:rsidP="00585016">
      <w:pPr>
        <w:pStyle w:val="Heading2"/>
      </w:pPr>
      <w:bookmarkStart w:id="25" w:name="_Toc359957128"/>
      <w:r>
        <w:t>2</w:t>
      </w:r>
      <w:r w:rsidR="00585016">
        <w:t xml:space="preserve">.2 </w:t>
      </w:r>
      <w:r w:rsidR="003B09BA">
        <w:t>On balance</w:t>
      </w:r>
      <w:r w:rsidR="00585016">
        <w:t xml:space="preserve"> goodwill.</w:t>
      </w:r>
      <w:bookmarkEnd w:id="22"/>
      <w:bookmarkEnd w:id="23"/>
      <w:bookmarkEnd w:id="24"/>
      <w:bookmarkEnd w:id="25"/>
    </w:p>
    <w:p w:rsidR="00214E4E" w:rsidRDefault="0016376C" w:rsidP="00585016">
      <w:pPr>
        <w:pStyle w:val="BodyText"/>
        <w:rPr>
          <w:rFonts w:ascii="Verdana" w:hAnsi="Verdana"/>
        </w:rPr>
      </w:pPr>
      <w:r>
        <w:br/>
      </w:r>
      <w:r>
        <w:rPr>
          <w:rFonts w:ascii="Verdana" w:hAnsi="Verdana"/>
        </w:rPr>
        <w:t xml:space="preserve">Seen from </w:t>
      </w:r>
      <w:r w:rsidR="00753B30">
        <w:rPr>
          <w:rFonts w:ascii="Verdana" w:hAnsi="Verdana"/>
        </w:rPr>
        <w:t xml:space="preserve">an </w:t>
      </w:r>
      <w:r>
        <w:rPr>
          <w:rFonts w:ascii="Verdana" w:hAnsi="Verdana"/>
        </w:rPr>
        <w:t>accounting perspective</w:t>
      </w:r>
      <w:r w:rsidR="00753B30">
        <w:rPr>
          <w:rFonts w:ascii="Verdana" w:hAnsi="Verdana"/>
        </w:rPr>
        <w:t>,</w:t>
      </w:r>
      <w:r>
        <w:rPr>
          <w:rFonts w:ascii="Verdana" w:hAnsi="Verdana"/>
        </w:rPr>
        <w:t xml:space="preserve"> goodwill </w:t>
      </w:r>
      <w:r w:rsidR="003B09BA">
        <w:rPr>
          <w:rFonts w:ascii="Verdana" w:hAnsi="Verdana"/>
        </w:rPr>
        <w:t xml:space="preserve">is part of the costs of a business combination and </w:t>
      </w:r>
      <w:r>
        <w:rPr>
          <w:rFonts w:ascii="Verdana" w:hAnsi="Verdana"/>
        </w:rPr>
        <w:t xml:space="preserve">is the premium an entity pays above the book value of the entity when it is acquired. Henning et al. (2000) mention that this accounting goodwill can be divided in four elements: </w:t>
      </w:r>
      <w:r w:rsidR="00214E4E">
        <w:rPr>
          <w:rFonts w:ascii="Verdana" w:hAnsi="Verdana"/>
        </w:rPr>
        <w:br/>
      </w:r>
    </w:p>
    <w:p w:rsidR="00214E4E" w:rsidRDefault="00214E4E" w:rsidP="00585016">
      <w:pPr>
        <w:pStyle w:val="BodyText"/>
        <w:rPr>
          <w:rFonts w:ascii="Verdana" w:hAnsi="Verdana"/>
        </w:rPr>
      </w:pPr>
      <w:r>
        <w:rPr>
          <w:rFonts w:ascii="Verdana" w:hAnsi="Verdana"/>
          <w:noProof/>
          <w:lang w:val="nl-NL" w:eastAsia="nl-NL"/>
        </w:rPr>
        <w:drawing>
          <wp:inline distT="0" distB="0" distL="0" distR="0" wp14:anchorId="6D9DEC48" wp14:editId="5E7E8083">
            <wp:extent cx="5486400" cy="3200400"/>
            <wp:effectExtent l="0" t="0" r="1905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14E4E" w:rsidRDefault="00214E4E" w:rsidP="00585016">
      <w:pPr>
        <w:pStyle w:val="BodyText"/>
        <w:rPr>
          <w:rFonts w:ascii="Verdana" w:hAnsi="Verdana"/>
        </w:rPr>
      </w:pPr>
    </w:p>
    <w:p w:rsidR="00585016" w:rsidRPr="00DD6742" w:rsidRDefault="003B09BA" w:rsidP="00DD6742">
      <w:pPr>
        <w:pStyle w:val="BodyText"/>
        <w:numPr>
          <w:ilvl w:val="0"/>
          <w:numId w:val="22"/>
        </w:numPr>
        <w:rPr>
          <w:rFonts w:ascii="Verdana" w:hAnsi="Verdana"/>
        </w:rPr>
      </w:pPr>
      <w:r>
        <w:rPr>
          <w:rFonts w:ascii="Verdana" w:hAnsi="Verdana"/>
        </w:rPr>
        <w:lastRenderedPageBreak/>
        <w:t xml:space="preserve">Write-up goodwill is </w:t>
      </w:r>
      <w:r w:rsidR="00DD6742">
        <w:rPr>
          <w:rFonts w:ascii="Verdana" w:hAnsi="Verdana"/>
        </w:rPr>
        <w:t>the goodwill for the revaluation of assets to fair value.</w:t>
      </w:r>
      <w:r w:rsidR="00585016" w:rsidRPr="00DD6742">
        <w:rPr>
          <w:rFonts w:ascii="Verdana" w:hAnsi="Verdana"/>
        </w:rPr>
        <w:t xml:space="preserve"> Calculated as the difference between the </w:t>
      </w:r>
      <w:proofErr w:type="spellStart"/>
      <w:r w:rsidR="00585016" w:rsidRPr="00DD6742">
        <w:rPr>
          <w:rFonts w:ascii="Verdana" w:hAnsi="Verdana"/>
        </w:rPr>
        <w:t>preacquisition</w:t>
      </w:r>
      <w:proofErr w:type="spellEnd"/>
      <w:r w:rsidR="00585016" w:rsidRPr="00DD6742">
        <w:rPr>
          <w:rFonts w:ascii="Verdana" w:hAnsi="Verdana"/>
        </w:rPr>
        <w:t xml:space="preserve"> book value of the targets firms assets and their fair market value.</w:t>
      </w:r>
      <w:r w:rsidR="00214E4E">
        <w:rPr>
          <w:rFonts w:ascii="Verdana" w:hAnsi="Verdana"/>
        </w:rPr>
        <w:t xml:space="preserve"> This is part of the equity after purchase price allocation.</w:t>
      </w:r>
    </w:p>
    <w:p w:rsidR="00585016" w:rsidRPr="00DD6742" w:rsidRDefault="00585016" w:rsidP="00585016">
      <w:pPr>
        <w:pStyle w:val="BodyText"/>
        <w:numPr>
          <w:ilvl w:val="0"/>
          <w:numId w:val="22"/>
        </w:numPr>
        <w:rPr>
          <w:rFonts w:ascii="Verdana" w:hAnsi="Verdana"/>
        </w:rPr>
      </w:pPr>
      <w:r w:rsidRPr="00DD6742">
        <w:rPr>
          <w:rFonts w:ascii="Verdana" w:hAnsi="Verdana"/>
        </w:rPr>
        <w:t xml:space="preserve">Going-concern goodwill is the goodwill </w:t>
      </w:r>
      <w:r w:rsidR="00802734">
        <w:rPr>
          <w:rFonts w:ascii="Verdana" w:hAnsi="Verdana"/>
        </w:rPr>
        <w:t>attributed</w:t>
      </w:r>
      <w:r w:rsidRPr="00DD6742">
        <w:rPr>
          <w:rFonts w:ascii="Verdana" w:hAnsi="Verdana"/>
        </w:rPr>
        <w:t xml:space="preserve"> to the </w:t>
      </w:r>
      <w:r w:rsidR="00802734">
        <w:rPr>
          <w:rFonts w:ascii="Verdana" w:hAnsi="Verdana"/>
        </w:rPr>
        <w:t>acquired</w:t>
      </w:r>
      <w:r w:rsidRPr="00DD6742">
        <w:rPr>
          <w:rFonts w:ascii="Verdana" w:hAnsi="Verdana"/>
        </w:rPr>
        <w:t xml:space="preserve"> company as an independent entity from a going concern perspective. The going-concern goodwill is calculated as the difference between the targets market value six days before the acquisition and the fair market value of the assets after the acquisition.</w:t>
      </w:r>
    </w:p>
    <w:p w:rsidR="00585016" w:rsidRPr="00DD6742" w:rsidRDefault="00585016" w:rsidP="00585016">
      <w:pPr>
        <w:pStyle w:val="BodyText"/>
        <w:numPr>
          <w:ilvl w:val="0"/>
          <w:numId w:val="22"/>
        </w:numPr>
        <w:rPr>
          <w:rFonts w:ascii="Verdana" w:hAnsi="Verdana"/>
        </w:rPr>
      </w:pPr>
      <w:r w:rsidRPr="00DD6742">
        <w:rPr>
          <w:rFonts w:ascii="Verdana" w:hAnsi="Verdana"/>
        </w:rPr>
        <w:t xml:space="preserve">Synergy goodwill is the expected value creation from the acquisition on itself. This is calculated by taking the cumulative abnormal returns for the acquirer and the target entity in the eleven days after the announcement of the takeover. </w:t>
      </w:r>
    </w:p>
    <w:p w:rsidR="00055E08" w:rsidRDefault="00585016" w:rsidP="00055E08">
      <w:pPr>
        <w:pStyle w:val="BodyText"/>
        <w:numPr>
          <w:ilvl w:val="0"/>
          <w:numId w:val="22"/>
        </w:numPr>
      </w:pPr>
      <w:r w:rsidRPr="003B09BA">
        <w:rPr>
          <w:rFonts w:ascii="Verdana" w:hAnsi="Verdana"/>
        </w:rPr>
        <w:t xml:space="preserve">Residual goodwill is the remaining surplus that has been paid for the entity. Calculated as the purchase price minus the </w:t>
      </w:r>
      <w:proofErr w:type="spellStart"/>
      <w:r w:rsidRPr="003B09BA">
        <w:rPr>
          <w:rFonts w:ascii="Verdana" w:hAnsi="Verdana"/>
        </w:rPr>
        <w:t>preacquisition</w:t>
      </w:r>
      <w:proofErr w:type="spellEnd"/>
      <w:r w:rsidRPr="003B09BA">
        <w:rPr>
          <w:rFonts w:ascii="Verdana" w:hAnsi="Verdana"/>
        </w:rPr>
        <w:t xml:space="preserve"> book value of the assets and the 3 points above.</w:t>
      </w:r>
    </w:p>
    <w:p w:rsidR="00214E4E" w:rsidRPr="00214E4E" w:rsidRDefault="00214E4E" w:rsidP="00214E4E">
      <w:pPr>
        <w:pStyle w:val="BodyText"/>
      </w:pPr>
    </w:p>
    <w:p w:rsidR="00585016" w:rsidRDefault="003C2D90" w:rsidP="00055E08">
      <w:pPr>
        <w:pStyle w:val="Heading2"/>
      </w:pPr>
      <w:bookmarkStart w:id="26" w:name="_Toc359957129"/>
      <w:r>
        <w:t>2</w:t>
      </w:r>
      <w:r w:rsidR="00585016">
        <w:t>.3 Relevant accounting standards.</w:t>
      </w:r>
      <w:bookmarkEnd w:id="26"/>
    </w:p>
    <w:p w:rsidR="00585016" w:rsidRDefault="00055E08" w:rsidP="00585016">
      <w:pPr>
        <w:pStyle w:val="BodyText"/>
        <w:rPr>
          <w:rFonts w:ascii="Verdana" w:hAnsi="Verdana"/>
        </w:rPr>
      </w:pPr>
      <w:r>
        <w:rPr>
          <w:rFonts w:ascii="Verdana" w:hAnsi="Verdana"/>
        </w:rPr>
        <w:br/>
      </w:r>
      <w:r w:rsidR="00802734">
        <w:rPr>
          <w:rFonts w:ascii="Verdana" w:hAnsi="Verdana"/>
        </w:rPr>
        <w:t>T</w:t>
      </w:r>
      <w:r w:rsidR="00585016">
        <w:rPr>
          <w:rFonts w:ascii="Verdana" w:hAnsi="Verdana"/>
        </w:rPr>
        <w:t xml:space="preserve">his subchapter </w:t>
      </w:r>
      <w:r w:rsidR="00802734">
        <w:rPr>
          <w:rFonts w:ascii="Verdana" w:hAnsi="Verdana"/>
        </w:rPr>
        <w:t>will explain</w:t>
      </w:r>
      <w:r w:rsidR="00585016">
        <w:rPr>
          <w:rFonts w:ascii="Verdana" w:hAnsi="Verdana"/>
        </w:rPr>
        <w:t xml:space="preserve"> the rules and regulations </w:t>
      </w:r>
      <w:r w:rsidR="00802734">
        <w:rPr>
          <w:rFonts w:ascii="Verdana" w:hAnsi="Verdana"/>
        </w:rPr>
        <w:t>related</w:t>
      </w:r>
      <w:r w:rsidR="00585016">
        <w:rPr>
          <w:rFonts w:ascii="Verdana" w:hAnsi="Verdana"/>
        </w:rPr>
        <w:t xml:space="preserve"> to financial accounting and reporting concerning goodwill.</w:t>
      </w:r>
      <w:r w:rsidR="0095030F" w:rsidRPr="0095030F">
        <w:rPr>
          <w:rFonts w:ascii="Verdana" w:hAnsi="Verdana"/>
        </w:rPr>
        <w:t xml:space="preserve"> </w:t>
      </w:r>
      <w:r w:rsidR="0095030F">
        <w:rPr>
          <w:rFonts w:ascii="Verdana" w:hAnsi="Verdana"/>
        </w:rPr>
        <w:t xml:space="preserve">The empirical research will focus on industrial businesses in the Euro zone which are listed on a stock </w:t>
      </w:r>
      <w:r w:rsidR="0065245F">
        <w:rPr>
          <w:rFonts w:ascii="Verdana" w:hAnsi="Verdana"/>
        </w:rPr>
        <w:t>market</w:t>
      </w:r>
      <w:r w:rsidR="0095030F">
        <w:rPr>
          <w:rFonts w:ascii="Verdana" w:hAnsi="Verdana"/>
        </w:rPr>
        <w:t xml:space="preserve">, refer to </w:t>
      </w:r>
      <w:r w:rsidR="00406266">
        <w:rPr>
          <w:rFonts w:ascii="Verdana" w:hAnsi="Verdana"/>
        </w:rPr>
        <w:t>subchapter</w:t>
      </w:r>
      <w:r w:rsidR="0095030F">
        <w:rPr>
          <w:rFonts w:ascii="Verdana" w:hAnsi="Verdana"/>
        </w:rPr>
        <w:t xml:space="preserve"> 5.4 research sample.</w:t>
      </w:r>
      <w:r w:rsidR="00585016">
        <w:rPr>
          <w:rFonts w:ascii="Verdana" w:hAnsi="Verdana"/>
        </w:rPr>
        <w:t xml:space="preserve"> </w:t>
      </w:r>
      <w:r w:rsidR="00361EC8">
        <w:rPr>
          <w:rFonts w:ascii="Verdana" w:hAnsi="Verdana"/>
        </w:rPr>
        <w:t xml:space="preserve">Since </w:t>
      </w:r>
      <w:r w:rsidR="001B228A">
        <w:rPr>
          <w:rFonts w:ascii="Verdana" w:hAnsi="Verdana"/>
        </w:rPr>
        <w:t xml:space="preserve">the first of January </w:t>
      </w:r>
      <w:r w:rsidR="00361EC8">
        <w:rPr>
          <w:rFonts w:ascii="Verdana" w:hAnsi="Verdana"/>
        </w:rPr>
        <w:t xml:space="preserve">2005 </w:t>
      </w:r>
      <w:r w:rsidR="0065245F">
        <w:rPr>
          <w:rFonts w:ascii="Verdana" w:hAnsi="Verdana"/>
        </w:rPr>
        <w:t xml:space="preserve">it is mandatory for </w:t>
      </w:r>
      <w:r w:rsidR="00361EC8">
        <w:rPr>
          <w:rFonts w:ascii="Verdana" w:hAnsi="Verdana"/>
        </w:rPr>
        <w:t>all listed companies in</w:t>
      </w:r>
      <w:r w:rsidR="0065245F">
        <w:rPr>
          <w:rFonts w:ascii="Verdana" w:hAnsi="Verdana"/>
        </w:rPr>
        <w:t>side</w:t>
      </w:r>
      <w:r w:rsidR="00361EC8">
        <w:rPr>
          <w:rFonts w:ascii="Verdana" w:hAnsi="Verdana"/>
        </w:rPr>
        <w:t xml:space="preserve"> the European Union to</w:t>
      </w:r>
      <w:r w:rsidR="001B228A">
        <w:rPr>
          <w:rFonts w:ascii="Verdana" w:hAnsi="Verdana"/>
        </w:rPr>
        <w:t xml:space="preserve"> switch from reporting</w:t>
      </w:r>
      <w:r w:rsidR="0095030F">
        <w:rPr>
          <w:rFonts w:ascii="Verdana" w:hAnsi="Verdana"/>
        </w:rPr>
        <w:t>,</w:t>
      </w:r>
      <w:r w:rsidR="001B228A">
        <w:rPr>
          <w:rFonts w:ascii="Verdana" w:hAnsi="Verdana"/>
        </w:rPr>
        <w:t xml:space="preserve"> based on their </w:t>
      </w:r>
      <w:r w:rsidR="0065245F">
        <w:rPr>
          <w:rFonts w:ascii="Verdana" w:hAnsi="Verdana"/>
        </w:rPr>
        <w:t xml:space="preserve">own country’s </w:t>
      </w:r>
      <w:r w:rsidR="001B228A">
        <w:rPr>
          <w:rFonts w:ascii="Verdana" w:hAnsi="Verdana"/>
        </w:rPr>
        <w:t>Generally Accepted Accounting Standards (GAAP)</w:t>
      </w:r>
      <w:r w:rsidR="0095030F">
        <w:rPr>
          <w:rFonts w:ascii="Verdana" w:hAnsi="Verdana"/>
        </w:rPr>
        <w:t>,</w:t>
      </w:r>
      <w:r w:rsidR="001B228A">
        <w:rPr>
          <w:rFonts w:ascii="Verdana" w:hAnsi="Verdana"/>
        </w:rPr>
        <w:t xml:space="preserve"> to</w:t>
      </w:r>
      <w:r w:rsidR="00361EC8">
        <w:rPr>
          <w:rFonts w:ascii="Verdana" w:hAnsi="Verdana"/>
        </w:rPr>
        <w:t xml:space="preserve"> the International Financial Reporting Standards (IFRS)</w:t>
      </w:r>
      <w:r w:rsidR="001B228A">
        <w:rPr>
          <w:rFonts w:ascii="Verdana" w:hAnsi="Verdana"/>
        </w:rPr>
        <w:t>. This regulation has been implemented to increase comparability</w:t>
      </w:r>
      <w:r w:rsidR="00802734">
        <w:rPr>
          <w:rFonts w:ascii="Verdana" w:hAnsi="Verdana"/>
        </w:rPr>
        <w:t xml:space="preserve"> of financial statements</w:t>
      </w:r>
      <w:r w:rsidR="001B228A">
        <w:rPr>
          <w:rFonts w:ascii="Verdana" w:hAnsi="Verdana"/>
        </w:rPr>
        <w:t xml:space="preserve"> between European countries. </w:t>
      </w:r>
      <w:r w:rsidR="00E25158">
        <w:rPr>
          <w:rFonts w:ascii="Verdana" w:hAnsi="Verdana"/>
        </w:rPr>
        <w:t xml:space="preserve">The first subchapter will discuss the implementation of IFRS. After this, IFRS 3 </w:t>
      </w:r>
      <w:r w:rsidR="00E25158">
        <w:rPr>
          <w:rFonts w:ascii="Verdana" w:hAnsi="Verdana"/>
          <w:i/>
        </w:rPr>
        <w:t>Business Combinations</w:t>
      </w:r>
      <w:r w:rsidR="00E25158">
        <w:rPr>
          <w:rFonts w:ascii="Verdana" w:hAnsi="Verdana"/>
        </w:rPr>
        <w:t xml:space="preserve"> will be discussed.</w:t>
      </w:r>
    </w:p>
    <w:p w:rsidR="00585016" w:rsidRDefault="00585016" w:rsidP="00585016">
      <w:pPr>
        <w:pStyle w:val="BodyText"/>
        <w:rPr>
          <w:rFonts w:ascii="Verdana" w:hAnsi="Verdana"/>
        </w:rPr>
      </w:pPr>
      <w:r>
        <w:rPr>
          <w:rFonts w:ascii="Verdana" w:hAnsi="Verdana"/>
        </w:rPr>
        <w:t>Besides the IFRS, which are published by the International Accounting Standards Board (IASB), the Generally Accepted Accountin</w:t>
      </w:r>
      <w:r w:rsidR="00277561">
        <w:rPr>
          <w:rFonts w:ascii="Verdana" w:hAnsi="Verdana"/>
        </w:rPr>
        <w:t>g Standards of the United States</w:t>
      </w:r>
      <w:r>
        <w:rPr>
          <w:rFonts w:ascii="Verdana" w:hAnsi="Verdana"/>
        </w:rPr>
        <w:t xml:space="preserve"> of America (US-GAAP) will also be discussed. The US-GAAP </w:t>
      </w:r>
      <w:r w:rsidR="00802734">
        <w:rPr>
          <w:rFonts w:ascii="Verdana" w:hAnsi="Verdana"/>
        </w:rPr>
        <w:t>has</w:t>
      </w:r>
      <w:r>
        <w:rPr>
          <w:rFonts w:ascii="Verdana" w:hAnsi="Verdana"/>
        </w:rPr>
        <w:t xml:space="preserve"> been published in the Statements of Financial Accountings Standards (SFAS). The US-GAAP will be discussed so that it is possible to compare the IFRS to another standard. </w:t>
      </w:r>
    </w:p>
    <w:p w:rsidR="00585016" w:rsidRDefault="00585016" w:rsidP="00585016">
      <w:pPr>
        <w:pStyle w:val="BodyText"/>
        <w:rPr>
          <w:rFonts w:ascii="Verdana" w:hAnsi="Verdana"/>
        </w:rPr>
      </w:pPr>
      <w:r>
        <w:rPr>
          <w:rFonts w:ascii="Verdana" w:hAnsi="Verdana"/>
        </w:rPr>
        <w:t xml:space="preserve">IFRS and SFAS will </w:t>
      </w:r>
      <w:r w:rsidR="00E25158">
        <w:rPr>
          <w:rFonts w:ascii="Verdana" w:hAnsi="Verdana"/>
        </w:rPr>
        <w:t xml:space="preserve">then </w:t>
      </w:r>
      <w:r>
        <w:rPr>
          <w:rFonts w:ascii="Verdana" w:hAnsi="Verdana"/>
        </w:rPr>
        <w:t xml:space="preserve">be scrutinized for their views on the presentation of goodwill and differences between them will be set out. </w:t>
      </w:r>
    </w:p>
    <w:p w:rsidR="00055E08" w:rsidRDefault="00055E08" w:rsidP="00585016">
      <w:pPr>
        <w:pStyle w:val="BodyText"/>
        <w:rPr>
          <w:rFonts w:ascii="Verdana" w:hAnsi="Verdana"/>
        </w:rPr>
      </w:pPr>
    </w:p>
    <w:p w:rsidR="00E25158" w:rsidRDefault="00E25158" w:rsidP="00E25158">
      <w:pPr>
        <w:pStyle w:val="Heading3"/>
      </w:pPr>
      <w:bookmarkStart w:id="27" w:name="_Toc359957130"/>
      <w:r>
        <w:t>2.3.1 Implementation of IFRS in the European Union</w:t>
      </w:r>
      <w:bookmarkEnd w:id="27"/>
      <w:r>
        <w:br/>
      </w:r>
    </w:p>
    <w:p w:rsidR="00E25158" w:rsidRDefault="00E25158" w:rsidP="00E25158">
      <w:pPr>
        <w:pStyle w:val="BodyText"/>
        <w:rPr>
          <w:rFonts w:ascii="Verdana" w:hAnsi="Verdana"/>
        </w:rPr>
      </w:pPr>
      <w:r>
        <w:rPr>
          <w:rFonts w:ascii="Verdana" w:hAnsi="Verdana"/>
        </w:rPr>
        <w:t xml:space="preserve">Since 2005 the European Union made the IFRS mandatory for all firms which were quoted on </w:t>
      </w:r>
      <w:r w:rsidR="00802734">
        <w:rPr>
          <w:rFonts w:ascii="Verdana" w:hAnsi="Verdana"/>
        </w:rPr>
        <w:t>a European stock</w:t>
      </w:r>
      <w:r>
        <w:rPr>
          <w:rFonts w:ascii="Verdana" w:hAnsi="Verdana"/>
        </w:rPr>
        <w:t xml:space="preserve"> exchange. For these firms their consolidated financial statements had to be </w:t>
      </w:r>
      <w:r w:rsidR="00802734">
        <w:rPr>
          <w:rFonts w:ascii="Verdana" w:hAnsi="Verdana"/>
        </w:rPr>
        <w:t>prepared based on</w:t>
      </w:r>
      <w:r>
        <w:rPr>
          <w:rFonts w:ascii="Verdana" w:hAnsi="Verdana"/>
        </w:rPr>
        <w:t xml:space="preserve"> the IFRS. In the Netherlands the government allows companies to arrange their separate financial statements also conform the IFRS to enhance the comparability and transparency. Entities who are not quoted on the stock exchange are also allowed to use the IFRS for separate </w:t>
      </w:r>
      <w:r>
        <w:rPr>
          <w:rFonts w:ascii="Verdana" w:hAnsi="Verdana"/>
        </w:rPr>
        <w:lastRenderedPageBreak/>
        <w:t>and consolidated financial statements instead of the ‘</w:t>
      </w:r>
      <w:proofErr w:type="spellStart"/>
      <w:r>
        <w:rPr>
          <w:rFonts w:ascii="Verdana" w:hAnsi="Verdana"/>
        </w:rPr>
        <w:t>Titel</w:t>
      </w:r>
      <w:proofErr w:type="spellEnd"/>
      <w:r>
        <w:rPr>
          <w:rFonts w:ascii="Verdana" w:hAnsi="Verdana"/>
        </w:rPr>
        <w:t xml:space="preserve"> 9 </w:t>
      </w:r>
      <w:proofErr w:type="spellStart"/>
      <w:r>
        <w:rPr>
          <w:rFonts w:ascii="Verdana" w:hAnsi="Verdana"/>
        </w:rPr>
        <w:t>boek</w:t>
      </w:r>
      <w:proofErr w:type="spellEnd"/>
      <w:r>
        <w:rPr>
          <w:rFonts w:ascii="Verdana" w:hAnsi="Verdana"/>
        </w:rPr>
        <w:t xml:space="preserve"> 2’ </w:t>
      </w:r>
      <w:r w:rsidR="009C0AF5">
        <w:rPr>
          <w:rFonts w:ascii="Verdana" w:hAnsi="Verdana"/>
        </w:rPr>
        <w:t>and ‘</w:t>
      </w:r>
      <w:proofErr w:type="spellStart"/>
      <w:r w:rsidR="009C0AF5">
        <w:rPr>
          <w:rFonts w:ascii="Verdana" w:hAnsi="Verdana"/>
        </w:rPr>
        <w:t>Richtlijnen</w:t>
      </w:r>
      <w:proofErr w:type="spellEnd"/>
      <w:r w:rsidR="009C0AF5">
        <w:rPr>
          <w:rFonts w:ascii="Verdana" w:hAnsi="Verdana"/>
        </w:rPr>
        <w:t xml:space="preserve"> </w:t>
      </w:r>
      <w:proofErr w:type="spellStart"/>
      <w:r w:rsidR="009C0AF5">
        <w:rPr>
          <w:rFonts w:ascii="Verdana" w:hAnsi="Verdana"/>
        </w:rPr>
        <w:t>voor</w:t>
      </w:r>
      <w:proofErr w:type="spellEnd"/>
      <w:r w:rsidR="009C0AF5">
        <w:rPr>
          <w:rFonts w:ascii="Verdana" w:hAnsi="Verdana"/>
        </w:rPr>
        <w:t xml:space="preserve"> de </w:t>
      </w:r>
      <w:proofErr w:type="spellStart"/>
      <w:r w:rsidR="009C0AF5">
        <w:rPr>
          <w:rFonts w:ascii="Verdana" w:hAnsi="Verdana"/>
        </w:rPr>
        <w:t>Jaarverslaggeving</w:t>
      </w:r>
      <w:proofErr w:type="spellEnd"/>
      <w:r w:rsidR="009C0AF5">
        <w:rPr>
          <w:rFonts w:ascii="Verdana" w:hAnsi="Verdana"/>
        </w:rPr>
        <w:t xml:space="preserve"> (RJ)’ </w:t>
      </w:r>
      <w:r>
        <w:rPr>
          <w:rFonts w:ascii="Verdana" w:hAnsi="Verdana"/>
        </w:rPr>
        <w:t>which used to be the only option before the adoption of the IFRS.</w:t>
      </w:r>
    </w:p>
    <w:p w:rsidR="00E25158" w:rsidRDefault="00E25158" w:rsidP="00E25158">
      <w:pPr>
        <w:pStyle w:val="BodyText"/>
        <w:rPr>
          <w:rFonts w:ascii="Verdana" w:hAnsi="Verdana"/>
        </w:rPr>
      </w:pPr>
      <w:r>
        <w:rPr>
          <w:rFonts w:ascii="Verdana" w:hAnsi="Verdana"/>
        </w:rPr>
        <w:t>If companies in the Netherlands use the IFRS for their consolidated financial statements they are also allowed to only use the valuation principles of their consolidated statements besides the ‘</w:t>
      </w:r>
      <w:proofErr w:type="spellStart"/>
      <w:r>
        <w:rPr>
          <w:rFonts w:ascii="Verdana" w:hAnsi="Verdana"/>
        </w:rPr>
        <w:t>Titel</w:t>
      </w:r>
      <w:proofErr w:type="spellEnd"/>
      <w:r>
        <w:rPr>
          <w:rFonts w:ascii="Verdana" w:hAnsi="Verdana"/>
        </w:rPr>
        <w:t xml:space="preserve"> 9 </w:t>
      </w:r>
      <w:proofErr w:type="spellStart"/>
      <w:r>
        <w:rPr>
          <w:rFonts w:ascii="Verdana" w:hAnsi="Verdana"/>
        </w:rPr>
        <w:t>boek</w:t>
      </w:r>
      <w:proofErr w:type="spellEnd"/>
      <w:r>
        <w:rPr>
          <w:rFonts w:ascii="Verdana" w:hAnsi="Verdana"/>
        </w:rPr>
        <w:t xml:space="preserve"> 2’</w:t>
      </w:r>
      <w:r w:rsidR="009C0AF5">
        <w:rPr>
          <w:rFonts w:ascii="Verdana" w:hAnsi="Verdana"/>
        </w:rPr>
        <w:t xml:space="preserve"> and RJ</w:t>
      </w:r>
      <w:r>
        <w:rPr>
          <w:rFonts w:ascii="Verdana" w:hAnsi="Verdana"/>
        </w:rPr>
        <w:t xml:space="preserve"> in their separate statements.</w:t>
      </w:r>
    </w:p>
    <w:p w:rsidR="00E25158" w:rsidRDefault="00E25158" w:rsidP="00E25158">
      <w:pPr>
        <w:pStyle w:val="BodyText"/>
        <w:rPr>
          <w:rFonts w:ascii="Verdana" w:hAnsi="Verdana"/>
        </w:rPr>
      </w:pPr>
      <w:r>
        <w:rPr>
          <w:rFonts w:ascii="Verdana" w:hAnsi="Verdana"/>
        </w:rPr>
        <w:t>See the table below for an oversight of the options companies have in the Netherlands, concerning the choice for reporting regulations. (</w:t>
      </w:r>
      <w:proofErr w:type="spellStart"/>
      <w:r>
        <w:rPr>
          <w:rFonts w:ascii="Verdana" w:hAnsi="Verdana"/>
        </w:rPr>
        <w:t>Eynde</w:t>
      </w:r>
      <w:proofErr w:type="spellEnd"/>
      <w:r>
        <w:rPr>
          <w:rFonts w:ascii="Verdana" w:hAnsi="Verdana"/>
        </w:rPr>
        <w:t>, 2007)</w:t>
      </w:r>
    </w:p>
    <w:tbl>
      <w:tblPr>
        <w:tblStyle w:val="PwCTable1"/>
        <w:tblW w:w="0" w:type="auto"/>
        <w:tblLook w:val="04A0" w:firstRow="1" w:lastRow="0" w:firstColumn="1" w:lastColumn="0" w:noHBand="0" w:noVBand="1"/>
      </w:tblPr>
      <w:tblGrid>
        <w:gridCol w:w="2410"/>
        <w:gridCol w:w="2835"/>
        <w:gridCol w:w="3487"/>
      </w:tblGrid>
      <w:tr w:rsidR="00E25158" w:rsidRPr="00585016" w:rsidTr="004F63B4">
        <w:trPr>
          <w:cnfStyle w:val="100000000000" w:firstRow="1" w:lastRow="0" w:firstColumn="0" w:lastColumn="0" w:oddVBand="0" w:evenVBand="0" w:oddHBand="0" w:evenHBand="0" w:firstRowFirstColumn="0" w:firstRowLastColumn="0" w:lastRowFirstColumn="0" w:lastRowLastColumn="0"/>
        </w:trPr>
        <w:tc>
          <w:tcPr>
            <w:tcW w:w="2410" w:type="dxa"/>
          </w:tcPr>
          <w:p w:rsidR="00E25158" w:rsidRDefault="00E25158" w:rsidP="004F63B4">
            <w:pPr>
              <w:pStyle w:val="BodyText"/>
              <w:rPr>
                <w:rFonts w:ascii="Verdana" w:hAnsi="Verdana"/>
                <w:szCs w:val="22"/>
                <w:lang w:val="en-US"/>
              </w:rPr>
            </w:pPr>
          </w:p>
        </w:tc>
        <w:tc>
          <w:tcPr>
            <w:tcW w:w="2835" w:type="dxa"/>
            <w:hideMark/>
          </w:tcPr>
          <w:p w:rsidR="00E25158" w:rsidRDefault="00E25158" w:rsidP="004F63B4">
            <w:pPr>
              <w:pStyle w:val="BodyText"/>
              <w:rPr>
                <w:rFonts w:ascii="Verdana" w:hAnsi="Verdana"/>
                <w:szCs w:val="22"/>
                <w:lang w:val="en-US"/>
              </w:rPr>
            </w:pPr>
            <w:r>
              <w:rPr>
                <w:rFonts w:ascii="Verdana" w:hAnsi="Verdana"/>
                <w:szCs w:val="22"/>
                <w:lang w:val="en-US"/>
              </w:rPr>
              <w:t>Stock exchange</w:t>
            </w:r>
          </w:p>
        </w:tc>
        <w:tc>
          <w:tcPr>
            <w:tcW w:w="3487" w:type="dxa"/>
            <w:hideMark/>
          </w:tcPr>
          <w:p w:rsidR="00E25158" w:rsidRDefault="00E25158" w:rsidP="004F63B4">
            <w:pPr>
              <w:pStyle w:val="BodyText"/>
              <w:rPr>
                <w:rFonts w:ascii="Verdana" w:hAnsi="Verdana"/>
                <w:szCs w:val="22"/>
                <w:lang w:val="en-US"/>
              </w:rPr>
            </w:pPr>
            <w:r>
              <w:rPr>
                <w:rFonts w:ascii="Verdana" w:hAnsi="Verdana"/>
                <w:szCs w:val="22"/>
                <w:lang w:val="en-US"/>
              </w:rPr>
              <w:t>Not quoted on stock exchange</w:t>
            </w:r>
          </w:p>
        </w:tc>
      </w:tr>
      <w:tr w:rsidR="00E25158" w:rsidTr="004F63B4">
        <w:trPr>
          <w:cnfStyle w:val="000000100000" w:firstRow="0" w:lastRow="0" w:firstColumn="0" w:lastColumn="0" w:oddVBand="0" w:evenVBand="0" w:oddHBand="1" w:evenHBand="0" w:firstRowFirstColumn="0" w:firstRowLastColumn="0" w:lastRowFirstColumn="0" w:lastRowLastColumn="0"/>
        </w:trPr>
        <w:tc>
          <w:tcPr>
            <w:tcW w:w="2410" w:type="dxa"/>
            <w:tcBorders>
              <w:top w:val="single" w:sz="4" w:space="0" w:color="968C6D" w:themeColor="accent1"/>
              <w:left w:val="nil"/>
              <w:bottom w:val="single" w:sz="4" w:space="0" w:color="968C6D" w:themeColor="accent1"/>
              <w:right w:val="nil"/>
            </w:tcBorders>
            <w:hideMark/>
          </w:tcPr>
          <w:p w:rsidR="00E25158" w:rsidRDefault="00E25158" w:rsidP="004F63B4">
            <w:pPr>
              <w:pStyle w:val="BodyText"/>
              <w:rPr>
                <w:rFonts w:ascii="Verdana" w:hAnsi="Verdana"/>
                <w:lang w:val="en-US"/>
              </w:rPr>
            </w:pPr>
            <w:r>
              <w:rPr>
                <w:rFonts w:ascii="Verdana" w:hAnsi="Verdana"/>
                <w:lang w:val="en-US"/>
              </w:rPr>
              <w:t>Consolidated financial statements</w:t>
            </w:r>
          </w:p>
        </w:tc>
        <w:tc>
          <w:tcPr>
            <w:tcW w:w="2835" w:type="dxa"/>
            <w:tcBorders>
              <w:top w:val="single" w:sz="4" w:space="0" w:color="968C6D" w:themeColor="accent1"/>
              <w:left w:val="nil"/>
              <w:bottom w:val="single" w:sz="4" w:space="0" w:color="968C6D" w:themeColor="accent1"/>
              <w:right w:val="nil"/>
            </w:tcBorders>
            <w:hideMark/>
          </w:tcPr>
          <w:p w:rsidR="00E25158" w:rsidRDefault="00E25158" w:rsidP="004F63B4">
            <w:pPr>
              <w:pStyle w:val="BodyText"/>
              <w:rPr>
                <w:rFonts w:ascii="Verdana" w:hAnsi="Verdana"/>
                <w:lang w:val="en-US"/>
              </w:rPr>
            </w:pPr>
            <w:r>
              <w:rPr>
                <w:rFonts w:ascii="Verdana" w:hAnsi="Verdana"/>
                <w:lang w:val="en-US"/>
              </w:rPr>
              <w:t>IFRS</w:t>
            </w:r>
          </w:p>
        </w:tc>
        <w:tc>
          <w:tcPr>
            <w:tcW w:w="3487" w:type="dxa"/>
            <w:tcBorders>
              <w:top w:val="single" w:sz="4" w:space="0" w:color="968C6D" w:themeColor="accent1"/>
              <w:left w:val="nil"/>
              <w:bottom w:val="single" w:sz="4" w:space="0" w:color="968C6D" w:themeColor="accent1"/>
              <w:right w:val="nil"/>
            </w:tcBorders>
            <w:hideMark/>
          </w:tcPr>
          <w:p w:rsidR="00E25158" w:rsidRDefault="00E25158" w:rsidP="009C0AF5">
            <w:pPr>
              <w:pStyle w:val="BodyText"/>
              <w:rPr>
                <w:rFonts w:ascii="Verdana" w:hAnsi="Verdana"/>
                <w:lang w:val="en-US"/>
              </w:rPr>
            </w:pPr>
            <w:r>
              <w:rPr>
                <w:rFonts w:ascii="Verdana" w:hAnsi="Verdana"/>
                <w:lang w:val="en-US"/>
              </w:rPr>
              <w:t xml:space="preserve">IFRS / </w:t>
            </w:r>
            <w:proofErr w:type="spellStart"/>
            <w:r>
              <w:rPr>
                <w:rFonts w:ascii="Verdana" w:hAnsi="Verdana"/>
                <w:lang w:val="en-US"/>
              </w:rPr>
              <w:t>Titel</w:t>
            </w:r>
            <w:proofErr w:type="spellEnd"/>
            <w:r>
              <w:rPr>
                <w:rFonts w:ascii="Verdana" w:hAnsi="Verdana"/>
                <w:lang w:val="en-US"/>
              </w:rPr>
              <w:t xml:space="preserve"> 9 </w:t>
            </w:r>
            <w:proofErr w:type="spellStart"/>
            <w:r>
              <w:rPr>
                <w:rFonts w:ascii="Verdana" w:hAnsi="Verdana"/>
                <w:lang w:val="en-US"/>
              </w:rPr>
              <w:t>boek</w:t>
            </w:r>
            <w:proofErr w:type="spellEnd"/>
            <w:r>
              <w:rPr>
                <w:rFonts w:ascii="Verdana" w:hAnsi="Verdana"/>
                <w:lang w:val="en-US"/>
              </w:rPr>
              <w:t xml:space="preserve"> 2</w:t>
            </w:r>
            <w:r w:rsidR="009C0AF5">
              <w:rPr>
                <w:rFonts w:ascii="Verdana" w:hAnsi="Verdana"/>
                <w:lang w:val="en-US"/>
              </w:rPr>
              <w:t xml:space="preserve"> and RJ</w:t>
            </w:r>
          </w:p>
        </w:tc>
      </w:tr>
      <w:tr w:rsidR="00E25158" w:rsidRPr="009C0AF5" w:rsidTr="004F63B4">
        <w:trPr>
          <w:cnfStyle w:val="000000010000" w:firstRow="0" w:lastRow="0" w:firstColumn="0" w:lastColumn="0" w:oddVBand="0" w:evenVBand="0" w:oddHBand="0" w:evenHBand="1" w:firstRowFirstColumn="0" w:firstRowLastColumn="0" w:lastRowFirstColumn="0" w:lastRowLastColumn="0"/>
        </w:trPr>
        <w:tc>
          <w:tcPr>
            <w:tcW w:w="2410" w:type="dxa"/>
            <w:tcBorders>
              <w:top w:val="single" w:sz="4" w:space="0" w:color="968C6D" w:themeColor="accent1"/>
              <w:left w:val="nil"/>
              <w:bottom w:val="single" w:sz="4" w:space="0" w:color="968C6D" w:themeColor="accent1"/>
              <w:right w:val="nil"/>
            </w:tcBorders>
            <w:hideMark/>
          </w:tcPr>
          <w:p w:rsidR="00E25158" w:rsidRDefault="00E25158" w:rsidP="004F63B4">
            <w:pPr>
              <w:pStyle w:val="BodyText"/>
              <w:rPr>
                <w:rFonts w:ascii="Verdana" w:hAnsi="Verdana"/>
                <w:lang w:val="en-US"/>
              </w:rPr>
            </w:pPr>
            <w:r>
              <w:rPr>
                <w:rFonts w:ascii="Verdana" w:hAnsi="Verdana"/>
                <w:lang w:val="en-US"/>
              </w:rPr>
              <w:t>Separate financial statements</w:t>
            </w:r>
          </w:p>
        </w:tc>
        <w:tc>
          <w:tcPr>
            <w:tcW w:w="2835" w:type="dxa"/>
            <w:tcBorders>
              <w:top w:val="single" w:sz="4" w:space="0" w:color="968C6D" w:themeColor="accent1"/>
              <w:left w:val="nil"/>
              <w:bottom w:val="single" w:sz="4" w:space="0" w:color="968C6D" w:themeColor="accent1"/>
              <w:right w:val="nil"/>
            </w:tcBorders>
            <w:hideMark/>
          </w:tcPr>
          <w:p w:rsidR="00E25158" w:rsidRDefault="00E25158" w:rsidP="009C0AF5">
            <w:pPr>
              <w:pStyle w:val="BodyText"/>
              <w:rPr>
                <w:rFonts w:ascii="Verdana" w:hAnsi="Verdana"/>
                <w:lang w:val="en-US"/>
              </w:rPr>
            </w:pPr>
            <w:r>
              <w:rPr>
                <w:rFonts w:ascii="Verdana" w:hAnsi="Verdana"/>
                <w:lang w:val="en-US"/>
              </w:rPr>
              <w:t xml:space="preserve">IFRS / </w:t>
            </w:r>
            <w:proofErr w:type="spellStart"/>
            <w:r>
              <w:rPr>
                <w:rFonts w:ascii="Verdana" w:hAnsi="Verdana"/>
                <w:lang w:val="en-US"/>
              </w:rPr>
              <w:t>Titel</w:t>
            </w:r>
            <w:proofErr w:type="spellEnd"/>
            <w:r>
              <w:rPr>
                <w:rFonts w:ascii="Verdana" w:hAnsi="Verdana"/>
                <w:lang w:val="en-US"/>
              </w:rPr>
              <w:t xml:space="preserve"> 9 </w:t>
            </w:r>
            <w:proofErr w:type="spellStart"/>
            <w:r>
              <w:rPr>
                <w:rFonts w:ascii="Verdana" w:hAnsi="Verdana"/>
                <w:lang w:val="en-US"/>
              </w:rPr>
              <w:t>boek</w:t>
            </w:r>
            <w:proofErr w:type="spellEnd"/>
            <w:r>
              <w:rPr>
                <w:rFonts w:ascii="Verdana" w:hAnsi="Verdana"/>
                <w:lang w:val="en-US"/>
              </w:rPr>
              <w:t xml:space="preserve"> 2</w:t>
            </w:r>
            <w:r w:rsidR="009C0AF5">
              <w:rPr>
                <w:rFonts w:ascii="Verdana" w:hAnsi="Verdana"/>
                <w:lang w:val="en-US"/>
              </w:rPr>
              <w:t xml:space="preserve"> and RJ</w:t>
            </w:r>
          </w:p>
        </w:tc>
        <w:tc>
          <w:tcPr>
            <w:tcW w:w="3487" w:type="dxa"/>
            <w:tcBorders>
              <w:top w:val="single" w:sz="4" w:space="0" w:color="968C6D" w:themeColor="accent1"/>
              <w:left w:val="nil"/>
              <w:bottom w:val="single" w:sz="4" w:space="0" w:color="968C6D" w:themeColor="accent1"/>
              <w:right w:val="nil"/>
            </w:tcBorders>
            <w:hideMark/>
          </w:tcPr>
          <w:p w:rsidR="00E25158" w:rsidRPr="009C0AF5" w:rsidRDefault="00E25158" w:rsidP="009C0AF5">
            <w:pPr>
              <w:pStyle w:val="BodyText"/>
              <w:rPr>
                <w:rFonts w:ascii="Verdana" w:hAnsi="Verdana"/>
                <w:lang w:val="en-US"/>
              </w:rPr>
            </w:pPr>
            <w:r w:rsidRPr="009C0AF5">
              <w:rPr>
                <w:rFonts w:ascii="Verdana" w:hAnsi="Verdana"/>
                <w:lang w:val="en-US"/>
              </w:rPr>
              <w:t xml:space="preserve">IFRS / </w:t>
            </w:r>
            <w:proofErr w:type="spellStart"/>
            <w:r w:rsidRPr="009C0AF5">
              <w:rPr>
                <w:rFonts w:ascii="Verdana" w:hAnsi="Verdana"/>
                <w:lang w:val="en-US"/>
              </w:rPr>
              <w:t>Titel</w:t>
            </w:r>
            <w:proofErr w:type="spellEnd"/>
            <w:r w:rsidRPr="009C0AF5">
              <w:rPr>
                <w:rFonts w:ascii="Verdana" w:hAnsi="Verdana"/>
                <w:lang w:val="en-US"/>
              </w:rPr>
              <w:t xml:space="preserve"> 9 </w:t>
            </w:r>
            <w:proofErr w:type="spellStart"/>
            <w:r w:rsidRPr="009C0AF5">
              <w:rPr>
                <w:rFonts w:ascii="Verdana" w:hAnsi="Verdana"/>
                <w:lang w:val="en-US"/>
              </w:rPr>
              <w:t>boek</w:t>
            </w:r>
            <w:proofErr w:type="spellEnd"/>
            <w:r w:rsidRPr="009C0AF5">
              <w:rPr>
                <w:rFonts w:ascii="Verdana" w:hAnsi="Verdana"/>
                <w:lang w:val="en-US"/>
              </w:rPr>
              <w:t xml:space="preserve"> </w:t>
            </w:r>
            <w:r w:rsidR="009C0AF5" w:rsidRPr="009C0AF5">
              <w:rPr>
                <w:rFonts w:ascii="Verdana" w:hAnsi="Verdana"/>
                <w:lang w:val="en-US"/>
              </w:rPr>
              <w:t>2</w:t>
            </w:r>
            <w:r w:rsidR="009C0AF5">
              <w:rPr>
                <w:rFonts w:ascii="Verdana" w:hAnsi="Verdana"/>
                <w:lang w:val="en-US"/>
              </w:rPr>
              <w:t xml:space="preserve"> and RJ</w:t>
            </w:r>
            <w:r w:rsidRPr="009C0AF5">
              <w:rPr>
                <w:rFonts w:ascii="Verdana" w:hAnsi="Verdana"/>
                <w:lang w:val="en-US"/>
              </w:rPr>
              <w:t xml:space="preserve"> / Title 9 </w:t>
            </w:r>
            <w:proofErr w:type="spellStart"/>
            <w:r w:rsidRPr="009C0AF5">
              <w:rPr>
                <w:rFonts w:ascii="Verdana" w:hAnsi="Verdana"/>
                <w:lang w:val="en-US"/>
              </w:rPr>
              <w:t>boek</w:t>
            </w:r>
            <w:proofErr w:type="spellEnd"/>
            <w:r w:rsidRPr="009C0AF5">
              <w:rPr>
                <w:rFonts w:ascii="Verdana" w:hAnsi="Verdana"/>
                <w:lang w:val="en-US"/>
              </w:rPr>
              <w:t xml:space="preserve"> 2</w:t>
            </w:r>
            <w:r w:rsidR="009C0AF5">
              <w:rPr>
                <w:rFonts w:ascii="Verdana" w:hAnsi="Verdana"/>
                <w:lang w:val="en-US"/>
              </w:rPr>
              <w:t xml:space="preserve"> and RJ</w:t>
            </w:r>
            <w:r w:rsidRPr="009C0AF5">
              <w:rPr>
                <w:rFonts w:ascii="Verdana" w:hAnsi="Verdana"/>
                <w:lang w:val="en-US"/>
              </w:rPr>
              <w:t xml:space="preserve"> + valuation principles IFRS</w:t>
            </w:r>
          </w:p>
        </w:tc>
      </w:tr>
    </w:tbl>
    <w:p w:rsidR="00E25158" w:rsidRPr="009C0AF5" w:rsidRDefault="00E25158" w:rsidP="00E25158">
      <w:pPr>
        <w:pStyle w:val="BodyText"/>
        <w:rPr>
          <w:rFonts w:ascii="Verdana" w:hAnsi="Verdana"/>
          <w:lang w:val="en-US"/>
        </w:rPr>
      </w:pPr>
    </w:p>
    <w:p w:rsidR="00E25158" w:rsidRDefault="00E25158" w:rsidP="00E25158">
      <w:pPr>
        <w:pStyle w:val="BodyText"/>
        <w:rPr>
          <w:rFonts w:ascii="Verdana" w:hAnsi="Verdana"/>
        </w:rPr>
      </w:pPr>
      <w:r>
        <w:rPr>
          <w:rFonts w:ascii="Verdana" w:hAnsi="Verdana"/>
          <w:lang w:val="en-US"/>
        </w:rPr>
        <w:t xml:space="preserve">There are multiple differences between the IFRS and </w:t>
      </w:r>
      <w:r>
        <w:rPr>
          <w:rFonts w:ascii="Verdana" w:hAnsi="Verdana"/>
        </w:rPr>
        <w:t>‘</w:t>
      </w:r>
      <w:proofErr w:type="spellStart"/>
      <w:r>
        <w:rPr>
          <w:rFonts w:ascii="Verdana" w:hAnsi="Verdana"/>
        </w:rPr>
        <w:t>Titel</w:t>
      </w:r>
      <w:proofErr w:type="spellEnd"/>
      <w:r>
        <w:rPr>
          <w:rFonts w:ascii="Verdana" w:hAnsi="Verdana"/>
        </w:rPr>
        <w:t xml:space="preserve"> 9 </w:t>
      </w:r>
      <w:proofErr w:type="spellStart"/>
      <w:r>
        <w:rPr>
          <w:rFonts w:ascii="Verdana" w:hAnsi="Verdana"/>
        </w:rPr>
        <w:t>boek</w:t>
      </w:r>
      <w:proofErr w:type="spellEnd"/>
      <w:r>
        <w:rPr>
          <w:rFonts w:ascii="Verdana" w:hAnsi="Verdana"/>
        </w:rPr>
        <w:t xml:space="preserve"> 2’. The difference relating to the valuation of goodwill is that the IFRS use impairment of goodwill instead of depreciation in a maximum of twenty years, as prescribed by ‘</w:t>
      </w:r>
      <w:proofErr w:type="spellStart"/>
      <w:r>
        <w:rPr>
          <w:rFonts w:ascii="Verdana" w:hAnsi="Verdana"/>
        </w:rPr>
        <w:t>Titel</w:t>
      </w:r>
      <w:proofErr w:type="spellEnd"/>
      <w:r>
        <w:rPr>
          <w:rFonts w:ascii="Verdana" w:hAnsi="Verdana"/>
        </w:rPr>
        <w:t xml:space="preserve"> 9 </w:t>
      </w:r>
      <w:proofErr w:type="spellStart"/>
      <w:r>
        <w:rPr>
          <w:rFonts w:ascii="Verdana" w:hAnsi="Verdana"/>
        </w:rPr>
        <w:t>boek</w:t>
      </w:r>
      <w:proofErr w:type="spellEnd"/>
      <w:r>
        <w:rPr>
          <w:rFonts w:ascii="Verdana" w:hAnsi="Verdana"/>
        </w:rPr>
        <w:t xml:space="preserve"> 2’. </w:t>
      </w:r>
    </w:p>
    <w:p w:rsidR="00E25158" w:rsidRDefault="00E25158" w:rsidP="00E25158">
      <w:pPr>
        <w:pStyle w:val="BodyText"/>
        <w:rPr>
          <w:rFonts w:ascii="Verdana" w:hAnsi="Verdana"/>
        </w:rPr>
      </w:pPr>
      <w:r>
        <w:rPr>
          <w:rFonts w:ascii="Verdana" w:hAnsi="Verdana"/>
        </w:rPr>
        <w:t xml:space="preserve">Each country in the European Union has differences between consolidated financial statements and separate financial statements of the legal entity. For an overview of the use of options in the </w:t>
      </w:r>
      <w:r w:rsidR="00A93D4E">
        <w:rPr>
          <w:rFonts w:ascii="Verdana" w:hAnsi="Verdana"/>
        </w:rPr>
        <w:t>I</w:t>
      </w:r>
      <w:r w:rsidRPr="0095030F">
        <w:rPr>
          <w:rFonts w:ascii="Verdana" w:hAnsi="Verdana"/>
        </w:rPr>
        <w:t>A</w:t>
      </w:r>
      <w:r w:rsidR="00A93D4E">
        <w:rPr>
          <w:rFonts w:ascii="Verdana" w:hAnsi="Verdana"/>
        </w:rPr>
        <w:t>S</w:t>
      </w:r>
      <w:r w:rsidRPr="0095030F">
        <w:rPr>
          <w:rFonts w:ascii="Verdana" w:hAnsi="Verdana"/>
        </w:rPr>
        <w:t xml:space="preserve"> regulations per member state of the European Union, refer to Appendix</w:t>
      </w:r>
      <w:r>
        <w:rPr>
          <w:rFonts w:ascii="Verdana" w:hAnsi="Verdana"/>
        </w:rPr>
        <w:t xml:space="preserve"> </w:t>
      </w:r>
      <w:r w:rsidR="00F70FA7">
        <w:rPr>
          <w:rFonts w:ascii="Verdana" w:hAnsi="Verdana"/>
        </w:rPr>
        <w:t>1.</w:t>
      </w:r>
      <w:r w:rsidRPr="0095030F">
        <w:rPr>
          <w:rFonts w:ascii="Verdana" w:hAnsi="Verdana"/>
        </w:rPr>
        <w:t xml:space="preserve"> </w:t>
      </w:r>
      <w:r w:rsidRPr="0095030F">
        <w:rPr>
          <w:rFonts w:ascii="Verdana" w:hAnsi="Verdana"/>
          <w:bCs/>
          <w:lang w:val="en-US"/>
        </w:rPr>
        <w:t>Use of options in the IAS Regulation by Member States</w:t>
      </w:r>
      <w:r>
        <w:rPr>
          <w:rFonts w:ascii="Verdana" w:hAnsi="Verdana"/>
          <w:bCs/>
          <w:lang w:val="en-US"/>
        </w:rPr>
        <w:t>.</w:t>
      </w:r>
      <w:r>
        <w:rPr>
          <w:rFonts w:ascii="Verdana" w:hAnsi="Verdana"/>
        </w:rPr>
        <w:br/>
        <w:t>In this overview it becomes apparent that IFRS is required for all consolidated financial statements of industrial companies and it is not required</w:t>
      </w:r>
      <w:r w:rsidR="00A93D4E">
        <w:rPr>
          <w:rFonts w:ascii="Verdana" w:hAnsi="Verdana"/>
        </w:rPr>
        <w:t xml:space="preserve"> for all </w:t>
      </w:r>
      <w:r w:rsidR="009C0AF5">
        <w:rPr>
          <w:rFonts w:ascii="Verdana" w:hAnsi="Verdana"/>
        </w:rPr>
        <w:t>statutory</w:t>
      </w:r>
      <w:r w:rsidR="00A93D4E">
        <w:rPr>
          <w:rFonts w:ascii="Verdana" w:hAnsi="Verdana"/>
        </w:rPr>
        <w:t xml:space="preserve"> </w:t>
      </w:r>
      <w:r w:rsidR="009C0AF5">
        <w:rPr>
          <w:rFonts w:ascii="Verdana" w:hAnsi="Verdana"/>
        </w:rPr>
        <w:t>accounts</w:t>
      </w:r>
      <w:r w:rsidR="00A93D4E">
        <w:rPr>
          <w:rFonts w:ascii="Verdana" w:hAnsi="Verdana"/>
        </w:rPr>
        <w:t>.</w:t>
      </w:r>
      <w:r>
        <w:rPr>
          <w:rFonts w:ascii="Verdana" w:hAnsi="Verdana"/>
        </w:rPr>
        <w:t xml:space="preserve"> </w:t>
      </w:r>
      <w:r w:rsidR="00A93D4E">
        <w:rPr>
          <w:rFonts w:ascii="Verdana" w:hAnsi="Verdana"/>
        </w:rPr>
        <w:t>To gain comparable data, the</w:t>
      </w:r>
      <w:r>
        <w:rPr>
          <w:rFonts w:ascii="Verdana" w:hAnsi="Verdana"/>
        </w:rPr>
        <w:t xml:space="preserve"> data used for this thesis will therefore be based on consolidated financial statements. </w:t>
      </w:r>
    </w:p>
    <w:p w:rsidR="00E25158" w:rsidRDefault="00E25158" w:rsidP="00585016">
      <w:pPr>
        <w:pStyle w:val="BodyText"/>
        <w:rPr>
          <w:rFonts w:ascii="Verdana" w:hAnsi="Verdana"/>
        </w:rPr>
      </w:pPr>
    </w:p>
    <w:p w:rsidR="00585016" w:rsidRDefault="003C2D90" w:rsidP="00055E08">
      <w:pPr>
        <w:pStyle w:val="Heading3"/>
      </w:pPr>
      <w:bookmarkStart w:id="28" w:name="_Toc359957131"/>
      <w:r>
        <w:t>2</w:t>
      </w:r>
      <w:r w:rsidR="00585016">
        <w:t>.3.</w:t>
      </w:r>
      <w:r w:rsidR="00E25158">
        <w:t>2</w:t>
      </w:r>
      <w:r w:rsidR="00585016">
        <w:t xml:space="preserve"> International Financial Reporting Standards 3</w:t>
      </w:r>
      <w:bookmarkEnd w:id="28"/>
      <w:r w:rsidR="00055E08">
        <w:br/>
      </w:r>
    </w:p>
    <w:p w:rsidR="00585016" w:rsidRDefault="00E0672E" w:rsidP="00E0672E">
      <w:pPr>
        <w:autoSpaceDE w:val="0"/>
        <w:autoSpaceDN w:val="0"/>
        <w:adjustRightInd w:val="0"/>
        <w:spacing w:after="0" w:line="240" w:lineRule="auto"/>
        <w:rPr>
          <w:rFonts w:ascii="Verdana" w:hAnsi="Verdana"/>
        </w:rPr>
      </w:pPr>
      <w:r>
        <w:rPr>
          <w:rFonts w:ascii="Verdana" w:hAnsi="Verdana"/>
        </w:rPr>
        <w:t>T</w:t>
      </w:r>
      <w:r w:rsidR="00585016">
        <w:rPr>
          <w:rFonts w:ascii="Verdana" w:hAnsi="Verdana"/>
        </w:rPr>
        <w:t xml:space="preserve">he </w:t>
      </w:r>
      <w:r>
        <w:rPr>
          <w:rFonts w:ascii="Verdana" w:hAnsi="Verdana"/>
        </w:rPr>
        <w:t xml:space="preserve">objective of IFRS 3 </w:t>
      </w:r>
      <w:r>
        <w:rPr>
          <w:rFonts w:ascii="Verdana" w:hAnsi="Verdana"/>
          <w:i/>
        </w:rPr>
        <w:t>Business Combinations</w:t>
      </w:r>
      <w:r>
        <w:rPr>
          <w:rFonts w:ascii="Verdana" w:hAnsi="Verdana"/>
        </w:rPr>
        <w:t>,</w:t>
      </w:r>
      <w:r w:rsidR="00585016">
        <w:rPr>
          <w:rFonts w:ascii="Verdana" w:hAnsi="Verdana"/>
        </w:rPr>
        <w:t xml:space="preserve"> is </w:t>
      </w:r>
      <w:r>
        <w:rPr>
          <w:rFonts w:ascii="Verdana" w:hAnsi="Verdana"/>
        </w:rPr>
        <w:t xml:space="preserve">to </w:t>
      </w:r>
      <w:r w:rsidR="00585016">
        <w:rPr>
          <w:rFonts w:ascii="Verdana" w:hAnsi="Verdana"/>
        </w:rPr>
        <w:t>giv</w:t>
      </w:r>
      <w:r>
        <w:rPr>
          <w:rFonts w:ascii="Verdana" w:hAnsi="Verdana"/>
        </w:rPr>
        <w:t xml:space="preserve">e companies guidelines in the financial reporting of their business combination and it’s relating consolidation. This is established by giving guidelines and </w:t>
      </w:r>
      <w:r w:rsidR="00585016">
        <w:rPr>
          <w:rFonts w:ascii="Verdana" w:hAnsi="Verdana"/>
        </w:rPr>
        <w:t>requirements concerning the following points: First there are guidelines and requirements for an acquirer on how to recognise and valuate the identifiable assets acquired, the assumed liabilities and any non-controlling interest in the target. Secondly there are guidelines and requirements for an acquirer on how to recognize and measure the goodwill resulting from a business combination, or possible gain from a bargain purchase. Lastly, the IFRS 3 determines which information needs to be disclosed in order to enable the users of the financial statements to get a clear understanding of the nature of the business combination and which financial effects it has got.</w:t>
      </w:r>
    </w:p>
    <w:p w:rsidR="00585016" w:rsidRDefault="00585016" w:rsidP="00585016">
      <w:pPr>
        <w:pStyle w:val="BodyText"/>
        <w:rPr>
          <w:rFonts w:ascii="Times New Roman" w:hAnsi="Times New Roman" w:cs="Times New Roman"/>
          <w:color w:val="000000"/>
          <w:lang w:val="en-US"/>
        </w:rPr>
      </w:pPr>
      <w:r>
        <w:rPr>
          <w:rFonts w:ascii="Verdana" w:hAnsi="Verdana"/>
        </w:rPr>
        <w:t>For the second point, the recognition and measurement of goodwill the following is stated:</w:t>
      </w:r>
    </w:p>
    <w:p w:rsidR="00585016" w:rsidRDefault="00585016" w:rsidP="00585016">
      <w:pPr>
        <w:autoSpaceDE w:val="0"/>
        <w:autoSpaceDN w:val="0"/>
        <w:adjustRightInd w:val="0"/>
        <w:spacing w:after="0" w:line="240" w:lineRule="auto"/>
        <w:rPr>
          <w:rFonts w:ascii="Verdana" w:hAnsi="Verdana" w:cs="SwiftLTPro-ExtraBold"/>
          <w:bCs/>
          <w:lang w:val="en-US"/>
        </w:rPr>
      </w:pPr>
      <w:r>
        <w:rPr>
          <w:rFonts w:ascii="Verdana" w:hAnsi="Verdana" w:cs="SwiftLTPro-ExtraBold"/>
          <w:bCs/>
          <w:lang w:val="en-US"/>
        </w:rPr>
        <w:lastRenderedPageBreak/>
        <w:t>The acquirer shall recognize goodwill as of the acquisition date measured as the excess of (a) over (b) below:</w:t>
      </w:r>
      <w:r>
        <w:rPr>
          <w:rFonts w:ascii="Verdana" w:hAnsi="Verdana" w:cs="SwiftLTPro-ExtraBold"/>
          <w:bCs/>
          <w:lang w:val="en-US"/>
        </w:rPr>
        <w:tab/>
      </w:r>
    </w:p>
    <w:p w:rsidR="00585016" w:rsidRDefault="00585016" w:rsidP="00585016">
      <w:pPr>
        <w:autoSpaceDE w:val="0"/>
        <w:autoSpaceDN w:val="0"/>
        <w:adjustRightInd w:val="0"/>
        <w:spacing w:after="0" w:line="240" w:lineRule="auto"/>
        <w:ind w:firstLine="360"/>
        <w:rPr>
          <w:rFonts w:ascii="Verdana" w:hAnsi="Verdana" w:cs="SwiftLTPro-ExtraBold"/>
          <w:bCs/>
          <w:lang w:val="en-US"/>
        </w:rPr>
      </w:pPr>
      <w:r>
        <w:rPr>
          <w:rFonts w:ascii="Verdana" w:hAnsi="Verdana" w:cs="SwiftLTPro-ExtraBold"/>
          <w:bCs/>
          <w:lang w:val="en-US"/>
        </w:rPr>
        <w:t>(a) the aggregate of:</w:t>
      </w:r>
    </w:p>
    <w:p w:rsidR="00585016" w:rsidRDefault="00585016" w:rsidP="00585016">
      <w:pPr>
        <w:autoSpaceDE w:val="0"/>
        <w:autoSpaceDN w:val="0"/>
        <w:adjustRightInd w:val="0"/>
        <w:spacing w:after="0" w:line="240" w:lineRule="auto"/>
        <w:ind w:firstLine="720"/>
        <w:rPr>
          <w:rFonts w:ascii="Verdana" w:hAnsi="Verdana" w:cs="SwiftLTPro-ExtraBold"/>
          <w:bCs/>
          <w:lang w:val="en-US"/>
        </w:rPr>
      </w:pPr>
      <w:r>
        <w:rPr>
          <w:rFonts w:ascii="Verdana" w:hAnsi="Verdana" w:cs="SwiftLTPro-ExtraBold"/>
          <w:bCs/>
          <w:lang w:val="en-US"/>
        </w:rPr>
        <w:t>(</w:t>
      </w:r>
      <w:proofErr w:type="spellStart"/>
      <w:r>
        <w:rPr>
          <w:rFonts w:ascii="Verdana" w:hAnsi="Verdana" w:cs="SwiftLTPro-ExtraBold"/>
          <w:bCs/>
          <w:lang w:val="en-US"/>
        </w:rPr>
        <w:t>i</w:t>
      </w:r>
      <w:proofErr w:type="spellEnd"/>
      <w:r>
        <w:rPr>
          <w:rFonts w:ascii="Verdana" w:hAnsi="Verdana" w:cs="SwiftLTPro-ExtraBold"/>
          <w:bCs/>
          <w:lang w:val="en-US"/>
        </w:rPr>
        <w:t>) the consideration transferred measured in accordance with this IFRS,</w:t>
      </w:r>
    </w:p>
    <w:p w:rsidR="00585016" w:rsidRDefault="00585016" w:rsidP="00585016">
      <w:pPr>
        <w:autoSpaceDE w:val="0"/>
        <w:autoSpaceDN w:val="0"/>
        <w:adjustRightInd w:val="0"/>
        <w:spacing w:after="0" w:line="240" w:lineRule="auto"/>
        <w:ind w:firstLine="720"/>
        <w:rPr>
          <w:rFonts w:ascii="Verdana" w:hAnsi="Verdana" w:cs="SwiftLTPro-ExtraBold"/>
          <w:bCs/>
          <w:lang w:val="en-US"/>
        </w:rPr>
      </w:pPr>
      <w:r>
        <w:rPr>
          <w:rFonts w:ascii="Verdana" w:hAnsi="Verdana" w:cs="SwiftLTPro-ExtraBold"/>
          <w:bCs/>
          <w:lang w:val="en-US"/>
        </w:rPr>
        <w:t>which generally requires acquis</w:t>
      </w:r>
      <w:r w:rsidR="003A0319">
        <w:rPr>
          <w:rFonts w:ascii="Verdana" w:hAnsi="Verdana" w:cs="SwiftLTPro-ExtraBold"/>
          <w:bCs/>
          <w:lang w:val="en-US"/>
        </w:rPr>
        <w:t>ition-date fair value</w:t>
      </w:r>
      <w:r>
        <w:rPr>
          <w:rFonts w:ascii="Verdana" w:hAnsi="Verdana" w:cs="SwiftLTPro-ExtraBold"/>
          <w:bCs/>
          <w:lang w:val="en-US"/>
        </w:rPr>
        <w:t xml:space="preserve">; </w:t>
      </w:r>
    </w:p>
    <w:p w:rsidR="00585016" w:rsidRDefault="00585016" w:rsidP="00585016">
      <w:pPr>
        <w:autoSpaceDE w:val="0"/>
        <w:autoSpaceDN w:val="0"/>
        <w:adjustRightInd w:val="0"/>
        <w:spacing w:after="0" w:line="240" w:lineRule="auto"/>
        <w:ind w:firstLine="720"/>
        <w:rPr>
          <w:rFonts w:ascii="Verdana" w:hAnsi="Verdana" w:cs="SwiftLTPro-ExtraBold"/>
          <w:bCs/>
          <w:lang w:val="en-US"/>
        </w:rPr>
      </w:pPr>
      <w:r>
        <w:rPr>
          <w:rFonts w:ascii="Verdana" w:hAnsi="Verdana" w:cs="SwiftLTPro-ExtraBold"/>
          <w:bCs/>
          <w:lang w:val="en-US"/>
        </w:rPr>
        <w:t xml:space="preserve">(ii) the amount of any non-controlling interest in the </w:t>
      </w:r>
      <w:proofErr w:type="spellStart"/>
      <w:r>
        <w:rPr>
          <w:rFonts w:ascii="Verdana" w:hAnsi="Verdana" w:cs="SwiftLTPro-ExtraBold"/>
          <w:bCs/>
          <w:lang w:val="en-US"/>
        </w:rPr>
        <w:t>acquiree</w:t>
      </w:r>
      <w:proofErr w:type="spellEnd"/>
      <w:r>
        <w:rPr>
          <w:rFonts w:ascii="Verdana" w:hAnsi="Verdana" w:cs="SwiftLTPro-ExtraBold"/>
          <w:bCs/>
          <w:lang w:val="en-US"/>
        </w:rPr>
        <w:t xml:space="preserve"> measured</w:t>
      </w:r>
    </w:p>
    <w:p w:rsidR="00585016" w:rsidRDefault="00585016" w:rsidP="00585016">
      <w:pPr>
        <w:autoSpaceDE w:val="0"/>
        <w:autoSpaceDN w:val="0"/>
        <w:adjustRightInd w:val="0"/>
        <w:spacing w:after="0" w:line="240" w:lineRule="auto"/>
        <w:ind w:firstLine="720"/>
        <w:rPr>
          <w:rFonts w:ascii="Verdana" w:hAnsi="Verdana" w:cs="SwiftLTPro-ExtraBold"/>
          <w:bCs/>
          <w:lang w:val="en-US"/>
        </w:rPr>
      </w:pPr>
      <w:r>
        <w:rPr>
          <w:rFonts w:ascii="Verdana" w:hAnsi="Verdana" w:cs="SwiftLTPro-ExtraBold"/>
          <w:bCs/>
          <w:lang w:val="en-US"/>
        </w:rPr>
        <w:t>in accordance with this IFRS; and</w:t>
      </w:r>
    </w:p>
    <w:p w:rsidR="00585016" w:rsidRDefault="00585016" w:rsidP="003A0319">
      <w:pPr>
        <w:autoSpaceDE w:val="0"/>
        <w:autoSpaceDN w:val="0"/>
        <w:adjustRightInd w:val="0"/>
        <w:spacing w:after="0" w:line="240" w:lineRule="auto"/>
        <w:ind w:left="720"/>
        <w:rPr>
          <w:rFonts w:ascii="Verdana" w:hAnsi="Verdana" w:cs="SwiftLTPro-ExtraBold"/>
          <w:bCs/>
          <w:lang w:val="en-US"/>
        </w:rPr>
      </w:pPr>
      <w:r>
        <w:rPr>
          <w:rFonts w:ascii="Verdana" w:hAnsi="Verdana" w:cs="SwiftLTPro-ExtraBold"/>
          <w:bCs/>
          <w:lang w:val="en-US"/>
        </w:rPr>
        <w:t>(iii) in a busines</w:t>
      </w:r>
      <w:r w:rsidR="003A0319">
        <w:rPr>
          <w:rFonts w:ascii="Verdana" w:hAnsi="Verdana" w:cs="SwiftLTPro-ExtraBold"/>
          <w:bCs/>
          <w:lang w:val="en-US"/>
        </w:rPr>
        <w:t>s combination achieved in stages</w:t>
      </w:r>
      <w:r>
        <w:rPr>
          <w:rFonts w:ascii="Verdana" w:hAnsi="Verdana" w:cs="SwiftLTPro-ExtraBold"/>
          <w:bCs/>
          <w:lang w:val="en-US"/>
        </w:rPr>
        <w:t xml:space="preserve">, the acquisition-date fair value of the acquirer’s previously held </w:t>
      </w:r>
      <w:r w:rsidRPr="003A0319">
        <w:rPr>
          <w:rFonts w:ascii="Verdana" w:hAnsi="Verdana" w:cs="SwiftETT,BoldItalic"/>
          <w:bCs/>
          <w:iCs/>
          <w:lang w:val="en-US"/>
        </w:rPr>
        <w:t>equity</w:t>
      </w:r>
      <w:r w:rsidR="003A0319" w:rsidRPr="003A0319">
        <w:rPr>
          <w:rFonts w:ascii="Verdana" w:hAnsi="Verdana" w:cs="SwiftETT,BoldItalic"/>
          <w:bCs/>
          <w:iCs/>
          <w:lang w:val="en-US"/>
        </w:rPr>
        <w:t xml:space="preserve"> </w:t>
      </w:r>
      <w:r w:rsidRPr="003A0319">
        <w:rPr>
          <w:rFonts w:ascii="Verdana" w:hAnsi="Verdana" w:cs="SwiftETT,BoldItalic"/>
          <w:bCs/>
          <w:iCs/>
          <w:lang w:val="en-US"/>
        </w:rPr>
        <w:t xml:space="preserve">interest </w:t>
      </w:r>
      <w:r>
        <w:rPr>
          <w:rFonts w:ascii="Verdana" w:hAnsi="Verdana" w:cs="SwiftLTPro-ExtraBold"/>
          <w:bCs/>
          <w:lang w:val="en-US"/>
        </w:rPr>
        <w:t xml:space="preserve">in the </w:t>
      </w:r>
      <w:proofErr w:type="spellStart"/>
      <w:r>
        <w:rPr>
          <w:rFonts w:ascii="Verdana" w:hAnsi="Verdana" w:cs="SwiftLTPro-ExtraBold"/>
          <w:bCs/>
          <w:lang w:val="en-US"/>
        </w:rPr>
        <w:t>acquiree</w:t>
      </w:r>
      <w:proofErr w:type="spellEnd"/>
      <w:r>
        <w:rPr>
          <w:rFonts w:ascii="Verdana" w:hAnsi="Verdana" w:cs="SwiftLTPro-ExtraBold"/>
          <w:bCs/>
          <w:lang w:val="en-US"/>
        </w:rPr>
        <w:t>.</w:t>
      </w:r>
    </w:p>
    <w:p w:rsidR="00585016" w:rsidRDefault="00585016" w:rsidP="00585016">
      <w:pPr>
        <w:autoSpaceDE w:val="0"/>
        <w:autoSpaceDN w:val="0"/>
        <w:adjustRightInd w:val="0"/>
        <w:spacing w:after="0" w:line="240" w:lineRule="auto"/>
        <w:ind w:firstLine="360"/>
        <w:rPr>
          <w:rFonts w:ascii="Verdana" w:hAnsi="Verdana" w:cs="SwiftLTPro-ExtraBold"/>
          <w:bCs/>
          <w:lang w:val="en-US"/>
        </w:rPr>
      </w:pPr>
      <w:r>
        <w:rPr>
          <w:rFonts w:ascii="Verdana" w:hAnsi="Verdana" w:cs="SwiftLTPro-ExtraBold"/>
          <w:bCs/>
          <w:lang w:val="en-US"/>
        </w:rPr>
        <w:t>(b) the net of the acquisition-date amounts of the identifiable assets acquired</w:t>
      </w:r>
    </w:p>
    <w:p w:rsidR="00585016" w:rsidRDefault="00585016" w:rsidP="00585016">
      <w:pPr>
        <w:pStyle w:val="BodyText"/>
        <w:ind w:left="720"/>
        <w:rPr>
          <w:rFonts w:ascii="Verdana" w:hAnsi="Verdana" w:cs="SwiftLTPro-ExtraBold"/>
          <w:bCs/>
          <w:lang w:val="en-US"/>
        </w:rPr>
      </w:pPr>
      <w:r>
        <w:rPr>
          <w:rFonts w:ascii="Verdana" w:hAnsi="Verdana" w:cs="SwiftLTPro-ExtraBold"/>
          <w:bCs/>
          <w:lang w:val="en-US"/>
        </w:rPr>
        <w:t xml:space="preserve">and the liabilities assumed measured in accordance with IFRS. </w:t>
      </w:r>
    </w:p>
    <w:p w:rsidR="00585016" w:rsidRDefault="00585016" w:rsidP="00585016">
      <w:pPr>
        <w:autoSpaceDE w:val="0"/>
        <w:autoSpaceDN w:val="0"/>
        <w:adjustRightInd w:val="0"/>
        <w:spacing w:after="0" w:line="240" w:lineRule="auto"/>
        <w:rPr>
          <w:rFonts w:ascii="Verdana" w:hAnsi="Verdana" w:cs="SwiftLTPro-ExtraBold"/>
          <w:bCs/>
          <w:lang w:val="en-US"/>
        </w:rPr>
      </w:pPr>
      <w:r>
        <w:rPr>
          <w:rFonts w:ascii="Verdana" w:hAnsi="Verdana" w:cs="Times New Roman"/>
          <w:color w:val="000000"/>
          <w:lang w:val="en-US"/>
        </w:rPr>
        <w:t xml:space="preserve">This means that IFRS 3 </w:t>
      </w:r>
      <w:r>
        <w:rPr>
          <w:rFonts w:ascii="Verdana" w:hAnsi="Verdana" w:cs="Times New Roman"/>
          <w:i/>
          <w:color w:val="000000"/>
          <w:lang w:val="en-US"/>
        </w:rPr>
        <w:t>Business Combinations</w:t>
      </w:r>
      <w:r>
        <w:rPr>
          <w:rFonts w:ascii="Verdana" w:hAnsi="Verdana" w:cs="Times New Roman"/>
          <w:color w:val="000000"/>
          <w:lang w:val="en-US"/>
        </w:rPr>
        <w:t xml:space="preserve"> requires goodwill that has been acquired in a business combination to be recognized by the acquirer from the acquisition date. Which will be initially measured as the excess of the cost of the business combination over the acquirer’s interest in the net fair value of the </w:t>
      </w:r>
      <w:proofErr w:type="spellStart"/>
      <w:r>
        <w:rPr>
          <w:rFonts w:ascii="Verdana" w:hAnsi="Verdana" w:cs="Times New Roman"/>
          <w:color w:val="000000"/>
          <w:lang w:val="en-US"/>
        </w:rPr>
        <w:t>acquiree’s</w:t>
      </w:r>
      <w:proofErr w:type="spellEnd"/>
      <w:r>
        <w:rPr>
          <w:rFonts w:ascii="Verdana" w:hAnsi="Verdana" w:cs="Times New Roman"/>
          <w:color w:val="000000"/>
          <w:lang w:val="en-US"/>
        </w:rPr>
        <w:t xml:space="preserve"> identifiable assets and liabilities recognized</w:t>
      </w:r>
      <w:r>
        <w:rPr>
          <w:rFonts w:ascii="Verdana" w:hAnsi="Verdana" w:cs="SwiftLTPro-ExtraBold"/>
          <w:bCs/>
          <w:lang w:val="en-US"/>
        </w:rPr>
        <w:t xml:space="preserve"> (IASC Foundation Education)</w:t>
      </w:r>
      <w:r w:rsidR="00105B91">
        <w:rPr>
          <w:rFonts w:ascii="Verdana" w:hAnsi="Verdana" w:cs="SwiftLTPro-ExtraBold"/>
          <w:bCs/>
          <w:lang w:val="en-US"/>
        </w:rPr>
        <w:t>.</w:t>
      </w:r>
    </w:p>
    <w:p w:rsidR="00B21D11" w:rsidRDefault="00B21D11" w:rsidP="00585016">
      <w:pPr>
        <w:autoSpaceDE w:val="0"/>
        <w:autoSpaceDN w:val="0"/>
        <w:adjustRightInd w:val="0"/>
        <w:spacing w:after="0" w:line="240" w:lineRule="auto"/>
        <w:rPr>
          <w:rFonts w:ascii="Verdana" w:hAnsi="Verdana" w:cs="SwiftLTPro-ExtraBold"/>
          <w:bCs/>
          <w:lang w:val="en-US"/>
        </w:rPr>
      </w:pPr>
    </w:p>
    <w:p w:rsidR="00B21D11" w:rsidRDefault="005B2CB6" w:rsidP="00585016">
      <w:pPr>
        <w:autoSpaceDE w:val="0"/>
        <w:autoSpaceDN w:val="0"/>
        <w:adjustRightInd w:val="0"/>
        <w:spacing w:after="0" w:line="240" w:lineRule="auto"/>
        <w:rPr>
          <w:rFonts w:ascii="Verdana" w:hAnsi="Verdana" w:cs="Times New Roman"/>
          <w:color w:val="000000"/>
          <w:lang w:val="en-US"/>
        </w:rPr>
      </w:pPr>
      <w:r>
        <w:rPr>
          <w:rFonts w:ascii="Verdana" w:hAnsi="Verdana" w:cs="SwiftLTPro-ExtraBold"/>
          <w:bCs/>
          <w:lang w:val="en-US"/>
        </w:rPr>
        <w:t>T</w:t>
      </w:r>
      <w:r w:rsidR="00B21D11">
        <w:rPr>
          <w:rFonts w:ascii="Verdana" w:hAnsi="Verdana" w:cs="SwiftLTPro-ExtraBold"/>
          <w:bCs/>
          <w:lang w:val="en-US"/>
        </w:rPr>
        <w:t xml:space="preserve">he first effective date of IFRS 3 </w:t>
      </w:r>
      <w:r>
        <w:rPr>
          <w:rFonts w:ascii="Verdana" w:hAnsi="Verdana" w:cs="SwiftLTPro-ExtraBold"/>
          <w:bCs/>
          <w:lang w:val="en-US"/>
        </w:rPr>
        <w:t>was 31 March 2004.</w:t>
      </w:r>
      <w:r w:rsidR="00B21D11">
        <w:rPr>
          <w:rFonts w:ascii="Verdana" w:hAnsi="Verdana" w:cs="SwiftLTPro-ExtraBold"/>
          <w:bCs/>
          <w:lang w:val="en-US"/>
        </w:rPr>
        <w:t xml:space="preserve"> </w:t>
      </w:r>
      <w:r>
        <w:rPr>
          <w:rFonts w:ascii="Verdana" w:hAnsi="Verdana" w:cs="SwiftLTPro-ExtraBold"/>
          <w:bCs/>
          <w:lang w:val="en-US"/>
        </w:rPr>
        <w:t>Per</w:t>
      </w:r>
      <w:r w:rsidR="00B21D11">
        <w:rPr>
          <w:rFonts w:ascii="Verdana" w:hAnsi="Verdana" w:cs="SwiftLTPro-ExtraBold"/>
          <w:bCs/>
          <w:lang w:val="en-US"/>
        </w:rPr>
        <w:t xml:space="preserve"> 10 January 2008</w:t>
      </w:r>
      <w:r>
        <w:rPr>
          <w:rFonts w:ascii="Verdana" w:hAnsi="Verdana" w:cs="SwiftLTPro-ExtraBold"/>
          <w:bCs/>
          <w:lang w:val="en-US"/>
        </w:rPr>
        <w:t xml:space="preserve"> the revised IFRS was issued</w:t>
      </w:r>
      <w:r w:rsidR="00B21D11">
        <w:rPr>
          <w:rFonts w:ascii="Verdana" w:hAnsi="Verdana" w:cs="SwiftLTPro-ExtraBold"/>
          <w:bCs/>
          <w:lang w:val="en-US"/>
        </w:rPr>
        <w:t xml:space="preserve">. Significant amendments to IFRS 3 (2008) relate to </w:t>
      </w:r>
      <w:r w:rsidR="00025FC9">
        <w:rPr>
          <w:rFonts w:ascii="Verdana" w:hAnsi="Verdana" w:cs="SwiftLTPro-ExtraBold"/>
          <w:bCs/>
          <w:lang w:val="en-US"/>
        </w:rPr>
        <w:t xml:space="preserve">changes in step and partial acquisitions, </w:t>
      </w:r>
      <w:r w:rsidR="00B21D11">
        <w:rPr>
          <w:rFonts w:ascii="Verdana" w:hAnsi="Verdana" w:cs="SwiftLTPro-ExtraBold"/>
          <w:bCs/>
          <w:lang w:val="en-US"/>
        </w:rPr>
        <w:t>the accounting of acquisition</w:t>
      </w:r>
      <w:r w:rsidR="00025FC9">
        <w:rPr>
          <w:rFonts w:ascii="Verdana" w:hAnsi="Verdana" w:cs="SwiftLTPro-ExtraBold"/>
          <w:bCs/>
          <w:lang w:val="en-US"/>
        </w:rPr>
        <w:t xml:space="preserve">-related costs and guidance relating to changes in a parent’s ownerships interest in a subsidiary that do not result in the loss of control. </w:t>
      </w:r>
      <w:r>
        <w:rPr>
          <w:rFonts w:ascii="Verdana" w:hAnsi="Verdana" w:cs="SwiftLTPro-ExtraBold"/>
          <w:bCs/>
          <w:lang w:val="en-US"/>
        </w:rPr>
        <w:t>As the press release of the IASB noted on 10 January 2008, t</w:t>
      </w:r>
      <w:r w:rsidR="00025FC9">
        <w:rPr>
          <w:rFonts w:ascii="Verdana" w:hAnsi="Verdana" w:cs="SwiftLTPro-ExtraBold"/>
          <w:bCs/>
          <w:lang w:val="en-US"/>
        </w:rPr>
        <w:t xml:space="preserve">he revised IFRS 3 took effect on reporting </w:t>
      </w:r>
      <w:r w:rsidR="00052F89">
        <w:rPr>
          <w:rFonts w:ascii="Verdana" w:hAnsi="Verdana" w:cs="SwiftLTPro-ExtraBold"/>
          <w:bCs/>
          <w:lang w:val="en-US"/>
        </w:rPr>
        <w:t xml:space="preserve">years </w:t>
      </w:r>
      <w:r w:rsidR="00025FC9">
        <w:rPr>
          <w:rFonts w:ascii="Verdana" w:hAnsi="Verdana" w:cs="SwiftLTPro-ExtraBold"/>
          <w:bCs/>
          <w:lang w:val="en-US"/>
        </w:rPr>
        <w:t xml:space="preserve">started on or after 1 July 2009. Seen as the years for which the data are selected are 2007 and 2009, refer to chapter 5, the new IFRS 3 does not impact the comparability of the data. </w:t>
      </w:r>
    </w:p>
    <w:p w:rsidR="00585016" w:rsidRDefault="00585016" w:rsidP="00585016">
      <w:pPr>
        <w:autoSpaceDE w:val="0"/>
        <w:autoSpaceDN w:val="0"/>
        <w:adjustRightInd w:val="0"/>
        <w:spacing w:after="0" w:line="240" w:lineRule="auto"/>
        <w:rPr>
          <w:rFonts w:ascii="Verdana" w:hAnsi="Verdana" w:cs="Times New Roman"/>
          <w:color w:val="E4E2DA" w:themeColor="text2" w:themeTint="40"/>
          <w:lang w:val="en-US"/>
        </w:rPr>
      </w:pPr>
    </w:p>
    <w:p w:rsidR="00585016" w:rsidRDefault="00585016" w:rsidP="00585016">
      <w:pPr>
        <w:autoSpaceDE w:val="0"/>
        <w:autoSpaceDN w:val="0"/>
        <w:adjustRightInd w:val="0"/>
        <w:spacing w:after="0" w:line="240" w:lineRule="auto"/>
        <w:rPr>
          <w:rFonts w:ascii="Verdana" w:hAnsi="Verdana" w:cs="Times New Roman"/>
          <w:color w:val="auto"/>
          <w:lang w:val="en-US"/>
        </w:rPr>
      </w:pPr>
      <w:r>
        <w:rPr>
          <w:rFonts w:ascii="Verdana" w:hAnsi="Verdana" w:cs="Times New Roman"/>
          <w:color w:val="auto"/>
          <w:lang w:val="en-US"/>
        </w:rPr>
        <w:t xml:space="preserve">Besides IFRS 3 </w:t>
      </w:r>
      <w:r>
        <w:rPr>
          <w:rFonts w:ascii="Verdana" w:hAnsi="Verdana" w:cs="Times New Roman"/>
          <w:i/>
          <w:color w:val="auto"/>
          <w:lang w:val="en-US"/>
        </w:rPr>
        <w:t>Business Combinations</w:t>
      </w:r>
      <w:r>
        <w:rPr>
          <w:rFonts w:ascii="Verdana" w:hAnsi="Verdana" w:cs="Times New Roman"/>
          <w:color w:val="auto"/>
          <w:lang w:val="en-US"/>
        </w:rPr>
        <w:t xml:space="preserve">, another important part of the IFRS concerning goodwill </w:t>
      </w:r>
      <w:r w:rsidR="00802734">
        <w:rPr>
          <w:rFonts w:ascii="Verdana" w:hAnsi="Verdana" w:cs="Times New Roman"/>
          <w:color w:val="auto"/>
          <w:lang w:val="en-US"/>
        </w:rPr>
        <w:t>are</w:t>
      </w:r>
      <w:r>
        <w:rPr>
          <w:rFonts w:ascii="Verdana" w:hAnsi="Verdana" w:cs="Times New Roman"/>
          <w:color w:val="auto"/>
          <w:lang w:val="en-US"/>
        </w:rPr>
        <w:t xml:space="preserve"> the standards about the impairment test. These are stated in IAS 36 </w:t>
      </w:r>
      <w:r>
        <w:rPr>
          <w:rFonts w:ascii="Verdana" w:hAnsi="Verdana" w:cs="Times New Roman"/>
          <w:i/>
          <w:color w:val="auto"/>
          <w:lang w:val="en-US"/>
        </w:rPr>
        <w:t>Impairment of assets.</w:t>
      </w:r>
      <w:r w:rsidR="00900C3E">
        <w:rPr>
          <w:rFonts w:ascii="Verdana" w:hAnsi="Verdana" w:cs="Times New Roman"/>
          <w:color w:val="auto"/>
          <w:lang w:val="en-US"/>
        </w:rPr>
        <w:t xml:space="preserve"> IAS 36 </w:t>
      </w:r>
      <w:r>
        <w:rPr>
          <w:rFonts w:ascii="Verdana" w:hAnsi="Verdana" w:cs="Times New Roman"/>
          <w:color w:val="auto"/>
          <w:lang w:val="en-US"/>
        </w:rPr>
        <w:t xml:space="preserve">will be discussed in chapter </w:t>
      </w:r>
      <w:r w:rsidR="00105B91">
        <w:rPr>
          <w:rFonts w:ascii="Verdana" w:hAnsi="Verdana" w:cs="Times New Roman"/>
          <w:color w:val="auto"/>
          <w:lang w:val="en-US"/>
        </w:rPr>
        <w:t>3</w:t>
      </w:r>
      <w:r>
        <w:rPr>
          <w:rFonts w:ascii="Verdana" w:hAnsi="Verdana" w:cs="Times New Roman"/>
          <w:color w:val="auto"/>
          <w:lang w:val="en-US"/>
        </w:rPr>
        <w:t>, Goodwill Impairment.</w:t>
      </w:r>
    </w:p>
    <w:p w:rsidR="00585016" w:rsidRDefault="00585016" w:rsidP="00585016">
      <w:pPr>
        <w:pStyle w:val="BodyText"/>
        <w:rPr>
          <w:rFonts w:ascii="Verdana" w:hAnsi="Verdana"/>
          <w:lang w:val="en-US"/>
        </w:rPr>
      </w:pPr>
      <w:r>
        <w:rPr>
          <w:rFonts w:ascii="Verdana" w:hAnsi="Verdana"/>
          <w:lang w:val="en-US"/>
        </w:rPr>
        <w:t xml:space="preserve"> </w:t>
      </w:r>
      <w:r w:rsidR="00055E08">
        <w:rPr>
          <w:rFonts w:ascii="Verdana" w:hAnsi="Verdana"/>
          <w:lang w:val="en-US"/>
        </w:rPr>
        <w:br/>
      </w:r>
    </w:p>
    <w:p w:rsidR="00585016" w:rsidRDefault="003C2D90" w:rsidP="00055E08">
      <w:pPr>
        <w:pStyle w:val="Heading3"/>
      </w:pPr>
      <w:bookmarkStart w:id="29" w:name="_Toc359957132"/>
      <w:r>
        <w:t>2</w:t>
      </w:r>
      <w:r w:rsidR="00585016">
        <w:t>.3.</w:t>
      </w:r>
      <w:r w:rsidR="00E25158">
        <w:t>3</w:t>
      </w:r>
      <w:r w:rsidR="00585016">
        <w:t xml:space="preserve"> Statement of Financial Accounting Standards (SFAS) 142.</w:t>
      </w:r>
      <w:bookmarkEnd w:id="29"/>
      <w:r w:rsidR="00585016">
        <w:t xml:space="preserve"> </w:t>
      </w:r>
      <w:r w:rsidR="00055E08">
        <w:br/>
      </w:r>
    </w:p>
    <w:p w:rsidR="00585016" w:rsidRDefault="00585016" w:rsidP="00585016">
      <w:pPr>
        <w:pStyle w:val="BodyText"/>
        <w:rPr>
          <w:rFonts w:ascii="Verdana" w:hAnsi="Verdana"/>
        </w:rPr>
      </w:pPr>
      <w:r>
        <w:rPr>
          <w:rFonts w:ascii="Verdana" w:hAnsi="Verdana"/>
        </w:rPr>
        <w:t>In this subchapter there will be given a short explanatory view of SFAS 142, why it has been implemented and what SFAS 142 is about. Hereafter the differences with IFRS will be discussed.</w:t>
      </w:r>
    </w:p>
    <w:p w:rsidR="00585016" w:rsidRDefault="00585016" w:rsidP="00585016">
      <w:pPr>
        <w:pStyle w:val="BodyText"/>
        <w:rPr>
          <w:rFonts w:ascii="Verdana" w:hAnsi="Verdana"/>
          <w:lang w:val="en-US"/>
        </w:rPr>
      </w:pPr>
      <w:r>
        <w:rPr>
          <w:rFonts w:ascii="Verdana" w:hAnsi="Verdana"/>
        </w:rPr>
        <w:t xml:space="preserve">SFAS 142, which addresses the </w:t>
      </w:r>
      <w:r>
        <w:rPr>
          <w:rFonts w:ascii="Verdana" w:hAnsi="Verdana"/>
          <w:lang w:val="en-US"/>
        </w:rPr>
        <w:t>financial accounting and reporting for acquired goodwill and other intangible assets, has been issued on June 2001 by the Financial Accounting Standards Board (FASB). The FASB issued SFAS 142 for several reasons: Firstly because they found that amortizations of goodwill and other intangible assets did not provide an accurate reflection of the value of goodwill and because intangible assets are increasingly important as economic resources for many entities. Besides these two reasons financial statement users indicated they found that goodwill amortization costs are not relevant for analysis of the financial statements.</w:t>
      </w:r>
    </w:p>
    <w:p w:rsidR="00585016" w:rsidRDefault="00585016" w:rsidP="00585016">
      <w:pPr>
        <w:pStyle w:val="BodyText"/>
        <w:rPr>
          <w:rFonts w:ascii="Verdana" w:hAnsi="Verdana"/>
          <w:lang w:val="en-US"/>
        </w:rPr>
      </w:pPr>
      <w:r>
        <w:rPr>
          <w:rFonts w:ascii="Verdana" w:hAnsi="Verdana"/>
          <w:lang w:val="en-US"/>
        </w:rPr>
        <w:lastRenderedPageBreak/>
        <w:t xml:space="preserve">SFAS 142 attends to the way intangible assets and goodwill, that are acquired by a group or individually, should be accounted for when they are acquired and after they have been initially recognized in the financial statements. </w:t>
      </w:r>
    </w:p>
    <w:p w:rsidR="00585016" w:rsidRDefault="00585016" w:rsidP="00585016">
      <w:pPr>
        <w:pStyle w:val="BodyText"/>
        <w:rPr>
          <w:rFonts w:ascii="Verdana" w:hAnsi="Verdana"/>
          <w:lang w:val="en-US"/>
        </w:rPr>
      </w:pPr>
      <w:r>
        <w:rPr>
          <w:rFonts w:ascii="Verdana" w:hAnsi="Verdana"/>
          <w:lang w:val="en-US"/>
        </w:rPr>
        <w:t xml:space="preserve">SFAS 142 lays the emphasis on the value of assets instead of expense recognition. This </w:t>
      </w:r>
      <w:r w:rsidR="00C33C83">
        <w:rPr>
          <w:rFonts w:ascii="Verdana" w:hAnsi="Verdana"/>
          <w:lang w:val="en-US"/>
        </w:rPr>
        <w:t xml:space="preserve">is </w:t>
      </w:r>
      <w:r>
        <w:rPr>
          <w:rFonts w:ascii="Verdana" w:hAnsi="Verdana"/>
          <w:lang w:val="en-US"/>
        </w:rPr>
        <w:t xml:space="preserve">in line with the ever growing emphasis that has been laid on fair value accounting by the FASB. Before the introduction of SFAS 142 goodwill would be amortized. But the FASB noted that amortization of goodwill does not reflect the economic change in value that the goodwill is going through. Thus SFAS 142 prescribes a non-amortization approach for goodwill and uses impairment instead. Hereby companies need to impair the on balance goodwill and adjust this balance as such. </w:t>
      </w:r>
    </w:p>
    <w:p w:rsidR="00585016" w:rsidRDefault="00585016" w:rsidP="00585016">
      <w:pPr>
        <w:pStyle w:val="BodyText"/>
        <w:rPr>
          <w:rFonts w:ascii="Verdana" w:hAnsi="Verdana"/>
          <w:lang w:val="en-US"/>
        </w:rPr>
      </w:pPr>
      <w:r>
        <w:rPr>
          <w:rFonts w:ascii="Verdana" w:hAnsi="Verdana"/>
          <w:lang w:val="en-US"/>
        </w:rPr>
        <w:t>Noted hereby that SFAS 142, just as IFRS 3, is a one way street. Once goodwill has been impaired to its fair value, it cannot increase in value the next year nor can there be made a provision for a possible recovery of value in a more favorable economic year. This has been done because of the insecurity in realizing the increase in value of the goodwill. This is also calle</w:t>
      </w:r>
      <w:r w:rsidR="00783D26">
        <w:rPr>
          <w:rFonts w:ascii="Verdana" w:hAnsi="Verdana"/>
          <w:lang w:val="en-US"/>
        </w:rPr>
        <w:t xml:space="preserve">d the principle of realization </w:t>
      </w:r>
      <w:r>
        <w:rPr>
          <w:rFonts w:ascii="Verdana" w:hAnsi="Verdana"/>
          <w:lang w:val="en-US"/>
        </w:rPr>
        <w:t>(Mercer et al. 2002)</w:t>
      </w:r>
      <w:r w:rsidR="00783D26">
        <w:rPr>
          <w:rFonts w:ascii="Verdana" w:hAnsi="Verdana"/>
          <w:lang w:val="en-US"/>
        </w:rPr>
        <w:t>.</w:t>
      </w:r>
    </w:p>
    <w:p w:rsidR="00055E08" w:rsidRDefault="00055E08" w:rsidP="00585016">
      <w:pPr>
        <w:pStyle w:val="BodyText"/>
        <w:rPr>
          <w:rFonts w:ascii="Verdana" w:hAnsi="Verdana"/>
          <w:lang w:val="en-US"/>
        </w:rPr>
      </w:pPr>
    </w:p>
    <w:p w:rsidR="00585016" w:rsidRDefault="003C2D90" w:rsidP="00055E08">
      <w:pPr>
        <w:pStyle w:val="Heading3"/>
        <w:rPr>
          <w:lang w:val="en-US"/>
        </w:rPr>
      </w:pPr>
      <w:bookmarkStart w:id="30" w:name="_Toc359957133"/>
      <w:r>
        <w:rPr>
          <w:lang w:val="en-US"/>
        </w:rPr>
        <w:t>2</w:t>
      </w:r>
      <w:r w:rsidR="00585016">
        <w:rPr>
          <w:lang w:val="en-US"/>
        </w:rPr>
        <w:t>.3.</w:t>
      </w:r>
      <w:r w:rsidR="00E25158">
        <w:rPr>
          <w:lang w:val="en-US"/>
        </w:rPr>
        <w:t>4</w:t>
      </w:r>
      <w:r w:rsidR="00585016">
        <w:rPr>
          <w:lang w:val="en-US"/>
        </w:rPr>
        <w:t xml:space="preserve"> Differences between IFRS and SFAS</w:t>
      </w:r>
      <w:bookmarkEnd w:id="30"/>
      <w:r w:rsidR="00055E08">
        <w:rPr>
          <w:lang w:val="en-US"/>
        </w:rPr>
        <w:br/>
      </w:r>
    </w:p>
    <w:p w:rsidR="00585016" w:rsidRDefault="00585016" w:rsidP="00585016">
      <w:pPr>
        <w:pStyle w:val="BodyText"/>
        <w:rPr>
          <w:rFonts w:ascii="Verdana" w:hAnsi="Verdana"/>
          <w:lang w:val="en-US"/>
        </w:rPr>
      </w:pPr>
      <w:r>
        <w:rPr>
          <w:rFonts w:ascii="Verdana" w:hAnsi="Verdana"/>
          <w:lang w:val="en-US"/>
        </w:rPr>
        <w:t>Because the IASB and FASB are working together a lot on published standards and principles the differences between the</w:t>
      </w:r>
      <w:r w:rsidR="00E0672E">
        <w:rPr>
          <w:rFonts w:ascii="Verdana" w:hAnsi="Verdana"/>
          <w:lang w:val="en-US"/>
        </w:rPr>
        <w:t>m are decreasing</w:t>
      </w:r>
      <w:r>
        <w:rPr>
          <w:rFonts w:ascii="Verdana" w:hAnsi="Verdana"/>
          <w:lang w:val="en-US"/>
        </w:rPr>
        <w:t>. But even though business combinations are a subject of substantial convergence between the IASB and the FASB there are still some differences between the two reporting standards. When focusing on the standards concerning goodwill, the most important differences are:</w:t>
      </w:r>
    </w:p>
    <w:p w:rsidR="00585016" w:rsidRDefault="00585016" w:rsidP="00585016">
      <w:pPr>
        <w:pStyle w:val="BodyText"/>
        <w:rPr>
          <w:rFonts w:ascii="Verdana" w:hAnsi="Verdana"/>
          <w:lang w:val="en-US"/>
        </w:rPr>
      </w:pPr>
      <w:r>
        <w:rPr>
          <w:rFonts w:ascii="Verdana" w:hAnsi="Verdana"/>
          <w:lang w:val="en-US"/>
        </w:rPr>
        <w:t xml:space="preserve">Variable interest entities and qualified special purpose entities are not explicitly mentioned in IFRS even though their definitions and criteria for consolidation have been exhaustively discussed in US-GAAP. This is a result of the more principle based IFRS in comparison to the more rules based US-GAAP. Another difference is the fact that under IFRS it is also possible to account for interest in joint ventures through the proportionate consolidation method besides the equity method. This means that under IFRS the acquirer can consolidate the financial statement </w:t>
      </w:r>
      <w:r w:rsidR="00E0672E">
        <w:rPr>
          <w:rFonts w:ascii="Verdana" w:hAnsi="Verdana"/>
          <w:lang w:val="en-US"/>
        </w:rPr>
        <w:t>accounts in accordance</w:t>
      </w:r>
      <w:r>
        <w:rPr>
          <w:rFonts w:ascii="Verdana" w:hAnsi="Verdana"/>
          <w:lang w:val="en-US"/>
        </w:rPr>
        <w:t xml:space="preserve"> </w:t>
      </w:r>
      <w:r w:rsidR="00807AA5">
        <w:rPr>
          <w:rFonts w:ascii="Verdana" w:hAnsi="Verdana"/>
          <w:lang w:val="en-US"/>
        </w:rPr>
        <w:t>with</w:t>
      </w:r>
      <w:r>
        <w:rPr>
          <w:rFonts w:ascii="Verdana" w:hAnsi="Verdana"/>
          <w:lang w:val="en-US"/>
        </w:rPr>
        <w:t xml:space="preserve"> the interest that has been taken in a joint venture. (</w:t>
      </w:r>
      <w:proofErr w:type="spellStart"/>
      <w:r>
        <w:rPr>
          <w:rFonts w:ascii="Verdana" w:hAnsi="Verdana"/>
          <w:lang w:val="en-US"/>
        </w:rPr>
        <w:t>Langmead</w:t>
      </w:r>
      <w:proofErr w:type="spellEnd"/>
      <w:r>
        <w:rPr>
          <w:rFonts w:ascii="Verdana" w:hAnsi="Verdana"/>
          <w:lang w:val="en-US"/>
        </w:rPr>
        <w:t xml:space="preserve"> 2009)</w:t>
      </w:r>
    </w:p>
    <w:p w:rsidR="00585016" w:rsidRDefault="00585016" w:rsidP="00585016">
      <w:pPr>
        <w:pStyle w:val="BodyText"/>
        <w:rPr>
          <w:rFonts w:ascii="Verdana" w:hAnsi="Verdana"/>
          <w:color w:val="auto"/>
          <w:lang w:val="en-US"/>
        </w:rPr>
      </w:pPr>
    </w:p>
    <w:p w:rsidR="00585016" w:rsidRDefault="003C2D90" w:rsidP="00055E08">
      <w:pPr>
        <w:pStyle w:val="Heading2"/>
        <w:rPr>
          <w:lang w:val="en-US"/>
        </w:rPr>
      </w:pPr>
      <w:bookmarkStart w:id="31" w:name="_Toc359957134"/>
      <w:r>
        <w:rPr>
          <w:lang w:val="en-US"/>
        </w:rPr>
        <w:t>2</w:t>
      </w:r>
      <w:r w:rsidR="00585016">
        <w:rPr>
          <w:lang w:val="en-US"/>
        </w:rPr>
        <w:t>.4 Summary and Conclusion</w:t>
      </w:r>
      <w:bookmarkEnd w:id="31"/>
      <w:r w:rsidR="00055E08">
        <w:rPr>
          <w:lang w:val="en-US"/>
        </w:rPr>
        <w:br/>
      </w:r>
    </w:p>
    <w:p w:rsidR="00585016" w:rsidRDefault="00585016" w:rsidP="00585016">
      <w:pPr>
        <w:pStyle w:val="BodyText"/>
        <w:rPr>
          <w:rFonts w:ascii="Verdana" w:hAnsi="Verdana"/>
          <w:color w:val="auto"/>
          <w:lang w:val="en-US"/>
        </w:rPr>
      </w:pPr>
      <w:r>
        <w:rPr>
          <w:rFonts w:ascii="Verdana" w:hAnsi="Verdana"/>
          <w:color w:val="auto"/>
          <w:lang w:val="en-US"/>
        </w:rPr>
        <w:t>This chapter discussed the origin of goodwill, starting at why business combinations exist. For example companies want to start a business combination because of economies of scale. This could mean that they have the possibility to cut costs because they can share the same back office. Besides the reasons for a business combination this chapter also discussed which business combinations there are possible and how business combination can come to existence. For example through a stock merger.</w:t>
      </w:r>
    </w:p>
    <w:p w:rsidR="00585016" w:rsidRDefault="00585016" w:rsidP="00585016">
      <w:pPr>
        <w:pStyle w:val="BodyText"/>
        <w:rPr>
          <w:rFonts w:ascii="Verdana" w:hAnsi="Verdana"/>
          <w:color w:val="auto"/>
          <w:lang w:val="en-US"/>
        </w:rPr>
      </w:pPr>
      <w:r>
        <w:rPr>
          <w:rFonts w:ascii="Verdana" w:hAnsi="Verdana"/>
          <w:color w:val="auto"/>
          <w:lang w:val="en-US"/>
        </w:rPr>
        <w:lastRenderedPageBreak/>
        <w:t xml:space="preserve">After the general points of business combinations were discussed this chapter looked further into the relevant accounting standards concerning goodwill. For the IFRS the most relevant accounting standards are IFRS 3 </w:t>
      </w:r>
      <w:r>
        <w:rPr>
          <w:rFonts w:ascii="Verdana" w:hAnsi="Verdana"/>
          <w:i/>
          <w:color w:val="auto"/>
          <w:lang w:val="en-US"/>
        </w:rPr>
        <w:t>Business Combinations</w:t>
      </w:r>
      <w:r>
        <w:rPr>
          <w:rFonts w:ascii="Verdana" w:hAnsi="Verdana"/>
          <w:color w:val="auto"/>
          <w:lang w:val="en-US"/>
        </w:rPr>
        <w:t xml:space="preserve">. Besides these standards the </w:t>
      </w:r>
      <w:r>
        <w:rPr>
          <w:rFonts w:ascii="Verdana" w:hAnsi="Verdana"/>
        </w:rPr>
        <w:t xml:space="preserve">SFAS 142, which addresses the </w:t>
      </w:r>
      <w:r>
        <w:rPr>
          <w:rFonts w:ascii="Verdana" w:hAnsi="Verdana"/>
          <w:lang w:val="en-US"/>
        </w:rPr>
        <w:t>financial accounting and reporting for acquired goodwill and other intangible assets</w:t>
      </w:r>
      <w:r>
        <w:rPr>
          <w:rFonts w:ascii="Verdana" w:hAnsi="Verdana"/>
          <w:color w:val="auto"/>
          <w:lang w:val="en-US"/>
        </w:rPr>
        <w:t xml:space="preserve"> was also discussed and the differences between the two standards were summarized. This chapter focused mainly </w:t>
      </w:r>
      <w:r w:rsidR="003C2D90">
        <w:rPr>
          <w:rFonts w:ascii="Verdana" w:hAnsi="Verdana"/>
          <w:color w:val="auto"/>
          <w:lang w:val="en-US"/>
        </w:rPr>
        <w:t>on the</w:t>
      </w:r>
      <w:r>
        <w:rPr>
          <w:rFonts w:ascii="Verdana" w:hAnsi="Verdana"/>
          <w:color w:val="auto"/>
          <w:lang w:val="en-US"/>
        </w:rPr>
        <w:t xml:space="preserve"> accounting standards </w:t>
      </w:r>
      <w:r w:rsidR="003C2D90">
        <w:rPr>
          <w:rFonts w:ascii="Verdana" w:hAnsi="Verdana"/>
          <w:color w:val="auto"/>
          <w:lang w:val="en-US"/>
        </w:rPr>
        <w:t xml:space="preserve">which </w:t>
      </w:r>
      <w:r>
        <w:rPr>
          <w:rFonts w:ascii="Verdana" w:hAnsi="Verdana"/>
          <w:color w:val="auto"/>
          <w:lang w:val="en-US"/>
        </w:rPr>
        <w:t xml:space="preserve">are relevant for goodwill. In the following chapter the more practical side of the rules and regulations as set by the IFRS concerning the impairment test are being discussed. </w:t>
      </w:r>
    </w:p>
    <w:p w:rsidR="00585016" w:rsidRDefault="00585016" w:rsidP="00585016">
      <w:pPr>
        <w:rPr>
          <w:rFonts w:ascii="Verdana" w:hAnsi="Verdana"/>
          <w:color w:val="auto"/>
          <w:lang w:val="en-US"/>
        </w:rPr>
      </w:pPr>
      <w:r>
        <w:rPr>
          <w:rFonts w:ascii="Verdana" w:hAnsi="Verdana"/>
          <w:color w:val="auto"/>
          <w:lang w:val="en-US"/>
        </w:rPr>
        <w:br w:type="page"/>
      </w:r>
    </w:p>
    <w:p w:rsidR="00585016" w:rsidRDefault="00055E08" w:rsidP="00055E08">
      <w:pPr>
        <w:pStyle w:val="Heading1"/>
        <w:numPr>
          <w:ilvl w:val="0"/>
          <w:numId w:val="27"/>
        </w:numPr>
        <w:rPr>
          <w:lang w:val="en-US"/>
        </w:rPr>
      </w:pPr>
      <w:r>
        <w:rPr>
          <w:lang w:val="en-US"/>
        </w:rPr>
        <w:lastRenderedPageBreak/>
        <w:t xml:space="preserve"> </w:t>
      </w:r>
      <w:bookmarkStart w:id="32" w:name="_Toc359957135"/>
      <w:r w:rsidR="00585016">
        <w:rPr>
          <w:lang w:val="en-US"/>
        </w:rPr>
        <w:t>Goodwill Impairment</w:t>
      </w:r>
      <w:bookmarkEnd w:id="32"/>
    </w:p>
    <w:p w:rsidR="00585016" w:rsidRDefault="00055E08" w:rsidP="00585016">
      <w:pPr>
        <w:pStyle w:val="BodyText"/>
        <w:rPr>
          <w:rFonts w:ascii="Verdana" w:hAnsi="Verdana"/>
          <w:lang w:val="en-US"/>
        </w:rPr>
      </w:pPr>
      <w:r>
        <w:rPr>
          <w:rFonts w:ascii="Verdana" w:hAnsi="Verdana"/>
          <w:lang w:val="en-US"/>
        </w:rPr>
        <w:br/>
      </w:r>
      <w:r w:rsidR="00585016">
        <w:rPr>
          <w:rFonts w:ascii="Verdana" w:hAnsi="Verdana"/>
          <w:lang w:val="en-US"/>
        </w:rPr>
        <w:t>The previous chapter discussed the definition of goodwill and which accounting standards there are concerning goodwill. This chapter will examine the practice of performing an impairment test on goodwill conform the relevant accounting standard</w:t>
      </w:r>
      <w:r w:rsidR="00831FA9">
        <w:rPr>
          <w:rFonts w:ascii="Verdana" w:hAnsi="Verdana"/>
          <w:lang w:val="en-US"/>
        </w:rPr>
        <w:t>, IAS 36</w:t>
      </w:r>
      <w:r w:rsidR="00585016">
        <w:rPr>
          <w:rFonts w:ascii="Verdana" w:hAnsi="Verdana"/>
          <w:lang w:val="en-US"/>
        </w:rPr>
        <w:t>. After the impairment test has been explained the link with earnings management will also come to light.</w:t>
      </w:r>
    </w:p>
    <w:p w:rsidR="00585016" w:rsidRDefault="00585016" w:rsidP="00585016">
      <w:pPr>
        <w:pStyle w:val="BodyText"/>
        <w:rPr>
          <w:rFonts w:ascii="Verdana" w:hAnsi="Verdana"/>
          <w:lang w:val="en-US"/>
        </w:rPr>
      </w:pPr>
    </w:p>
    <w:p w:rsidR="00585016" w:rsidRDefault="003C2D90" w:rsidP="00055E08">
      <w:pPr>
        <w:pStyle w:val="Heading2"/>
        <w:rPr>
          <w:lang w:val="en-US"/>
        </w:rPr>
      </w:pPr>
      <w:bookmarkStart w:id="33" w:name="_Toc359957136"/>
      <w:r>
        <w:rPr>
          <w:lang w:val="en-US"/>
        </w:rPr>
        <w:t>3</w:t>
      </w:r>
      <w:r w:rsidR="00585016">
        <w:rPr>
          <w:lang w:val="en-US"/>
        </w:rPr>
        <w:t>.1 Impairment test</w:t>
      </w:r>
      <w:r w:rsidR="00831FA9">
        <w:rPr>
          <w:lang w:val="en-US"/>
        </w:rPr>
        <w:t xml:space="preserve"> conform IAS 36</w:t>
      </w:r>
      <w:bookmarkEnd w:id="33"/>
      <w:r w:rsidR="00055E08">
        <w:rPr>
          <w:lang w:val="en-US"/>
        </w:rPr>
        <w:br/>
      </w:r>
    </w:p>
    <w:p w:rsidR="00585016" w:rsidRDefault="00585016" w:rsidP="00585016">
      <w:pPr>
        <w:pStyle w:val="BodyText"/>
        <w:rPr>
          <w:rFonts w:ascii="Verdana" w:hAnsi="Verdana"/>
          <w:lang w:val="en-US"/>
        </w:rPr>
      </w:pPr>
      <w:r>
        <w:rPr>
          <w:rFonts w:ascii="Verdana" w:hAnsi="Verdana"/>
          <w:lang w:val="en-US"/>
        </w:rPr>
        <w:t xml:space="preserve">The purpose of the impairment test is to </w:t>
      </w:r>
      <w:r w:rsidR="00802734">
        <w:rPr>
          <w:rFonts w:ascii="Verdana" w:hAnsi="Verdana"/>
          <w:lang w:val="en-US"/>
        </w:rPr>
        <w:t xml:space="preserve">review the accuracy of valuation of capitalized goodwill. However, </w:t>
      </w:r>
      <w:r>
        <w:rPr>
          <w:rFonts w:ascii="Verdana" w:hAnsi="Verdana"/>
          <w:lang w:val="en-US"/>
        </w:rPr>
        <w:t xml:space="preserve">to perform an impairment test, many amounts need to be determined before an actual impairment calculation can be made. For example the recoverable amount, the value in use, the carrying amount and the fair value. Besides these amounts, performing an impairment test requires a thorough knowledge of tangible and intangible assets valuation methodology and purchase price allocation. This makes a goodwill impairment test very complicated and has caused a lot of </w:t>
      </w:r>
      <w:r w:rsidR="00802734">
        <w:rPr>
          <w:rFonts w:ascii="Verdana" w:hAnsi="Verdana"/>
          <w:lang w:val="en-US"/>
        </w:rPr>
        <w:t>discussion</w:t>
      </w:r>
      <w:r>
        <w:rPr>
          <w:rFonts w:ascii="Verdana" w:hAnsi="Verdana"/>
          <w:lang w:val="en-US"/>
        </w:rPr>
        <w:t xml:space="preserve"> in the accounting world. (</w:t>
      </w:r>
      <w:proofErr w:type="spellStart"/>
      <w:r>
        <w:rPr>
          <w:rFonts w:ascii="Verdana" w:hAnsi="Verdana"/>
          <w:lang w:val="en-US"/>
        </w:rPr>
        <w:t>Seetharaman</w:t>
      </w:r>
      <w:proofErr w:type="spellEnd"/>
      <w:r>
        <w:rPr>
          <w:rFonts w:ascii="Verdana" w:hAnsi="Verdana"/>
          <w:lang w:val="en-US"/>
        </w:rPr>
        <w:t xml:space="preserve"> et al., 2006) </w:t>
      </w:r>
    </w:p>
    <w:p w:rsidR="00585016" w:rsidRDefault="00585016" w:rsidP="00585016">
      <w:pPr>
        <w:pStyle w:val="BodyText"/>
        <w:rPr>
          <w:rFonts w:ascii="Verdana" w:hAnsi="Verdana"/>
          <w:lang w:val="en-US"/>
        </w:rPr>
      </w:pPr>
      <w:r>
        <w:rPr>
          <w:rFonts w:ascii="Verdana" w:hAnsi="Verdana"/>
          <w:lang w:val="en-US"/>
        </w:rPr>
        <w:t xml:space="preserve">This subchapter will explain how the impairment test is performed conform the regulations of the IFRS, IAS 36. In IAS 36.96 it is stated that the goodwill has to be tested annually. To perform this annual impairment test the goodwill that has been acquired through a business combination has to be divided into cash-generating units or groups of cash-generating units which are expected to benefit from the synergy that the business combination delivers. These cash-generating units must not be bigger than an operating segment as defined in IFRS 8 Operating Segments and they have to represent the lowest level at which the management monitors goodwill for internal management purposes. </w:t>
      </w:r>
    </w:p>
    <w:p w:rsidR="00585016" w:rsidRDefault="00585016" w:rsidP="00585016">
      <w:pPr>
        <w:pStyle w:val="BodyText"/>
        <w:rPr>
          <w:rFonts w:ascii="Verdana" w:hAnsi="Verdana"/>
          <w:lang w:val="en-US"/>
        </w:rPr>
      </w:pPr>
      <w:r>
        <w:rPr>
          <w:rFonts w:ascii="Verdana" w:hAnsi="Verdana"/>
          <w:lang w:val="en-US"/>
        </w:rPr>
        <w:t xml:space="preserve">The IFRS uses a </w:t>
      </w:r>
      <w:proofErr w:type="spellStart"/>
      <w:r>
        <w:rPr>
          <w:rFonts w:ascii="Verdana" w:hAnsi="Verdana"/>
          <w:lang w:val="en-US"/>
        </w:rPr>
        <w:t>one step</w:t>
      </w:r>
      <w:proofErr w:type="spellEnd"/>
      <w:r>
        <w:rPr>
          <w:rFonts w:ascii="Verdana" w:hAnsi="Verdana"/>
          <w:lang w:val="en-US"/>
        </w:rPr>
        <w:t xml:space="preserve"> method for the impairment testing of goodwill. In this one step impairment test model the carrying amount of the cash generating unit is being compared with the recoverable amount (IAS 36.90). If the recoverable amount is</w:t>
      </w:r>
      <w:r w:rsidR="00802734">
        <w:rPr>
          <w:rFonts w:ascii="Verdana" w:hAnsi="Verdana"/>
          <w:lang w:val="en-US"/>
        </w:rPr>
        <w:t xml:space="preserve"> lower than the carrying amount, </w:t>
      </w:r>
      <w:r>
        <w:rPr>
          <w:rFonts w:ascii="Verdana" w:hAnsi="Verdana"/>
          <w:lang w:val="en-US"/>
        </w:rPr>
        <w:t>this represents the impairment loss. The recoverable amount is identified as the fair value of the asset, minus the costs to sell or as the value of the asset in use. These concepts imply the following:</w:t>
      </w:r>
    </w:p>
    <w:p w:rsidR="00585016" w:rsidRDefault="00585016" w:rsidP="00055E08">
      <w:pPr>
        <w:pStyle w:val="BodyText"/>
        <w:numPr>
          <w:ilvl w:val="0"/>
          <w:numId w:val="29"/>
        </w:numPr>
        <w:rPr>
          <w:rFonts w:ascii="Verdana" w:hAnsi="Verdana"/>
          <w:u w:val="single"/>
          <w:lang w:val="en-US"/>
        </w:rPr>
      </w:pPr>
      <w:r>
        <w:rPr>
          <w:rFonts w:ascii="Verdana" w:hAnsi="Verdana"/>
          <w:u w:val="single"/>
          <w:lang w:val="en-US"/>
        </w:rPr>
        <w:t>The fair value of the asset, minus the costs to sell.</w:t>
      </w:r>
    </w:p>
    <w:p w:rsidR="00585016" w:rsidRDefault="00585016" w:rsidP="00585016">
      <w:pPr>
        <w:pStyle w:val="BodyText"/>
        <w:rPr>
          <w:rFonts w:ascii="Verdana" w:hAnsi="Verdana"/>
          <w:lang w:val="en-US"/>
        </w:rPr>
      </w:pPr>
      <w:r>
        <w:rPr>
          <w:rFonts w:ascii="Verdana" w:hAnsi="Verdana"/>
          <w:lang w:val="en-US"/>
        </w:rPr>
        <w:t xml:space="preserve">The fair value is an exit price which is defined by the IFRS as follows: “The amount for which an asset could be exchanged, a liability settled, or an equity instrument granted could be exchanged, between knowledgeable, willing parties in an arm’s length transaction.” Important to notice is that this definition says, ‘could be exchanged’ so it assumes that the exchange transaction is hypothetical and ‘.. exchanged, between knowledgeable, willing parties in an arm’s length transaction’ means that the exchange has to be orderly (meaning that the transaction is not forced or has its origin in a distress sale). IFRS gives three options to find out what the fair value is of a cash-generating unit. </w:t>
      </w:r>
    </w:p>
    <w:p w:rsidR="00585016" w:rsidRDefault="00585016" w:rsidP="00585016">
      <w:pPr>
        <w:pStyle w:val="BodyText"/>
        <w:numPr>
          <w:ilvl w:val="0"/>
          <w:numId w:val="24"/>
        </w:numPr>
        <w:rPr>
          <w:rFonts w:ascii="Verdana" w:hAnsi="Verdana"/>
          <w:lang w:val="en-US"/>
        </w:rPr>
      </w:pPr>
      <w:r>
        <w:rPr>
          <w:rFonts w:ascii="Verdana" w:hAnsi="Verdana"/>
          <w:lang w:val="en-US"/>
        </w:rPr>
        <w:lastRenderedPageBreak/>
        <w:t>The first one is only possible if there is a binding sale agreement for that cash-generating unit. If there is a sale agreement then this price has to be taken less the costs to sell. (IAS 36.25)</w:t>
      </w:r>
    </w:p>
    <w:p w:rsidR="00585016" w:rsidRDefault="00585016" w:rsidP="00585016">
      <w:pPr>
        <w:pStyle w:val="BodyText"/>
        <w:numPr>
          <w:ilvl w:val="0"/>
          <w:numId w:val="24"/>
        </w:numPr>
        <w:rPr>
          <w:rFonts w:ascii="Verdana" w:hAnsi="Verdana"/>
          <w:lang w:val="en-US"/>
        </w:rPr>
      </w:pPr>
      <w:r>
        <w:rPr>
          <w:rFonts w:ascii="Verdana" w:hAnsi="Verdana"/>
          <w:lang w:val="en-US"/>
        </w:rPr>
        <w:t>The second option can be used if there is an active market for that type of cash-generating unit. Then the market price is the fair value. This market price means the current bid price if it is available or the price of the latest transaction that took place. (IAS 36.26)</w:t>
      </w:r>
    </w:p>
    <w:p w:rsidR="00585016" w:rsidRDefault="00585016" w:rsidP="00585016">
      <w:pPr>
        <w:pStyle w:val="BodyText"/>
        <w:numPr>
          <w:ilvl w:val="0"/>
          <w:numId w:val="24"/>
        </w:numPr>
        <w:rPr>
          <w:rFonts w:ascii="Verdana" w:hAnsi="Verdana"/>
          <w:lang w:val="en-US"/>
        </w:rPr>
      </w:pPr>
      <w:r>
        <w:rPr>
          <w:rFonts w:ascii="Verdana" w:hAnsi="Verdana"/>
          <w:lang w:val="en-US"/>
        </w:rPr>
        <w:t>If there is no sale agreement and there is also no active market then the best estimate of the cash-generating unit has to be taken, minus the costs to sell. (IAS 36.27)</w:t>
      </w:r>
    </w:p>
    <w:p w:rsidR="00585016" w:rsidRDefault="00585016" w:rsidP="00585016">
      <w:pPr>
        <w:pStyle w:val="BodyText"/>
        <w:rPr>
          <w:rFonts w:ascii="Verdana" w:hAnsi="Verdana"/>
          <w:lang w:val="en-US"/>
        </w:rPr>
      </w:pPr>
      <w:r>
        <w:rPr>
          <w:rFonts w:ascii="Verdana" w:hAnsi="Verdana"/>
          <w:lang w:val="en-US"/>
        </w:rPr>
        <w:t xml:space="preserve">The costs to sell </w:t>
      </w:r>
      <w:r>
        <w:rPr>
          <w:rFonts w:ascii="Verdana" w:hAnsi="Verdana"/>
          <w:bCs/>
          <w:lang w:val="en-US"/>
        </w:rPr>
        <w:t xml:space="preserve">are only the incremental costs directly attributable to the </w:t>
      </w:r>
      <w:r>
        <w:rPr>
          <w:rFonts w:ascii="Verdana" w:hAnsi="Verdana"/>
          <w:lang w:val="en-US"/>
        </w:rPr>
        <w:t>disposal of a cash-generating unit, excluding finance costs and income tax expense. This leaves costs like cleaning, transportation or dismantling.</w:t>
      </w:r>
    </w:p>
    <w:p w:rsidR="00585016" w:rsidRDefault="00585016" w:rsidP="00585016">
      <w:pPr>
        <w:pStyle w:val="BodyText"/>
        <w:rPr>
          <w:rFonts w:ascii="Verdana" w:hAnsi="Verdana"/>
          <w:lang w:val="en-US"/>
        </w:rPr>
      </w:pPr>
      <w:r>
        <w:rPr>
          <w:rFonts w:ascii="Verdana" w:hAnsi="Verdana"/>
          <w:lang w:val="en-US"/>
        </w:rPr>
        <w:t xml:space="preserve">To conclude, with the fair value of the asset, minus the costs to sell, is meant the amount that can be received from selling an asset or cash-generating unit between knowledgeable, willing parties in an arm’s length transaction less the costs of disposal. </w:t>
      </w:r>
    </w:p>
    <w:p w:rsidR="00585016" w:rsidRDefault="00585016" w:rsidP="00055E08">
      <w:pPr>
        <w:pStyle w:val="BodyText"/>
        <w:numPr>
          <w:ilvl w:val="0"/>
          <w:numId w:val="29"/>
        </w:numPr>
        <w:rPr>
          <w:rFonts w:ascii="Verdana" w:hAnsi="Verdana"/>
          <w:u w:val="single"/>
          <w:lang w:val="en-US"/>
        </w:rPr>
      </w:pPr>
      <w:r>
        <w:rPr>
          <w:rFonts w:ascii="Verdana" w:hAnsi="Verdana"/>
          <w:u w:val="single"/>
          <w:lang w:val="en-US"/>
        </w:rPr>
        <w:t>The value of the asset in use.</w:t>
      </w:r>
    </w:p>
    <w:p w:rsidR="00585016" w:rsidRDefault="00585016" w:rsidP="00585016">
      <w:pPr>
        <w:pStyle w:val="BodyText"/>
        <w:rPr>
          <w:rFonts w:ascii="Verdana" w:hAnsi="Verdana"/>
        </w:rPr>
      </w:pPr>
      <w:r>
        <w:rPr>
          <w:rFonts w:ascii="Verdana" w:hAnsi="Verdana"/>
        </w:rPr>
        <w:t>The value of the asset in use means the value an asset has got, represented by future cash-flows, which are discounted to present value by using a market-determined rate. This market-determined rate reflects two different things. On one side it reflects the current assessment of the time value of money and on the other hand there is the risk specific to the asset for which the cash-flow estimates have not been adjusted.</w:t>
      </w:r>
    </w:p>
    <w:p w:rsidR="00585016" w:rsidRDefault="00585016" w:rsidP="00585016">
      <w:pPr>
        <w:pStyle w:val="BodyText"/>
        <w:rPr>
          <w:rFonts w:ascii="Verdana" w:hAnsi="Verdana"/>
          <w:lang w:val="en-US"/>
        </w:rPr>
      </w:pPr>
      <w:r>
        <w:rPr>
          <w:rFonts w:ascii="Verdana" w:hAnsi="Verdana"/>
          <w:lang w:val="en-US"/>
        </w:rPr>
        <w:t>From these two options the highest amount will be chosen, so if the fair value, minus the costs to sell is higher than the value of the asset in use, then the fair value, minus the costs to sell will be taken as the recoverable amount, which will then be compared to the carrying amount. IAS 36.105 states that the carrying amount should not be lower than the highest of the following three options: the fair value less costs to sell, the value in use and zero. Once the test has been performed and it is clear that the value of the goodwill has dropped</w:t>
      </w:r>
      <w:r w:rsidR="00B560B3">
        <w:rPr>
          <w:rFonts w:ascii="Verdana" w:hAnsi="Verdana"/>
          <w:lang w:val="en-US"/>
        </w:rPr>
        <w:t>, then</w:t>
      </w:r>
      <w:r>
        <w:rPr>
          <w:rFonts w:ascii="Verdana" w:hAnsi="Verdana"/>
          <w:lang w:val="en-US"/>
        </w:rPr>
        <w:t xml:space="preserve"> conform IFRS 3, the impairment loss has to be recognized. </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34" w:name="_Toc359957137"/>
      <w:r>
        <w:rPr>
          <w:lang w:val="en-US"/>
        </w:rPr>
        <w:t>3</w:t>
      </w:r>
      <w:r w:rsidR="00585016">
        <w:rPr>
          <w:lang w:val="en-US"/>
        </w:rPr>
        <w:t>.2 Impairment test and Earnings Management</w:t>
      </w:r>
      <w:bookmarkEnd w:id="34"/>
      <w:r w:rsidR="006A628F">
        <w:rPr>
          <w:lang w:val="en-US"/>
        </w:rPr>
        <w:br/>
      </w:r>
    </w:p>
    <w:p w:rsidR="00585016" w:rsidRDefault="00585016" w:rsidP="00585016">
      <w:pPr>
        <w:pStyle w:val="BodyText"/>
        <w:rPr>
          <w:rFonts w:ascii="Verdana" w:hAnsi="Verdana"/>
          <w:lang w:val="en-US"/>
        </w:rPr>
      </w:pPr>
      <w:r>
        <w:rPr>
          <w:rFonts w:ascii="Verdana" w:hAnsi="Verdana"/>
          <w:lang w:val="en-US"/>
        </w:rPr>
        <w:t xml:space="preserve">As </w:t>
      </w:r>
      <w:r w:rsidR="00277561">
        <w:rPr>
          <w:rFonts w:ascii="Verdana" w:hAnsi="Verdana"/>
          <w:lang w:val="en-US"/>
        </w:rPr>
        <w:t>signaled</w:t>
      </w:r>
      <w:r>
        <w:rPr>
          <w:rFonts w:ascii="Verdana" w:hAnsi="Verdana"/>
          <w:lang w:val="en-US"/>
        </w:rPr>
        <w:t xml:space="preserve"> in the previous subchapter fair value of an asset is the amount for which an asset could be exchanged, a liability settled, or an equity instrument granted could be exchanged, between knowledgeable, willing parties in an arm’s length transaction. IAS 36.28 states that if there is no active market then it has to be the best estimate of a hypothetical exchange. Besides this, the value of the asset in use is based on the following elements:</w:t>
      </w:r>
    </w:p>
    <w:p w:rsidR="00585016" w:rsidRDefault="00585016" w:rsidP="00585016">
      <w:pPr>
        <w:pStyle w:val="BodyText"/>
        <w:numPr>
          <w:ilvl w:val="0"/>
          <w:numId w:val="25"/>
        </w:numPr>
        <w:rPr>
          <w:rFonts w:ascii="Verdana" w:hAnsi="Verdana"/>
          <w:lang w:val="en-US"/>
        </w:rPr>
      </w:pPr>
      <w:r>
        <w:rPr>
          <w:rFonts w:ascii="Verdana" w:hAnsi="Verdana"/>
          <w:lang w:val="en-US"/>
        </w:rPr>
        <w:t>An estimate of future cash flows.</w:t>
      </w:r>
    </w:p>
    <w:p w:rsidR="00585016" w:rsidRDefault="00585016" w:rsidP="00585016">
      <w:pPr>
        <w:pStyle w:val="BodyText"/>
        <w:numPr>
          <w:ilvl w:val="0"/>
          <w:numId w:val="25"/>
        </w:numPr>
        <w:rPr>
          <w:rFonts w:ascii="Verdana" w:hAnsi="Verdana"/>
          <w:lang w:val="en-US"/>
        </w:rPr>
      </w:pPr>
      <w:r>
        <w:rPr>
          <w:rFonts w:ascii="Verdana" w:hAnsi="Verdana"/>
          <w:lang w:val="en-US"/>
        </w:rPr>
        <w:lastRenderedPageBreak/>
        <w:t>Expectations about possible variations there could be relating to the amount or timing of the estimates of cash flows.</w:t>
      </w:r>
    </w:p>
    <w:p w:rsidR="00585016" w:rsidRDefault="00585016" w:rsidP="00585016">
      <w:pPr>
        <w:pStyle w:val="BodyText"/>
        <w:numPr>
          <w:ilvl w:val="0"/>
          <w:numId w:val="25"/>
        </w:numPr>
        <w:rPr>
          <w:rFonts w:ascii="Verdana" w:hAnsi="Verdana"/>
          <w:lang w:val="en-US"/>
        </w:rPr>
      </w:pPr>
      <w:r>
        <w:rPr>
          <w:rFonts w:ascii="Verdana" w:hAnsi="Verdana"/>
          <w:lang w:val="en-US"/>
        </w:rPr>
        <w:t>And estimates that are being made for factors that buyers would reflect in their price for the cash-generating unit when they are buying it, like the costs for illiquidity.</w:t>
      </w:r>
    </w:p>
    <w:p w:rsidR="00585016" w:rsidRDefault="00585016" w:rsidP="00585016">
      <w:pPr>
        <w:pStyle w:val="BodyText"/>
        <w:rPr>
          <w:rFonts w:ascii="Verdana" w:hAnsi="Verdana"/>
          <w:lang w:val="en-US"/>
        </w:rPr>
      </w:pPr>
      <w:r>
        <w:rPr>
          <w:rFonts w:ascii="Verdana" w:hAnsi="Verdana"/>
          <w:lang w:val="en-US"/>
        </w:rPr>
        <w:t xml:space="preserve">This means that one way or another the chances are high that for the calculation of the recoverable amount there have to be made assumptions and estimates by the management. This gives the management the opportunity to perform earnings management. </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35" w:name="_Toc359957138"/>
      <w:r>
        <w:rPr>
          <w:lang w:val="en-US"/>
        </w:rPr>
        <w:t>3</w:t>
      </w:r>
      <w:r w:rsidR="00585016">
        <w:rPr>
          <w:lang w:val="en-US"/>
        </w:rPr>
        <w:t>.3 Summary and conclusion</w:t>
      </w:r>
      <w:bookmarkEnd w:id="35"/>
      <w:r w:rsidR="006A628F">
        <w:rPr>
          <w:lang w:val="en-US"/>
        </w:rPr>
        <w:br/>
      </w:r>
    </w:p>
    <w:p w:rsidR="00585016" w:rsidRDefault="00585016" w:rsidP="00585016">
      <w:pPr>
        <w:pStyle w:val="BodyText"/>
        <w:rPr>
          <w:rFonts w:ascii="Verdana" w:hAnsi="Verdana"/>
          <w:lang w:val="en-US"/>
        </w:rPr>
      </w:pPr>
      <w:r>
        <w:rPr>
          <w:rFonts w:ascii="Verdana" w:hAnsi="Verdana"/>
          <w:lang w:val="en-US"/>
        </w:rPr>
        <w:t>In this chapter the impairment test and fair value have been discussed. It became clear that not the entire amount of goodwill is tested but that the goodwill first is divided and then attributed to cash generating units. For the impairment test the recoverable value has to be calculated and compared to the carrying value. The calculation of this recoverable value is exposed to a lot of assumptions and through this the management has the possibility to perform earnings management. In the following chapter we will look further into the definition of earnings management, which incentives the management has got to perform earnings management and which forms of earnings management are being used.</w:t>
      </w:r>
    </w:p>
    <w:p w:rsidR="00585016" w:rsidRDefault="00585016" w:rsidP="00585016">
      <w:pPr>
        <w:rPr>
          <w:rFonts w:ascii="Verdana" w:hAnsi="Verdana"/>
          <w:lang w:val="en-US"/>
        </w:rPr>
      </w:pPr>
      <w:r>
        <w:rPr>
          <w:rFonts w:ascii="Verdana" w:hAnsi="Verdana"/>
          <w:color w:val="auto"/>
          <w:lang w:val="en-US"/>
        </w:rPr>
        <w:br w:type="page"/>
      </w:r>
    </w:p>
    <w:p w:rsidR="00585016" w:rsidRDefault="00585016" w:rsidP="006A628F">
      <w:pPr>
        <w:pStyle w:val="Heading1"/>
        <w:numPr>
          <w:ilvl w:val="0"/>
          <w:numId w:val="27"/>
        </w:numPr>
        <w:rPr>
          <w:lang w:val="en-US"/>
        </w:rPr>
      </w:pPr>
      <w:bookmarkStart w:id="36" w:name="_Toc359957139"/>
      <w:r>
        <w:rPr>
          <w:lang w:val="en-US"/>
        </w:rPr>
        <w:lastRenderedPageBreak/>
        <w:t>Earnings Management</w:t>
      </w:r>
      <w:bookmarkEnd w:id="36"/>
    </w:p>
    <w:p w:rsidR="00585016" w:rsidRDefault="006A628F" w:rsidP="00585016">
      <w:pPr>
        <w:pStyle w:val="BodyText"/>
        <w:rPr>
          <w:rFonts w:ascii="Verdana" w:hAnsi="Verdana"/>
          <w:lang w:val="en-US"/>
        </w:rPr>
      </w:pPr>
      <w:r>
        <w:rPr>
          <w:rFonts w:ascii="Verdana" w:hAnsi="Verdana"/>
          <w:lang w:val="en-US"/>
        </w:rPr>
        <w:br/>
      </w:r>
      <w:r w:rsidR="00585016">
        <w:rPr>
          <w:rFonts w:ascii="Verdana" w:hAnsi="Verdana"/>
          <w:lang w:val="en-US"/>
        </w:rPr>
        <w:t>In the financial statements</w:t>
      </w:r>
      <w:r w:rsidR="00CD7610">
        <w:rPr>
          <w:rFonts w:ascii="Verdana" w:hAnsi="Verdana"/>
          <w:lang w:val="en-US"/>
        </w:rPr>
        <w:t>, earnings is</w:t>
      </w:r>
      <w:r w:rsidR="00585016">
        <w:rPr>
          <w:rFonts w:ascii="Verdana" w:hAnsi="Verdana"/>
          <w:lang w:val="en-US"/>
        </w:rPr>
        <w:t xml:space="preserve"> one of the most important items. The earnings show if the entity was able to add value with its activities in the preceding year. The accounting choices the management makes influence the amount of earnings on the financial statements. This is why the management needs to make the best accounting choices for their company. This is what earnings management is all about. In the first subchapter the definition of earnings management will be set out. The second subchapter will elucidate on which incentives the management has got for earnings management. The final subchapter will discuss two different types of earnings management.</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37" w:name="_Toc359957140"/>
      <w:r>
        <w:rPr>
          <w:lang w:val="en-US"/>
        </w:rPr>
        <w:t>4</w:t>
      </w:r>
      <w:r w:rsidR="00585016">
        <w:rPr>
          <w:lang w:val="en-US"/>
        </w:rPr>
        <w:t>.1 Definition of earnings management</w:t>
      </w:r>
      <w:bookmarkEnd w:id="37"/>
      <w:r w:rsidR="006A628F">
        <w:rPr>
          <w:lang w:val="en-US"/>
        </w:rPr>
        <w:br/>
      </w:r>
    </w:p>
    <w:p w:rsidR="00585016" w:rsidRDefault="00585016" w:rsidP="00585016">
      <w:pPr>
        <w:pStyle w:val="BodyText"/>
        <w:rPr>
          <w:rFonts w:ascii="Verdana" w:hAnsi="Verdana"/>
          <w:lang w:val="en-US"/>
        </w:rPr>
      </w:pPr>
      <w:r>
        <w:rPr>
          <w:rFonts w:ascii="Verdana" w:hAnsi="Verdana"/>
          <w:lang w:val="en-US"/>
        </w:rPr>
        <w:t xml:space="preserve">It is </w:t>
      </w:r>
      <w:r w:rsidR="00802734">
        <w:rPr>
          <w:rFonts w:ascii="Verdana" w:hAnsi="Verdana"/>
          <w:lang w:val="en-US"/>
        </w:rPr>
        <w:t>imperative</w:t>
      </w:r>
      <w:r>
        <w:rPr>
          <w:rFonts w:ascii="Verdana" w:hAnsi="Verdana"/>
          <w:lang w:val="en-US"/>
        </w:rPr>
        <w:t xml:space="preserve"> to get a clear point of view on the definition of earnings management. Throughout the years many dissertations and books have been written about earnings management resulting in an immense range of perspectives and definitions. (Ronen and </w:t>
      </w:r>
      <w:proofErr w:type="spellStart"/>
      <w:r>
        <w:rPr>
          <w:rFonts w:ascii="Verdana" w:hAnsi="Verdana"/>
          <w:lang w:val="en-US"/>
        </w:rPr>
        <w:t>Yaari</w:t>
      </w:r>
      <w:proofErr w:type="spellEnd"/>
      <w:r>
        <w:rPr>
          <w:rFonts w:ascii="Verdana" w:hAnsi="Verdana"/>
          <w:lang w:val="en-US"/>
        </w:rPr>
        <w:t xml:space="preserve">, 2008) distinguished several definitions to </w:t>
      </w:r>
      <w:r w:rsidR="00802734">
        <w:rPr>
          <w:rFonts w:ascii="Verdana" w:hAnsi="Verdana"/>
          <w:lang w:val="en-US"/>
        </w:rPr>
        <w:t>summarize</w:t>
      </w:r>
      <w:r>
        <w:rPr>
          <w:rFonts w:ascii="Verdana" w:hAnsi="Verdana"/>
          <w:lang w:val="en-US"/>
        </w:rPr>
        <w:t xml:space="preserve"> the different points of vi</w:t>
      </w:r>
      <w:r w:rsidR="00802734">
        <w:rPr>
          <w:rFonts w:ascii="Verdana" w:hAnsi="Verdana"/>
          <w:lang w:val="en-US"/>
        </w:rPr>
        <w:t>ew:</w:t>
      </w:r>
    </w:p>
    <w:p w:rsidR="00585016" w:rsidRDefault="00585016" w:rsidP="00585016">
      <w:pPr>
        <w:pStyle w:val="BodyText"/>
        <w:numPr>
          <w:ilvl w:val="0"/>
          <w:numId w:val="26"/>
        </w:numPr>
        <w:rPr>
          <w:rFonts w:ascii="Verdana" w:hAnsi="Verdana"/>
          <w:lang w:val="en-US"/>
        </w:rPr>
      </w:pPr>
      <w:r>
        <w:rPr>
          <w:rFonts w:ascii="Verdana" w:hAnsi="Verdana"/>
          <w:bCs/>
          <w:iCs/>
          <w:lang w:val="en-US"/>
        </w:rPr>
        <w:t xml:space="preserve">White definition: </w:t>
      </w:r>
      <w:r>
        <w:rPr>
          <w:rFonts w:ascii="Verdana" w:hAnsi="Verdana"/>
          <w:lang w:val="en-US"/>
        </w:rPr>
        <w:t xml:space="preserve">“Earnings management is taking advantage of the flexibility in the choice of accounting treatment to signal the </w:t>
      </w:r>
      <w:r w:rsidR="00802734">
        <w:rPr>
          <w:rFonts w:ascii="Verdana" w:hAnsi="Verdana"/>
          <w:lang w:val="en-US"/>
        </w:rPr>
        <w:t>managers</w:t>
      </w:r>
      <w:r>
        <w:rPr>
          <w:rFonts w:ascii="Verdana" w:hAnsi="Verdana"/>
          <w:lang w:val="en-US"/>
        </w:rPr>
        <w:t xml:space="preserve"> </w:t>
      </w:r>
      <w:r>
        <w:rPr>
          <w:rFonts w:ascii="Verdana" w:hAnsi="Verdana" w:cs="Verdana"/>
          <w:lang w:val="en-US"/>
        </w:rPr>
        <w:t xml:space="preserve">private information on future cash flows”. </w:t>
      </w:r>
    </w:p>
    <w:p w:rsidR="00585016" w:rsidRDefault="00585016" w:rsidP="00585016">
      <w:pPr>
        <w:pStyle w:val="BodyText"/>
        <w:numPr>
          <w:ilvl w:val="0"/>
          <w:numId w:val="26"/>
        </w:numPr>
        <w:rPr>
          <w:rFonts w:ascii="Verdana" w:hAnsi="Verdana"/>
          <w:lang w:val="en-US"/>
        </w:rPr>
      </w:pPr>
      <w:r>
        <w:rPr>
          <w:rFonts w:ascii="Verdana" w:hAnsi="Verdana"/>
          <w:bCs/>
          <w:iCs/>
          <w:lang w:val="en-US"/>
        </w:rPr>
        <w:t>Gray definition: “</w:t>
      </w:r>
      <w:r>
        <w:rPr>
          <w:rFonts w:ascii="Verdana" w:hAnsi="Verdana"/>
          <w:lang w:val="en-US"/>
        </w:rPr>
        <w:t xml:space="preserve">Earnings management is choosing an accounting treatment that is either opportunistic (maximizing the utility of management only) or economically efficient”. </w:t>
      </w:r>
    </w:p>
    <w:p w:rsidR="00585016" w:rsidRDefault="00585016" w:rsidP="00585016">
      <w:pPr>
        <w:pStyle w:val="BodyText"/>
        <w:numPr>
          <w:ilvl w:val="0"/>
          <w:numId w:val="26"/>
        </w:numPr>
        <w:rPr>
          <w:rFonts w:ascii="Verdana" w:hAnsi="Verdana"/>
          <w:lang w:val="en-US"/>
        </w:rPr>
      </w:pPr>
      <w:r>
        <w:rPr>
          <w:rFonts w:ascii="Verdana" w:hAnsi="Verdana"/>
          <w:bCs/>
          <w:iCs/>
          <w:lang w:val="en-US"/>
        </w:rPr>
        <w:t xml:space="preserve">Black definition: </w:t>
      </w:r>
      <w:r>
        <w:rPr>
          <w:rFonts w:ascii="Verdana" w:hAnsi="Verdana"/>
          <w:lang w:val="en-US"/>
        </w:rPr>
        <w:t>“Earnings management is the practice of using tricks to misrepresent or reduce transparency of the financial reports.</w:t>
      </w:r>
    </w:p>
    <w:p w:rsidR="00585016" w:rsidRDefault="00585016" w:rsidP="00585016">
      <w:pPr>
        <w:pStyle w:val="BodyText"/>
        <w:rPr>
          <w:rFonts w:ascii="Verdana" w:hAnsi="Verdana"/>
          <w:lang w:val="en-US"/>
        </w:rPr>
      </w:pPr>
      <w:r>
        <w:rPr>
          <w:rFonts w:ascii="Verdana" w:hAnsi="Verdana"/>
          <w:lang w:val="en-US"/>
        </w:rPr>
        <w:t xml:space="preserve">Because so much </w:t>
      </w:r>
      <w:r w:rsidR="00F32B48">
        <w:rPr>
          <w:rFonts w:ascii="Verdana" w:hAnsi="Verdana"/>
          <w:lang w:val="en-US"/>
        </w:rPr>
        <w:t xml:space="preserve">has been written </w:t>
      </w:r>
      <w:r>
        <w:rPr>
          <w:rFonts w:ascii="Verdana" w:hAnsi="Verdana"/>
          <w:lang w:val="en-US"/>
        </w:rPr>
        <w:t xml:space="preserve">about earnings management from an accounting and an economic point of view, it is not possible to say, ‘these two definitions are wrong and this is the right one’. </w:t>
      </w:r>
      <w:r w:rsidR="00F32B48">
        <w:rPr>
          <w:rFonts w:ascii="Verdana" w:hAnsi="Verdana"/>
          <w:lang w:val="en-US"/>
        </w:rPr>
        <w:t>However,</w:t>
      </w:r>
      <w:r>
        <w:rPr>
          <w:rFonts w:ascii="Verdana" w:hAnsi="Verdana"/>
          <w:lang w:val="en-US"/>
        </w:rPr>
        <w:t xml:space="preserve"> it is possible to select the best definition and the one that will be used in this thesis. Ronen and </w:t>
      </w:r>
      <w:proofErr w:type="spellStart"/>
      <w:r>
        <w:rPr>
          <w:rFonts w:ascii="Verdana" w:hAnsi="Verdana"/>
          <w:lang w:val="en-US"/>
        </w:rPr>
        <w:t>Yaari</w:t>
      </w:r>
      <w:proofErr w:type="spellEnd"/>
      <w:r>
        <w:rPr>
          <w:rFonts w:ascii="Verdana" w:hAnsi="Verdana"/>
          <w:lang w:val="en-US"/>
        </w:rPr>
        <w:t xml:space="preserve"> find that the definition as written by Healy and </w:t>
      </w:r>
      <w:proofErr w:type="spellStart"/>
      <w:r>
        <w:rPr>
          <w:rFonts w:ascii="Verdana" w:hAnsi="Verdana"/>
          <w:lang w:val="en-US"/>
        </w:rPr>
        <w:t>Wahlen</w:t>
      </w:r>
      <w:proofErr w:type="spellEnd"/>
      <w:r>
        <w:rPr>
          <w:rFonts w:ascii="Verdana" w:hAnsi="Verdana"/>
          <w:lang w:val="en-US"/>
        </w:rPr>
        <w:t xml:space="preserve"> from 1999 defines earnings management the best: </w:t>
      </w:r>
    </w:p>
    <w:p w:rsidR="00585016" w:rsidRDefault="00585016" w:rsidP="00585016">
      <w:pPr>
        <w:pStyle w:val="BodyText"/>
        <w:rPr>
          <w:rFonts w:ascii="Verdana" w:hAnsi="Verdana"/>
          <w:lang w:val="en-US"/>
        </w:rPr>
      </w:pPr>
      <w:r>
        <w:rPr>
          <w:rFonts w:ascii="Verdana" w:hAnsi="Verdana"/>
          <w:lang w:val="en-US"/>
        </w:rPr>
        <w:t xml:space="preserve">“Earnings management occurs when management uses judgment in financial reporting and in structuring transactions to alter financial reports to either mislead some stakeholders about the underlying economic performance of the company or to influence contractual outcomes that depend on reported accounting numbers” (Healy and </w:t>
      </w:r>
      <w:proofErr w:type="spellStart"/>
      <w:r>
        <w:rPr>
          <w:rFonts w:ascii="Verdana" w:hAnsi="Verdana"/>
          <w:lang w:val="en-US"/>
        </w:rPr>
        <w:t>Wahlen</w:t>
      </w:r>
      <w:proofErr w:type="spellEnd"/>
      <w:r>
        <w:rPr>
          <w:rFonts w:ascii="Verdana" w:hAnsi="Verdana"/>
          <w:lang w:val="en-US"/>
        </w:rPr>
        <w:t>, 1999, p. 368).</w:t>
      </w:r>
    </w:p>
    <w:p w:rsidR="00585016" w:rsidRDefault="00F32B48" w:rsidP="00585016">
      <w:pPr>
        <w:pStyle w:val="BodyText"/>
        <w:rPr>
          <w:rFonts w:ascii="Verdana" w:hAnsi="Verdana"/>
          <w:lang w:val="en-US"/>
        </w:rPr>
      </w:pPr>
      <w:r>
        <w:rPr>
          <w:rFonts w:ascii="Verdana" w:hAnsi="Verdana"/>
          <w:lang w:val="en-US"/>
        </w:rPr>
        <w:t>Al</w:t>
      </w:r>
      <w:r w:rsidR="00585016">
        <w:rPr>
          <w:rFonts w:ascii="Verdana" w:hAnsi="Verdana"/>
          <w:lang w:val="en-US"/>
        </w:rPr>
        <w:t xml:space="preserve">though this is a clear and good definition of earnings management it </w:t>
      </w:r>
      <w:r>
        <w:rPr>
          <w:rFonts w:ascii="Verdana" w:hAnsi="Verdana"/>
          <w:lang w:val="en-US"/>
        </w:rPr>
        <w:t xml:space="preserve">does not </w:t>
      </w:r>
      <w:r w:rsidR="00585016">
        <w:rPr>
          <w:rFonts w:ascii="Verdana" w:hAnsi="Verdana"/>
          <w:lang w:val="en-US"/>
        </w:rPr>
        <w:t xml:space="preserve">mention that the management executes earnings management with the intent of obtaining private gains. </w:t>
      </w:r>
      <w:proofErr w:type="spellStart"/>
      <w:r w:rsidR="00585016">
        <w:rPr>
          <w:rFonts w:ascii="Verdana" w:hAnsi="Verdana"/>
          <w:lang w:val="en-US"/>
        </w:rPr>
        <w:t>Schipper</w:t>
      </w:r>
      <w:proofErr w:type="spellEnd"/>
      <w:r w:rsidR="00585016">
        <w:rPr>
          <w:rFonts w:ascii="Verdana" w:hAnsi="Verdana"/>
          <w:lang w:val="en-US"/>
        </w:rPr>
        <w:t xml:space="preserve"> (1989, p. 92) states as definition of earnings management: </w:t>
      </w:r>
    </w:p>
    <w:p w:rsidR="00585016" w:rsidRDefault="00585016" w:rsidP="00585016">
      <w:pPr>
        <w:pStyle w:val="BodyText"/>
        <w:rPr>
          <w:rFonts w:ascii="Verdana" w:hAnsi="Verdana"/>
          <w:lang w:val="en-US"/>
        </w:rPr>
      </w:pPr>
      <w:r>
        <w:rPr>
          <w:rFonts w:ascii="Verdana" w:hAnsi="Verdana"/>
          <w:lang w:val="en-US"/>
        </w:rPr>
        <w:t xml:space="preserve">“Earnings management is really disclosure management in the sense of a purposeful intervention in the external financial reporting process, with the intent </w:t>
      </w:r>
      <w:r>
        <w:rPr>
          <w:rFonts w:ascii="Verdana" w:hAnsi="Verdana"/>
          <w:lang w:val="en-US"/>
        </w:rPr>
        <w:lastRenderedPageBreak/>
        <w:t>of obtaining some private gain (as opposed to, say, merely facilitating the neutral operation of the process).”</w:t>
      </w:r>
    </w:p>
    <w:p w:rsidR="00585016" w:rsidRDefault="00585016" w:rsidP="00585016">
      <w:pPr>
        <w:pStyle w:val="BodyText"/>
        <w:rPr>
          <w:rFonts w:ascii="Verdana" w:hAnsi="Verdana"/>
          <w:lang w:val="en-US"/>
        </w:rPr>
      </w:pPr>
      <w:r>
        <w:rPr>
          <w:rFonts w:ascii="Verdana" w:hAnsi="Verdana"/>
          <w:lang w:val="en-US"/>
        </w:rPr>
        <w:t>Combining these two together gives a clear understanding what earnings management is about. This will also be the definition that will be used here:</w:t>
      </w:r>
    </w:p>
    <w:p w:rsidR="00585016" w:rsidRDefault="00585016" w:rsidP="00585016">
      <w:pPr>
        <w:pStyle w:val="BodyText"/>
        <w:ind w:left="720"/>
        <w:rPr>
          <w:rFonts w:ascii="Verdana" w:hAnsi="Verdana"/>
          <w:lang w:val="en-US"/>
        </w:rPr>
      </w:pPr>
      <w:r>
        <w:rPr>
          <w:rFonts w:ascii="Verdana" w:hAnsi="Verdana"/>
          <w:lang w:val="en-US"/>
        </w:rPr>
        <w:t>“Earnings management occurs when management uses judgment in financial reporting and in structuring transactions to alter financial reports to either mislead some stakeholders about the underlying economic performance of the company or to influence contractual outcomes that depend on reported accounting numbers, with the intent of obtaining some private gain (as opposed to, say, merely facilitating the neutral operation of the process)”</w:t>
      </w:r>
    </w:p>
    <w:p w:rsidR="00585016" w:rsidRDefault="00585016" w:rsidP="00585016">
      <w:pPr>
        <w:pStyle w:val="BodyText"/>
        <w:rPr>
          <w:rFonts w:ascii="Verdana" w:hAnsi="Verdana"/>
          <w:lang w:val="en-US"/>
        </w:rPr>
      </w:pPr>
      <w:r>
        <w:rPr>
          <w:rFonts w:ascii="Verdana" w:hAnsi="Verdana"/>
          <w:lang w:val="en-US"/>
        </w:rPr>
        <w:t>Important to notice though is that this definitions do not imply that earnings management is fraud. Common belief is often that earnings management is always fraud, but this is not the case. Earnings management does not always involve the purposeful misrepresentation of financial statements. It is often about the reasonable and legal (reporting) decisions the management makes to achieve stable financial results. If you look at the definition of</w:t>
      </w:r>
      <w:r w:rsidR="00CD7610">
        <w:rPr>
          <w:rFonts w:ascii="Verdana" w:hAnsi="Verdana"/>
          <w:lang w:val="en-US"/>
        </w:rPr>
        <w:t xml:space="preserve"> financial fraud, as defined by</w:t>
      </w:r>
      <w:r>
        <w:rPr>
          <w:rFonts w:ascii="Verdana" w:hAnsi="Verdana"/>
          <w:lang w:val="en-US"/>
        </w:rPr>
        <w:t xml:space="preserve"> the National Association of Certified Fraud Examiners, there is also another difference:</w:t>
      </w:r>
    </w:p>
    <w:p w:rsidR="00585016" w:rsidRDefault="00585016" w:rsidP="00585016">
      <w:pPr>
        <w:pStyle w:val="BodyText"/>
        <w:ind w:left="720"/>
        <w:rPr>
          <w:rFonts w:ascii="Verdana" w:hAnsi="Verdana"/>
          <w:lang w:val="en-US"/>
        </w:rPr>
      </w:pPr>
      <w:r>
        <w:rPr>
          <w:rFonts w:ascii="Verdana" w:hAnsi="Verdana"/>
          <w:lang w:val="en-US"/>
        </w:rPr>
        <w:t xml:space="preserve">“The intentional, deliberate, misstatement or omission of material facts, or accounting data, which is misleading and, when considered with all the information made available, would cause the reader to change or alter his or her judgment or decision.” </w:t>
      </w:r>
    </w:p>
    <w:p w:rsidR="00585016" w:rsidRDefault="00585016" w:rsidP="00585016">
      <w:pPr>
        <w:pStyle w:val="BodyText"/>
        <w:rPr>
          <w:rFonts w:ascii="Verdana" w:hAnsi="Verdana"/>
          <w:lang w:val="en-US"/>
        </w:rPr>
      </w:pPr>
      <w:r>
        <w:rPr>
          <w:rFonts w:ascii="Verdana" w:hAnsi="Verdana"/>
          <w:lang w:val="en-US"/>
        </w:rPr>
        <w:t xml:space="preserve">This definition of fraud distinctively shows that fraud also has the effect that the reader changes or alters his or her judgment or decision. The relation with fraud came to existence because earnings management is a wide concept and has been connected with a lot of different subjects which do have affiliation with fraud like creative accounting, window dressing, income smoothing and taking a bath. Important for this thesis to realize is when these concepts come in to play, they are seen from the point of view of earnings management and hereby do not automatically implicate fraud. </w:t>
      </w:r>
    </w:p>
    <w:p w:rsidR="00585016" w:rsidRDefault="00585016" w:rsidP="00585016">
      <w:pPr>
        <w:pStyle w:val="BodyText"/>
        <w:rPr>
          <w:rFonts w:ascii="Arial" w:eastAsia="Times New Roman" w:hAnsi="Arial" w:cs="Arial"/>
          <w:b/>
          <w:bCs/>
          <w:color w:val="FFFFFF"/>
          <w:sz w:val="20"/>
          <w:szCs w:val="20"/>
          <w:lang w:val="en-US" w:eastAsia="nl-NL"/>
        </w:rPr>
      </w:pPr>
      <w:r>
        <w:rPr>
          <w:rFonts w:ascii="Verdana" w:hAnsi="Verdana"/>
          <w:lang w:val="en-US"/>
        </w:rPr>
        <w:t>The following table elucidates further on the paragraphs above with some examples, wherein conservative and aggressive accounting are earnings management and neutral accounting and fraud are not:</w:t>
      </w:r>
    </w:p>
    <w:tbl>
      <w:tblPr>
        <w:tblW w:w="8662" w:type="dxa"/>
        <w:tblInd w:w="55" w:type="dxa"/>
        <w:tblCellMar>
          <w:left w:w="70" w:type="dxa"/>
          <w:right w:w="70" w:type="dxa"/>
        </w:tblCellMar>
        <w:tblLook w:val="04A0" w:firstRow="1" w:lastRow="0" w:firstColumn="1" w:lastColumn="0" w:noHBand="0" w:noVBand="1"/>
      </w:tblPr>
      <w:tblGrid>
        <w:gridCol w:w="2709"/>
        <w:gridCol w:w="5953"/>
      </w:tblGrid>
      <w:tr w:rsidR="00585016" w:rsidTr="00585016">
        <w:trPr>
          <w:trHeight w:val="255"/>
        </w:trPr>
        <w:tc>
          <w:tcPr>
            <w:tcW w:w="2709" w:type="dxa"/>
            <w:tcBorders>
              <w:top w:val="single" w:sz="4" w:space="0" w:color="4FD5FF"/>
              <w:left w:val="single" w:sz="4" w:space="0" w:color="4FD5FF"/>
              <w:bottom w:val="single" w:sz="4" w:space="0" w:color="4FD5FF"/>
              <w:right w:val="nil"/>
            </w:tcBorders>
            <w:shd w:val="clear" w:color="auto" w:fill="00A5D9"/>
            <w:noWrap/>
            <w:vAlign w:val="bottom"/>
            <w:hideMark/>
          </w:tcPr>
          <w:p w:rsidR="00585016" w:rsidRDefault="00585016">
            <w:pPr>
              <w:spacing w:after="0" w:line="240" w:lineRule="auto"/>
              <w:rPr>
                <w:rFonts w:ascii="Arial" w:eastAsia="Times New Roman" w:hAnsi="Arial" w:cs="Arial"/>
                <w:b/>
                <w:bCs/>
                <w:color w:val="FFFFFF"/>
                <w:sz w:val="20"/>
                <w:szCs w:val="20"/>
                <w:lang w:val="en-US" w:eastAsia="nl-NL"/>
              </w:rPr>
            </w:pPr>
            <w:r>
              <w:rPr>
                <w:rFonts w:ascii="Arial" w:eastAsia="Times New Roman" w:hAnsi="Arial" w:cs="Arial"/>
                <w:b/>
                <w:bCs/>
                <w:color w:val="FFFFFF"/>
                <w:sz w:val="20"/>
                <w:szCs w:val="20"/>
                <w:lang w:val="en-US" w:eastAsia="nl-NL"/>
              </w:rPr>
              <w:t>Reporting type</w:t>
            </w:r>
          </w:p>
        </w:tc>
        <w:tc>
          <w:tcPr>
            <w:tcW w:w="5953" w:type="dxa"/>
            <w:tcBorders>
              <w:top w:val="single" w:sz="4" w:space="0" w:color="4FD5FF"/>
              <w:left w:val="single" w:sz="4" w:space="0" w:color="4FD5FF"/>
              <w:bottom w:val="single" w:sz="4" w:space="0" w:color="4FD5FF"/>
              <w:right w:val="nil"/>
            </w:tcBorders>
            <w:shd w:val="clear" w:color="auto" w:fill="00A5D9"/>
            <w:noWrap/>
            <w:vAlign w:val="bottom"/>
            <w:hideMark/>
          </w:tcPr>
          <w:p w:rsidR="00585016" w:rsidRDefault="00585016">
            <w:pPr>
              <w:spacing w:after="0" w:line="240" w:lineRule="auto"/>
              <w:rPr>
                <w:rFonts w:ascii="Arial" w:eastAsia="Times New Roman" w:hAnsi="Arial" w:cs="Arial"/>
                <w:b/>
                <w:bCs/>
                <w:color w:val="FFFFFF"/>
                <w:sz w:val="20"/>
                <w:szCs w:val="20"/>
                <w:lang w:val="en-US" w:eastAsia="nl-NL"/>
              </w:rPr>
            </w:pPr>
            <w:r>
              <w:rPr>
                <w:rFonts w:ascii="Arial" w:eastAsia="Times New Roman" w:hAnsi="Arial" w:cs="Arial"/>
                <w:b/>
                <w:bCs/>
                <w:color w:val="FFFFFF"/>
                <w:sz w:val="20"/>
                <w:szCs w:val="20"/>
                <w:lang w:val="en-US" w:eastAsia="nl-NL"/>
              </w:rPr>
              <w:t>Accounting choices</w:t>
            </w:r>
          </w:p>
        </w:tc>
      </w:tr>
      <w:tr w:rsidR="00585016" w:rsidTr="00585016">
        <w:trPr>
          <w:trHeight w:val="255"/>
        </w:trPr>
        <w:tc>
          <w:tcPr>
            <w:tcW w:w="8662" w:type="dxa"/>
            <w:gridSpan w:val="2"/>
            <w:tcBorders>
              <w:top w:val="single" w:sz="4" w:space="0" w:color="4FD5FF"/>
              <w:left w:val="single" w:sz="4" w:space="0" w:color="4FD5FF"/>
              <w:bottom w:val="single" w:sz="4" w:space="0" w:color="4FD5FF"/>
              <w:right w:val="nil"/>
            </w:tcBorders>
            <w:shd w:val="clear" w:color="auto" w:fill="C3F1FF"/>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Within GAAP</w:t>
            </w:r>
          </w:p>
        </w:tc>
      </w:tr>
      <w:tr w:rsidR="00585016" w:rsidRPr="00585016" w:rsidTr="00585016">
        <w:trPr>
          <w:trHeight w:val="255"/>
        </w:trPr>
        <w:tc>
          <w:tcPr>
            <w:tcW w:w="2709" w:type="dxa"/>
            <w:vMerge w:val="restart"/>
            <w:noWrap/>
            <w:vAlign w:val="center"/>
            <w:hideMark/>
          </w:tcPr>
          <w:p w:rsidR="00585016" w:rsidRDefault="00585016">
            <w:pPr>
              <w:spacing w:after="0" w:line="240" w:lineRule="auto"/>
              <w:jc w:val="cente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Conservative Accounting </w:t>
            </w:r>
          </w:p>
        </w:tc>
        <w:tc>
          <w:tcPr>
            <w:tcW w:w="5953" w:type="dxa"/>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Overly aggressive recognition of provisions or reserves.</w:t>
            </w:r>
          </w:p>
        </w:tc>
      </w:tr>
      <w:tr w:rsidR="00585016" w:rsidRPr="00585016" w:rsidTr="00585016">
        <w:trPr>
          <w:trHeight w:val="255"/>
        </w:trPr>
        <w:tc>
          <w:tcPr>
            <w:tcW w:w="0" w:type="auto"/>
            <w:vMerge/>
            <w:vAlign w:val="center"/>
            <w:hideMark/>
          </w:tcPr>
          <w:p w:rsidR="00585016" w:rsidRDefault="00585016">
            <w:pPr>
              <w:spacing w:after="0" w:line="240" w:lineRule="auto"/>
              <w:rPr>
                <w:rFonts w:ascii="Arial" w:eastAsia="Times New Roman" w:hAnsi="Arial" w:cs="Arial"/>
                <w:color w:val="000000"/>
                <w:sz w:val="20"/>
                <w:szCs w:val="20"/>
                <w:lang w:val="en-US" w:eastAsia="nl-NL"/>
              </w:rPr>
            </w:pPr>
          </w:p>
        </w:tc>
        <w:tc>
          <w:tcPr>
            <w:tcW w:w="5953" w:type="dxa"/>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Overstatement of restructuring charges and asset write-offs.</w:t>
            </w:r>
          </w:p>
        </w:tc>
      </w:tr>
      <w:tr w:rsidR="00585016" w:rsidRPr="00585016" w:rsidTr="00585016">
        <w:trPr>
          <w:trHeight w:val="255"/>
        </w:trPr>
        <w:tc>
          <w:tcPr>
            <w:tcW w:w="2709" w:type="dxa"/>
            <w:tcBorders>
              <w:top w:val="single" w:sz="4" w:space="0" w:color="4FD5FF"/>
              <w:left w:val="nil"/>
              <w:bottom w:val="single" w:sz="4" w:space="0" w:color="4FD5FF"/>
              <w:right w:val="nil"/>
            </w:tcBorders>
            <w:noWrap/>
            <w:vAlign w:val="center"/>
            <w:hideMark/>
          </w:tcPr>
          <w:p w:rsidR="00585016" w:rsidRDefault="00585016">
            <w:pPr>
              <w:spacing w:after="0" w:line="240" w:lineRule="auto"/>
              <w:jc w:val="cente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Neutral Accounting </w:t>
            </w:r>
            <w:r>
              <w:rPr>
                <w:rFonts w:ascii="Arial" w:eastAsia="Times New Roman" w:hAnsi="Arial" w:cs="Arial"/>
                <w:color w:val="000000"/>
                <w:sz w:val="20"/>
                <w:szCs w:val="20"/>
                <w:lang w:val="en-US" w:eastAsia="nl-NL"/>
              </w:rPr>
              <w:br/>
              <w:t>(Not earnings management)</w:t>
            </w:r>
          </w:p>
        </w:tc>
        <w:tc>
          <w:tcPr>
            <w:tcW w:w="5953" w:type="dxa"/>
            <w:tcBorders>
              <w:top w:val="single" w:sz="4" w:space="0" w:color="4FD5FF"/>
              <w:left w:val="nil"/>
              <w:bottom w:val="single" w:sz="8" w:space="0" w:color="89E0FF"/>
              <w:right w:val="nil"/>
            </w:tcBorders>
            <w:noWrap/>
            <w:vAlign w:val="center"/>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Earnings that result from natural operations.</w:t>
            </w:r>
          </w:p>
        </w:tc>
      </w:tr>
      <w:tr w:rsidR="00585016" w:rsidRPr="00585016" w:rsidTr="00585016">
        <w:trPr>
          <w:trHeight w:val="255"/>
        </w:trPr>
        <w:tc>
          <w:tcPr>
            <w:tcW w:w="2709" w:type="dxa"/>
            <w:vMerge w:val="restart"/>
            <w:noWrap/>
            <w:vAlign w:val="center"/>
            <w:hideMark/>
          </w:tcPr>
          <w:p w:rsidR="00585016" w:rsidRDefault="00585016">
            <w:pPr>
              <w:spacing w:after="0" w:line="240" w:lineRule="auto"/>
              <w:jc w:val="cente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Aggressive Accounting</w:t>
            </w:r>
          </w:p>
        </w:tc>
        <w:tc>
          <w:tcPr>
            <w:tcW w:w="5953" w:type="dxa"/>
            <w:tcBorders>
              <w:top w:val="single" w:sz="8" w:space="0" w:color="89E0FF"/>
              <w:left w:val="nil"/>
              <w:bottom w:val="nil"/>
              <w:right w:val="nil"/>
            </w:tcBorders>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Understatement of the provisions of bad debt.</w:t>
            </w:r>
          </w:p>
        </w:tc>
      </w:tr>
      <w:tr w:rsidR="00585016" w:rsidRPr="00585016" w:rsidTr="00585016">
        <w:trPr>
          <w:trHeight w:val="255"/>
        </w:trPr>
        <w:tc>
          <w:tcPr>
            <w:tcW w:w="0" w:type="auto"/>
            <w:vMerge/>
            <w:vAlign w:val="center"/>
            <w:hideMark/>
          </w:tcPr>
          <w:p w:rsidR="00585016" w:rsidRDefault="00585016">
            <w:pPr>
              <w:spacing w:after="0" w:line="240" w:lineRule="auto"/>
              <w:rPr>
                <w:rFonts w:ascii="Arial" w:eastAsia="Times New Roman" w:hAnsi="Arial" w:cs="Arial"/>
                <w:color w:val="000000"/>
                <w:sz w:val="20"/>
                <w:szCs w:val="20"/>
                <w:lang w:val="en-US" w:eastAsia="nl-NL"/>
              </w:rPr>
            </w:pPr>
          </w:p>
        </w:tc>
        <w:tc>
          <w:tcPr>
            <w:tcW w:w="5953" w:type="dxa"/>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Drawing down provisions or reserves in an aggressive manner.</w:t>
            </w:r>
          </w:p>
        </w:tc>
      </w:tr>
      <w:tr w:rsidR="00585016" w:rsidTr="00585016">
        <w:trPr>
          <w:trHeight w:val="255"/>
        </w:trPr>
        <w:tc>
          <w:tcPr>
            <w:tcW w:w="8662" w:type="dxa"/>
            <w:gridSpan w:val="2"/>
            <w:tcBorders>
              <w:top w:val="single" w:sz="4" w:space="0" w:color="4FD5FF"/>
              <w:left w:val="single" w:sz="4" w:space="0" w:color="4FD5FF"/>
              <w:bottom w:val="single" w:sz="4" w:space="0" w:color="4FD5FF"/>
              <w:right w:val="nil"/>
            </w:tcBorders>
            <w:shd w:val="clear" w:color="auto" w:fill="C3F1FF"/>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Violates GAAP</w:t>
            </w:r>
          </w:p>
        </w:tc>
      </w:tr>
      <w:tr w:rsidR="00585016" w:rsidRPr="00585016" w:rsidTr="00585016">
        <w:trPr>
          <w:trHeight w:val="255"/>
        </w:trPr>
        <w:tc>
          <w:tcPr>
            <w:tcW w:w="2709" w:type="dxa"/>
            <w:vMerge w:val="restart"/>
            <w:noWrap/>
            <w:vAlign w:val="center"/>
            <w:hideMark/>
          </w:tcPr>
          <w:p w:rsidR="00585016" w:rsidRDefault="00585016">
            <w:pPr>
              <w:spacing w:after="0" w:line="240" w:lineRule="auto"/>
              <w:jc w:val="cente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Fraud </w:t>
            </w:r>
          </w:p>
          <w:p w:rsidR="00585016" w:rsidRDefault="00585016">
            <w:pPr>
              <w:spacing w:after="0" w:line="240" w:lineRule="auto"/>
              <w:jc w:val="cente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(Not earnings management)</w:t>
            </w:r>
          </w:p>
        </w:tc>
        <w:tc>
          <w:tcPr>
            <w:tcW w:w="5953" w:type="dxa"/>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Recording sales before they are realized.</w:t>
            </w:r>
          </w:p>
        </w:tc>
      </w:tr>
      <w:tr w:rsidR="00585016" w:rsidRPr="00585016" w:rsidTr="00585016">
        <w:trPr>
          <w:trHeight w:val="255"/>
        </w:trPr>
        <w:tc>
          <w:tcPr>
            <w:tcW w:w="0" w:type="auto"/>
            <w:vMerge/>
            <w:vAlign w:val="center"/>
            <w:hideMark/>
          </w:tcPr>
          <w:p w:rsidR="00585016" w:rsidRDefault="00585016">
            <w:pPr>
              <w:spacing w:after="0" w:line="240" w:lineRule="auto"/>
              <w:rPr>
                <w:rFonts w:ascii="Arial" w:eastAsia="Times New Roman" w:hAnsi="Arial" w:cs="Arial"/>
                <w:color w:val="000000"/>
                <w:sz w:val="20"/>
                <w:szCs w:val="20"/>
                <w:lang w:val="en-US" w:eastAsia="nl-NL"/>
              </w:rPr>
            </w:pPr>
          </w:p>
        </w:tc>
        <w:tc>
          <w:tcPr>
            <w:tcW w:w="5953" w:type="dxa"/>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 - Overstating of inventory with fictitious inventory.</w:t>
            </w:r>
          </w:p>
        </w:tc>
      </w:tr>
      <w:tr w:rsidR="00585016" w:rsidRPr="00585016" w:rsidTr="00585016">
        <w:trPr>
          <w:trHeight w:val="255"/>
        </w:trPr>
        <w:tc>
          <w:tcPr>
            <w:tcW w:w="2709" w:type="dxa"/>
            <w:tcBorders>
              <w:top w:val="single" w:sz="4" w:space="0" w:color="4FD5FF"/>
              <w:left w:val="nil"/>
              <w:bottom w:val="nil"/>
              <w:right w:val="nil"/>
            </w:tcBorders>
            <w:noWrap/>
            <w:vAlign w:val="center"/>
            <w:hideMark/>
          </w:tcPr>
          <w:p w:rsidR="00585016" w:rsidRDefault="00585016">
            <w:pPr>
              <w:spacing w:after="0"/>
            </w:pPr>
          </w:p>
        </w:tc>
        <w:tc>
          <w:tcPr>
            <w:tcW w:w="5953" w:type="dxa"/>
            <w:tcBorders>
              <w:top w:val="single" w:sz="4" w:space="0" w:color="4FD5FF"/>
              <w:left w:val="nil"/>
              <w:bottom w:val="nil"/>
              <w:right w:val="nil"/>
            </w:tcBorders>
            <w:noWrap/>
            <w:vAlign w:val="bottom"/>
            <w:hideMark/>
          </w:tcPr>
          <w:p w:rsidR="00585016" w:rsidRDefault="00585016">
            <w:pPr>
              <w:spacing w:after="0" w:line="240" w:lineRule="auto"/>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w:t>
            </w:r>
          </w:p>
        </w:tc>
      </w:tr>
    </w:tbl>
    <w:p w:rsidR="00585016" w:rsidRDefault="00585016" w:rsidP="00585016">
      <w:pPr>
        <w:pStyle w:val="BodyText"/>
        <w:rPr>
          <w:rFonts w:ascii="Verdana" w:hAnsi="Verdana"/>
          <w:lang w:val="en-US"/>
        </w:rPr>
      </w:pPr>
      <w:r>
        <w:rPr>
          <w:rFonts w:ascii="Verdana" w:hAnsi="Verdana"/>
          <w:lang w:val="en-US"/>
        </w:rPr>
        <w:lastRenderedPageBreak/>
        <w:t xml:space="preserve">Even though this gives a clear distinction between fraud and earnings management, the borderline can be blurred in some cases, because when aggressive accounting becomes overly aggressive accounting it can violate GAAP as well. This can be explained by the following example. </w:t>
      </w:r>
    </w:p>
    <w:p w:rsidR="00585016" w:rsidRDefault="00585016" w:rsidP="00585016">
      <w:pPr>
        <w:pStyle w:val="BodyText"/>
        <w:rPr>
          <w:rFonts w:ascii="Verdana" w:hAnsi="Verdana"/>
          <w:lang w:val="en-US"/>
        </w:rPr>
      </w:pPr>
      <w:r>
        <w:rPr>
          <w:noProof/>
          <w:lang w:val="nl-NL" w:eastAsia="nl-NL"/>
        </w:rPr>
        <w:drawing>
          <wp:anchor distT="0" distB="0" distL="114300" distR="114300" simplePos="0" relativeHeight="251657216" behindDoc="0" locked="0" layoutInCell="1" allowOverlap="1" wp14:anchorId="36151342" wp14:editId="61909381">
            <wp:simplePos x="0" y="0"/>
            <wp:positionH relativeFrom="column">
              <wp:posOffset>-239395</wp:posOffset>
            </wp:positionH>
            <wp:positionV relativeFrom="paragraph">
              <wp:posOffset>1802130</wp:posOffset>
            </wp:positionV>
            <wp:extent cx="5876925" cy="1266825"/>
            <wp:effectExtent l="19050" t="0" r="9525"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876925" cy="1266825"/>
                    </a:xfrm>
                    <a:prstGeom prst="rect">
                      <a:avLst/>
                    </a:prstGeom>
                    <a:noFill/>
                  </pic:spPr>
                </pic:pic>
              </a:graphicData>
            </a:graphic>
          </wp:anchor>
        </w:drawing>
      </w:r>
      <w:r>
        <w:rPr>
          <w:rFonts w:ascii="Verdana" w:hAnsi="Verdana"/>
          <w:lang w:val="en-US"/>
        </w:rPr>
        <w:t>Presume that a company sells alarm clocks and gives a free replacement if the alarm clock breaks in 12 months of buying the clock. The company calculates on basis of past years that this costs them on average € 4,90 per alarm clock sold and the complete range for warranty costs was between € 4,75 and € 5,-. If a manager would want to report the highest possible income per alarm clock he would be allowed to say that he expects that this year the expenses will be € 4,75 per alarm clock, even though this is the smallest amount in the historical range. If the manager can prove that due to product improvement the warranty expenses will be even lower he can also set the expected warranty cost per alarm clock on € 4,55.</w:t>
      </w:r>
    </w:p>
    <w:p w:rsidR="00585016" w:rsidRDefault="00585016" w:rsidP="00585016">
      <w:pPr>
        <w:pStyle w:val="BodyText"/>
        <w:rPr>
          <w:noProof/>
          <w:lang w:val="en-US" w:eastAsia="nl-NL"/>
        </w:rPr>
      </w:pPr>
      <w:r>
        <w:rPr>
          <w:noProof/>
          <w:lang w:val="nl-NL" w:eastAsia="nl-NL"/>
        </w:rPr>
        <w:drawing>
          <wp:anchor distT="0" distB="0" distL="114300" distR="114300" simplePos="0" relativeHeight="251658240" behindDoc="0" locked="0" layoutInCell="1" allowOverlap="1" wp14:anchorId="0277B57A" wp14:editId="4579B53A">
            <wp:simplePos x="0" y="0"/>
            <wp:positionH relativeFrom="column">
              <wp:posOffset>-239395</wp:posOffset>
            </wp:positionH>
            <wp:positionV relativeFrom="paragraph">
              <wp:posOffset>2518410</wp:posOffset>
            </wp:positionV>
            <wp:extent cx="5876925" cy="1257300"/>
            <wp:effectExtent l="19050" t="0" r="9525" b="0"/>
            <wp:wrapThrough wrapText="bothSides">
              <wp:wrapPolygon edited="0">
                <wp:start x="-70" y="0"/>
                <wp:lineTo x="-70" y="20945"/>
                <wp:lineTo x="21635" y="20945"/>
                <wp:lineTo x="21635" y="0"/>
                <wp:lineTo x="-70"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876925" cy="1257300"/>
                    </a:xfrm>
                    <a:prstGeom prst="rect">
                      <a:avLst/>
                    </a:prstGeom>
                    <a:noFill/>
                  </pic:spPr>
                </pic:pic>
              </a:graphicData>
            </a:graphic>
          </wp:anchor>
        </w:drawing>
      </w:r>
      <w:r>
        <w:rPr>
          <w:noProof/>
          <w:lang w:val="en-US" w:eastAsia="nl-NL"/>
        </w:rPr>
        <w:br/>
      </w:r>
      <w:r>
        <w:rPr>
          <w:rFonts w:ascii="Verdana" w:hAnsi="Verdana"/>
          <w:lang w:val="en-US"/>
        </w:rPr>
        <w:t>In this example the € 4,25 has no reasonable support for warranty costs so that is violating the GAAP. This would also be the case for the € 4,55 if there would be no evidence that the product improvement would really lower the warranty expenses below the historical warranty cost range and it only is the optimism of the manager. If this is the case then it would be classified as overly aggressive accounting, as seen in the following illustration:</w:t>
      </w:r>
    </w:p>
    <w:p w:rsidR="00585016" w:rsidRDefault="00585016" w:rsidP="00585016">
      <w:pPr>
        <w:pStyle w:val="BodyText"/>
        <w:rPr>
          <w:rFonts w:ascii="Verdana" w:hAnsi="Verdana"/>
          <w:lang w:val="en-US"/>
        </w:rPr>
      </w:pPr>
      <w:r>
        <w:rPr>
          <w:rFonts w:ascii="Verdana" w:hAnsi="Verdana"/>
          <w:lang w:val="en-US"/>
        </w:rPr>
        <w:t>This shows the thin line between what is acceptable and what not. Managers are responsible to make the right choices for their company so that it justly reflects the company’s economic performance.</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38" w:name="_Toc359957141"/>
      <w:r>
        <w:rPr>
          <w:lang w:val="en-US"/>
        </w:rPr>
        <w:t>4</w:t>
      </w:r>
      <w:r w:rsidR="00585016">
        <w:rPr>
          <w:lang w:val="en-US"/>
        </w:rPr>
        <w:t>.2 Incentives for earnings management</w:t>
      </w:r>
      <w:bookmarkEnd w:id="38"/>
      <w:r w:rsidR="006A628F">
        <w:rPr>
          <w:lang w:val="en-US"/>
        </w:rPr>
        <w:br/>
      </w:r>
    </w:p>
    <w:p w:rsidR="00585016" w:rsidRDefault="00585016" w:rsidP="00585016">
      <w:pPr>
        <w:pStyle w:val="BodyText"/>
        <w:rPr>
          <w:rFonts w:ascii="Verdana" w:hAnsi="Verdana"/>
          <w:lang w:val="en-US"/>
        </w:rPr>
      </w:pPr>
      <w:r>
        <w:rPr>
          <w:rFonts w:ascii="Verdana" w:hAnsi="Verdana"/>
          <w:lang w:val="en-US"/>
        </w:rPr>
        <w:t xml:space="preserve">To get a clear view on why managers make use of earnings management, first we will look at some associated concepts. Earnings management is a result of the inequality of financial information. On one side there are the (potential) external stakeholders and other interested parties and on the other side there is the management of the company. The external parties want to obtain information on how the company’s performance was the previous year and what the expectations </w:t>
      </w:r>
      <w:r>
        <w:rPr>
          <w:rFonts w:ascii="Verdana" w:hAnsi="Verdana"/>
          <w:lang w:val="en-US"/>
        </w:rPr>
        <w:lastRenderedPageBreak/>
        <w:t>are for the coming years because they don’t have the same access to privileged information of the firm as the management does. The consequence of this is that the financial statements have an influence on all stakeholders involved. These economic consequences motivate the management to think about the choices they are making concerning the reporting process. If the management is thinking about this and makes decisions with regard to the reporting process and which accounting alternative they should implement this is called the accounting policy. When the management intervenes in the accounting policy because of the personal gains they might get out of this, as result of the inequality of information, this is called earnings management. (</w:t>
      </w:r>
      <w:proofErr w:type="spellStart"/>
      <w:r>
        <w:rPr>
          <w:rFonts w:ascii="Verdana" w:hAnsi="Verdana"/>
          <w:lang w:val="en-US"/>
        </w:rPr>
        <w:t>Praag</w:t>
      </w:r>
      <w:proofErr w:type="spellEnd"/>
      <w:r>
        <w:rPr>
          <w:rFonts w:ascii="Verdana" w:hAnsi="Verdana"/>
          <w:lang w:val="en-US"/>
        </w:rPr>
        <w:t xml:space="preserve">, 2001) </w:t>
      </w:r>
    </w:p>
    <w:p w:rsidR="00585016" w:rsidRDefault="00585016" w:rsidP="00585016">
      <w:pPr>
        <w:pStyle w:val="BodyText"/>
        <w:rPr>
          <w:rFonts w:ascii="Verdana" w:hAnsi="Verdana"/>
          <w:lang w:val="en-US"/>
        </w:rPr>
      </w:pPr>
      <w:r>
        <w:rPr>
          <w:rFonts w:ascii="Verdana" w:hAnsi="Verdana"/>
          <w:lang w:val="en-US"/>
        </w:rPr>
        <w:t xml:space="preserve">At the foundation of why earnings management is utilized there lies the positive accounting theory and the agency theory. Ross Watts and Jerold Zimmerman (1986) are the founders of the positive accounting theory. They state that positive accounting seeks to explain and predict accounting practices. This can be viewed from an efficiency perspective and an opportunistic perspective. </w:t>
      </w:r>
    </w:p>
    <w:p w:rsidR="00585016" w:rsidRDefault="00585016" w:rsidP="00585016">
      <w:pPr>
        <w:pStyle w:val="BodyText"/>
        <w:rPr>
          <w:rFonts w:ascii="Verdana" w:hAnsi="Verdana"/>
          <w:lang w:val="en-US"/>
        </w:rPr>
      </w:pPr>
      <w:r>
        <w:rPr>
          <w:rFonts w:ascii="Verdana" w:hAnsi="Verdana"/>
          <w:lang w:val="en-US"/>
        </w:rPr>
        <w:t xml:space="preserve">The efficiency perspective has the point of view that the management chooses the accounting to attain corporate governance objectives of the company. The management compensation hypothesis is a part of the efficiency perspective. The hypothesis states that when the </w:t>
      </w:r>
      <w:r w:rsidR="00F32B48">
        <w:rPr>
          <w:rFonts w:ascii="Verdana" w:hAnsi="Verdana"/>
          <w:lang w:val="en-US"/>
        </w:rPr>
        <w:t>management’s</w:t>
      </w:r>
      <w:r>
        <w:rPr>
          <w:rFonts w:ascii="Verdana" w:hAnsi="Verdana"/>
          <w:lang w:val="en-US"/>
        </w:rPr>
        <w:t xml:space="preserve"> remuneration is linked to the company’s accounting performance it motivates managers to manipulate the accounting method and figures.</w:t>
      </w:r>
    </w:p>
    <w:p w:rsidR="00585016" w:rsidRDefault="00585016" w:rsidP="00585016">
      <w:pPr>
        <w:pStyle w:val="BodyText"/>
        <w:rPr>
          <w:rFonts w:ascii="Verdana" w:hAnsi="Verdana"/>
          <w:lang w:val="en-US"/>
        </w:rPr>
      </w:pPr>
      <w:r>
        <w:rPr>
          <w:rFonts w:ascii="Verdana" w:hAnsi="Verdana"/>
          <w:lang w:val="en-US"/>
        </w:rPr>
        <w:t xml:space="preserve">The opportunistic perspective holds the view that managers choose accounting policies for their own benefits and the company’s benefits. Hypotheses that are linked with the opportunistic perspective are the debt/equity hypothesis, the bonus hypothesis and the political cost hypothesis. </w:t>
      </w:r>
    </w:p>
    <w:p w:rsidR="00585016" w:rsidRDefault="00585016" w:rsidP="00585016">
      <w:pPr>
        <w:pStyle w:val="BodyText"/>
        <w:rPr>
          <w:rFonts w:ascii="Verdana" w:hAnsi="Verdana"/>
          <w:lang w:val="en-US"/>
        </w:rPr>
      </w:pPr>
      <w:r>
        <w:rPr>
          <w:rFonts w:ascii="Verdana" w:hAnsi="Verdana"/>
          <w:lang w:val="en-US"/>
        </w:rPr>
        <w:t xml:space="preserve">The debt/equity hypothesis states that managers of companies with higher debt/equity ratio will manage earnings more than companies with a lower debt/equity ratio. They will do this so that they do not cross the constraints that have been put on the contract and they can pay the terms and interest of the debt that they have gathered. If the constraints will come too close, the management will use accounting methods and procedures to increase the accounting profit.  </w:t>
      </w:r>
    </w:p>
    <w:p w:rsidR="00585016" w:rsidRDefault="00585016" w:rsidP="00585016">
      <w:pPr>
        <w:pStyle w:val="BodyText"/>
        <w:rPr>
          <w:rFonts w:ascii="Verdana" w:hAnsi="Verdana"/>
          <w:lang w:val="en-US"/>
        </w:rPr>
      </w:pPr>
      <w:r>
        <w:rPr>
          <w:rFonts w:ascii="Verdana" w:hAnsi="Verdana"/>
          <w:lang w:val="en-US"/>
        </w:rPr>
        <w:t xml:space="preserve">The bonus plan hypothesis states that companies with bonus plans will be more likely to suffer under earnings management than companies without a bonus plan. Because if the management can increase the income of a period this will most likely increase their personal income through the bonuses as well. </w:t>
      </w:r>
    </w:p>
    <w:p w:rsidR="00585016" w:rsidRDefault="00585016" w:rsidP="00585016">
      <w:pPr>
        <w:pStyle w:val="BodyText"/>
        <w:rPr>
          <w:rFonts w:ascii="Verdana" w:hAnsi="Verdana"/>
          <w:color w:val="auto"/>
          <w:lang w:val="en-US"/>
        </w:rPr>
      </w:pPr>
      <w:r>
        <w:rPr>
          <w:rFonts w:ascii="Verdana" w:hAnsi="Verdana"/>
          <w:lang w:val="en-US"/>
        </w:rPr>
        <w:t>The political cost hypothesis states that companies which are bigger than other companies are more likely to use earnings management to weaken their results because, if they do not do this, they will get an increase in regulations and they will gather more attention from the government once they are large (high earning) companies</w:t>
      </w:r>
      <w:r>
        <w:rPr>
          <w:rFonts w:ascii="Verdana" w:hAnsi="Verdana"/>
          <w:color w:val="auto"/>
          <w:lang w:val="en-US"/>
        </w:rPr>
        <w:t>. (</w:t>
      </w:r>
      <w:r>
        <w:rPr>
          <w:rFonts w:ascii="Verdana" w:hAnsi="Verdana"/>
          <w:color w:val="auto"/>
        </w:rPr>
        <w:t>Watts and Zimmermann, 1986)</w:t>
      </w:r>
    </w:p>
    <w:p w:rsidR="00585016" w:rsidRDefault="00F32B48" w:rsidP="00585016">
      <w:pPr>
        <w:pStyle w:val="BodyText"/>
        <w:rPr>
          <w:rFonts w:ascii="Arial" w:eastAsia="Times New Roman" w:hAnsi="Arial" w:cs="Arial"/>
          <w:color w:val="000000"/>
          <w:sz w:val="16"/>
          <w:szCs w:val="16"/>
          <w:lang w:val="en-US" w:eastAsia="nl-NL"/>
        </w:rPr>
      </w:pPr>
      <w:r>
        <w:rPr>
          <w:rFonts w:ascii="Verdana" w:hAnsi="Verdana"/>
          <w:lang w:val="en-US"/>
        </w:rPr>
        <w:t>A</w:t>
      </w:r>
      <w:r w:rsidR="00585016">
        <w:rPr>
          <w:rFonts w:ascii="Verdana" w:hAnsi="Verdana"/>
          <w:lang w:val="en-US"/>
        </w:rPr>
        <w:t xml:space="preserve">ll the hypothesis above are </w:t>
      </w:r>
      <w:r>
        <w:rPr>
          <w:rFonts w:ascii="Verdana" w:hAnsi="Verdana"/>
          <w:lang w:val="en-US"/>
        </w:rPr>
        <w:t>established</w:t>
      </w:r>
      <w:r w:rsidR="00585016">
        <w:rPr>
          <w:rFonts w:ascii="Verdana" w:hAnsi="Verdana"/>
          <w:lang w:val="en-US"/>
        </w:rPr>
        <w:t xml:space="preserve"> by the principal agent theory. We will explain the bonus plan hypothesis with the principal agent timeline by Dye (</w:t>
      </w:r>
      <w:r w:rsidR="00585016">
        <w:rPr>
          <w:rFonts w:ascii="Verdana" w:hAnsi="Verdana"/>
          <w:color w:val="auto"/>
          <w:lang w:val="en-US"/>
        </w:rPr>
        <w:t>1988):</w:t>
      </w:r>
    </w:p>
    <w:p w:rsidR="00585016" w:rsidRDefault="00585016" w:rsidP="00585016">
      <w:pPr>
        <w:pStyle w:val="BodyText"/>
        <w:rPr>
          <w:rFonts w:ascii="Verdana" w:hAnsi="Verdana"/>
          <w:lang w:val="en-US"/>
        </w:rPr>
      </w:pPr>
      <w:r>
        <w:rPr>
          <w:noProof/>
          <w:lang w:val="nl-NL" w:eastAsia="nl-NL"/>
        </w:rPr>
        <w:lastRenderedPageBreak/>
        <w:drawing>
          <wp:inline distT="0" distB="0" distL="0" distR="0" wp14:anchorId="692A5CD8" wp14:editId="1938B518">
            <wp:extent cx="5105400" cy="14859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105400" cy="1485900"/>
                    </a:xfrm>
                    <a:prstGeom prst="rect">
                      <a:avLst/>
                    </a:prstGeom>
                    <a:noFill/>
                    <a:ln w="9525">
                      <a:noFill/>
                      <a:miter lim="800000"/>
                      <a:headEnd/>
                      <a:tailEnd/>
                    </a:ln>
                  </pic:spPr>
                </pic:pic>
              </a:graphicData>
            </a:graphic>
          </wp:inline>
        </w:drawing>
      </w:r>
    </w:p>
    <w:p w:rsidR="00585016" w:rsidRDefault="00585016" w:rsidP="00585016">
      <w:pPr>
        <w:pStyle w:val="BodyText"/>
        <w:rPr>
          <w:rFonts w:ascii="Verdana" w:hAnsi="Verdana"/>
          <w:lang w:val="en-US"/>
        </w:rPr>
      </w:pPr>
      <w:r>
        <w:rPr>
          <w:rFonts w:ascii="Verdana" w:hAnsi="Verdana"/>
          <w:lang w:val="en-US"/>
        </w:rPr>
        <w:t>On this timeline we see the manager as the agent and the opposing party as the principal. The principal has the inability to see all the information which is available for the manager, conform the principle agent theory, and because there are opposable interests in play, the manager alters the report so he can get a higher bonus.</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39" w:name="_Toc359957142"/>
      <w:r>
        <w:rPr>
          <w:lang w:val="en-US"/>
        </w:rPr>
        <w:t>4</w:t>
      </w:r>
      <w:r w:rsidR="00585016">
        <w:rPr>
          <w:lang w:val="en-US"/>
        </w:rPr>
        <w:t>.3 Types of earnings management</w:t>
      </w:r>
      <w:bookmarkEnd w:id="39"/>
      <w:r w:rsidR="006A628F">
        <w:rPr>
          <w:lang w:val="en-US"/>
        </w:rPr>
        <w:br/>
      </w:r>
    </w:p>
    <w:p w:rsidR="00585016" w:rsidRDefault="00585016" w:rsidP="00585016">
      <w:pPr>
        <w:pStyle w:val="BodyText"/>
        <w:rPr>
          <w:rFonts w:ascii="Verdana" w:hAnsi="Verdana"/>
          <w:lang w:val="en-US"/>
        </w:rPr>
      </w:pPr>
      <w:r>
        <w:rPr>
          <w:rFonts w:ascii="Verdana" w:hAnsi="Verdana"/>
          <w:lang w:val="en-US"/>
        </w:rPr>
        <w:t xml:space="preserve">As mentioned in the previous chapters, earnings management is a concept that can be utilized in a lot of different ways. The first thing people will think about when they hear about earnings management is that it is being used is to increase earnings. But managers use earnings management also to lower their earnings or maintain the same level of earnings as previous years. </w:t>
      </w:r>
    </w:p>
    <w:p w:rsidR="00585016" w:rsidRDefault="00585016" w:rsidP="00585016">
      <w:pPr>
        <w:pStyle w:val="BodyText"/>
        <w:rPr>
          <w:rFonts w:ascii="Verdana" w:hAnsi="Verdana"/>
          <w:lang w:val="en-US"/>
        </w:rPr>
      </w:pPr>
      <w:r>
        <w:rPr>
          <w:rFonts w:ascii="Verdana" w:hAnsi="Verdana"/>
          <w:lang w:val="en-US"/>
        </w:rPr>
        <w:t>The concepts that will be explained here are ‘taking a bath’ and ‘income smoothing’. In relation to the ‘income smoothing’, ‘the cookie jar’ will also be discussed.</w:t>
      </w:r>
    </w:p>
    <w:p w:rsidR="006A628F" w:rsidRDefault="006A628F" w:rsidP="00585016">
      <w:pPr>
        <w:pStyle w:val="BodyText"/>
        <w:rPr>
          <w:rFonts w:ascii="Verdana" w:hAnsi="Verdana"/>
          <w:lang w:val="en-US"/>
        </w:rPr>
      </w:pPr>
    </w:p>
    <w:p w:rsidR="00585016" w:rsidRDefault="003C2D90" w:rsidP="006A628F">
      <w:pPr>
        <w:pStyle w:val="Heading3"/>
        <w:rPr>
          <w:lang w:val="en-US"/>
        </w:rPr>
      </w:pPr>
      <w:bookmarkStart w:id="40" w:name="_Toc359957143"/>
      <w:r>
        <w:rPr>
          <w:lang w:val="en-US"/>
        </w:rPr>
        <w:t>4</w:t>
      </w:r>
      <w:r w:rsidR="00585016">
        <w:rPr>
          <w:lang w:val="en-US"/>
        </w:rPr>
        <w:t>.3.1 Taking a bath</w:t>
      </w:r>
      <w:bookmarkEnd w:id="40"/>
      <w:r w:rsidR="006A628F">
        <w:rPr>
          <w:lang w:val="en-US"/>
        </w:rPr>
        <w:br/>
      </w:r>
    </w:p>
    <w:p w:rsidR="00585016" w:rsidRDefault="00585016" w:rsidP="00585016">
      <w:pPr>
        <w:pStyle w:val="BodyText"/>
        <w:rPr>
          <w:rFonts w:ascii="Verdana" w:hAnsi="Verdana"/>
          <w:lang w:val="en-US"/>
        </w:rPr>
      </w:pPr>
      <w:r>
        <w:rPr>
          <w:rFonts w:ascii="Verdana" w:hAnsi="Verdana"/>
          <w:lang w:val="en-US"/>
        </w:rPr>
        <w:t>Contrary to common use of earnings management, it does not always have to be about the increase of the earnings. Taking a bath can be performed in many different ways, but they usually come forth from the same situation. Taking a bath often happens when a company has got a bad year compared to previous years and uses the present year to take extra losses so that the coming years the chance on a good result increases. This is done because managers believe that the effect between a bad result and a very bad result is relatively small, investors and stockholders don’t react completely different depending on how much loss there is from a certain level. Simply put: the costs of being worse are minimal, so they can rather take their extra losses one year and take the advantages of that in the following years.</w:t>
      </w:r>
    </w:p>
    <w:p w:rsidR="00585016" w:rsidRDefault="00585016" w:rsidP="00585016">
      <w:pPr>
        <w:pStyle w:val="BodyText"/>
        <w:rPr>
          <w:rFonts w:ascii="Verdana" w:hAnsi="Verdana"/>
          <w:lang w:val="en-US"/>
        </w:rPr>
      </w:pPr>
      <w:r>
        <w:rPr>
          <w:rFonts w:ascii="Verdana" w:hAnsi="Verdana"/>
          <w:lang w:val="en-US"/>
        </w:rPr>
        <w:t>This can be done for goodwill by impairing more than they would have done if they did not have a bad year. More obvious ways to take a bath are by increasing provisions and take large restructuring costs.</w:t>
      </w:r>
    </w:p>
    <w:p w:rsidR="00585016" w:rsidRDefault="00585016" w:rsidP="00585016">
      <w:pPr>
        <w:pStyle w:val="BodyText"/>
        <w:rPr>
          <w:rFonts w:ascii="Verdana" w:hAnsi="Verdana"/>
          <w:lang w:val="en-US"/>
        </w:rPr>
      </w:pPr>
      <w:r>
        <w:rPr>
          <w:rFonts w:ascii="Verdana" w:hAnsi="Verdana"/>
          <w:lang w:val="en-US"/>
        </w:rPr>
        <w:t xml:space="preserve">This is also very attractive for the management, because they will get the rewards in the following years for pulling the company out of their rough times. If a company has a bonus plan, then it increases the attractiveness for the </w:t>
      </w:r>
      <w:r>
        <w:rPr>
          <w:rFonts w:ascii="Verdana" w:hAnsi="Verdana"/>
          <w:lang w:val="en-US"/>
        </w:rPr>
        <w:lastRenderedPageBreak/>
        <w:t>management even more, because most likely they will not receive a bonus in a year of loss, so they don’t really care if the loss is bigger, as long as they don’t get fired, it just increases their chances in a bigger bonus next year.</w:t>
      </w:r>
    </w:p>
    <w:p w:rsidR="00585016" w:rsidRDefault="00585016" w:rsidP="00585016">
      <w:pPr>
        <w:pStyle w:val="BodyText"/>
        <w:rPr>
          <w:rFonts w:ascii="Verdana" w:hAnsi="Verdana"/>
          <w:lang w:val="en-US"/>
        </w:rPr>
      </w:pPr>
      <w:r>
        <w:rPr>
          <w:rFonts w:ascii="Verdana" w:hAnsi="Verdana"/>
          <w:lang w:val="en-US"/>
        </w:rPr>
        <w:t>Another situation in which taking a bath can take place is when there has been a switch in management. The new management likes to hold the old management responsible for things that are not going very well so that they can “improve expectations for the future and lower their own benchmark against which their performance will be measured” (Elliot and Shaw 1988, p. 98).</w:t>
      </w:r>
    </w:p>
    <w:p w:rsidR="006A628F" w:rsidRDefault="006A628F" w:rsidP="00585016">
      <w:pPr>
        <w:pStyle w:val="BodyText"/>
        <w:rPr>
          <w:rFonts w:ascii="Verdana" w:hAnsi="Verdana"/>
          <w:lang w:val="en-US"/>
        </w:rPr>
      </w:pPr>
    </w:p>
    <w:p w:rsidR="00585016" w:rsidRDefault="003C2D90" w:rsidP="006A628F">
      <w:pPr>
        <w:pStyle w:val="Heading3"/>
        <w:rPr>
          <w:lang w:val="en-US"/>
        </w:rPr>
      </w:pPr>
      <w:bookmarkStart w:id="41" w:name="_Toc359957144"/>
      <w:r>
        <w:rPr>
          <w:lang w:val="en-US"/>
        </w:rPr>
        <w:t>4</w:t>
      </w:r>
      <w:r w:rsidR="00585016">
        <w:rPr>
          <w:lang w:val="en-US"/>
        </w:rPr>
        <w:t>.3.2 Income smoothing</w:t>
      </w:r>
      <w:bookmarkEnd w:id="41"/>
      <w:r w:rsidR="006A628F">
        <w:rPr>
          <w:lang w:val="en-US"/>
        </w:rPr>
        <w:br/>
      </w:r>
    </w:p>
    <w:p w:rsidR="00585016" w:rsidRDefault="00585016" w:rsidP="00585016">
      <w:pPr>
        <w:pStyle w:val="BodyText"/>
        <w:rPr>
          <w:rFonts w:ascii="Verdana" w:hAnsi="Verdana"/>
          <w:lang w:val="en-US"/>
        </w:rPr>
      </w:pPr>
      <w:r>
        <w:rPr>
          <w:rFonts w:ascii="Verdana" w:hAnsi="Verdana"/>
          <w:lang w:val="en-US"/>
        </w:rPr>
        <w:t>Income smoothing is all about getting matching results with predetermined targets. Income smoothing can be defined as:</w:t>
      </w:r>
    </w:p>
    <w:p w:rsidR="00585016" w:rsidRDefault="00585016" w:rsidP="00585016">
      <w:pPr>
        <w:pStyle w:val="BodyText"/>
        <w:ind w:left="720"/>
        <w:rPr>
          <w:rFonts w:ascii="Verdana" w:hAnsi="Verdana"/>
          <w:iCs/>
          <w:lang w:val="en-US"/>
        </w:rPr>
      </w:pPr>
      <w:r>
        <w:rPr>
          <w:rFonts w:ascii="Verdana" w:hAnsi="Verdana"/>
          <w:iCs/>
          <w:lang w:val="en-US"/>
        </w:rPr>
        <w:t>“The deliberate dampening of fluctuations about some level of income that is currently considered to be normal for the fi</w:t>
      </w:r>
      <w:r w:rsidR="00C950D7">
        <w:rPr>
          <w:rFonts w:ascii="Verdana" w:hAnsi="Verdana"/>
          <w:iCs/>
          <w:lang w:val="en-US"/>
        </w:rPr>
        <w:t>rm.” (</w:t>
      </w:r>
      <w:proofErr w:type="spellStart"/>
      <w:r w:rsidR="00C950D7">
        <w:rPr>
          <w:rFonts w:ascii="Verdana" w:hAnsi="Verdana"/>
          <w:iCs/>
          <w:lang w:val="en-US"/>
        </w:rPr>
        <w:t>Barnea</w:t>
      </w:r>
      <w:proofErr w:type="spellEnd"/>
      <w:r w:rsidR="00C950D7">
        <w:rPr>
          <w:rFonts w:ascii="Verdana" w:hAnsi="Verdana"/>
          <w:iCs/>
          <w:lang w:val="en-US"/>
        </w:rPr>
        <w:t xml:space="preserve"> et al, 1976</w:t>
      </w:r>
      <w:r>
        <w:rPr>
          <w:rFonts w:ascii="Verdana" w:hAnsi="Verdana"/>
          <w:iCs/>
          <w:lang w:val="en-US"/>
        </w:rPr>
        <w:t>)</w:t>
      </w:r>
    </w:p>
    <w:p w:rsidR="00585016" w:rsidRDefault="00585016" w:rsidP="00585016">
      <w:pPr>
        <w:pStyle w:val="BodyText"/>
        <w:rPr>
          <w:rFonts w:ascii="Verdana" w:hAnsi="Verdana"/>
          <w:iCs/>
          <w:lang w:val="en-US"/>
        </w:rPr>
      </w:pPr>
      <w:r>
        <w:rPr>
          <w:rFonts w:ascii="Verdana" w:hAnsi="Verdana"/>
          <w:iCs/>
          <w:lang w:val="en-US"/>
        </w:rPr>
        <w:t xml:space="preserve">What </w:t>
      </w:r>
      <w:proofErr w:type="spellStart"/>
      <w:r>
        <w:rPr>
          <w:rFonts w:ascii="Verdana" w:hAnsi="Verdana"/>
          <w:iCs/>
          <w:lang w:val="en-US"/>
        </w:rPr>
        <w:t>Barnea</w:t>
      </w:r>
      <w:proofErr w:type="spellEnd"/>
      <w:r>
        <w:rPr>
          <w:rFonts w:ascii="Verdana" w:hAnsi="Verdana"/>
          <w:iCs/>
          <w:lang w:val="en-US"/>
        </w:rPr>
        <w:t xml:space="preserve"> et al mean wi</w:t>
      </w:r>
      <w:r w:rsidR="00F32B48">
        <w:rPr>
          <w:rFonts w:ascii="Verdana" w:hAnsi="Verdana"/>
          <w:iCs/>
          <w:lang w:val="en-US"/>
        </w:rPr>
        <w:t>th this definition is that alt</w:t>
      </w:r>
      <w:r>
        <w:rPr>
          <w:rFonts w:ascii="Verdana" w:hAnsi="Verdana"/>
          <w:iCs/>
          <w:lang w:val="en-US"/>
        </w:rPr>
        <w:t xml:space="preserve">hough a firm can have many opposing targets, for example increasing net income to meet market expectations, or lowering gross income for tax advantages, the line which has been chosen by the firm should be predictable, or with other words smooth, in the eyes of (possible) shareholders and investors. </w:t>
      </w:r>
    </w:p>
    <w:p w:rsidR="00585016" w:rsidRDefault="00585016" w:rsidP="00585016">
      <w:pPr>
        <w:pStyle w:val="BodyText"/>
        <w:rPr>
          <w:rFonts w:ascii="Verdana" w:hAnsi="Verdana"/>
          <w:iCs/>
          <w:lang w:val="en-US"/>
        </w:rPr>
      </w:pPr>
      <w:r>
        <w:rPr>
          <w:rFonts w:ascii="Verdana" w:hAnsi="Verdana"/>
          <w:iCs/>
          <w:lang w:val="en-US"/>
        </w:rPr>
        <w:t>There are multiple reasons for managers to perform income smoothing. The next paragraphs will elucidate on two important reasons.</w:t>
      </w:r>
    </w:p>
    <w:p w:rsidR="00585016" w:rsidRDefault="00585016" w:rsidP="00585016">
      <w:pPr>
        <w:pStyle w:val="BodyText"/>
        <w:rPr>
          <w:rFonts w:ascii="Verdana" w:hAnsi="Verdana"/>
          <w:iCs/>
          <w:lang w:val="en-US"/>
        </w:rPr>
      </w:pPr>
      <w:r>
        <w:rPr>
          <w:rFonts w:ascii="Verdana" w:hAnsi="Verdana"/>
          <w:iCs/>
          <w:lang w:val="en-US"/>
        </w:rPr>
        <w:t xml:space="preserve">According to </w:t>
      </w:r>
      <w:proofErr w:type="spellStart"/>
      <w:r>
        <w:rPr>
          <w:rFonts w:ascii="Verdana" w:hAnsi="Verdana"/>
          <w:iCs/>
          <w:lang w:val="en-US"/>
        </w:rPr>
        <w:t>Fudenberg</w:t>
      </w:r>
      <w:proofErr w:type="spellEnd"/>
      <w:r>
        <w:rPr>
          <w:rFonts w:ascii="Verdana" w:hAnsi="Verdana"/>
          <w:iCs/>
          <w:lang w:val="en-US"/>
        </w:rPr>
        <w:t xml:space="preserve"> and </w:t>
      </w:r>
      <w:proofErr w:type="spellStart"/>
      <w:r>
        <w:rPr>
          <w:rFonts w:ascii="Verdana" w:hAnsi="Verdana"/>
          <w:iCs/>
          <w:lang w:val="en-US"/>
        </w:rPr>
        <w:t>Tirole</w:t>
      </w:r>
      <w:proofErr w:type="spellEnd"/>
      <w:r>
        <w:rPr>
          <w:rFonts w:ascii="Verdana" w:hAnsi="Verdana"/>
          <w:iCs/>
          <w:lang w:val="en-US"/>
        </w:rPr>
        <w:t xml:space="preserve"> (1995) the reason managers perform income smoothing is because they are afraid to lose their jobs. Their theory is based on the presumption that if a company has had a bad year the management has </w:t>
      </w:r>
      <w:r w:rsidR="00F32B48">
        <w:rPr>
          <w:rFonts w:ascii="Verdana" w:hAnsi="Verdana"/>
          <w:iCs/>
          <w:lang w:val="en-US"/>
        </w:rPr>
        <w:t>higher</w:t>
      </w:r>
      <w:r>
        <w:rPr>
          <w:rFonts w:ascii="Verdana" w:hAnsi="Verdana"/>
          <w:iCs/>
          <w:lang w:val="en-US"/>
        </w:rPr>
        <w:t xml:space="preserve"> chances of getting fired and when there is a good year, it does not secure the manager’s position for the coming years. This gives managers the incentive to perform income smoothing. </w:t>
      </w:r>
    </w:p>
    <w:p w:rsidR="00585016" w:rsidRDefault="00585016" w:rsidP="00585016">
      <w:pPr>
        <w:pStyle w:val="BodyText"/>
        <w:rPr>
          <w:rFonts w:ascii="Verdana" w:hAnsi="Verdana"/>
          <w:iCs/>
          <w:lang w:val="en-US"/>
        </w:rPr>
      </w:pPr>
      <w:r>
        <w:rPr>
          <w:rFonts w:ascii="Verdana" w:hAnsi="Verdana"/>
          <w:iCs/>
          <w:lang w:val="en-US"/>
        </w:rPr>
        <w:t xml:space="preserve">Another important reason for companies to have smooth earnings </w:t>
      </w:r>
      <w:r w:rsidR="00F32B48">
        <w:rPr>
          <w:rFonts w:ascii="Verdana" w:hAnsi="Verdana"/>
          <w:iCs/>
          <w:lang w:val="en-US"/>
        </w:rPr>
        <w:t xml:space="preserve">is meeting the expectation of </w:t>
      </w:r>
      <w:r>
        <w:rPr>
          <w:rFonts w:ascii="Verdana" w:hAnsi="Verdana"/>
          <w:iCs/>
          <w:lang w:val="en-US"/>
        </w:rPr>
        <w:t>shareholders. If a company can show steady results, year after year, they will get a lot of interest from shareholders. F</w:t>
      </w:r>
      <w:r w:rsidR="00C950D7">
        <w:rPr>
          <w:rFonts w:ascii="Verdana" w:hAnsi="Verdana"/>
          <w:iCs/>
          <w:lang w:val="en-US"/>
        </w:rPr>
        <w:t>rom</w:t>
      </w:r>
      <w:r>
        <w:rPr>
          <w:rFonts w:ascii="Verdana" w:hAnsi="Verdana"/>
          <w:iCs/>
          <w:lang w:val="en-US"/>
        </w:rPr>
        <w:t xml:space="preserve"> the shareholders</w:t>
      </w:r>
      <w:r w:rsidR="00C950D7">
        <w:rPr>
          <w:rFonts w:ascii="Verdana" w:hAnsi="Verdana"/>
          <w:iCs/>
          <w:lang w:val="en-US"/>
        </w:rPr>
        <w:t xml:space="preserve"> point of view</w:t>
      </w:r>
      <w:r>
        <w:rPr>
          <w:rFonts w:ascii="Verdana" w:hAnsi="Verdana"/>
          <w:iCs/>
          <w:lang w:val="en-US"/>
        </w:rPr>
        <w:t xml:space="preserve"> this decrea</w:t>
      </w:r>
      <w:r w:rsidR="00F32B48">
        <w:rPr>
          <w:rFonts w:ascii="Verdana" w:hAnsi="Verdana"/>
          <w:iCs/>
          <w:lang w:val="en-US"/>
        </w:rPr>
        <w:t>ses the risk they are taking. T</w:t>
      </w:r>
      <w:r>
        <w:rPr>
          <w:rFonts w:ascii="Verdana" w:hAnsi="Verdana"/>
          <w:iCs/>
          <w:lang w:val="en-US"/>
        </w:rPr>
        <w:t>he longer the company can hold on to these steady results, the bigger the positive effect will be.</w:t>
      </w:r>
    </w:p>
    <w:p w:rsidR="00585016" w:rsidRDefault="00585016" w:rsidP="00585016">
      <w:pPr>
        <w:pStyle w:val="BodyText"/>
        <w:rPr>
          <w:rFonts w:ascii="Verdana" w:hAnsi="Verdana"/>
          <w:lang w:val="en-US"/>
        </w:rPr>
      </w:pPr>
      <w:r>
        <w:rPr>
          <w:rFonts w:ascii="Verdana" w:hAnsi="Verdana"/>
          <w:iCs/>
          <w:lang w:val="en-US"/>
        </w:rPr>
        <w:t xml:space="preserve">There are many different things a company can do to be able to maintain steady results. One of these methods is the cookie jar. </w:t>
      </w:r>
      <w:r>
        <w:rPr>
          <w:rFonts w:ascii="Verdana" w:hAnsi="Verdana"/>
          <w:lang w:val="en-US"/>
        </w:rPr>
        <w:t xml:space="preserve">The cookie jar is a concept that is used in the opposite way as taking a bath. The cookie jar can be used when a company has had a good year and they want to preserve some of those results for the following years. For example they can make slightly bigger, or more, reserves than usual and for the following years they can ‘eat’ into the reserves, should it be necessary. </w:t>
      </w:r>
      <w:r w:rsidR="00277561">
        <w:rPr>
          <w:rFonts w:ascii="Verdana" w:hAnsi="Verdana"/>
          <w:lang w:val="en-US"/>
        </w:rPr>
        <w:t xml:space="preserve">By eating into reserves when necessary they can decrease unwanted </w:t>
      </w:r>
      <w:r>
        <w:rPr>
          <w:rFonts w:ascii="Verdana" w:hAnsi="Verdana"/>
          <w:lang w:val="en-US"/>
        </w:rPr>
        <w:t>fluctuations in the financial statements.</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42" w:name="_Toc359957145"/>
      <w:r>
        <w:rPr>
          <w:lang w:val="en-US"/>
        </w:rPr>
        <w:lastRenderedPageBreak/>
        <w:t>4</w:t>
      </w:r>
      <w:r w:rsidR="00585016">
        <w:rPr>
          <w:lang w:val="en-US"/>
        </w:rPr>
        <w:t>.4 Summary and Conclusion</w:t>
      </w:r>
      <w:bookmarkEnd w:id="42"/>
      <w:r w:rsidR="006A628F">
        <w:rPr>
          <w:lang w:val="en-US"/>
        </w:rPr>
        <w:br/>
      </w:r>
    </w:p>
    <w:p w:rsidR="00585016" w:rsidRDefault="00585016" w:rsidP="00585016">
      <w:pPr>
        <w:pStyle w:val="BodyText"/>
        <w:rPr>
          <w:rFonts w:ascii="Verdana" w:hAnsi="Verdana"/>
          <w:lang w:val="en-US"/>
        </w:rPr>
      </w:pPr>
      <w:r>
        <w:rPr>
          <w:rFonts w:ascii="Verdana" w:hAnsi="Verdana"/>
          <w:lang w:val="en-US"/>
        </w:rPr>
        <w:t>This chapter started with the explanation of what earnings management is all about. The definition that was stated is: ‘Earnings management occurs when management uses judgment in financial reporting and in structuring transactions to alter financial reports to either mislead some stakeholders about the underlying economic performance of the company or to influence contractual outcomes that depend on reported accounting numbers, with the intent of obtaining some private gain (as opposed to, say, merely facilitating the neutral operation of the process)’. Besides the definition also the link with fraud was explained and the difference</w:t>
      </w:r>
      <w:r w:rsidR="00F32B48">
        <w:rPr>
          <w:rFonts w:ascii="Verdana" w:hAnsi="Verdana"/>
          <w:lang w:val="en-US"/>
        </w:rPr>
        <w:t>s</w:t>
      </w:r>
      <w:r>
        <w:rPr>
          <w:rFonts w:ascii="Verdana" w:hAnsi="Verdana"/>
          <w:lang w:val="en-US"/>
        </w:rPr>
        <w:t xml:space="preserve"> between the two were defined. After this the incentives the management can have for earnings management were discussed through the positive accounting theory and the agency theory. To finalize this chapter about earnings management two different types of earnings management were discussed, income smoothing and taking a bath. </w:t>
      </w:r>
    </w:p>
    <w:p w:rsidR="00585016" w:rsidRDefault="00585016" w:rsidP="00585016">
      <w:pPr>
        <w:rPr>
          <w:rFonts w:ascii="Verdana" w:hAnsi="Verdana"/>
          <w:lang w:val="en-US"/>
        </w:rPr>
      </w:pPr>
      <w:r>
        <w:rPr>
          <w:rFonts w:ascii="Verdana" w:hAnsi="Verdana"/>
          <w:color w:val="auto"/>
          <w:lang w:val="en-US"/>
        </w:rPr>
        <w:br w:type="page"/>
      </w:r>
    </w:p>
    <w:p w:rsidR="00585016" w:rsidRDefault="00585016" w:rsidP="006A628F">
      <w:pPr>
        <w:pStyle w:val="Heading1"/>
        <w:numPr>
          <w:ilvl w:val="0"/>
          <w:numId w:val="27"/>
        </w:numPr>
        <w:rPr>
          <w:lang w:val="en-US"/>
        </w:rPr>
      </w:pPr>
      <w:bookmarkStart w:id="43" w:name="_Toc359957146"/>
      <w:r>
        <w:rPr>
          <w:lang w:val="en-US"/>
        </w:rPr>
        <w:lastRenderedPageBreak/>
        <w:t>Research design</w:t>
      </w:r>
      <w:bookmarkEnd w:id="43"/>
    </w:p>
    <w:p w:rsidR="00585016" w:rsidRDefault="006A628F" w:rsidP="00585016">
      <w:pPr>
        <w:pStyle w:val="BodyText"/>
        <w:rPr>
          <w:rFonts w:ascii="Verdana" w:hAnsi="Verdana"/>
          <w:lang w:val="en-US"/>
        </w:rPr>
      </w:pPr>
      <w:r>
        <w:rPr>
          <w:rFonts w:ascii="Verdana" w:hAnsi="Verdana"/>
          <w:lang w:val="en-US"/>
        </w:rPr>
        <w:br/>
      </w:r>
      <w:r w:rsidR="00585016">
        <w:rPr>
          <w:rFonts w:ascii="Verdana" w:hAnsi="Verdana"/>
          <w:lang w:val="en-US"/>
        </w:rPr>
        <w:t xml:space="preserve">In this chapter the research design will be developed. The research design will be based on the subjects discussed in the previous chapters. The research design will be formatted around the relation between goodwill impairments and earnings management and the effect the crisis has got on this relation. The first part of this chapter will attend to the development of the hypotheses on basis of the discussed literature. The second part of this chapter will concern the development of the model with which the hypotheses can be tested. To be able to use this chosen model it is necessary to have </w:t>
      </w:r>
      <w:r w:rsidR="00DC1C3A">
        <w:rPr>
          <w:rFonts w:ascii="Verdana" w:hAnsi="Verdana"/>
          <w:lang w:val="en-US"/>
        </w:rPr>
        <w:t xml:space="preserve">the appropriate </w:t>
      </w:r>
      <w:r w:rsidR="00585016">
        <w:rPr>
          <w:rFonts w:ascii="Verdana" w:hAnsi="Verdana"/>
          <w:lang w:val="en-US"/>
        </w:rPr>
        <w:t>data. Which data</w:t>
      </w:r>
      <w:r w:rsidR="00DC1C3A">
        <w:rPr>
          <w:rFonts w:ascii="Verdana" w:hAnsi="Verdana"/>
          <w:lang w:val="en-US"/>
        </w:rPr>
        <w:t xml:space="preserve"> set</w:t>
      </w:r>
      <w:r w:rsidR="00585016">
        <w:rPr>
          <w:rFonts w:ascii="Verdana" w:hAnsi="Verdana"/>
          <w:lang w:val="en-US"/>
        </w:rPr>
        <w:t xml:space="preserve"> will be used will be discussed in the following subchapter, </w:t>
      </w:r>
      <w:r w:rsidR="00DC1C3A">
        <w:rPr>
          <w:rFonts w:ascii="Verdana" w:hAnsi="Verdana"/>
          <w:lang w:val="en-US"/>
        </w:rPr>
        <w:t>research sample</w:t>
      </w:r>
      <w:r w:rsidR="00585016">
        <w:rPr>
          <w:rFonts w:ascii="Verdana" w:hAnsi="Verdana"/>
          <w:lang w:val="en-US"/>
        </w:rPr>
        <w:t>. Finally this chapter will end with a summary and a conclusion.</w:t>
      </w:r>
    </w:p>
    <w:p w:rsidR="00585016" w:rsidRDefault="00585016" w:rsidP="00585016">
      <w:pPr>
        <w:pStyle w:val="BodyText"/>
        <w:rPr>
          <w:rFonts w:ascii="Verdana" w:hAnsi="Verdana"/>
          <w:lang w:val="en-US"/>
        </w:rPr>
      </w:pPr>
    </w:p>
    <w:p w:rsidR="00585016" w:rsidRDefault="003C2D90" w:rsidP="006A628F">
      <w:pPr>
        <w:pStyle w:val="Heading2"/>
        <w:rPr>
          <w:lang w:val="en-US"/>
        </w:rPr>
      </w:pPr>
      <w:bookmarkStart w:id="44" w:name="_Toc359957147"/>
      <w:r>
        <w:rPr>
          <w:lang w:val="en-US"/>
        </w:rPr>
        <w:t>5</w:t>
      </w:r>
      <w:r w:rsidR="00585016">
        <w:rPr>
          <w:lang w:val="en-US"/>
        </w:rPr>
        <w:t>.1 Development of Hypotheses</w:t>
      </w:r>
      <w:bookmarkEnd w:id="44"/>
      <w:r w:rsidR="006A628F">
        <w:rPr>
          <w:lang w:val="en-US"/>
        </w:rPr>
        <w:br/>
      </w:r>
    </w:p>
    <w:p w:rsidR="00585016" w:rsidRDefault="00585016" w:rsidP="00585016">
      <w:pPr>
        <w:pStyle w:val="BodyText"/>
        <w:rPr>
          <w:rFonts w:ascii="Verdana" w:hAnsi="Verdana"/>
          <w:lang w:val="en-US"/>
        </w:rPr>
      </w:pPr>
      <w:r>
        <w:rPr>
          <w:rFonts w:ascii="Verdana" w:hAnsi="Verdana"/>
          <w:lang w:val="en-US"/>
        </w:rPr>
        <w:t xml:space="preserve">Based on the </w:t>
      </w:r>
      <w:r w:rsidR="00277561">
        <w:rPr>
          <w:rFonts w:ascii="Verdana" w:hAnsi="Verdana"/>
          <w:lang w:val="en-US"/>
        </w:rPr>
        <w:t>theoretical</w:t>
      </w:r>
      <w:r>
        <w:rPr>
          <w:rFonts w:ascii="Verdana" w:hAnsi="Verdana"/>
          <w:lang w:val="en-US"/>
        </w:rPr>
        <w:t xml:space="preserve"> research performed in the previous chapters it is now possible to develop the hypotheses which</w:t>
      </w:r>
      <w:r w:rsidR="00DC1C3A">
        <w:rPr>
          <w:rFonts w:ascii="Verdana" w:hAnsi="Verdana"/>
          <w:lang w:val="en-US"/>
        </w:rPr>
        <w:t xml:space="preserve">, </w:t>
      </w:r>
      <w:r>
        <w:rPr>
          <w:rFonts w:ascii="Verdana" w:hAnsi="Verdana"/>
          <w:lang w:val="en-US"/>
        </w:rPr>
        <w:t>on basis of the research</w:t>
      </w:r>
      <w:r w:rsidR="00DC1C3A">
        <w:rPr>
          <w:rFonts w:ascii="Verdana" w:hAnsi="Verdana"/>
          <w:lang w:val="en-US"/>
        </w:rPr>
        <w:t>,</w:t>
      </w:r>
      <w:r>
        <w:rPr>
          <w:rFonts w:ascii="Verdana" w:hAnsi="Verdana"/>
          <w:lang w:val="en-US"/>
        </w:rPr>
        <w:t xml:space="preserve"> will be rejected or accepted. </w:t>
      </w:r>
    </w:p>
    <w:p w:rsidR="00585016" w:rsidRDefault="00585016" w:rsidP="00585016">
      <w:pPr>
        <w:pStyle w:val="BodyText"/>
        <w:rPr>
          <w:rFonts w:ascii="Verdana" w:hAnsi="Verdana"/>
          <w:lang w:val="en-US"/>
        </w:rPr>
      </w:pPr>
      <w:r>
        <w:rPr>
          <w:rFonts w:ascii="Verdana" w:hAnsi="Verdana"/>
          <w:lang w:val="en-US"/>
        </w:rPr>
        <w:t xml:space="preserve">The first hypothesis is based on the effect of big bath accounting and the bonus plan hypothesis. The reasoning behind this hypothesis is as follows: If a company is performing below expectations for a year they are more likely to take as many losses as possible because the costs of being worse are minimal. This means that when a company did not had a good year it is more likely to make impairments of goodwill to make the loss even bigger. </w:t>
      </w:r>
      <w:r w:rsidR="00277561">
        <w:rPr>
          <w:rFonts w:ascii="Verdana" w:hAnsi="Verdana"/>
          <w:lang w:val="en-US"/>
        </w:rPr>
        <w:t>In</w:t>
      </w:r>
      <w:r>
        <w:rPr>
          <w:rFonts w:ascii="Verdana" w:hAnsi="Verdana"/>
          <w:lang w:val="en-US"/>
        </w:rPr>
        <w:t xml:space="preserve"> other words they are taking a ‘big bath’, so that the management has got better chances of being rewarded the following years for turning the loss around in a profit. </w:t>
      </w:r>
    </w:p>
    <w:p w:rsidR="00585016" w:rsidRDefault="00585016" w:rsidP="00585016">
      <w:pPr>
        <w:pStyle w:val="BodyText"/>
        <w:rPr>
          <w:rFonts w:ascii="Verdana" w:hAnsi="Verdana"/>
          <w:lang w:val="en-US"/>
        </w:rPr>
      </w:pPr>
      <w:r>
        <w:rPr>
          <w:rFonts w:ascii="Verdana" w:hAnsi="Verdana"/>
          <w:lang w:val="en-US"/>
        </w:rPr>
        <w:t xml:space="preserve">This is also supported by research of </w:t>
      </w:r>
      <w:proofErr w:type="spellStart"/>
      <w:r>
        <w:rPr>
          <w:rFonts w:ascii="Verdana" w:hAnsi="Verdana"/>
          <w:lang w:val="en-US"/>
        </w:rPr>
        <w:t>Hayn</w:t>
      </w:r>
      <w:proofErr w:type="spellEnd"/>
      <w:r>
        <w:rPr>
          <w:rFonts w:ascii="Verdana" w:hAnsi="Verdana"/>
          <w:lang w:val="en-US"/>
        </w:rPr>
        <w:t xml:space="preserve"> and Hughes (2006), they state that the timing of goodwill write-offs can lag behind the economic impairment of goodwill. This supports the idea that the management takes goodwill write-offs when it suits them the best, for example in a year where big bath accounting can be exploited. Henning et al. (2004) found a comparable result from their research. They conform in their research that firms delay goodwill write-offs strategically for a certain period, when they know that their ratios are being scrutinized more securely by their shareholders.</w:t>
      </w:r>
    </w:p>
    <w:p w:rsidR="00585016" w:rsidRDefault="00585016" w:rsidP="00585016">
      <w:pPr>
        <w:pStyle w:val="BodyText"/>
        <w:rPr>
          <w:rFonts w:ascii="Verdana" w:hAnsi="Verdana"/>
          <w:lang w:val="en-US"/>
        </w:rPr>
      </w:pPr>
      <w:r>
        <w:rPr>
          <w:rFonts w:ascii="Verdana" w:hAnsi="Verdana"/>
          <w:lang w:val="en-US"/>
        </w:rPr>
        <w:t>Based on this r</w:t>
      </w:r>
      <w:r w:rsidR="003A17B6">
        <w:rPr>
          <w:rFonts w:ascii="Verdana" w:hAnsi="Verdana"/>
          <w:lang w:val="en-US"/>
        </w:rPr>
        <w:t>easoning the following hypothese</w:t>
      </w:r>
      <w:r>
        <w:rPr>
          <w:rFonts w:ascii="Verdana" w:hAnsi="Verdana"/>
          <w:lang w:val="en-US"/>
        </w:rPr>
        <w:t>s</w:t>
      </w:r>
      <w:r w:rsidR="003A17B6">
        <w:rPr>
          <w:rFonts w:ascii="Verdana" w:hAnsi="Verdana"/>
          <w:lang w:val="en-US"/>
        </w:rPr>
        <w:t xml:space="preserve"> H1.</w:t>
      </w:r>
      <w:r w:rsidR="00D6320E">
        <w:rPr>
          <w:rFonts w:ascii="Verdana" w:hAnsi="Verdana"/>
          <w:lang w:val="en-US"/>
        </w:rPr>
        <w:t>0</w:t>
      </w:r>
      <w:r w:rsidR="003A17B6">
        <w:rPr>
          <w:rFonts w:ascii="Verdana" w:hAnsi="Verdana"/>
          <w:lang w:val="en-US"/>
        </w:rPr>
        <w:t xml:space="preserve"> and H1.</w:t>
      </w:r>
      <w:r w:rsidR="00D6320E">
        <w:rPr>
          <w:rFonts w:ascii="Verdana" w:hAnsi="Verdana"/>
          <w:lang w:val="en-US"/>
        </w:rPr>
        <w:t>1</w:t>
      </w:r>
      <w:r>
        <w:rPr>
          <w:rFonts w:ascii="Verdana" w:hAnsi="Verdana"/>
          <w:lang w:val="en-US"/>
        </w:rPr>
        <w:t xml:space="preserve"> can be formed:</w:t>
      </w:r>
    </w:p>
    <w:p w:rsidR="00585016" w:rsidRDefault="00585016" w:rsidP="00585016">
      <w:pPr>
        <w:pStyle w:val="BodyText"/>
        <w:ind w:left="720"/>
        <w:rPr>
          <w:rFonts w:ascii="Verdana" w:hAnsi="Verdana"/>
          <w:i/>
          <w:lang w:val="en-US"/>
        </w:rPr>
      </w:pPr>
      <w:r>
        <w:rPr>
          <w:rFonts w:ascii="Verdana" w:hAnsi="Verdana"/>
          <w:i/>
          <w:lang w:val="en-US"/>
        </w:rPr>
        <w:t>H1</w:t>
      </w:r>
      <w:r w:rsidR="005370FF">
        <w:rPr>
          <w:rFonts w:ascii="Verdana" w:hAnsi="Verdana"/>
          <w:i/>
          <w:lang w:val="en-US"/>
        </w:rPr>
        <w:t>.</w:t>
      </w:r>
      <w:r w:rsidR="00D6320E">
        <w:rPr>
          <w:rFonts w:ascii="Verdana" w:hAnsi="Verdana"/>
          <w:i/>
          <w:lang w:val="en-US"/>
        </w:rPr>
        <w:t>0</w:t>
      </w:r>
      <w:r>
        <w:rPr>
          <w:rFonts w:ascii="Verdana" w:hAnsi="Verdana"/>
          <w:i/>
          <w:lang w:val="en-US"/>
        </w:rPr>
        <w:t>: Industrial firms are more likely to recognize a goodwill impairment loss when they perform below branch average.</w:t>
      </w:r>
    </w:p>
    <w:p w:rsidR="00585016" w:rsidRDefault="005370FF" w:rsidP="005370FF">
      <w:pPr>
        <w:pStyle w:val="BodyText"/>
        <w:ind w:left="720"/>
        <w:rPr>
          <w:rFonts w:ascii="Verdana" w:hAnsi="Verdana"/>
          <w:i/>
          <w:lang w:val="en-US"/>
        </w:rPr>
      </w:pPr>
      <w:r>
        <w:rPr>
          <w:rFonts w:ascii="Verdana" w:hAnsi="Verdana"/>
          <w:i/>
          <w:lang w:val="en-US"/>
        </w:rPr>
        <w:t>H1.</w:t>
      </w:r>
      <w:r w:rsidR="00D6320E">
        <w:rPr>
          <w:rFonts w:ascii="Verdana" w:hAnsi="Verdana"/>
          <w:i/>
          <w:lang w:val="en-US"/>
        </w:rPr>
        <w:t>1</w:t>
      </w:r>
      <w:r>
        <w:rPr>
          <w:rFonts w:ascii="Verdana" w:hAnsi="Verdana"/>
          <w:i/>
          <w:lang w:val="en-US"/>
        </w:rPr>
        <w:t>: Industrial firms are not more likely to recognize a goodwill impairment loss when they perform below branch average.</w:t>
      </w:r>
    </w:p>
    <w:p w:rsidR="005370FF" w:rsidRDefault="005370FF" w:rsidP="005370FF">
      <w:pPr>
        <w:pStyle w:val="BodyText"/>
        <w:rPr>
          <w:rFonts w:ascii="Verdana" w:hAnsi="Verdana"/>
          <w:lang w:val="en-US"/>
        </w:rPr>
      </w:pPr>
      <w:r>
        <w:rPr>
          <w:rFonts w:ascii="Verdana" w:hAnsi="Verdana"/>
          <w:lang w:val="en-US"/>
        </w:rPr>
        <w:br/>
      </w:r>
    </w:p>
    <w:p w:rsidR="00585016" w:rsidRDefault="00585016" w:rsidP="00585016">
      <w:pPr>
        <w:pStyle w:val="BodyText"/>
        <w:rPr>
          <w:rFonts w:ascii="Verdana" w:hAnsi="Verdana"/>
          <w:iCs/>
          <w:lang w:val="en-US"/>
        </w:rPr>
      </w:pPr>
      <w:r>
        <w:rPr>
          <w:rFonts w:ascii="Verdana" w:hAnsi="Verdana"/>
          <w:lang w:val="en-US"/>
        </w:rPr>
        <w:t xml:space="preserve">The second hypothesis is formed around the effect of income smoothing. As </w:t>
      </w:r>
      <w:r w:rsidR="00277561">
        <w:rPr>
          <w:rFonts w:ascii="Verdana" w:hAnsi="Verdana"/>
          <w:lang w:val="en-US"/>
        </w:rPr>
        <w:t>signaled</w:t>
      </w:r>
      <w:r>
        <w:rPr>
          <w:rFonts w:ascii="Verdana" w:hAnsi="Verdana"/>
          <w:lang w:val="en-US"/>
        </w:rPr>
        <w:t xml:space="preserve"> in chapter </w:t>
      </w:r>
      <w:r w:rsidR="00277561">
        <w:rPr>
          <w:rFonts w:ascii="Verdana" w:hAnsi="Verdana"/>
          <w:lang w:val="en-US"/>
        </w:rPr>
        <w:t>4</w:t>
      </w:r>
      <w:r w:rsidR="00CE5B33">
        <w:rPr>
          <w:rFonts w:ascii="Verdana" w:hAnsi="Verdana"/>
          <w:lang w:val="en-US"/>
        </w:rPr>
        <w:t>, i</w:t>
      </w:r>
      <w:r>
        <w:rPr>
          <w:rFonts w:ascii="Verdana" w:hAnsi="Verdana"/>
          <w:lang w:val="en-US"/>
        </w:rPr>
        <w:t xml:space="preserve">ncome smoothing is performed by the management to make sure that the financial statements are conform expectations of third parties. </w:t>
      </w:r>
      <w:r>
        <w:rPr>
          <w:rFonts w:ascii="Verdana" w:hAnsi="Verdana"/>
          <w:lang w:val="en-US"/>
        </w:rPr>
        <w:lastRenderedPageBreak/>
        <w:t>With other words, when the earnings are higher than the expectation. On first sight this seems like a situation where the management would cherish these results instead of performing earnings management to diminish the profitable effect. But a</w:t>
      </w:r>
      <w:r>
        <w:rPr>
          <w:rFonts w:ascii="Verdana" w:hAnsi="Verdana"/>
          <w:iCs/>
          <w:lang w:val="en-US"/>
        </w:rPr>
        <w:t xml:space="preserve">ccording to </w:t>
      </w:r>
      <w:proofErr w:type="spellStart"/>
      <w:r>
        <w:rPr>
          <w:rFonts w:ascii="Verdana" w:hAnsi="Verdana"/>
          <w:iCs/>
          <w:lang w:val="en-US"/>
        </w:rPr>
        <w:t>Fudenberg</w:t>
      </w:r>
      <w:proofErr w:type="spellEnd"/>
      <w:r>
        <w:rPr>
          <w:rFonts w:ascii="Verdana" w:hAnsi="Verdana"/>
          <w:iCs/>
          <w:lang w:val="en-US"/>
        </w:rPr>
        <w:t xml:space="preserve"> and </w:t>
      </w:r>
      <w:proofErr w:type="spellStart"/>
      <w:r>
        <w:rPr>
          <w:rFonts w:ascii="Verdana" w:hAnsi="Verdana"/>
          <w:iCs/>
          <w:lang w:val="en-US"/>
        </w:rPr>
        <w:t>Tirole</w:t>
      </w:r>
      <w:proofErr w:type="spellEnd"/>
      <w:r>
        <w:rPr>
          <w:rFonts w:ascii="Verdana" w:hAnsi="Verdana"/>
          <w:iCs/>
          <w:lang w:val="en-US"/>
        </w:rPr>
        <w:t xml:space="preserve"> (1995) the reason managers perform income smoothing is because they are afraid to lose their jobs. Their theory is based on the presumption that if a company has had a bad year the management has bigger chances of getting fired and when there is a good year, it does not secure the manager’s position for the coming years. This gives managers the incentive to perform income smoothing. </w:t>
      </w:r>
    </w:p>
    <w:p w:rsidR="00585016" w:rsidRDefault="00585016" w:rsidP="00585016">
      <w:pPr>
        <w:pStyle w:val="BodyText"/>
        <w:rPr>
          <w:rFonts w:ascii="Verdana" w:hAnsi="Verdana"/>
          <w:iCs/>
          <w:lang w:val="en-US"/>
        </w:rPr>
      </w:pPr>
      <w:r>
        <w:rPr>
          <w:rFonts w:ascii="Verdana" w:hAnsi="Verdana"/>
          <w:iCs/>
          <w:lang w:val="en-US"/>
        </w:rPr>
        <w:t xml:space="preserve">Another reason is stated by Han and Wang (1998), they found in their research that oil firms which expected to profit from the Persian Gulf crisis used earnings management to reduce their quarterly reported earnings. They state that the oil firms did this because the positive effect generated </w:t>
      </w:r>
      <w:r w:rsidR="00836882">
        <w:rPr>
          <w:rFonts w:ascii="Verdana" w:hAnsi="Verdana"/>
          <w:iCs/>
          <w:lang w:val="en-US"/>
        </w:rPr>
        <w:t>by reporting good news, i.e. a</w:t>
      </w:r>
      <w:r>
        <w:rPr>
          <w:rFonts w:ascii="Verdana" w:hAnsi="Verdana"/>
          <w:iCs/>
          <w:lang w:val="en-US"/>
        </w:rPr>
        <w:t xml:space="preserve"> higher amount of earnings, is outweighed by the negative effect of political sensitivity and associated costs. Their findings are in line with the political cost theory.</w:t>
      </w:r>
      <w:r w:rsidR="005B2DEF" w:rsidRPr="005B2DEF">
        <w:rPr>
          <w:rFonts w:ascii="Verdana" w:hAnsi="Verdana"/>
          <w:lang w:val="en-US"/>
        </w:rPr>
        <w:t xml:space="preserve"> </w:t>
      </w:r>
      <w:r w:rsidR="005B2DEF">
        <w:rPr>
          <w:rFonts w:ascii="Verdana" w:hAnsi="Verdana"/>
          <w:lang w:val="en-US"/>
        </w:rPr>
        <w:t>The political cost hypothesis states that companies which are bigger than other companies are more likely to use earnings management to weaken their results because they will gather more attention from the government once they are large (high earning) companies.</w:t>
      </w:r>
    </w:p>
    <w:p w:rsidR="00585016" w:rsidRDefault="00585016" w:rsidP="00585016">
      <w:pPr>
        <w:pStyle w:val="BodyText"/>
        <w:rPr>
          <w:rFonts w:ascii="Verdana" w:hAnsi="Verdana"/>
          <w:iCs/>
          <w:lang w:val="en-US"/>
        </w:rPr>
      </w:pPr>
      <w:r>
        <w:rPr>
          <w:rFonts w:ascii="Verdana" w:hAnsi="Verdana"/>
          <w:iCs/>
          <w:lang w:val="en-US"/>
        </w:rPr>
        <w:t xml:space="preserve">Based on this reasoning the following </w:t>
      </w:r>
      <w:r w:rsidR="003A17B6">
        <w:rPr>
          <w:rFonts w:ascii="Verdana" w:hAnsi="Verdana"/>
          <w:lang w:val="en-US"/>
        </w:rPr>
        <w:t>hypotheses H2.</w:t>
      </w:r>
      <w:r w:rsidR="00D6320E">
        <w:rPr>
          <w:rFonts w:ascii="Verdana" w:hAnsi="Verdana"/>
          <w:lang w:val="en-US"/>
        </w:rPr>
        <w:t>0</w:t>
      </w:r>
      <w:r w:rsidR="003A17B6">
        <w:rPr>
          <w:rFonts w:ascii="Verdana" w:hAnsi="Verdana"/>
          <w:lang w:val="en-US"/>
        </w:rPr>
        <w:t xml:space="preserve"> and H2.</w:t>
      </w:r>
      <w:r w:rsidR="00D6320E">
        <w:rPr>
          <w:rFonts w:ascii="Verdana" w:hAnsi="Verdana"/>
          <w:lang w:val="en-US"/>
        </w:rPr>
        <w:t>1</w:t>
      </w:r>
      <w:r w:rsidR="003A17B6">
        <w:rPr>
          <w:rFonts w:ascii="Verdana" w:hAnsi="Verdana"/>
          <w:lang w:val="en-US"/>
        </w:rPr>
        <w:t xml:space="preserve"> </w:t>
      </w:r>
      <w:r>
        <w:rPr>
          <w:rFonts w:ascii="Verdana" w:hAnsi="Verdana"/>
          <w:iCs/>
          <w:lang w:val="en-US"/>
        </w:rPr>
        <w:t>can be formed:</w:t>
      </w:r>
    </w:p>
    <w:p w:rsidR="00585016" w:rsidRDefault="00585016" w:rsidP="00585016">
      <w:pPr>
        <w:pStyle w:val="BodyText"/>
        <w:ind w:left="720"/>
        <w:rPr>
          <w:rFonts w:ascii="Verdana" w:hAnsi="Verdana"/>
          <w:i/>
          <w:lang w:val="en-US"/>
        </w:rPr>
      </w:pPr>
      <w:r>
        <w:rPr>
          <w:rFonts w:ascii="Verdana" w:hAnsi="Verdana"/>
          <w:i/>
          <w:lang w:val="en-US"/>
        </w:rPr>
        <w:t>H2</w:t>
      </w:r>
      <w:r w:rsidR="003A17B6">
        <w:rPr>
          <w:rFonts w:ascii="Verdana" w:hAnsi="Verdana"/>
          <w:i/>
          <w:lang w:val="en-US"/>
        </w:rPr>
        <w:t>.</w:t>
      </w:r>
      <w:r w:rsidR="00D6320E">
        <w:rPr>
          <w:rFonts w:ascii="Verdana" w:hAnsi="Verdana"/>
          <w:i/>
          <w:lang w:val="en-US"/>
        </w:rPr>
        <w:t>0</w:t>
      </w:r>
      <w:r>
        <w:rPr>
          <w:rFonts w:ascii="Verdana" w:hAnsi="Verdana"/>
          <w:i/>
          <w:lang w:val="en-US"/>
        </w:rPr>
        <w:t>: Industrial firms are more likely to recognize a goodwill impairment loss when they perform above branch average.</w:t>
      </w:r>
    </w:p>
    <w:p w:rsidR="003A17B6" w:rsidRDefault="003A17B6" w:rsidP="003A17B6">
      <w:pPr>
        <w:pStyle w:val="BodyText"/>
        <w:ind w:left="720"/>
        <w:rPr>
          <w:rFonts w:ascii="Verdana" w:hAnsi="Verdana"/>
          <w:i/>
          <w:lang w:val="en-US"/>
        </w:rPr>
      </w:pPr>
      <w:r>
        <w:rPr>
          <w:rFonts w:ascii="Verdana" w:hAnsi="Verdana"/>
          <w:i/>
          <w:lang w:val="en-US"/>
        </w:rPr>
        <w:t>H2.</w:t>
      </w:r>
      <w:r w:rsidR="00D6320E">
        <w:rPr>
          <w:rFonts w:ascii="Verdana" w:hAnsi="Verdana"/>
          <w:i/>
          <w:lang w:val="en-US"/>
        </w:rPr>
        <w:t>1</w:t>
      </w:r>
      <w:r>
        <w:rPr>
          <w:rFonts w:ascii="Verdana" w:hAnsi="Verdana"/>
          <w:i/>
          <w:lang w:val="en-US"/>
        </w:rPr>
        <w:t>: Industrial firms are not more likely to recognize a goodwill impairment loss when they perform above branch average.</w:t>
      </w:r>
    </w:p>
    <w:p w:rsidR="00585016" w:rsidRDefault="00585016" w:rsidP="00585016">
      <w:pPr>
        <w:pStyle w:val="BodyText"/>
        <w:rPr>
          <w:rFonts w:ascii="Verdana" w:hAnsi="Verdana"/>
          <w:lang w:val="en-US"/>
        </w:rPr>
      </w:pPr>
    </w:p>
    <w:p w:rsidR="00585016" w:rsidRDefault="00585016" w:rsidP="00585016">
      <w:pPr>
        <w:pStyle w:val="BodyText"/>
        <w:rPr>
          <w:rFonts w:ascii="Verdana" w:hAnsi="Verdana"/>
          <w:lang w:val="en-US"/>
        </w:rPr>
      </w:pPr>
      <w:r>
        <w:rPr>
          <w:rFonts w:ascii="Verdana" w:hAnsi="Verdana"/>
          <w:lang w:val="en-US"/>
        </w:rPr>
        <w:t>Besides these hypotheses we will look at the impact the crisis had got on the level of earnings management that was performed. Because of the bad economy it is expected that the incentives for the management to perform big bath accounting and income smoothing have increased. More than ever have companies got a good excuse to show lower results than usual and take a big bath.</w:t>
      </w:r>
    </w:p>
    <w:p w:rsidR="00585016" w:rsidRDefault="00585016" w:rsidP="00585016">
      <w:pPr>
        <w:pStyle w:val="BodyText"/>
        <w:rPr>
          <w:rFonts w:ascii="Verdana" w:hAnsi="Verdana"/>
          <w:lang w:val="en-US"/>
        </w:rPr>
      </w:pPr>
      <w:r>
        <w:rPr>
          <w:rFonts w:ascii="Verdana" w:hAnsi="Verdana"/>
          <w:lang w:val="en-US"/>
        </w:rPr>
        <w:t xml:space="preserve">That managers use excuses to perform earning management is also shown by the research of </w:t>
      </w:r>
      <w:proofErr w:type="spellStart"/>
      <w:r>
        <w:rPr>
          <w:rFonts w:ascii="Verdana" w:hAnsi="Verdana"/>
          <w:lang w:val="en-US"/>
        </w:rPr>
        <w:t>Sevin</w:t>
      </w:r>
      <w:proofErr w:type="spellEnd"/>
      <w:r>
        <w:rPr>
          <w:rFonts w:ascii="Verdana" w:hAnsi="Verdana"/>
          <w:lang w:val="en-US"/>
        </w:rPr>
        <w:t xml:space="preserve"> and Schroeder (2005). They inves</w:t>
      </w:r>
      <w:r w:rsidR="006B7FA6">
        <w:rPr>
          <w:rFonts w:ascii="Verdana" w:hAnsi="Verdana"/>
          <w:lang w:val="en-US"/>
        </w:rPr>
        <w:t>tigated if the adoption of SFAS</w:t>
      </w:r>
      <w:r>
        <w:rPr>
          <w:rFonts w:ascii="Verdana" w:hAnsi="Verdana"/>
          <w:lang w:val="en-US"/>
        </w:rPr>
        <w:t xml:space="preserve"> 142 had the effect on companies that they engaged in earnings management. They found that a significantly greater part of firms indeed reported negative earnings in the year of SFAS 142 adoption. This is an interesting result and it would indicate that managers are more likely to perform earnings management when there are external factors which give them an opportunity to get away with less positive results than normal.</w:t>
      </w:r>
    </w:p>
    <w:p w:rsidR="00585016" w:rsidRDefault="00585016" w:rsidP="00585016">
      <w:pPr>
        <w:pStyle w:val="BodyText"/>
        <w:rPr>
          <w:rFonts w:ascii="Verdana" w:hAnsi="Verdana"/>
          <w:lang w:val="en-US"/>
        </w:rPr>
      </w:pPr>
      <w:r>
        <w:rPr>
          <w:rFonts w:ascii="Verdana" w:hAnsi="Verdana"/>
          <w:lang w:val="en-US"/>
        </w:rPr>
        <w:t>Next to this the management has more incentives to diminish their positive results because of the crisis. This is also shown th</w:t>
      </w:r>
      <w:r w:rsidR="006B7FA6">
        <w:rPr>
          <w:rFonts w:ascii="Verdana" w:hAnsi="Verdana"/>
          <w:lang w:val="en-US"/>
        </w:rPr>
        <w:t>r</w:t>
      </w:r>
      <w:r>
        <w:rPr>
          <w:rFonts w:ascii="Verdana" w:hAnsi="Verdana"/>
          <w:lang w:val="en-US"/>
        </w:rPr>
        <w:t>ough the political cost hypothesis and income smoothing. Because of the crisis, companies who are doing good will stand out even more and will have more incentive to weaken their results. Next to this, when a company has got a good year, the management is more inclined to make larger impairments so that they do not have to make these impairments in the coming years when the performance of the company could be getting dissatisfactory.</w:t>
      </w:r>
    </w:p>
    <w:p w:rsidR="00585016" w:rsidRDefault="00585016" w:rsidP="00585016">
      <w:pPr>
        <w:pStyle w:val="BodyText"/>
        <w:rPr>
          <w:rFonts w:ascii="Verdana" w:hAnsi="Verdana"/>
          <w:lang w:val="en-US"/>
        </w:rPr>
      </w:pPr>
      <w:r>
        <w:rPr>
          <w:rFonts w:ascii="Verdana" w:hAnsi="Verdana"/>
          <w:lang w:val="en-US"/>
        </w:rPr>
        <w:lastRenderedPageBreak/>
        <w:t xml:space="preserve">On basis hereof the following </w:t>
      </w:r>
      <w:r w:rsidR="003A17B6">
        <w:rPr>
          <w:rFonts w:ascii="Verdana" w:hAnsi="Verdana"/>
          <w:lang w:val="en-US"/>
        </w:rPr>
        <w:t>hypotheses H3.</w:t>
      </w:r>
      <w:r w:rsidR="00D6320E">
        <w:rPr>
          <w:rFonts w:ascii="Verdana" w:hAnsi="Verdana"/>
          <w:lang w:val="en-US"/>
        </w:rPr>
        <w:t>0</w:t>
      </w:r>
      <w:r w:rsidR="003A17B6">
        <w:rPr>
          <w:rFonts w:ascii="Verdana" w:hAnsi="Verdana"/>
          <w:lang w:val="en-US"/>
        </w:rPr>
        <w:t xml:space="preserve"> and H3.</w:t>
      </w:r>
      <w:r w:rsidR="00D6320E">
        <w:rPr>
          <w:rFonts w:ascii="Verdana" w:hAnsi="Verdana"/>
          <w:lang w:val="en-US"/>
        </w:rPr>
        <w:t>1</w:t>
      </w:r>
      <w:r w:rsidR="003A17B6">
        <w:rPr>
          <w:rFonts w:ascii="Verdana" w:hAnsi="Verdana"/>
          <w:lang w:val="en-US"/>
        </w:rPr>
        <w:t xml:space="preserve"> can be</w:t>
      </w:r>
      <w:r>
        <w:rPr>
          <w:rFonts w:ascii="Verdana" w:hAnsi="Verdana"/>
          <w:lang w:val="en-US"/>
        </w:rPr>
        <w:t xml:space="preserve"> formed:</w:t>
      </w:r>
    </w:p>
    <w:p w:rsidR="00585016" w:rsidRDefault="00585016" w:rsidP="00585016">
      <w:pPr>
        <w:pStyle w:val="BodyText"/>
        <w:ind w:left="720"/>
        <w:rPr>
          <w:rFonts w:ascii="Verdana" w:hAnsi="Verdana"/>
          <w:i/>
          <w:lang w:val="en-US"/>
        </w:rPr>
      </w:pPr>
      <w:r>
        <w:rPr>
          <w:rFonts w:ascii="Verdana" w:hAnsi="Verdana"/>
          <w:i/>
          <w:lang w:val="en-US"/>
        </w:rPr>
        <w:t>H3</w:t>
      </w:r>
      <w:r w:rsidR="003A17B6">
        <w:rPr>
          <w:rFonts w:ascii="Verdana" w:hAnsi="Verdana"/>
          <w:i/>
          <w:lang w:val="en-US"/>
        </w:rPr>
        <w:t>.</w:t>
      </w:r>
      <w:r w:rsidR="00D6320E">
        <w:rPr>
          <w:rFonts w:ascii="Verdana" w:hAnsi="Verdana"/>
          <w:i/>
          <w:lang w:val="en-US"/>
        </w:rPr>
        <w:t>0</w:t>
      </w:r>
      <w:r>
        <w:rPr>
          <w:rFonts w:ascii="Verdana" w:hAnsi="Verdana"/>
          <w:i/>
          <w:lang w:val="en-US"/>
        </w:rPr>
        <w:t>: Due to the crisis the incentive for management to perform earnings management has increased.</w:t>
      </w:r>
    </w:p>
    <w:p w:rsidR="003A17B6" w:rsidRDefault="003A17B6" w:rsidP="003A17B6">
      <w:pPr>
        <w:pStyle w:val="BodyText"/>
        <w:ind w:left="720"/>
        <w:rPr>
          <w:rFonts w:ascii="Verdana" w:hAnsi="Verdana"/>
          <w:i/>
          <w:lang w:val="en-US"/>
        </w:rPr>
      </w:pPr>
      <w:r>
        <w:rPr>
          <w:rFonts w:ascii="Verdana" w:hAnsi="Verdana"/>
          <w:i/>
          <w:lang w:val="en-US"/>
        </w:rPr>
        <w:t>H3.</w:t>
      </w:r>
      <w:r w:rsidR="00D6320E">
        <w:rPr>
          <w:rFonts w:ascii="Verdana" w:hAnsi="Verdana"/>
          <w:i/>
          <w:lang w:val="en-US"/>
        </w:rPr>
        <w:t>1</w:t>
      </w:r>
      <w:r>
        <w:rPr>
          <w:rFonts w:ascii="Verdana" w:hAnsi="Verdana"/>
          <w:i/>
          <w:lang w:val="en-US"/>
        </w:rPr>
        <w:t>: Due to the crisis the incentive for management to perform earnings management has not increased.</w:t>
      </w:r>
    </w:p>
    <w:p w:rsidR="00585016" w:rsidRDefault="00585016" w:rsidP="003A17B6">
      <w:pPr>
        <w:pStyle w:val="BodyText"/>
        <w:rPr>
          <w:rFonts w:ascii="Verdana" w:hAnsi="Verdana"/>
          <w:lang w:val="en-US"/>
        </w:rPr>
      </w:pPr>
    </w:p>
    <w:p w:rsidR="00AD7727" w:rsidRPr="00AD7727" w:rsidRDefault="003C65C6" w:rsidP="00155504">
      <w:pPr>
        <w:pStyle w:val="BodyText"/>
        <w:rPr>
          <w:rFonts w:ascii="Verdana" w:hAnsi="Verdana"/>
          <w:sz w:val="16"/>
          <w:szCs w:val="16"/>
          <w:lang w:val="en-US"/>
        </w:rPr>
      </w:pPr>
      <w:r>
        <w:rPr>
          <w:rFonts w:ascii="Verdana" w:hAnsi="Verdana"/>
          <w:lang w:val="en-US"/>
        </w:rPr>
        <w:t>Based on these</w:t>
      </w:r>
      <w:r w:rsidR="003A17B6">
        <w:rPr>
          <w:rFonts w:ascii="Verdana" w:hAnsi="Verdana"/>
          <w:lang w:val="en-US"/>
        </w:rPr>
        <w:t xml:space="preserve"> </w:t>
      </w:r>
      <w:r>
        <w:rPr>
          <w:rFonts w:ascii="Verdana" w:hAnsi="Verdana"/>
          <w:lang w:val="en-US"/>
        </w:rPr>
        <w:t>3</w:t>
      </w:r>
      <w:r w:rsidR="003A17B6">
        <w:rPr>
          <w:rFonts w:ascii="Verdana" w:hAnsi="Verdana"/>
          <w:lang w:val="en-US"/>
        </w:rPr>
        <w:t xml:space="preserve"> </w:t>
      </w:r>
      <w:r w:rsidR="00940CF6">
        <w:rPr>
          <w:rFonts w:ascii="Verdana" w:hAnsi="Verdana"/>
          <w:lang w:val="en-US"/>
        </w:rPr>
        <w:t>hypotheses</w:t>
      </w:r>
      <w:r>
        <w:rPr>
          <w:rFonts w:ascii="Verdana" w:hAnsi="Verdana"/>
          <w:lang w:val="en-US"/>
        </w:rPr>
        <w:t>, the</w:t>
      </w:r>
      <w:r w:rsidR="00AD7727">
        <w:rPr>
          <w:rFonts w:ascii="Verdana" w:hAnsi="Verdana"/>
          <w:lang w:val="en-US"/>
        </w:rPr>
        <w:t xml:space="preserve"> possible</w:t>
      </w:r>
      <w:r>
        <w:rPr>
          <w:rFonts w:ascii="Verdana" w:hAnsi="Verdana"/>
          <w:lang w:val="en-US"/>
        </w:rPr>
        <w:t xml:space="preserve"> outcome</w:t>
      </w:r>
      <w:r w:rsidR="00AD7727">
        <w:rPr>
          <w:rFonts w:ascii="Verdana" w:hAnsi="Verdana"/>
          <w:lang w:val="en-US"/>
        </w:rPr>
        <w:t>s</w:t>
      </w:r>
      <w:r>
        <w:rPr>
          <w:rFonts w:ascii="Verdana" w:hAnsi="Verdana"/>
          <w:lang w:val="en-US"/>
        </w:rPr>
        <w:t xml:space="preserve"> of this thesis</w:t>
      </w:r>
      <w:r w:rsidR="00AD7727">
        <w:rPr>
          <w:rFonts w:ascii="Verdana" w:hAnsi="Verdana"/>
          <w:lang w:val="en-US"/>
        </w:rPr>
        <w:t xml:space="preserve"> can be predicted. Important to keep in mind is that in order to investigate hypothesis 3, the hypotheses 1 and 2 will be performed individually for th</w:t>
      </w:r>
      <w:r w:rsidR="004755B9">
        <w:rPr>
          <w:rFonts w:ascii="Verdana" w:hAnsi="Verdana"/>
          <w:lang w:val="en-US"/>
        </w:rPr>
        <w:t>e years 2007 and 2009. Also, hypothesis 3 can be rejected for hypothesis 1 but at the same time be accepted for hypothesis 2. This gives 6 different options</w:t>
      </w:r>
      <w:r w:rsidR="00155504">
        <w:rPr>
          <w:rFonts w:ascii="Verdana" w:hAnsi="Verdana"/>
          <w:lang w:val="en-US"/>
        </w:rPr>
        <w:t xml:space="preserve"> of acceptance and rejection</w:t>
      </w:r>
      <w:r w:rsidR="004755B9">
        <w:rPr>
          <w:rFonts w:ascii="Verdana" w:hAnsi="Verdana"/>
          <w:lang w:val="en-US"/>
        </w:rPr>
        <w:t xml:space="preserve"> and therefor</w:t>
      </w:r>
      <w:r w:rsidR="007A0B11">
        <w:rPr>
          <w:rFonts w:ascii="Verdana" w:hAnsi="Verdana"/>
          <w:lang w:val="en-US"/>
        </w:rPr>
        <w:t>e</w:t>
      </w:r>
      <w:r w:rsidR="004755B9">
        <w:rPr>
          <w:rFonts w:ascii="Verdana" w:hAnsi="Verdana"/>
          <w:lang w:val="en-US"/>
        </w:rPr>
        <w:t xml:space="preserve"> 64 different theoretical outcomes. For an overview see Appendix</w:t>
      </w:r>
      <w:r w:rsidR="00F70FA7">
        <w:rPr>
          <w:rFonts w:ascii="Verdana" w:hAnsi="Verdana"/>
          <w:lang w:val="en-US"/>
        </w:rPr>
        <w:t xml:space="preserve"> 2.</w:t>
      </w:r>
      <w:r w:rsidR="00155504">
        <w:rPr>
          <w:rFonts w:ascii="Verdana" w:hAnsi="Verdana"/>
          <w:lang w:val="en-US"/>
        </w:rPr>
        <w:t xml:space="preserve"> </w:t>
      </w:r>
      <w:r w:rsidR="00155504" w:rsidRPr="00155504">
        <w:rPr>
          <w:rFonts w:ascii="Verdana" w:hAnsi="Verdana"/>
          <w:lang w:val="en-US"/>
        </w:rPr>
        <w:t>Theoretical outcomes</w:t>
      </w:r>
      <w:r w:rsidR="00155504">
        <w:rPr>
          <w:rFonts w:ascii="Verdana" w:hAnsi="Verdana"/>
          <w:lang w:val="en-US"/>
        </w:rPr>
        <w:t>.</w:t>
      </w:r>
    </w:p>
    <w:p w:rsidR="00FE6BFE" w:rsidRDefault="003C65C6" w:rsidP="003A17B6">
      <w:pPr>
        <w:pStyle w:val="BodyText"/>
        <w:rPr>
          <w:rFonts w:ascii="Verdana" w:hAnsi="Verdana"/>
          <w:lang w:val="en-US"/>
        </w:rPr>
      </w:pPr>
      <w:r>
        <w:rPr>
          <w:rFonts w:ascii="Verdana" w:hAnsi="Verdana"/>
          <w:lang w:val="en-US"/>
        </w:rPr>
        <w:t xml:space="preserve">Based on the hypotheses </w:t>
      </w:r>
      <w:r w:rsidR="00012358">
        <w:rPr>
          <w:rFonts w:ascii="Verdana" w:hAnsi="Verdana"/>
          <w:lang w:val="en-US"/>
        </w:rPr>
        <w:t>several</w:t>
      </w:r>
      <w:r w:rsidR="00155504">
        <w:rPr>
          <w:rFonts w:ascii="Verdana" w:hAnsi="Verdana"/>
          <w:lang w:val="en-US"/>
        </w:rPr>
        <w:t xml:space="preserve"> options are not possible. </w:t>
      </w:r>
      <w:r w:rsidR="00FE6BFE">
        <w:rPr>
          <w:rFonts w:ascii="Verdana" w:hAnsi="Verdana"/>
          <w:lang w:val="en-US"/>
        </w:rPr>
        <w:t>These options are caused by one of two situations:</w:t>
      </w:r>
    </w:p>
    <w:p w:rsidR="00F740D4" w:rsidRDefault="00FE6BFE" w:rsidP="003A17B6">
      <w:pPr>
        <w:pStyle w:val="BodyText"/>
        <w:rPr>
          <w:rFonts w:ascii="Verdana" w:hAnsi="Verdana"/>
          <w:lang w:val="en-US"/>
        </w:rPr>
      </w:pPr>
      <w:r>
        <w:rPr>
          <w:rFonts w:ascii="Verdana" w:hAnsi="Verdana"/>
          <w:lang w:val="en-US"/>
        </w:rPr>
        <w:t>1. T</w:t>
      </w:r>
      <w:r w:rsidR="00155504">
        <w:rPr>
          <w:rFonts w:ascii="Verdana" w:hAnsi="Verdana"/>
          <w:lang w:val="en-US"/>
        </w:rPr>
        <w:t xml:space="preserve">he options for which </w:t>
      </w:r>
      <w:r w:rsidR="00D6320E">
        <w:rPr>
          <w:rFonts w:ascii="Verdana" w:hAnsi="Verdana"/>
          <w:lang w:val="en-US"/>
        </w:rPr>
        <w:t>hypothesis H1.0 or H2.0</w:t>
      </w:r>
      <w:r w:rsidR="00F740D4">
        <w:rPr>
          <w:rFonts w:ascii="Verdana" w:hAnsi="Verdana"/>
          <w:lang w:val="en-US"/>
        </w:rPr>
        <w:t xml:space="preserve"> is rejected for both 2007 and 2009 and hypothesis H3.</w:t>
      </w:r>
      <w:r w:rsidR="00D6320E">
        <w:rPr>
          <w:rFonts w:ascii="Verdana" w:hAnsi="Verdana"/>
          <w:lang w:val="en-US"/>
        </w:rPr>
        <w:t>0</w:t>
      </w:r>
      <w:r w:rsidR="00F740D4">
        <w:rPr>
          <w:rFonts w:ascii="Verdana" w:hAnsi="Verdana"/>
          <w:lang w:val="en-US"/>
        </w:rPr>
        <w:t xml:space="preserve"> is accepted. Seen as there is no significant effect</w:t>
      </w:r>
      <w:r w:rsidR="00012358">
        <w:rPr>
          <w:rFonts w:ascii="Verdana" w:hAnsi="Verdana"/>
          <w:lang w:val="en-US"/>
        </w:rPr>
        <w:t xml:space="preserve"> noted in both years</w:t>
      </w:r>
      <w:r w:rsidR="00F740D4">
        <w:rPr>
          <w:rFonts w:ascii="Verdana" w:hAnsi="Verdana"/>
          <w:lang w:val="en-US"/>
        </w:rPr>
        <w:t xml:space="preserve">, it can also not be increased. </w:t>
      </w:r>
      <w:r>
        <w:rPr>
          <w:rFonts w:ascii="Verdana" w:hAnsi="Verdana"/>
          <w:lang w:val="en-US"/>
        </w:rPr>
        <w:t xml:space="preserve">For the options which this concerns refer to the pink selection in Appendix </w:t>
      </w:r>
      <w:r w:rsidR="00F70FA7">
        <w:rPr>
          <w:rFonts w:ascii="Verdana" w:hAnsi="Verdana"/>
          <w:lang w:val="en-US"/>
        </w:rPr>
        <w:t>2.</w:t>
      </w:r>
      <w:r>
        <w:rPr>
          <w:rFonts w:ascii="Verdana" w:hAnsi="Verdana"/>
          <w:lang w:val="en-US"/>
        </w:rPr>
        <w:t xml:space="preserve"> </w:t>
      </w:r>
      <w:r w:rsidRPr="00155504">
        <w:rPr>
          <w:rFonts w:ascii="Verdana" w:hAnsi="Verdana"/>
          <w:lang w:val="en-US"/>
        </w:rPr>
        <w:t>Theoretical outcomes</w:t>
      </w:r>
      <w:r>
        <w:rPr>
          <w:rFonts w:ascii="Verdana" w:hAnsi="Verdana"/>
          <w:lang w:val="en-US"/>
        </w:rPr>
        <w:t>.</w:t>
      </w:r>
    </w:p>
    <w:p w:rsidR="00FE6BFE" w:rsidRDefault="00FE6BFE" w:rsidP="003A17B6">
      <w:pPr>
        <w:pStyle w:val="BodyText"/>
        <w:rPr>
          <w:rFonts w:ascii="Verdana" w:hAnsi="Verdana"/>
          <w:lang w:val="en-US"/>
        </w:rPr>
      </w:pPr>
      <w:r>
        <w:rPr>
          <w:rFonts w:ascii="Verdana" w:hAnsi="Verdana"/>
          <w:lang w:val="en-US"/>
        </w:rPr>
        <w:t>2. The options for which hypothesis H1.</w:t>
      </w:r>
      <w:r w:rsidR="00D6320E">
        <w:rPr>
          <w:rFonts w:ascii="Verdana" w:hAnsi="Verdana"/>
          <w:lang w:val="en-US"/>
        </w:rPr>
        <w:t>0</w:t>
      </w:r>
      <w:r>
        <w:rPr>
          <w:rFonts w:ascii="Verdana" w:hAnsi="Verdana"/>
          <w:lang w:val="en-US"/>
        </w:rPr>
        <w:t xml:space="preserve"> or H2.</w:t>
      </w:r>
      <w:r w:rsidR="00D6320E">
        <w:rPr>
          <w:rFonts w:ascii="Verdana" w:hAnsi="Verdana"/>
          <w:lang w:val="en-US"/>
        </w:rPr>
        <w:t>0</w:t>
      </w:r>
      <w:r>
        <w:rPr>
          <w:rFonts w:ascii="Verdana" w:hAnsi="Verdana"/>
          <w:lang w:val="en-US"/>
        </w:rPr>
        <w:t xml:space="preserve"> is accepted for 2007 but rejected for 2009. Seen as there is no significant effect, it cannot be increased for 2009. For the options which this concerns refer to the l</w:t>
      </w:r>
      <w:r w:rsidR="00F70FA7">
        <w:rPr>
          <w:rFonts w:ascii="Verdana" w:hAnsi="Verdana"/>
          <w:lang w:val="en-US"/>
        </w:rPr>
        <w:t>ight red selection in Appendix 2.</w:t>
      </w:r>
      <w:r>
        <w:rPr>
          <w:rFonts w:ascii="Verdana" w:hAnsi="Verdana"/>
          <w:lang w:val="en-US"/>
        </w:rPr>
        <w:t xml:space="preserve"> </w:t>
      </w:r>
      <w:r w:rsidRPr="00155504">
        <w:rPr>
          <w:rFonts w:ascii="Verdana" w:hAnsi="Verdana"/>
          <w:lang w:val="en-US"/>
        </w:rPr>
        <w:t>Theoretical outcomes</w:t>
      </w:r>
      <w:r>
        <w:rPr>
          <w:rFonts w:ascii="Verdana" w:hAnsi="Verdana"/>
          <w:lang w:val="en-US"/>
        </w:rPr>
        <w:t>.</w:t>
      </w:r>
    </w:p>
    <w:p w:rsidR="003C65C6" w:rsidRPr="003A17B6" w:rsidRDefault="00FE6BFE" w:rsidP="003A17B6">
      <w:pPr>
        <w:pStyle w:val="BodyText"/>
        <w:rPr>
          <w:rFonts w:ascii="Verdana" w:hAnsi="Verdana"/>
          <w:lang w:val="en-US"/>
        </w:rPr>
      </w:pPr>
      <w:r>
        <w:rPr>
          <w:rFonts w:ascii="Verdana" w:hAnsi="Verdana"/>
          <w:lang w:val="en-US"/>
        </w:rPr>
        <w:t xml:space="preserve">This leaves 36 possible outcomes for this thesis based on the above </w:t>
      </w:r>
      <w:r w:rsidR="00DD2C03">
        <w:rPr>
          <w:rFonts w:ascii="Verdana" w:hAnsi="Verdana"/>
          <w:lang w:val="en-US"/>
        </w:rPr>
        <w:t>noted</w:t>
      </w:r>
      <w:r>
        <w:rPr>
          <w:rFonts w:ascii="Verdana" w:hAnsi="Verdana"/>
          <w:lang w:val="en-US"/>
        </w:rPr>
        <w:t xml:space="preserve"> hypotheses.</w:t>
      </w:r>
    </w:p>
    <w:p w:rsidR="003A17B6" w:rsidRDefault="003A17B6" w:rsidP="003A17B6">
      <w:pPr>
        <w:pStyle w:val="BodyText"/>
        <w:rPr>
          <w:rFonts w:ascii="Verdana" w:hAnsi="Verdana"/>
          <w:i/>
          <w:lang w:val="en-US"/>
        </w:rPr>
      </w:pPr>
    </w:p>
    <w:p w:rsidR="00585016" w:rsidRDefault="003C2D90" w:rsidP="006A628F">
      <w:pPr>
        <w:pStyle w:val="Heading2"/>
        <w:rPr>
          <w:lang w:val="en-US"/>
        </w:rPr>
      </w:pPr>
      <w:bookmarkStart w:id="45" w:name="_Toc359957148"/>
      <w:r>
        <w:rPr>
          <w:lang w:val="en-US"/>
        </w:rPr>
        <w:t>5</w:t>
      </w:r>
      <w:r w:rsidR="006A628F">
        <w:rPr>
          <w:lang w:val="en-US"/>
        </w:rPr>
        <w:t xml:space="preserve">.2 </w:t>
      </w:r>
      <w:r w:rsidR="00585016">
        <w:rPr>
          <w:lang w:val="en-US"/>
        </w:rPr>
        <w:t>Development of Model</w:t>
      </w:r>
      <w:bookmarkEnd w:id="45"/>
      <w:r w:rsidR="00E12614">
        <w:rPr>
          <w:lang w:val="en-US"/>
        </w:rPr>
        <w:br/>
      </w:r>
    </w:p>
    <w:p w:rsidR="00836882" w:rsidRDefault="00585016" w:rsidP="00585016">
      <w:pPr>
        <w:pStyle w:val="BodyText"/>
        <w:rPr>
          <w:rStyle w:val="Heading3Char"/>
        </w:rPr>
      </w:pPr>
      <w:r>
        <w:rPr>
          <w:rFonts w:ascii="Verdana" w:hAnsi="Verdana"/>
          <w:lang w:val="en-US"/>
        </w:rPr>
        <w:t xml:space="preserve">To be able to accept or reject the hypotheses it is necessary to have a model with which the hypotheses can be tested. Choosing the right statistical model is mainly dependent on the variables that you are working with. </w:t>
      </w:r>
      <w:r>
        <w:rPr>
          <w:rFonts w:ascii="Verdana" w:hAnsi="Verdana"/>
          <w:color w:val="auto"/>
          <w:lang w:val="en-US"/>
        </w:rPr>
        <w:t>Therefore the variables that will be needed to investigate the hypotheses will be discussed first. On basis of these variables the most appropriate statistical test method will then be chosen. Following the statistical method, the model will be developed. The model as described below does not have to be final. When the data is implemented and it appears that the model does not have the right explanatory power or if the variables are not significant the model will be adjusted where possible to</w:t>
      </w:r>
      <w:r w:rsidR="00DC1C3A">
        <w:rPr>
          <w:rFonts w:ascii="Verdana" w:hAnsi="Verdana"/>
          <w:color w:val="auto"/>
          <w:lang w:val="en-US"/>
        </w:rPr>
        <w:t xml:space="preserve"> obtain more conclusive results</w:t>
      </w:r>
      <w:r>
        <w:rPr>
          <w:rFonts w:ascii="Verdana" w:hAnsi="Verdana"/>
          <w:color w:val="auto"/>
          <w:lang w:val="en-US"/>
        </w:rPr>
        <w:t>.</w:t>
      </w:r>
      <w:r w:rsidR="00836882">
        <w:rPr>
          <w:rFonts w:ascii="Verdana" w:hAnsi="Verdana"/>
          <w:color w:val="auto"/>
          <w:lang w:val="en-US"/>
        </w:rPr>
        <w:br/>
      </w:r>
    </w:p>
    <w:p w:rsidR="00585016" w:rsidRDefault="003C2D90" w:rsidP="00585016">
      <w:pPr>
        <w:pStyle w:val="BodyText"/>
        <w:rPr>
          <w:rFonts w:ascii="Verdana" w:hAnsi="Verdana"/>
          <w:lang w:val="en-US"/>
        </w:rPr>
      </w:pPr>
      <w:bookmarkStart w:id="46" w:name="_Toc359957149"/>
      <w:r>
        <w:rPr>
          <w:rStyle w:val="Heading3Char"/>
        </w:rPr>
        <w:t>5</w:t>
      </w:r>
      <w:r w:rsidR="00E12614">
        <w:rPr>
          <w:rStyle w:val="Heading3Char"/>
        </w:rPr>
        <w:t xml:space="preserve">.2.1 </w:t>
      </w:r>
      <w:r w:rsidR="00CC4062">
        <w:rPr>
          <w:rStyle w:val="Heading3Char"/>
        </w:rPr>
        <w:t xml:space="preserve">Types of </w:t>
      </w:r>
      <w:r w:rsidR="00585016" w:rsidRPr="00E12614">
        <w:rPr>
          <w:rStyle w:val="Heading3Char"/>
        </w:rPr>
        <w:t>Variables</w:t>
      </w:r>
      <w:bookmarkEnd w:id="46"/>
      <w:r w:rsidR="00E12614">
        <w:rPr>
          <w:rStyle w:val="Heading3Char"/>
        </w:rPr>
        <w:br/>
      </w:r>
      <w:r w:rsidR="00585016" w:rsidRPr="00E12614">
        <w:rPr>
          <w:rStyle w:val="Heading3Char"/>
        </w:rPr>
        <w:br/>
      </w:r>
      <w:r w:rsidR="00585016">
        <w:rPr>
          <w:rFonts w:ascii="Verdana" w:hAnsi="Verdana"/>
          <w:lang w:val="en-US"/>
        </w:rPr>
        <w:t xml:space="preserve">A statistical study examines the relation between variables. These variables are measured on the same individuals. Sometimes one of the variables can explain or </w:t>
      </w:r>
      <w:r w:rsidR="00585016">
        <w:rPr>
          <w:rFonts w:ascii="Verdana" w:hAnsi="Verdana"/>
          <w:lang w:val="en-US"/>
        </w:rPr>
        <w:lastRenderedPageBreak/>
        <w:t xml:space="preserve">influence the other variable. Such an explanatory variable is called an independent variable. The variable that is explained or influenced is called a dependent variable. On basis of the hypotheses the impairment decision is the dependent variable. As </w:t>
      </w:r>
      <w:r w:rsidR="00DD2C03">
        <w:rPr>
          <w:rFonts w:ascii="Verdana" w:hAnsi="Verdana"/>
          <w:lang w:val="en-US"/>
        </w:rPr>
        <w:t>signaled</w:t>
      </w:r>
      <w:r w:rsidR="00585016">
        <w:rPr>
          <w:rFonts w:ascii="Verdana" w:hAnsi="Verdana"/>
          <w:lang w:val="en-US"/>
        </w:rPr>
        <w:t xml:space="preserve"> in the previous chapter, development of hypotheses, the dependent variable is influenced by several variables. Based on this information there are several statistical test methods suitable to perform the research. The table below shows several guidelines for tests to choose from</w:t>
      </w:r>
      <w:r w:rsidR="00DC1C3A">
        <w:rPr>
          <w:rFonts w:ascii="Verdana" w:hAnsi="Verdana"/>
          <w:lang w:val="en-US"/>
        </w:rPr>
        <w:t>,</w:t>
      </w:r>
      <w:r w:rsidR="00585016">
        <w:rPr>
          <w:rFonts w:ascii="Verdana" w:hAnsi="Verdana"/>
          <w:lang w:val="en-US"/>
        </w:rPr>
        <w:t xml:space="preserve"> given a specific set of independent and dependent variables:</w:t>
      </w:r>
    </w:p>
    <w:tbl>
      <w:tblPr>
        <w:tblStyle w:val="ColorfulList-Accent3"/>
        <w:tblW w:w="0" w:type="auto"/>
        <w:tblLook w:val="04A0" w:firstRow="1" w:lastRow="0" w:firstColumn="1" w:lastColumn="0" w:noHBand="0" w:noVBand="1"/>
      </w:tblPr>
      <w:tblGrid>
        <w:gridCol w:w="3020"/>
        <w:gridCol w:w="2860"/>
        <w:gridCol w:w="2320"/>
      </w:tblGrid>
      <w:tr w:rsidR="00585016" w:rsidTr="00DC1C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tcBorders>
              <w:top w:val="nil"/>
              <w:left w:val="nil"/>
              <w:right w:val="nil"/>
            </w:tcBorders>
            <w:shd w:val="clear" w:color="auto" w:fill="00B0F0"/>
            <w:noWrap/>
            <w:hideMark/>
          </w:tcPr>
          <w:p w:rsidR="00585016" w:rsidRPr="00DC1C3A" w:rsidRDefault="00585016">
            <w:pPr>
              <w:pStyle w:val="BodyText"/>
              <w:jc w:val="center"/>
              <w:rPr>
                <w:rFonts w:ascii="Arial" w:hAnsi="Arial" w:cs="Arial"/>
                <w:color w:val="FFFFFF" w:themeColor="background1"/>
                <w:sz w:val="20"/>
                <w:szCs w:val="20"/>
              </w:rPr>
            </w:pPr>
            <w:r w:rsidRPr="00DC1C3A">
              <w:rPr>
                <w:rFonts w:ascii="Arial" w:hAnsi="Arial" w:cs="Arial"/>
                <w:color w:val="FFFFFF" w:themeColor="background1"/>
                <w:sz w:val="20"/>
                <w:szCs w:val="20"/>
              </w:rPr>
              <w:t>Nature of independent variables</w:t>
            </w:r>
          </w:p>
        </w:tc>
        <w:tc>
          <w:tcPr>
            <w:tcW w:w="2860" w:type="dxa"/>
            <w:tcBorders>
              <w:top w:val="nil"/>
              <w:left w:val="nil"/>
              <w:bottom w:val="single" w:sz="4" w:space="0" w:color="FFFFFF" w:themeColor="background1"/>
              <w:right w:val="nil"/>
            </w:tcBorders>
            <w:shd w:val="clear" w:color="auto" w:fill="00B0F0"/>
            <w:noWrap/>
            <w:hideMark/>
          </w:tcPr>
          <w:p w:rsidR="00585016" w:rsidRPr="00DC1C3A" w:rsidRDefault="00585016">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C1C3A">
              <w:rPr>
                <w:rFonts w:ascii="Arial" w:hAnsi="Arial" w:cs="Arial"/>
                <w:color w:val="FFFFFF" w:themeColor="background1"/>
                <w:sz w:val="20"/>
                <w:szCs w:val="20"/>
              </w:rPr>
              <w:t>Nature of dependent variable</w:t>
            </w:r>
          </w:p>
        </w:tc>
        <w:tc>
          <w:tcPr>
            <w:tcW w:w="2320" w:type="dxa"/>
            <w:tcBorders>
              <w:top w:val="nil"/>
              <w:left w:val="nil"/>
              <w:right w:val="nil"/>
            </w:tcBorders>
            <w:shd w:val="clear" w:color="auto" w:fill="00B0F0"/>
            <w:noWrap/>
            <w:hideMark/>
          </w:tcPr>
          <w:p w:rsidR="00585016" w:rsidRPr="00DC1C3A" w:rsidRDefault="00585016">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C1C3A">
              <w:rPr>
                <w:rFonts w:ascii="Arial" w:hAnsi="Arial" w:cs="Arial"/>
                <w:color w:val="FFFFFF" w:themeColor="background1"/>
                <w:sz w:val="20"/>
                <w:szCs w:val="20"/>
              </w:rPr>
              <w:t>Test</w:t>
            </w:r>
          </w:p>
        </w:tc>
      </w:tr>
      <w:tr w:rsidR="00DC1C3A" w:rsidTr="00DC1C3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val="restart"/>
            <w:tcBorders>
              <w:top w:val="single" w:sz="12" w:space="0" w:color="FFFFFF" w:themeColor="background1"/>
              <w:left w:val="nil"/>
              <w:right w:val="single" w:sz="8" w:space="0" w:color="89E0FF"/>
            </w:tcBorders>
            <w:shd w:val="clear" w:color="auto" w:fill="0070C0"/>
            <w:vAlign w:val="center"/>
            <w:hideMark/>
          </w:tcPr>
          <w:p w:rsidR="00DC1C3A" w:rsidRPr="00DC1C3A" w:rsidRDefault="00DC1C3A" w:rsidP="00DC1C3A">
            <w:pPr>
              <w:rPr>
                <w:rFonts w:ascii="Arial" w:eastAsia="Times New Roman" w:hAnsi="Arial" w:cs="Arial"/>
                <w:color w:val="FFFFFF" w:themeColor="background1"/>
                <w:sz w:val="20"/>
                <w:szCs w:val="20"/>
                <w:lang w:val="en-US" w:eastAsia="nl-NL"/>
              </w:rPr>
            </w:pPr>
            <w:r w:rsidRPr="00DC1C3A">
              <w:rPr>
                <w:rFonts w:ascii="Arial" w:eastAsia="Times New Roman" w:hAnsi="Arial" w:cs="Arial"/>
                <w:b w:val="0"/>
                <w:bCs w:val="0"/>
                <w:color w:val="FFFFFF" w:themeColor="background1"/>
                <w:sz w:val="20"/>
                <w:szCs w:val="20"/>
                <w:lang w:val="en-US" w:eastAsia="nl-NL"/>
              </w:rPr>
              <w:t xml:space="preserve">2 or more independent variables (independent </w:t>
            </w:r>
          </w:p>
          <w:p w:rsidR="00DC1C3A" w:rsidRPr="00DC1C3A" w:rsidRDefault="00DC1C3A" w:rsidP="00DC1C3A">
            <w:pPr>
              <w:rPr>
                <w:rFonts w:ascii="Arial" w:eastAsia="Times New Roman" w:hAnsi="Arial" w:cs="Arial"/>
                <w:b w:val="0"/>
                <w:bCs w:val="0"/>
                <w:sz w:val="20"/>
                <w:szCs w:val="20"/>
                <w:lang w:val="en-US" w:eastAsia="nl-NL"/>
              </w:rPr>
            </w:pPr>
            <w:r w:rsidRPr="00DC1C3A">
              <w:rPr>
                <w:rFonts w:ascii="Arial" w:eastAsia="Times New Roman" w:hAnsi="Arial" w:cs="Arial"/>
                <w:b w:val="0"/>
                <w:bCs w:val="0"/>
                <w:color w:val="FFFFFF" w:themeColor="background1"/>
                <w:sz w:val="20"/>
                <w:szCs w:val="20"/>
                <w:lang w:val="en-US" w:eastAsia="nl-NL"/>
              </w:rPr>
              <w:t>groups)</w:t>
            </w:r>
          </w:p>
        </w:tc>
        <w:tc>
          <w:tcPr>
            <w:tcW w:w="2860" w:type="dxa"/>
            <w:tcBorders>
              <w:top w:val="single" w:sz="4" w:space="0" w:color="FFFFFF" w:themeColor="background1"/>
              <w:left w:val="single" w:sz="8" w:space="0" w:color="89E0FF"/>
              <w:bottom w:val="single" w:sz="8" w:space="0" w:color="89E0FF"/>
              <w:right w:val="single" w:sz="8" w:space="0" w:color="89E0FF"/>
            </w:tcBorders>
            <w:shd w:val="clear" w:color="auto" w:fill="FFFFFF" w:themeFill="background1"/>
            <w:vAlign w:val="center"/>
            <w:hideMark/>
          </w:tcPr>
          <w:p w:rsidR="00DC1C3A" w:rsidRDefault="00DC1C3A" w:rsidP="00DC1C3A">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Interval &amp; ratio</w:t>
            </w:r>
          </w:p>
        </w:tc>
        <w:tc>
          <w:tcPr>
            <w:tcW w:w="2320" w:type="dxa"/>
            <w:tcBorders>
              <w:top w:val="single" w:sz="12" w:space="0" w:color="FFFFFF" w:themeColor="background1"/>
              <w:left w:val="single" w:sz="8" w:space="0" w:color="89E0FF"/>
              <w:bottom w:val="single" w:sz="8" w:space="0" w:color="89E0FF"/>
              <w:right w:val="nil"/>
            </w:tcBorders>
            <w:shd w:val="clear" w:color="auto" w:fill="FFFFFF" w:themeFill="background1"/>
            <w:hideMark/>
          </w:tcPr>
          <w:p w:rsidR="00DC1C3A" w:rsidRDefault="00DC1C3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factorial ANOVA</w:t>
            </w:r>
          </w:p>
        </w:tc>
      </w:tr>
      <w:tr w:rsidR="00DC1C3A" w:rsidTr="009B7C3F">
        <w:trPr>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right w:val="single" w:sz="8" w:space="0" w:color="89E0FF"/>
            </w:tcBorders>
            <w:shd w:val="clear" w:color="auto" w:fill="0070C0"/>
            <w:hideMark/>
          </w:tcPr>
          <w:p w:rsidR="00DC1C3A" w:rsidRPr="00DC1C3A" w:rsidRDefault="00DC1C3A" w:rsidP="00DC1C3A">
            <w:pPr>
              <w:rPr>
                <w:rFonts w:ascii="Arial" w:eastAsia="Times New Roman" w:hAnsi="Arial" w:cs="Arial"/>
                <w:b w:val="0"/>
                <w:bCs w:val="0"/>
                <w:color w:val="FFFFFF" w:themeColor="background1"/>
                <w:sz w:val="20"/>
                <w:szCs w:val="20"/>
                <w:lang w:val="nl-NL" w:eastAsia="nl-NL"/>
              </w:rPr>
            </w:pPr>
          </w:p>
        </w:tc>
        <w:tc>
          <w:tcPr>
            <w:tcW w:w="2860" w:type="dxa"/>
            <w:tcBorders>
              <w:top w:val="single" w:sz="8" w:space="0" w:color="89E0FF"/>
              <w:left w:val="single" w:sz="8" w:space="0" w:color="89E0FF"/>
              <w:bottom w:val="single" w:sz="8" w:space="0" w:color="89E0FF"/>
              <w:right w:val="single" w:sz="8" w:space="0" w:color="89E0FF"/>
            </w:tcBorders>
            <w:shd w:val="clear" w:color="auto" w:fill="FFFFFF" w:themeFill="background1"/>
            <w:vAlign w:val="center"/>
            <w:hideMark/>
          </w:tcPr>
          <w:p w:rsidR="00DC1C3A" w:rsidRDefault="00836882" w:rsidP="00DC1C3A">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DC1C3A">
              <w:rPr>
                <w:rFonts w:ascii="Arial" w:hAnsi="Arial" w:cs="Arial"/>
                <w:sz w:val="20"/>
                <w:szCs w:val="20"/>
              </w:rPr>
              <w:t>rdinal or interval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DC1C3A" w:rsidRDefault="00DC1C3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ordered logistic regression</w:t>
            </w:r>
          </w:p>
        </w:tc>
      </w:tr>
      <w:tr w:rsidR="00DC1C3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bottom w:val="single" w:sz="4" w:space="0" w:color="FFFFFF" w:themeColor="background1"/>
              <w:right w:val="single" w:sz="8" w:space="0" w:color="89E0FF"/>
            </w:tcBorders>
            <w:shd w:val="clear" w:color="auto" w:fill="0070C0"/>
            <w:hideMark/>
          </w:tcPr>
          <w:p w:rsidR="00DC1C3A" w:rsidRPr="00DC1C3A" w:rsidRDefault="00DC1C3A" w:rsidP="00DC1C3A">
            <w:pPr>
              <w:rPr>
                <w:rFonts w:ascii="Arial" w:eastAsia="Times New Roman" w:hAnsi="Arial" w:cs="Arial"/>
                <w:b w:val="0"/>
                <w:bCs w:val="0"/>
                <w:color w:val="FFFFFF" w:themeColor="background1"/>
                <w:sz w:val="20"/>
                <w:szCs w:val="20"/>
                <w:lang w:val="nl-NL" w:eastAsia="nl-NL"/>
              </w:rPr>
            </w:pPr>
          </w:p>
        </w:tc>
        <w:tc>
          <w:tcPr>
            <w:tcW w:w="2860" w:type="dxa"/>
            <w:tcBorders>
              <w:top w:val="single" w:sz="8" w:space="0" w:color="89E0FF"/>
              <w:left w:val="single" w:sz="8" w:space="0" w:color="89E0FF"/>
              <w:bottom w:val="single" w:sz="8" w:space="0" w:color="89E0FF"/>
              <w:right w:val="single" w:sz="8" w:space="0" w:color="89E0FF"/>
            </w:tcBorders>
            <w:shd w:val="clear" w:color="auto" w:fill="FFFFFF" w:themeFill="background1"/>
            <w:vAlign w:val="center"/>
            <w:hideMark/>
          </w:tcPr>
          <w:p w:rsidR="00DC1C3A" w:rsidRDefault="00DC1C3A" w:rsidP="00DC1C3A">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Categorical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DC1C3A" w:rsidRDefault="00DC1C3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factorial logistic regression</w:t>
            </w:r>
          </w:p>
        </w:tc>
      </w:tr>
      <w:tr w:rsidR="00DC1C3A" w:rsidTr="009B7C3F">
        <w:trPr>
          <w:trHeight w:val="184"/>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FFFFFF" w:themeColor="background1"/>
              <w:left w:val="nil"/>
              <w:bottom w:val="nil"/>
              <w:right w:val="single" w:sz="8" w:space="0" w:color="89E0FF"/>
            </w:tcBorders>
            <w:shd w:val="clear" w:color="auto" w:fill="0070C0"/>
            <w:hideMark/>
          </w:tcPr>
          <w:p w:rsidR="00DC1C3A" w:rsidRPr="00DC1C3A" w:rsidRDefault="00DC1C3A" w:rsidP="00DC1C3A">
            <w:pPr>
              <w:rPr>
                <w:rFonts w:ascii="Arial" w:eastAsia="Times New Roman" w:hAnsi="Arial" w:cs="Arial"/>
                <w:b w:val="0"/>
                <w:bCs w:val="0"/>
                <w:color w:val="FFFFFF" w:themeColor="background1"/>
                <w:sz w:val="20"/>
                <w:szCs w:val="20"/>
                <w:lang w:val="nl-NL" w:eastAsia="nl-NL"/>
              </w:rPr>
            </w:pPr>
            <w:r w:rsidRPr="00DC1C3A">
              <w:rPr>
                <w:rFonts w:ascii="Arial" w:eastAsia="Times New Roman" w:hAnsi="Arial" w:cs="Arial"/>
                <w:b w:val="0"/>
                <w:bCs w:val="0"/>
                <w:color w:val="FFFFFF" w:themeColor="background1"/>
                <w:sz w:val="20"/>
                <w:szCs w:val="20"/>
                <w:lang w:val="nl-NL" w:eastAsia="nl-NL"/>
              </w:rPr>
              <w:t>1 or more interval</w:t>
            </w:r>
          </w:p>
        </w:tc>
        <w:tc>
          <w:tcPr>
            <w:tcW w:w="2860" w:type="dxa"/>
            <w:vMerge w:val="restart"/>
            <w:tcBorders>
              <w:top w:val="single" w:sz="8" w:space="0" w:color="89E0FF"/>
              <w:left w:val="single" w:sz="8" w:space="0" w:color="89E0FF"/>
              <w:right w:val="single" w:sz="8" w:space="0" w:color="89E0FF"/>
            </w:tcBorders>
            <w:shd w:val="clear" w:color="auto" w:fill="FFFFFF" w:themeFill="background1"/>
            <w:vAlign w:val="center"/>
            <w:hideMark/>
          </w:tcPr>
          <w:p w:rsidR="00DC1C3A" w:rsidRDefault="00DC1C3A" w:rsidP="00DC1C3A">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Interval &amp; Ratio</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DC1C3A" w:rsidRDefault="00DC1C3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regression</w:t>
            </w:r>
          </w:p>
        </w:tc>
      </w:tr>
      <w:tr w:rsidR="00DC1C3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tcBorders>
              <w:top w:val="nil"/>
              <w:left w:val="nil"/>
              <w:bottom w:val="nil"/>
              <w:right w:val="single" w:sz="8" w:space="0" w:color="89E0FF"/>
            </w:tcBorders>
            <w:shd w:val="clear" w:color="auto" w:fill="0070C0"/>
            <w:hideMark/>
          </w:tcPr>
          <w:p w:rsidR="00DC1C3A" w:rsidRPr="00DC1C3A" w:rsidRDefault="00DC1C3A" w:rsidP="00DC1C3A">
            <w:pPr>
              <w:rPr>
                <w:rFonts w:ascii="Arial" w:eastAsia="Times New Roman" w:hAnsi="Arial" w:cs="Arial"/>
                <w:b w:val="0"/>
                <w:bCs w:val="0"/>
                <w:color w:val="FFFFFF" w:themeColor="background1"/>
                <w:sz w:val="20"/>
                <w:szCs w:val="20"/>
                <w:lang w:val="nl-NL" w:eastAsia="nl-NL"/>
              </w:rPr>
            </w:pPr>
            <w:r w:rsidRPr="00DC1C3A">
              <w:rPr>
                <w:rFonts w:ascii="Arial" w:eastAsia="Times New Roman" w:hAnsi="Arial" w:cs="Arial"/>
                <w:b w:val="0"/>
                <w:bCs w:val="0"/>
                <w:color w:val="FFFFFF" w:themeColor="background1"/>
                <w:sz w:val="20"/>
                <w:szCs w:val="20"/>
                <w:lang w:val="nl-NL" w:eastAsia="nl-NL"/>
              </w:rPr>
              <w:t xml:space="preserve">independent variables </w:t>
            </w:r>
            <w:proofErr w:type="spellStart"/>
            <w:r w:rsidRPr="00DC1C3A">
              <w:rPr>
                <w:rFonts w:ascii="Arial" w:eastAsia="Times New Roman" w:hAnsi="Arial" w:cs="Arial"/>
                <w:b w:val="0"/>
                <w:bCs w:val="0"/>
                <w:color w:val="FFFFFF" w:themeColor="background1"/>
                <w:sz w:val="20"/>
                <w:szCs w:val="20"/>
                <w:lang w:val="nl-NL" w:eastAsia="nl-NL"/>
              </w:rPr>
              <w:t>and</w:t>
            </w:r>
            <w:proofErr w:type="spellEnd"/>
            <w:r w:rsidRPr="00DC1C3A">
              <w:rPr>
                <w:rFonts w:ascii="Arial" w:eastAsia="Times New Roman" w:hAnsi="Arial" w:cs="Arial"/>
                <w:b w:val="0"/>
                <w:bCs w:val="0"/>
                <w:color w:val="FFFFFF" w:themeColor="background1"/>
                <w:sz w:val="20"/>
                <w:szCs w:val="20"/>
                <w:lang w:val="nl-NL" w:eastAsia="nl-NL"/>
              </w:rPr>
              <w:t xml:space="preserve">/or </w:t>
            </w:r>
          </w:p>
        </w:tc>
        <w:tc>
          <w:tcPr>
            <w:tcW w:w="2860" w:type="dxa"/>
            <w:vMerge/>
            <w:tcBorders>
              <w:left w:val="single" w:sz="8" w:space="0" w:color="89E0FF"/>
              <w:bottom w:val="single" w:sz="8" w:space="0" w:color="89E0FF"/>
              <w:right w:val="single" w:sz="8" w:space="0" w:color="89E0FF"/>
            </w:tcBorders>
            <w:shd w:val="clear" w:color="auto" w:fill="FFFFFF" w:themeFill="background1"/>
            <w:vAlign w:val="center"/>
            <w:hideMark/>
          </w:tcPr>
          <w:p w:rsidR="00DC1C3A" w:rsidRDefault="00DC1C3A" w:rsidP="00DC1C3A">
            <w:pPr>
              <w:cnfStyle w:val="000000100000" w:firstRow="0" w:lastRow="0" w:firstColumn="0" w:lastColumn="0" w:oddVBand="0" w:evenVBand="0" w:oddHBand="1" w:evenHBand="0" w:firstRowFirstColumn="0" w:firstRowLastColumn="0" w:lastRowFirstColumn="0" w:lastRowLastColumn="0"/>
            </w:pP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DC1C3A" w:rsidRDefault="00DC1C3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analysis of covariance</w:t>
            </w:r>
          </w:p>
        </w:tc>
      </w:tr>
      <w:tr w:rsidR="00DC1C3A" w:rsidTr="00DC1C3A">
        <w:trPr>
          <w:trHeight w:val="255"/>
        </w:trPr>
        <w:tc>
          <w:tcPr>
            <w:cnfStyle w:val="001000000000" w:firstRow="0" w:lastRow="0" w:firstColumn="1" w:lastColumn="0" w:oddVBand="0" w:evenVBand="0" w:oddHBand="0" w:evenHBand="0" w:firstRowFirstColumn="0" w:firstRowLastColumn="0" w:lastRowFirstColumn="0" w:lastRowLastColumn="0"/>
            <w:tcW w:w="3020" w:type="dxa"/>
            <w:vMerge w:val="restart"/>
            <w:tcBorders>
              <w:top w:val="nil"/>
              <w:left w:val="nil"/>
              <w:right w:val="single" w:sz="8" w:space="0" w:color="89E0FF"/>
            </w:tcBorders>
            <w:shd w:val="clear" w:color="auto" w:fill="0070C0"/>
            <w:vAlign w:val="center"/>
            <w:hideMark/>
          </w:tcPr>
          <w:p w:rsidR="00DC1C3A" w:rsidRPr="00DC1C3A" w:rsidRDefault="00DC1C3A" w:rsidP="00DC1C3A">
            <w:pPr>
              <w:rPr>
                <w:rFonts w:ascii="Arial" w:eastAsia="Times New Roman" w:hAnsi="Arial" w:cs="Arial"/>
                <w:color w:val="FFFFFF" w:themeColor="background1"/>
                <w:sz w:val="20"/>
                <w:szCs w:val="20"/>
                <w:lang w:val="en-US" w:eastAsia="nl-NL"/>
              </w:rPr>
            </w:pPr>
            <w:r w:rsidRPr="00DC1C3A">
              <w:rPr>
                <w:rFonts w:ascii="Arial" w:eastAsia="Times New Roman" w:hAnsi="Arial" w:cs="Arial"/>
                <w:b w:val="0"/>
                <w:bCs w:val="0"/>
                <w:color w:val="FFFFFF" w:themeColor="background1"/>
                <w:sz w:val="20"/>
                <w:szCs w:val="20"/>
                <w:lang w:val="en-US" w:eastAsia="nl-NL"/>
              </w:rPr>
              <w:t>1 or more categorical independent variables</w:t>
            </w:r>
          </w:p>
        </w:tc>
        <w:tc>
          <w:tcPr>
            <w:tcW w:w="2860" w:type="dxa"/>
            <w:vMerge w:val="restart"/>
            <w:tcBorders>
              <w:top w:val="single" w:sz="8" w:space="0" w:color="89E0FF"/>
              <w:left w:val="single" w:sz="8" w:space="0" w:color="89E0FF"/>
              <w:right w:val="single" w:sz="8" w:space="0" w:color="89E0FF"/>
            </w:tcBorders>
            <w:shd w:val="clear" w:color="auto" w:fill="FFFFFF" w:themeFill="background1"/>
            <w:vAlign w:val="center"/>
            <w:hideMark/>
          </w:tcPr>
          <w:p w:rsidR="00DC1C3A" w:rsidRDefault="00DC1C3A" w:rsidP="00DC1C3A">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Categorical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DC1C3A" w:rsidRDefault="00DC1C3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logistic regression</w:t>
            </w:r>
          </w:p>
        </w:tc>
      </w:tr>
      <w:tr w:rsidR="00DC1C3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bottom w:val="nil"/>
              <w:right w:val="single" w:sz="8" w:space="0" w:color="89E0FF"/>
            </w:tcBorders>
            <w:shd w:val="clear" w:color="auto" w:fill="0070C0"/>
            <w:hideMark/>
          </w:tcPr>
          <w:p w:rsidR="00DC1C3A" w:rsidRPr="00DC1C3A" w:rsidRDefault="00DC1C3A" w:rsidP="00DC1C3A">
            <w:pPr>
              <w:rPr>
                <w:rFonts w:ascii="Arial" w:eastAsia="Times New Roman" w:hAnsi="Arial" w:cs="Arial"/>
                <w:b w:val="0"/>
                <w:bCs w:val="0"/>
                <w:color w:val="FFFFFF" w:themeColor="background1"/>
                <w:sz w:val="20"/>
                <w:szCs w:val="20"/>
                <w:lang w:val="nl-NL" w:eastAsia="nl-NL"/>
              </w:rPr>
            </w:pPr>
          </w:p>
        </w:tc>
        <w:tc>
          <w:tcPr>
            <w:tcW w:w="2860" w:type="dxa"/>
            <w:vMerge/>
            <w:tcBorders>
              <w:left w:val="single" w:sz="8" w:space="0" w:color="89E0FF"/>
              <w:bottom w:val="nil"/>
              <w:right w:val="single" w:sz="8" w:space="0" w:color="89E0FF"/>
            </w:tcBorders>
            <w:shd w:val="clear" w:color="auto" w:fill="FFFFFF" w:themeFill="background1"/>
            <w:hideMark/>
          </w:tcPr>
          <w:p w:rsidR="00DC1C3A" w:rsidRDefault="00DC1C3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20" w:type="dxa"/>
            <w:tcBorders>
              <w:top w:val="single" w:sz="8" w:space="0" w:color="89E0FF"/>
              <w:left w:val="single" w:sz="8" w:space="0" w:color="89E0FF"/>
              <w:bottom w:val="nil"/>
              <w:right w:val="nil"/>
            </w:tcBorders>
            <w:shd w:val="clear" w:color="auto" w:fill="FFFFFF" w:themeFill="background1"/>
            <w:hideMark/>
          </w:tcPr>
          <w:p w:rsidR="00DC1C3A" w:rsidRDefault="00DC1C3A">
            <w:pPr>
              <w:pStyle w:val="BodyText"/>
              <w:keepN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discriminant analysis</w:t>
            </w:r>
          </w:p>
        </w:tc>
      </w:tr>
    </w:tbl>
    <w:p w:rsidR="00DC1C3A" w:rsidRDefault="00DC1C3A" w:rsidP="00585016"/>
    <w:p w:rsidR="00585016" w:rsidRDefault="00585016" w:rsidP="00585016">
      <w:pPr>
        <w:pStyle w:val="BodyText"/>
        <w:rPr>
          <w:rFonts w:ascii="Verdana" w:hAnsi="Verdana"/>
          <w:lang w:val="en-US"/>
        </w:rPr>
      </w:pPr>
      <w:r>
        <w:rPr>
          <w:rFonts w:ascii="Verdana" w:hAnsi="Verdana"/>
          <w:lang w:val="en-US"/>
        </w:rPr>
        <w:t>The table above points to several statistical test methods on basis of a separation between the nature of the variables. These natures are categorical, ordinal, interval and ratio. Categorical and ordinal can be grouped in the qualitative variables. These variables exist out of several independent groups. The interval and ratio variables can be grouped in the quantitative variables. These variables can be counted or measured. See below for an explanation of the different types of variables:</w:t>
      </w:r>
    </w:p>
    <w:p w:rsidR="00585016" w:rsidRDefault="00585016" w:rsidP="00585016">
      <w:pPr>
        <w:pStyle w:val="BodyText"/>
        <w:rPr>
          <w:rFonts w:ascii="Verdana" w:hAnsi="Verdana"/>
          <w:i/>
          <w:lang w:val="en-US"/>
        </w:rPr>
      </w:pPr>
      <w:r>
        <w:rPr>
          <w:rFonts w:ascii="Verdana" w:hAnsi="Verdana"/>
          <w:i/>
          <w:lang w:val="en-US"/>
        </w:rPr>
        <w:t>Categorical</w:t>
      </w:r>
    </w:p>
    <w:p w:rsidR="00585016" w:rsidRDefault="00585016" w:rsidP="00585016">
      <w:pPr>
        <w:pStyle w:val="BodyText"/>
        <w:rPr>
          <w:rFonts w:ascii="Verdana" w:hAnsi="Verdana"/>
          <w:lang w:val="en-US"/>
        </w:rPr>
      </w:pPr>
      <w:r>
        <w:rPr>
          <w:rFonts w:ascii="Verdana" w:hAnsi="Verdana"/>
          <w:lang w:val="en-US"/>
        </w:rPr>
        <w:t>A categorical variable, also known as a nominal variable, represents a name or a class. Important requirements for this variable are:</w:t>
      </w:r>
    </w:p>
    <w:p w:rsidR="00585016" w:rsidRDefault="00585016" w:rsidP="00585016">
      <w:pPr>
        <w:pStyle w:val="BodyText"/>
        <w:rPr>
          <w:rFonts w:ascii="Verdana" w:hAnsi="Verdana"/>
          <w:lang w:val="en-US"/>
        </w:rPr>
      </w:pPr>
      <w:r>
        <w:rPr>
          <w:rFonts w:ascii="Verdana" w:hAnsi="Verdana"/>
          <w:lang w:val="en-US"/>
        </w:rPr>
        <w:t>1. Va</w:t>
      </w:r>
      <w:r w:rsidR="00836882">
        <w:rPr>
          <w:rFonts w:ascii="Verdana" w:hAnsi="Verdana"/>
          <w:lang w:val="en-US"/>
        </w:rPr>
        <w:t>riables on this scale represent</w:t>
      </w:r>
      <w:r>
        <w:rPr>
          <w:rFonts w:ascii="Verdana" w:hAnsi="Verdana"/>
          <w:lang w:val="en-US"/>
        </w:rPr>
        <w:t xml:space="preserve"> mutual exclusion (a variable cannot be on multiple classes of a scale).</w:t>
      </w:r>
      <w:r>
        <w:rPr>
          <w:rFonts w:ascii="Verdana" w:hAnsi="Verdana"/>
          <w:lang w:val="en-US"/>
        </w:rPr>
        <w:br/>
        <w:t>2. There is no order of ranking.</w:t>
      </w:r>
    </w:p>
    <w:p w:rsidR="00585016" w:rsidRDefault="00585016" w:rsidP="00585016">
      <w:pPr>
        <w:pStyle w:val="BodyText"/>
        <w:rPr>
          <w:rFonts w:ascii="Verdana" w:hAnsi="Verdana"/>
          <w:lang w:val="en-US"/>
        </w:rPr>
      </w:pPr>
      <w:r>
        <w:rPr>
          <w:rFonts w:ascii="Verdana" w:hAnsi="Verdana"/>
          <w:lang w:val="en-US"/>
        </w:rPr>
        <w:t>Examples for these kinds of categorical classes are provinces, sexes and eye color. These variables can be numbered, but any kind of calculations or order of ranking on these numbers would be useless.</w:t>
      </w:r>
    </w:p>
    <w:p w:rsidR="00585016" w:rsidRDefault="00585016" w:rsidP="00585016">
      <w:pPr>
        <w:pStyle w:val="BodyText"/>
        <w:rPr>
          <w:rFonts w:ascii="Verdana" w:hAnsi="Verdana"/>
          <w:i/>
          <w:lang w:val="en-US"/>
        </w:rPr>
      </w:pPr>
      <w:r>
        <w:rPr>
          <w:rFonts w:ascii="Verdana" w:hAnsi="Verdana"/>
          <w:i/>
          <w:lang w:val="en-US"/>
        </w:rPr>
        <w:t>Ordinal</w:t>
      </w:r>
    </w:p>
    <w:p w:rsidR="00585016" w:rsidRDefault="00585016" w:rsidP="00585016">
      <w:pPr>
        <w:pStyle w:val="BodyText"/>
        <w:rPr>
          <w:rFonts w:ascii="Verdana" w:hAnsi="Verdana"/>
          <w:lang w:val="en-US"/>
        </w:rPr>
      </w:pPr>
      <w:r>
        <w:rPr>
          <w:rFonts w:ascii="Verdana" w:hAnsi="Verdana"/>
          <w:lang w:val="en-US"/>
        </w:rPr>
        <w:t>Just like categorical variables, ordinal variables refer to mutual exclusive categories. The difference is that there can be given an order of ranking to the ordinal variables. For example a company can be small, medium or large. Important to note is that ordinal variables have a natural order but not a natural spacing or range between the variables. It would be wrong to conclude that the difference between ‘strongly disagree’ and ‘disagree’ would be as large as the difference between ‘impartial’ and ‘agree’.</w:t>
      </w:r>
    </w:p>
    <w:p w:rsidR="00CC4062" w:rsidRDefault="00CC4062" w:rsidP="00585016">
      <w:pPr>
        <w:pStyle w:val="BodyText"/>
        <w:rPr>
          <w:rFonts w:ascii="Verdana" w:hAnsi="Verdana"/>
          <w:i/>
          <w:lang w:val="en-US"/>
        </w:rPr>
      </w:pPr>
    </w:p>
    <w:p w:rsidR="00585016" w:rsidRDefault="00585016" w:rsidP="00585016">
      <w:pPr>
        <w:pStyle w:val="BodyText"/>
        <w:rPr>
          <w:rFonts w:ascii="Verdana" w:hAnsi="Verdana"/>
          <w:i/>
          <w:lang w:val="en-US"/>
        </w:rPr>
      </w:pPr>
      <w:r>
        <w:rPr>
          <w:rFonts w:ascii="Verdana" w:hAnsi="Verdana"/>
          <w:i/>
          <w:lang w:val="en-US"/>
        </w:rPr>
        <w:lastRenderedPageBreak/>
        <w:t>Interval</w:t>
      </w:r>
    </w:p>
    <w:p w:rsidR="00585016" w:rsidRDefault="00585016" w:rsidP="00585016">
      <w:pPr>
        <w:pStyle w:val="BodyText"/>
        <w:rPr>
          <w:rFonts w:ascii="Verdana" w:hAnsi="Verdana"/>
          <w:lang w:val="en-US"/>
        </w:rPr>
      </w:pPr>
      <w:r>
        <w:rPr>
          <w:rFonts w:ascii="Verdana" w:hAnsi="Verdana"/>
          <w:lang w:val="en-US"/>
        </w:rPr>
        <w:t>The interval variable takes the ordinal variable one step further. Just like the ordinal variables there is an order of ranking but there is also a natural spacing between the possibilities on the scale. Some examples are shoe sizes or degrees of Celsius. Important to note with interval variables is that there is no clear definition of zero. The means that the difference between shoe size 40 and 42 is as big as the difference between 43 and 45 but it would be wrong to implicate that shoe size 24 is twice as small as 48.</w:t>
      </w:r>
    </w:p>
    <w:p w:rsidR="00585016" w:rsidRDefault="00585016" w:rsidP="00585016">
      <w:pPr>
        <w:pStyle w:val="BodyText"/>
        <w:rPr>
          <w:rFonts w:ascii="Verdana" w:hAnsi="Verdana"/>
          <w:i/>
          <w:lang w:val="en-US"/>
        </w:rPr>
      </w:pPr>
      <w:r>
        <w:rPr>
          <w:rFonts w:ascii="Verdana" w:hAnsi="Verdana"/>
          <w:i/>
          <w:lang w:val="en-US"/>
        </w:rPr>
        <w:t>Ratio</w:t>
      </w:r>
    </w:p>
    <w:p w:rsidR="00585016" w:rsidRDefault="00585016" w:rsidP="00585016">
      <w:pPr>
        <w:pStyle w:val="BodyText"/>
        <w:rPr>
          <w:rFonts w:ascii="Verdana" w:hAnsi="Verdana"/>
          <w:lang w:val="en-US"/>
        </w:rPr>
      </w:pPr>
      <w:r>
        <w:rPr>
          <w:rFonts w:ascii="Verdana" w:hAnsi="Verdana"/>
          <w:lang w:val="en-US"/>
        </w:rPr>
        <w:t xml:space="preserve">The ratio variable is equal to the interval variable except is does have a clear definition of zero. This means that when the value of the ratio variable reaches zero, there is none of that variable. This can be said for length or money. </w:t>
      </w:r>
    </w:p>
    <w:p w:rsidR="00CC4062" w:rsidRDefault="00CC4062" w:rsidP="00CC4062">
      <w:pPr>
        <w:pStyle w:val="Heading2"/>
        <w:rPr>
          <w:rFonts w:ascii="Verdana" w:eastAsiaTheme="minorHAnsi" w:hAnsi="Verdana" w:cstheme="minorBidi"/>
          <w:b w:val="0"/>
          <w:bCs w:val="0"/>
          <w:sz w:val="21"/>
          <w:szCs w:val="21"/>
          <w:lang w:val="en-US"/>
        </w:rPr>
      </w:pPr>
    </w:p>
    <w:p w:rsidR="00CC4062" w:rsidRDefault="00CC4062" w:rsidP="00CC4062">
      <w:pPr>
        <w:pStyle w:val="Heading3"/>
        <w:rPr>
          <w:lang w:val="en-US"/>
        </w:rPr>
      </w:pPr>
      <w:bookmarkStart w:id="47" w:name="_Toc359957150"/>
      <w:r>
        <w:rPr>
          <w:lang w:val="en-US"/>
        </w:rPr>
        <w:t>5.2.2 Research variables</w:t>
      </w:r>
      <w:bookmarkEnd w:id="47"/>
      <w:r>
        <w:rPr>
          <w:lang w:val="en-US"/>
        </w:rPr>
        <w:t xml:space="preserve"> </w:t>
      </w:r>
    </w:p>
    <w:p w:rsidR="00585016" w:rsidRDefault="00CC4062" w:rsidP="00585016">
      <w:pPr>
        <w:pStyle w:val="BodyText"/>
        <w:rPr>
          <w:rFonts w:ascii="Verdana" w:hAnsi="Verdana"/>
          <w:color w:val="auto"/>
          <w:lang w:val="en-US"/>
        </w:rPr>
      </w:pPr>
      <w:r>
        <w:rPr>
          <w:lang w:val="en-US"/>
        </w:rPr>
        <w:br/>
      </w:r>
      <w:r w:rsidR="00585016">
        <w:rPr>
          <w:rFonts w:ascii="Verdana" w:hAnsi="Verdana"/>
          <w:lang w:val="en-US"/>
        </w:rPr>
        <w:t xml:space="preserve">To end up at the right statistical test </w:t>
      </w:r>
      <w:r w:rsidR="00585016">
        <w:rPr>
          <w:rFonts w:ascii="Verdana" w:hAnsi="Verdana"/>
          <w:color w:val="auto"/>
          <w:lang w:val="en-US"/>
        </w:rPr>
        <w:t xml:space="preserve">the variables that will be needed to </w:t>
      </w:r>
      <w:r>
        <w:rPr>
          <w:rFonts w:ascii="Verdana" w:hAnsi="Verdana"/>
          <w:color w:val="auto"/>
          <w:lang w:val="en-US"/>
        </w:rPr>
        <w:t>research</w:t>
      </w:r>
      <w:r w:rsidR="00585016">
        <w:rPr>
          <w:rFonts w:ascii="Verdana" w:hAnsi="Verdana"/>
          <w:color w:val="auto"/>
          <w:lang w:val="en-US"/>
        </w:rPr>
        <w:t xml:space="preserve"> the hypotheses will be discussed:</w:t>
      </w:r>
    </w:p>
    <w:p w:rsidR="0060579C" w:rsidRPr="0060579C" w:rsidRDefault="00585016" w:rsidP="00585016">
      <w:pPr>
        <w:pStyle w:val="BodyText"/>
        <w:rPr>
          <w:rFonts w:ascii="Verdana" w:hAnsi="Verdana"/>
          <w:lang w:val="en-US"/>
        </w:rPr>
      </w:pPr>
      <w:r>
        <w:rPr>
          <w:rFonts w:ascii="Verdana" w:hAnsi="Verdana"/>
          <w:i/>
          <w:lang w:val="en-US"/>
        </w:rPr>
        <w:t>Dependent Variable:</w:t>
      </w:r>
      <w:r>
        <w:rPr>
          <w:rFonts w:ascii="Verdana" w:hAnsi="Verdana"/>
          <w:lang w:val="en-US"/>
        </w:rPr>
        <w:br/>
      </w:r>
      <w:r w:rsidR="00E12614">
        <w:rPr>
          <w:rFonts w:ascii="Verdana" w:hAnsi="Verdana"/>
          <w:lang w:val="en-US"/>
        </w:rPr>
        <w:br/>
      </w:r>
      <w:r>
        <w:rPr>
          <w:rFonts w:ascii="Verdana" w:hAnsi="Verdana"/>
          <w:lang w:val="en-US"/>
        </w:rPr>
        <w:t>The dependent variable will be the impairment of goodwill (</w:t>
      </w:r>
      <w:proofErr w:type="spellStart"/>
      <w:r>
        <w:rPr>
          <w:rFonts w:ascii="Verdana" w:hAnsi="Verdana"/>
          <w:i/>
          <w:lang w:val="en-US"/>
        </w:rPr>
        <w:t>IMP</w:t>
      </w:r>
      <w:r>
        <w:rPr>
          <w:rFonts w:ascii="Verdana" w:hAnsi="Verdana"/>
          <w:i/>
          <w:vertAlign w:val="subscript"/>
          <w:lang w:val="en-US"/>
        </w:rPr>
        <w:t>it</w:t>
      </w:r>
      <w:proofErr w:type="spellEnd"/>
      <w:r>
        <w:rPr>
          <w:rFonts w:ascii="Verdana" w:hAnsi="Verdana"/>
          <w:lang w:val="en-US"/>
        </w:rPr>
        <w:t xml:space="preserve">). Whence looking at the literature concerning research done to impairment losses in relation to earnings management, this variable has been measured in several different ways. It can be measured as a dummy variable, 0 or 1. With a dummy variable the impairment decision will be investigated. Which means that if </w:t>
      </w:r>
      <w:proofErr w:type="spellStart"/>
      <w:r>
        <w:rPr>
          <w:rFonts w:ascii="Verdana" w:hAnsi="Verdana"/>
          <w:i/>
          <w:lang w:val="en-US"/>
        </w:rPr>
        <w:t>IMP</w:t>
      </w:r>
      <w:r>
        <w:rPr>
          <w:rFonts w:ascii="Verdana" w:hAnsi="Verdana"/>
          <w:i/>
          <w:vertAlign w:val="subscript"/>
          <w:lang w:val="en-US"/>
        </w:rPr>
        <w:t>it</w:t>
      </w:r>
      <w:proofErr w:type="spellEnd"/>
      <w:r>
        <w:rPr>
          <w:rFonts w:ascii="Verdana" w:hAnsi="Verdana"/>
          <w:lang w:val="en-US"/>
        </w:rPr>
        <w:t xml:space="preserve"> has a value of 1, it indicates that this company (</w:t>
      </w:r>
      <w:proofErr w:type="spellStart"/>
      <w:r>
        <w:rPr>
          <w:rFonts w:ascii="Verdana" w:hAnsi="Verdana"/>
          <w:i/>
          <w:lang w:val="en-US"/>
        </w:rPr>
        <w:t>i</w:t>
      </w:r>
      <w:proofErr w:type="spellEnd"/>
      <w:r>
        <w:rPr>
          <w:rFonts w:ascii="Verdana" w:hAnsi="Verdana"/>
          <w:lang w:val="en-US"/>
        </w:rPr>
        <w:t>), for the year (</w:t>
      </w:r>
      <w:r>
        <w:rPr>
          <w:rFonts w:ascii="Verdana" w:hAnsi="Verdana"/>
          <w:i/>
          <w:lang w:val="en-US"/>
        </w:rPr>
        <w:t>t</w:t>
      </w:r>
      <w:r>
        <w:rPr>
          <w:rFonts w:ascii="Verdana" w:hAnsi="Verdana"/>
          <w:lang w:val="en-US"/>
        </w:rPr>
        <w:t>), has taken an impairment loss. If the indicator value is 0, then the company (</w:t>
      </w:r>
      <w:proofErr w:type="spellStart"/>
      <w:r>
        <w:rPr>
          <w:rFonts w:ascii="Verdana" w:hAnsi="Verdana"/>
          <w:i/>
          <w:lang w:val="en-US"/>
        </w:rPr>
        <w:t>i</w:t>
      </w:r>
      <w:proofErr w:type="spellEnd"/>
      <w:r>
        <w:rPr>
          <w:rFonts w:ascii="Verdana" w:hAnsi="Verdana"/>
          <w:lang w:val="en-US"/>
        </w:rPr>
        <w:t>) has not taken an impairment in year (</w:t>
      </w:r>
      <w:r>
        <w:rPr>
          <w:rFonts w:ascii="Verdana" w:hAnsi="Verdana"/>
          <w:i/>
          <w:lang w:val="en-US"/>
        </w:rPr>
        <w:t>t)</w:t>
      </w:r>
      <w:r>
        <w:rPr>
          <w:rFonts w:ascii="Verdana" w:hAnsi="Verdana"/>
          <w:lang w:val="en-US"/>
        </w:rPr>
        <w:t xml:space="preserve">. Another measuring method would be to take the impairment amount. </w:t>
      </w:r>
      <w:r w:rsidR="007C5A55">
        <w:rPr>
          <w:rFonts w:ascii="Verdana" w:hAnsi="Verdana"/>
          <w:lang w:val="en-US"/>
        </w:rPr>
        <w:t>This thesis focusses on the</w:t>
      </w:r>
      <w:r w:rsidR="0060579C">
        <w:rPr>
          <w:rFonts w:ascii="Verdana" w:hAnsi="Verdana"/>
          <w:lang w:val="en-US"/>
        </w:rPr>
        <w:t xml:space="preserve"> relation between the</w:t>
      </w:r>
      <w:r w:rsidR="007C5A55">
        <w:rPr>
          <w:rFonts w:ascii="Verdana" w:hAnsi="Verdana"/>
          <w:lang w:val="en-US"/>
        </w:rPr>
        <w:t xml:space="preserve"> decision of management to</w:t>
      </w:r>
      <w:r w:rsidR="0060579C">
        <w:rPr>
          <w:rFonts w:ascii="Verdana" w:hAnsi="Verdana"/>
          <w:lang w:val="en-US"/>
        </w:rPr>
        <w:t xml:space="preserve"> take an impairment of goodwill</w:t>
      </w:r>
      <w:r w:rsidR="007C5A55">
        <w:rPr>
          <w:rFonts w:ascii="Verdana" w:hAnsi="Verdana"/>
          <w:lang w:val="en-US"/>
        </w:rPr>
        <w:t xml:space="preserve"> </w:t>
      </w:r>
      <w:r w:rsidR="0060579C">
        <w:rPr>
          <w:rFonts w:ascii="Verdana" w:hAnsi="Verdana"/>
          <w:lang w:val="en-US"/>
        </w:rPr>
        <w:t>and</w:t>
      </w:r>
      <w:r w:rsidR="007C5A55">
        <w:rPr>
          <w:rFonts w:ascii="Verdana" w:hAnsi="Verdana"/>
          <w:lang w:val="en-US"/>
        </w:rPr>
        <w:t xml:space="preserve"> earnings management, therefor</w:t>
      </w:r>
      <w:r w:rsidR="007A0B11">
        <w:rPr>
          <w:rFonts w:ascii="Verdana" w:hAnsi="Verdana"/>
          <w:lang w:val="en-US"/>
        </w:rPr>
        <w:t>e</w:t>
      </w:r>
      <w:r w:rsidR="007C5A55">
        <w:rPr>
          <w:rFonts w:ascii="Verdana" w:hAnsi="Verdana"/>
          <w:lang w:val="en-US"/>
        </w:rPr>
        <w:t xml:space="preserve"> the dependent</w:t>
      </w:r>
      <w:r w:rsidR="0060579C" w:rsidRPr="0060579C">
        <w:rPr>
          <w:rFonts w:ascii="Verdana" w:hAnsi="Verdana"/>
          <w:i/>
          <w:color w:val="auto"/>
          <w:lang w:val="en-US"/>
        </w:rPr>
        <w:t xml:space="preserve"> </w:t>
      </w:r>
      <w:proofErr w:type="spellStart"/>
      <w:r w:rsidR="0060579C">
        <w:rPr>
          <w:rFonts w:ascii="Verdana" w:hAnsi="Verdana"/>
          <w:i/>
          <w:color w:val="auto"/>
          <w:lang w:val="en-US"/>
        </w:rPr>
        <w:t>IMP</w:t>
      </w:r>
      <w:r w:rsidR="0060579C">
        <w:rPr>
          <w:rFonts w:ascii="Verdana" w:hAnsi="Verdana"/>
          <w:i/>
          <w:color w:val="auto"/>
          <w:vertAlign w:val="subscript"/>
          <w:lang w:val="en-US"/>
        </w:rPr>
        <w:t>it</w:t>
      </w:r>
      <w:proofErr w:type="spellEnd"/>
      <w:r w:rsidR="0060579C">
        <w:rPr>
          <w:rFonts w:ascii="Verdana" w:hAnsi="Verdana"/>
          <w:color w:val="auto"/>
          <w:lang w:val="en-US"/>
        </w:rPr>
        <w:t xml:space="preserve"> indicator</w:t>
      </w:r>
      <w:r w:rsidR="007C5A55">
        <w:rPr>
          <w:rFonts w:ascii="Verdana" w:hAnsi="Verdana"/>
          <w:lang w:val="en-US"/>
        </w:rPr>
        <w:t xml:space="preserve"> variable will be measured as a dummy variable</w:t>
      </w:r>
      <w:r w:rsidR="0060579C">
        <w:rPr>
          <w:rFonts w:ascii="Verdana" w:hAnsi="Verdana"/>
          <w:lang w:val="en-US"/>
        </w:rPr>
        <w:t>, 0 or 1</w:t>
      </w:r>
      <w:r w:rsidR="007C5A55">
        <w:rPr>
          <w:rFonts w:ascii="Verdana" w:hAnsi="Verdana"/>
          <w:lang w:val="en-US"/>
        </w:rPr>
        <w:t>.</w:t>
      </w:r>
    </w:p>
    <w:p w:rsidR="00585016" w:rsidRDefault="00585016" w:rsidP="00585016">
      <w:pPr>
        <w:pStyle w:val="BodyText"/>
        <w:rPr>
          <w:rFonts w:ascii="Verdana" w:hAnsi="Verdana"/>
          <w:lang w:val="en-US"/>
        </w:rPr>
      </w:pPr>
      <w:r>
        <w:rPr>
          <w:rFonts w:ascii="Verdana" w:hAnsi="Verdana"/>
          <w:i/>
          <w:lang w:val="en-US"/>
        </w:rPr>
        <w:t>Independent Variables:</w:t>
      </w:r>
      <w:r>
        <w:rPr>
          <w:rFonts w:ascii="Verdana" w:hAnsi="Verdana"/>
          <w:i/>
          <w:lang w:val="en-US"/>
        </w:rPr>
        <w:br/>
      </w:r>
      <w:r w:rsidR="00E12614">
        <w:rPr>
          <w:rFonts w:ascii="Verdana" w:hAnsi="Verdana"/>
          <w:lang w:val="en-US"/>
        </w:rPr>
        <w:br/>
      </w:r>
      <w:r>
        <w:rPr>
          <w:rFonts w:ascii="Verdana" w:hAnsi="Verdana"/>
          <w:lang w:val="en-US"/>
        </w:rPr>
        <w:t xml:space="preserve">The hypotheses 1 and 2 state that goodwill impairment losses are more likely to take place when a company performs better or worse </w:t>
      </w:r>
      <w:r w:rsidR="0015441D">
        <w:rPr>
          <w:rFonts w:ascii="Verdana" w:hAnsi="Verdana"/>
          <w:lang w:val="en-US"/>
        </w:rPr>
        <w:t>than</w:t>
      </w:r>
      <w:r>
        <w:rPr>
          <w:rFonts w:ascii="Verdana" w:hAnsi="Verdana"/>
          <w:lang w:val="en-US"/>
        </w:rPr>
        <w:t xml:space="preserve"> branch average. To prove that there is a relation between goodwill impairment losses and performance of a company the right variables need to be included in the statistical model. These variables exist out of two different types of variables. First of all there are the variables that are specifically directed towards the testing of the hypotheses. The second set of variables are the control variables. </w:t>
      </w:r>
    </w:p>
    <w:p w:rsidR="00585016" w:rsidRDefault="00585016" w:rsidP="00585016">
      <w:pPr>
        <w:pStyle w:val="BodyText"/>
        <w:rPr>
          <w:rFonts w:ascii="Verdana" w:hAnsi="Verdana"/>
          <w:lang w:val="en-US"/>
        </w:rPr>
      </w:pPr>
      <w:r>
        <w:rPr>
          <w:rFonts w:ascii="Verdana" w:hAnsi="Verdana"/>
          <w:lang w:val="en-US"/>
        </w:rPr>
        <w:t xml:space="preserve">The variables that are directed towards the testing of the hypotheses are the ones that indicate the performance of a company. For the industrial production companies on which the population will be based the key performance indicators are sales and cash flow from operations. Another important performance indicator that shows the effectiveness of an industrial company is the return on assets. These variables will be admitted in the statistical model to indicate the performance of a company. </w:t>
      </w:r>
    </w:p>
    <w:p w:rsidR="00585016" w:rsidRDefault="00585016" w:rsidP="00585016">
      <w:pPr>
        <w:pStyle w:val="BodyText"/>
        <w:rPr>
          <w:rFonts w:ascii="Verdana" w:hAnsi="Verdana"/>
          <w:lang w:val="en-US"/>
        </w:rPr>
      </w:pPr>
      <w:r>
        <w:rPr>
          <w:rFonts w:ascii="Verdana" w:hAnsi="Verdana"/>
          <w:lang w:val="en-US"/>
        </w:rPr>
        <w:lastRenderedPageBreak/>
        <w:t>Besides these economic performance indicators there are the control variables which increase the chance of taking an impairment loss. For these factors variables need to be included so that the effect of these factors can be controlled. These factors are the total amount of goodwill a company has got and the size of a company measured through their total assets.</w:t>
      </w:r>
    </w:p>
    <w:p w:rsidR="00585016" w:rsidRDefault="00585016" w:rsidP="00585016">
      <w:pPr>
        <w:pStyle w:val="BodyText"/>
        <w:rPr>
          <w:rFonts w:ascii="Verdana" w:hAnsi="Verdana"/>
          <w:lang w:val="en-US"/>
        </w:rPr>
      </w:pPr>
      <w:r>
        <w:rPr>
          <w:rFonts w:ascii="Verdana" w:hAnsi="Verdana"/>
          <w:lang w:val="en-US"/>
        </w:rPr>
        <w:t xml:space="preserve">The independent variables will now be discussed in more detail: </w:t>
      </w:r>
    </w:p>
    <w:p w:rsidR="00585016" w:rsidRDefault="00585016" w:rsidP="00585016">
      <w:pPr>
        <w:pStyle w:val="BodyText"/>
        <w:rPr>
          <w:rFonts w:ascii="Verdana" w:hAnsi="Verdana"/>
          <w:i/>
          <w:lang w:val="en-US"/>
        </w:rPr>
      </w:pPr>
      <w:r>
        <w:rPr>
          <w:rFonts w:ascii="Verdana" w:hAnsi="Verdana"/>
          <w:i/>
          <w:lang w:val="en-US"/>
        </w:rPr>
        <w:t>Economic Factors:</w:t>
      </w:r>
    </w:p>
    <w:p w:rsidR="00585016" w:rsidRDefault="00585016" w:rsidP="00585016">
      <w:pPr>
        <w:pStyle w:val="BodyText"/>
        <w:rPr>
          <w:rFonts w:ascii="Verdana" w:hAnsi="Verdana"/>
          <w:lang w:val="en-US"/>
        </w:rPr>
      </w:pPr>
      <w:r>
        <w:rPr>
          <w:rFonts w:ascii="Verdana" w:hAnsi="Verdana"/>
          <w:lang w:val="en-US"/>
        </w:rPr>
        <w:t xml:space="preserve">The first variable is related to the reporting incentive for the management to perform big bath accounting. This variable relates to hypothesis 1 and will be called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lang w:val="en-US"/>
        </w:rPr>
        <w:t xml:space="preserve">. When a company performs significantly below the branch average the value of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lang w:val="en-US"/>
        </w:rPr>
        <w:t xml:space="preserve"> will be 1, when the company performs above branch average the value will be 0. To gain the most accurate variable to represent if a company performs below branch average the variable will be measured by dividing the pre-impaired earnings from year </w:t>
      </w:r>
      <w:r>
        <w:rPr>
          <w:rFonts w:ascii="Verdana" w:hAnsi="Verdana"/>
          <w:i/>
          <w:lang w:val="en-US"/>
        </w:rPr>
        <w:t>t</w:t>
      </w:r>
      <w:r>
        <w:rPr>
          <w:rFonts w:ascii="Verdana" w:hAnsi="Verdana"/>
          <w:lang w:val="en-US"/>
        </w:rPr>
        <w:t xml:space="preserve"> with the total assets of the company at year </w:t>
      </w:r>
      <w:r>
        <w:rPr>
          <w:rFonts w:ascii="Verdana" w:hAnsi="Verdana"/>
          <w:i/>
          <w:lang w:val="en-US"/>
        </w:rPr>
        <w:t>t</w:t>
      </w:r>
      <w:r>
        <w:rPr>
          <w:rFonts w:ascii="Verdana" w:hAnsi="Verdana"/>
          <w:lang w:val="en-US"/>
        </w:rPr>
        <w:t xml:space="preserve"> and comparing this to the median of the branch. When a company is below the industry median of non-zero negative values,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lang w:val="en-US"/>
        </w:rPr>
        <w:t xml:space="preserve"> will be 1. When the company is above the industry median of non-zero negative values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lang w:val="en-US"/>
        </w:rPr>
        <w:t xml:space="preserve"> will be 0. </w:t>
      </w:r>
    </w:p>
    <w:p w:rsidR="00585016" w:rsidRDefault="00585016" w:rsidP="00585016">
      <w:pPr>
        <w:pStyle w:val="BodyText"/>
        <w:rPr>
          <w:rFonts w:ascii="Verdana" w:hAnsi="Verdana"/>
          <w:lang w:val="en-US"/>
        </w:rPr>
      </w:pPr>
      <w:r>
        <w:rPr>
          <w:rFonts w:ascii="Verdana" w:hAnsi="Verdana"/>
          <w:lang w:val="en-US"/>
        </w:rPr>
        <w:t xml:space="preserve">The second variable is related to the reporting incentive for the management to perform income smoothing. This variable relates to hypothesis 2 and will be called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When a company performs significantly above the branch average the value of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will be 1, when the company performs below branch average the value will be 0. As done with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lang w:val="en-US"/>
        </w:rPr>
        <w:t xml:space="preserve"> the variable will be measured by dividing the pre-impaired earnings from year </w:t>
      </w:r>
      <w:r>
        <w:rPr>
          <w:rFonts w:ascii="Verdana" w:hAnsi="Verdana"/>
          <w:i/>
          <w:lang w:val="en-US"/>
        </w:rPr>
        <w:t>t</w:t>
      </w:r>
      <w:r>
        <w:rPr>
          <w:rFonts w:ascii="Verdana" w:hAnsi="Verdana"/>
          <w:lang w:val="en-US"/>
        </w:rPr>
        <w:t xml:space="preserve"> with the total assets of the company at year </w:t>
      </w:r>
      <w:r>
        <w:rPr>
          <w:rFonts w:ascii="Verdana" w:hAnsi="Verdana"/>
          <w:i/>
          <w:lang w:val="en-US"/>
        </w:rPr>
        <w:t>t</w:t>
      </w:r>
      <w:r>
        <w:rPr>
          <w:rFonts w:ascii="Verdana" w:hAnsi="Verdana"/>
          <w:lang w:val="en-US"/>
        </w:rPr>
        <w:t xml:space="preserve"> and comparing this to the median of the branch. When a company is above the industry median of non-zero positive values,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will be 1. When the company is below the industry median of non-zero positive values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will be 0.</w:t>
      </w:r>
    </w:p>
    <w:p w:rsidR="00585016" w:rsidRDefault="00585016" w:rsidP="00585016">
      <w:pPr>
        <w:pStyle w:val="BodyText"/>
        <w:rPr>
          <w:rFonts w:ascii="Verdana" w:hAnsi="Verdana"/>
          <w:lang w:val="en-US"/>
        </w:rPr>
      </w:pPr>
      <w:r>
        <w:rPr>
          <w:rFonts w:ascii="Verdana" w:hAnsi="Verdana"/>
          <w:lang w:val="en-US"/>
        </w:rPr>
        <w:t xml:space="preserve">The third, fourth and fifth variables are company specific factors that relate to the economic performance of a company. The third variable is the percentage change in sales from year </w:t>
      </w:r>
      <w:r>
        <w:rPr>
          <w:rFonts w:ascii="Verdana" w:hAnsi="Verdana"/>
          <w:i/>
          <w:lang w:val="en-US"/>
        </w:rPr>
        <w:t xml:space="preserve">t-1 </w:t>
      </w:r>
      <w:r>
        <w:rPr>
          <w:rFonts w:ascii="Verdana" w:hAnsi="Verdana"/>
          <w:lang w:val="en-US"/>
        </w:rPr>
        <w:t xml:space="preserve">to </w:t>
      </w:r>
      <w:r>
        <w:rPr>
          <w:rFonts w:ascii="Verdana" w:hAnsi="Verdana"/>
          <w:i/>
          <w:lang w:val="en-US"/>
        </w:rPr>
        <w:t xml:space="preserve">t, </w:t>
      </w:r>
      <w:r>
        <w:rPr>
          <w:rFonts w:ascii="Verdana" w:hAnsi="Verdana"/>
          <w:lang w:val="en-US"/>
        </w:rPr>
        <w:t>∆</w:t>
      </w:r>
      <w:proofErr w:type="spellStart"/>
      <w:r>
        <w:rPr>
          <w:rFonts w:ascii="Verdana" w:hAnsi="Verdana"/>
          <w:i/>
          <w:lang w:val="en-US"/>
        </w:rPr>
        <w:t>SALES</w:t>
      </w:r>
      <w:r>
        <w:rPr>
          <w:rFonts w:ascii="Verdana" w:hAnsi="Verdana"/>
          <w:i/>
          <w:vertAlign w:val="subscript"/>
          <w:lang w:val="en-US"/>
        </w:rPr>
        <w:t>it</w:t>
      </w:r>
      <w:proofErr w:type="spellEnd"/>
      <w:r>
        <w:rPr>
          <w:rFonts w:ascii="Verdana" w:hAnsi="Verdana"/>
          <w:lang w:val="en-US"/>
        </w:rPr>
        <w:t xml:space="preserve">. The fourth variable relates to the cash flow from operations and is the percentage change in company </w:t>
      </w:r>
      <w:r>
        <w:rPr>
          <w:rFonts w:ascii="Verdana" w:hAnsi="Verdana"/>
          <w:i/>
          <w:lang w:val="en-US"/>
        </w:rPr>
        <w:t>i</w:t>
      </w:r>
      <w:r>
        <w:rPr>
          <w:rFonts w:ascii="Verdana" w:hAnsi="Verdana"/>
          <w:lang w:val="en-US"/>
        </w:rPr>
        <w:t xml:space="preserve">’s operating cash flow from year </w:t>
      </w:r>
      <w:r>
        <w:rPr>
          <w:rFonts w:ascii="Verdana" w:hAnsi="Verdana"/>
          <w:i/>
          <w:lang w:val="en-US"/>
        </w:rPr>
        <w:t xml:space="preserve">t-1 </w:t>
      </w:r>
      <w:r>
        <w:rPr>
          <w:rFonts w:ascii="Verdana" w:hAnsi="Verdana"/>
          <w:lang w:val="en-US"/>
        </w:rPr>
        <w:t xml:space="preserve">to year </w:t>
      </w:r>
      <w:r>
        <w:rPr>
          <w:rFonts w:ascii="Verdana" w:hAnsi="Verdana"/>
          <w:i/>
          <w:lang w:val="en-US"/>
        </w:rPr>
        <w:t>t</w:t>
      </w:r>
      <w:r>
        <w:rPr>
          <w:rFonts w:ascii="Verdana" w:hAnsi="Verdana"/>
          <w:lang w:val="en-US"/>
        </w:rPr>
        <w:t>. This variable is called ∆</w:t>
      </w:r>
      <w:proofErr w:type="spellStart"/>
      <w:r>
        <w:rPr>
          <w:rFonts w:ascii="Verdana" w:hAnsi="Verdana"/>
          <w:i/>
          <w:lang w:val="en-US"/>
        </w:rPr>
        <w:t>CFO</w:t>
      </w:r>
      <w:r>
        <w:rPr>
          <w:rFonts w:ascii="Verdana" w:hAnsi="Verdana"/>
          <w:i/>
          <w:vertAlign w:val="subscript"/>
          <w:lang w:val="en-US"/>
        </w:rPr>
        <w:t>it</w:t>
      </w:r>
      <w:proofErr w:type="spellEnd"/>
      <w:r>
        <w:rPr>
          <w:rFonts w:ascii="Verdana" w:hAnsi="Verdana"/>
          <w:lang w:val="en-US"/>
        </w:rPr>
        <w:t xml:space="preserve">. The fifth variable is the companies change from year </w:t>
      </w:r>
      <w:r>
        <w:rPr>
          <w:rFonts w:ascii="Verdana" w:hAnsi="Verdana"/>
          <w:i/>
          <w:lang w:val="en-US"/>
        </w:rPr>
        <w:t xml:space="preserve">t-1 </w:t>
      </w:r>
      <w:r>
        <w:rPr>
          <w:rFonts w:ascii="Verdana" w:hAnsi="Verdana"/>
          <w:lang w:val="en-US"/>
        </w:rPr>
        <w:t xml:space="preserve">to year </w:t>
      </w:r>
      <w:r>
        <w:rPr>
          <w:rFonts w:ascii="Verdana" w:hAnsi="Verdana"/>
          <w:i/>
          <w:lang w:val="en-US"/>
        </w:rPr>
        <w:t>t</w:t>
      </w:r>
      <w:r>
        <w:rPr>
          <w:rFonts w:ascii="Verdana" w:hAnsi="Verdana"/>
          <w:lang w:val="en-US"/>
        </w:rPr>
        <w:t xml:space="preserve"> in operating income to identifiable assets, called ∆</w:t>
      </w:r>
      <w:proofErr w:type="spellStart"/>
      <w:r>
        <w:rPr>
          <w:rFonts w:ascii="Verdana" w:hAnsi="Verdana"/>
          <w:i/>
          <w:lang w:val="en-US"/>
        </w:rPr>
        <w:t>ROA</w:t>
      </w:r>
      <w:r>
        <w:rPr>
          <w:rFonts w:ascii="Verdana" w:hAnsi="Verdana"/>
          <w:i/>
          <w:vertAlign w:val="subscript"/>
          <w:lang w:val="en-US"/>
        </w:rPr>
        <w:t>it</w:t>
      </w:r>
      <w:proofErr w:type="spellEnd"/>
      <w:r>
        <w:rPr>
          <w:rFonts w:ascii="Verdana" w:hAnsi="Verdana"/>
          <w:lang w:val="en-US"/>
        </w:rPr>
        <w:t xml:space="preserve">. </w:t>
      </w:r>
    </w:p>
    <w:p w:rsidR="00585016" w:rsidRDefault="00585016" w:rsidP="00585016">
      <w:pPr>
        <w:pStyle w:val="BodyText"/>
        <w:rPr>
          <w:rFonts w:ascii="Verdana" w:hAnsi="Verdana"/>
          <w:i/>
          <w:lang w:val="en-US"/>
        </w:rPr>
      </w:pPr>
      <w:r>
        <w:rPr>
          <w:rFonts w:ascii="Verdana" w:hAnsi="Verdana"/>
          <w:i/>
          <w:lang w:val="en-US"/>
        </w:rPr>
        <w:t>Control variables:</w:t>
      </w:r>
    </w:p>
    <w:p w:rsidR="00585016" w:rsidRDefault="00585016" w:rsidP="00585016">
      <w:pPr>
        <w:pStyle w:val="BodyText"/>
        <w:rPr>
          <w:rFonts w:ascii="Verdana" w:hAnsi="Verdana"/>
          <w:lang w:val="en-US"/>
        </w:rPr>
      </w:pPr>
      <w:r>
        <w:rPr>
          <w:rFonts w:ascii="Verdana" w:hAnsi="Verdana"/>
          <w:lang w:val="en-US"/>
        </w:rPr>
        <w:t xml:space="preserve">The amount of goodwill a company has got relative to their assets influences the probability a company takes an impairment loss. It is expected that there is a positive relation between this variable and the impairment decision, because when the relative size of goodwill is increasing the exposure to impairments will also increase. This variable will be called </w:t>
      </w:r>
      <w:r>
        <w:rPr>
          <w:rFonts w:ascii="Verdana" w:hAnsi="Verdana"/>
          <w:i/>
          <w:lang w:val="en-US"/>
        </w:rPr>
        <w:t>GW</w:t>
      </w:r>
      <w:r>
        <w:rPr>
          <w:rFonts w:ascii="Verdana" w:hAnsi="Verdana"/>
          <w:i/>
          <w:vertAlign w:val="subscript"/>
          <w:lang w:val="en-US"/>
        </w:rPr>
        <w:t>it-1</w:t>
      </w:r>
      <w:r>
        <w:rPr>
          <w:rFonts w:ascii="Verdana" w:hAnsi="Verdana"/>
          <w:lang w:val="en-US"/>
        </w:rPr>
        <w:t xml:space="preserve"> because the amount of goodwill and the total assets of </w:t>
      </w:r>
      <w:r>
        <w:rPr>
          <w:rFonts w:ascii="Verdana" w:hAnsi="Verdana"/>
          <w:i/>
          <w:lang w:val="en-US"/>
        </w:rPr>
        <w:t>t-1</w:t>
      </w:r>
      <w:r>
        <w:rPr>
          <w:rFonts w:ascii="Verdana" w:hAnsi="Verdana"/>
          <w:lang w:val="en-US"/>
        </w:rPr>
        <w:t xml:space="preserve"> will be used. Subsequently it is evident that the total amount of assets also has got an influence on the impairment decision. Therefore the factor </w:t>
      </w:r>
      <w:proofErr w:type="spellStart"/>
      <w:r>
        <w:rPr>
          <w:rFonts w:ascii="Verdana" w:hAnsi="Verdana"/>
          <w:i/>
          <w:lang w:val="en-US"/>
        </w:rPr>
        <w:t>SIZE</w:t>
      </w:r>
      <w:r>
        <w:rPr>
          <w:rFonts w:ascii="Verdana" w:hAnsi="Verdana"/>
          <w:i/>
          <w:vertAlign w:val="subscript"/>
          <w:lang w:val="en-US"/>
        </w:rPr>
        <w:t>it</w:t>
      </w:r>
      <w:proofErr w:type="spellEnd"/>
      <w:r>
        <w:rPr>
          <w:rFonts w:ascii="Verdana" w:hAnsi="Verdana"/>
          <w:lang w:val="en-US"/>
        </w:rPr>
        <w:t xml:space="preserve"> has been taken into the equation. </w:t>
      </w:r>
      <w:proofErr w:type="spellStart"/>
      <w:r>
        <w:rPr>
          <w:rFonts w:ascii="Verdana" w:hAnsi="Verdana"/>
          <w:i/>
          <w:lang w:val="en-US"/>
        </w:rPr>
        <w:t>SIZE</w:t>
      </w:r>
      <w:r>
        <w:rPr>
          <w:rFonts w:ascii="Verdana" w:hAnsi="Verdana"/>
          <w:i/>
          <w:vertAlign w:val="subscript"/>
          <w:lang w:val="en-US"/>
        </w:rPr>
        <w:t>it</w:t>
      </w:r>
      <w:proofErr w:type="spellEnd"/>
      <w:r>
        <w:rPr>
          <w:rFonts w:ascii="Verdana" w:hAnsi="Verdana"/>
          <w:lang w:val="en-US"/>
        </w:rPr>
        <w:t xml:space="preserve"> will be the natural logarithm of the size of the company’s total assets. This factor controls for the effect the total size of the assets has got on making an impairment. </w:t>
      </w:r>
    </w:p>
    <w:p w:rsidR="00E12614" w:rsidRDefault="00E12614" w:rsidP="00585016">
      <w:pPr>
        <w:pStyle w:val="BodyText"/>
        <w:rPr>
          <w:rFonts w:ascii="Verdana" w:hAnsi="Verdana"/>
          <w:lang w:val="en-US"/>
        </w:rPr>
      </w:pPr>
    </w:p>
    <w:p w:rsidR="00585016" w:rsidRDefault="003C2D90" w:rsidP="00E12614">
      <w:pPr>
        <w:pStyle w:val="Heading2"/>
        <w:rPr>
          <w:lang w:val="en-US"/>
        </w:rPr>
      </w:pPr>
      <w:bookmarkStart w:id="48" w:name="_Toc359957151"/>
      <w:r>
        <w:rPr>
          <w:lang w:val="en-US"/>
        </w:rPr>
        <w:t>5</w:t>
      </w:r>
      <w:r w:rsidR="00E12614">
        <w:rPr>
          <w:lang w:val="en-US"/>
        </w:rPr>
        <w:t>.3 Conclusion of research model</w:t>
      </w:r>
      <w:bookmarkEnd w:id="48"/>
      <w:r w:rsidR="00E12614">
        <w:rPr>
          <w:lang w:val="en-US"/>
        </w:rPr>
        <w:br/>
      </w:r>
    </w:p>
    <w:p w:rsidR="00C6201A" w:rsidRDefault="00585016" w:rsidP="00C6201A">
      <w:pPr>
        <w:pStyle w:val="BodyText"/>
        <w:rPr>
          <w:rFonts w:ascii="Verdana" w:hAnsi="Verdana"/>
          <w:lang w:val="en-US"/>
        </w:rPr>
      </w:pPr>
      <w:r>
        <w:rPr>
          <w:rFonts w:ascii="Verdana" w:hAnsi="Verdana"/>
          <w:lang w:val="en-US"/>
        </w:rPr>
        <w:t xml:space="preserve">Based on the variables as </w:t>
      </w:r>
      <w:r w:rsidR="00DD2C03">
        <w:rPr>
          <w:rFonts w:ascii="Verdana" w:hAnsi="Verdana"/>
          <w:lang w:val="en-US"/>
        </w:rPr>
        <w:t>noted</w:t>
      </w:r>
      <w:r>
        <w:rPr>
          <w:rFonts w:ascii="Verdana" w:hAnsi="Verdana"/>
          <w:lang w:val="en-US"/>
        </w:rPr>
        <w:t xml:space="preserve"> above, the proper research model can be chosen. When looking at the table as </w:t>
      </w:r>
      <w:r w:rsidR="00DD2C03">
        <w:rPr>
          <w:rFonts w:ascii="Verdana" w:hAnsi="Verdana"/>
          <w:lang w:val="en-US"/>
        </w:rPr>
        <w:t>stated</w:t>
      </w:r>
      <w:r>
        <w:rPr>
          <w:rFonts w:ascii="Verdana" w:hAnsi="Verdana"/>
          <w:lang w:val="en-US"/>
        </w:rPr>
        <w:t xml:space="preserve"> in the beginning of the chapter the natures of the dependent and independent variables are now known:</w:t>
      </w:r>
    </w:p>
    <w:tbl>
      <w:tblPr>
        <w:tblStyle w:val="ColorfulList-Accent3"/>
        <w:tblW w:w="0" w:type="auto"/>
        <w:tblLook w:val="04A0" w:firstRow="1" w:lastRow="0" w:firstColumn="1" w:lastColumn="0" w:noHBand="0" w:noVBand="1"/>
      </w:tblPr>
      <w:tblGrid>
        <w:gridCol w:w="3020"/>
        <w:gridCol w:w="2860"/>
        <w:gridCol w:w="2320"/>
      </w:tblGrid>
      <w:tr w:rsidR="00C6201A" w:rsidTr="009B7C3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tcBorders>
              <w:top w:val="nil"/>
              <w:left w:val="nil"/>
              <w:right w:val="nil"/>
            </w:tcBorders>
            <w:shd w:val="clear" w:color="auto" w:fill="00B0F0"/>
            <w:noWrap/>
            <w:hideMark/>
          </w:tcPr>
          <w:p w:rsidR="00C6201A" w:rsidRPr="00DC1C3A" w:rsidRDefault="00C6201A" w:rsidP="009B7C3F">
            <w:pPr>
              <w:pStyle w:val="BodyText"/>
              <w:jc w:val="center"/>
              <w:rPr>
                <w:rFonts w:ascii="Arial" w:hAnsi="Arial" w:cs="Arial"/>
                <w:color w:val="FFFFFF" w:themeColor="background1"/>
                <w:sz w:val="20"/>
                <w:szCs w:val="20"/>
              </w:rPr>
            </w:pPr>
            <w:r w:rsidRPr="00DC1C3A">
              <w:rPr>
                <w:rFonts w:ascii="Arial" w:hAnsi="Arial" w:cs="Arial"/>
                <w:color w:val="FFFFFF" w:themeColor="background1"/>
                <w:sz w:val="20"/>
                <w:szCs w:val="20"/>
              </w:rPr>
              <w:t>Nature of independent variables</w:t>
            </w:r>
          </w:p>
        </w:tc>
        <w:tc>
          <w:tcPr>
            <w:tcW w:w="2860" w:type="dxa"/>
            <w:tcBorders>
              <w:top w:val="nil"/>
              <w:left w:val="nil"/>
              <w:bottom w:val="single" w:sz="4" w:space="0" w:color="FFFFFF" w:themeColor="background1"/>
              <w:right w:val="nil"/>
            </w:tcBorders>
            <w:shd w:val="clear" w:color="auto" w:fill="00B0F0"/>
            <w:noWrap/>
            <w:hideMark/>
          </w:tcPr>
          <w:p w:rsidR="00C6201A" w:rsidRPr="00DC1C3A" w:rsidRDefault="00C6201A" w:rsidP="009B7C3F">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C1C3A">
              <w:rPr>
                <w:rFonts w:ascii="Arial" w:hAnsi="Arial" w:cs="Arial"/>
                <w:color w:val="FFFFFF" w:themeColor="background1"/>
                <w:sz w:val="20"/>
                <w:szCs w:val="20"/>
              </w:rPr>
              <w:t>Nature of dependent variable</w:t>
            </w:r>
          </w:p>
        </w:tc>
        <w:tc>
          <w:tcPr>
            <w:tcW w:w="2320" w:type="dxa"/>
            <w:tcBorders>
              <w:top w:val="nil"/>
              <w:left w:val="nil"/>
              <w:right w:val="nil"/>
            </w:tcBorders>
            <w:shd w:val="clear" w:color="auto" w:fill="00B0F0"/>
            <w:noWrap/>
            <w:hideMark/>
          </w:tcPr>
          <w:p w:rsidR="00C6201A" w:rsidRPr="00DC1C3A" w:rsidRDefault="00C6201A" w:rsidP="009B7C3F">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C1C3A">
              <w:rPr>
                <w:rFonts w:ascii="Arial" w:hAnsi="Arial" w:cs="Arial"/>
                <w:color w:val="FFFFFF" w:themeColor="background1"/>
                <w:sz w:val="20"/>
                <w:szCs w:val="20"/>
              </w:rPr>
              <w:t>Test</w:t>
            </w:r>
          </w:p>
        </w:tc>
      </w:tr>
      <w:tr w:rsidR="00C6201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val="restart"/>
            <w:tcBorders>
              <w:top w:val="single" w:sz="12" w:space="0" w:color="FFFFFF" w:themeColor="background1"/>
              <w:left w:val="nil"/>
              <w:right w:val="single" w:sz="8" w:space="0" w:color="89E0FF"/>
            </w:tcBorders>
            <w:shd w:val="clear" w:color="auto" w:fill="0070C0"/>
            <w:vAlign w:val="center"/>
            <w:hideMark/>
          </w:tcPr>
          <w:p w:rsidR="00C6201A" w:rsidRPr="00DC1C3A" w:rsidRDefault="00C6201A" w:rsidP="009B7C3F">
            <w:pPr>
              <w:rPr>
                <w:rFonts w:ascii="Arial" w:eastAsia="Times New Roman" w:hAnsi="Arial" w:cs="Arial"/>
                <w:color w:val="FFFFFF" w:themeColor="background1"/>
                <w:sz w:val="20"/>
                <w:szCs w:val="20"/>
                <w:lang w:val="en-US" w:eastAsia="nl-NL"/>
              </w:rPr>
            </w:pPr>
            <w:r w:rsidRPr="00DC1C3A">
              <w:rPr>
                <w:rFonts w:ascii="Arial" w:eastAsia="Times New Roman" w:hAnsi="Arial" w:cs="Arial"/>
                <w:b w:val="0"/>
                <w:bCs w:val="0"/>
                <w:color w:val="FFFFFF" w:themeColor="background1"/>
                <w:sz w:val="20"/>
                <w:szCs w:val="20"/>
                <w:lang w:val="en-US" w:eastAsia="nl-NL"/>
              </w:rPr>
              <w:t xml:space="preserve">2 or more independent variables (independent </w:t>
            </w:r>
          </w:p>
          <w:p w:rsidR="00C6201A" w:rsidRPr="00DC1C3A" w:rsidRDefault="00C6201A" w:rsidP="009B7C3F">
            <w:pPr>
              <w:rPr>
                <w:rFonts w:ascii="Arial" w:eastAsia="Times New Roman" w:hAnsi="Arial" w:cs="Arial"/>
                <w:b w:val="0"/>
                <w:bCs w:val="0"/>
                <w:sz w:val="20"/>
                <w:szCs w:val="20"/>
                <w:lang w:val="en-US" w:eastAsia="nl-NL"/>
              </w:rPr>
            </w:pPr>
            <w:r w:rsidRPr="00DC1C3A">
              <w:rPr>
                <w:rFonts w:ascii="Arial" w:eastAsia="Times New Roman" w:hAnsi="Arial" w:cs="Arial"/>
                <w:b w:val="0"/>
                <w:bCs w:val="0"/>
                <w:color w:val="FFFFFF" w:themeColor="background1"/>
                <w:sz w:val="20"/>
                <w:szCs w:val="20"/>
                <w:lang w:val="en-US" w:eastAsia="nl-NL"/>
              </w:rPr>
              <w:t>groups)</w:t>
            </w:r>
          </w:p>
        </w:tc>
        <w:tc>
          <w:tcPr>
            <w:tcW w:w="2860" w:type="dxa"/>
            <w:tcBorders>
              <w:top w:val="single" w:sz="4" w:space="0" w:color="FFFFFF" w:themeColor="background1"/>
              <w:left w:val="single" w:sz="8" w:space="0" w:color="89E0FF"/>
              <w:bottom w:val="single" w:sz="8" w:space="0" w:color="89E0FF"/>
              <w:right w:val="single" w:sz="8" w:space="0" w:color="89E0FF"/>
            </w:tcBorders>
            <w:shd w:val="clear" w:color="auto" w:fill="FFFFFF" w:themeFill="background1"/>
            <w:vAlign w:val="center"/>
            <w:hideMark/>
          </w:tcPr>
          <w:p w:rsidR="00C6201A" w:rsidRDefault="00C6201A" w:rsidP="009B7C3F">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Interval &amp; ratio</w:t>
            </w:r>
          </w:p>
        </w:tc>
        <w:tc>
          <w:tcPr>
            <w:tcW w:w="2320" w:type="dxa"/>
            <w:tcBorders>
              <w:top w:val="single" w:sz="12" w:space="0" w:color="FFFFFF" w:themeColor="background1"/>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factorial ANOVA</w:t>
            </w:r>
          </w:p>
        </w:tc>
      </w:tr>
      <w:tr w:rsidR="00C6201A" w:rsidTr="009B7C3F">
        <w:trPr>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right w:val="single" w:sz="8" w:space="0" w:color="89E0FF"/>
            </w:tcBorders>
            <w:shd w:val="clear" w:color="auto" w:fill="0070C0"/>
            <w:hideMark/>
          </w:tcPr>
          <w:p w:rsidR="00C6201A" w:rsidRPr="00DC1C3A" w:rsidRDefault="00C6201A" w:rsidP="009B7C3F">
            <w:pPr>
              <w:rPr>
                <w:rFonts w:ascii="Arial" w:eastAsia="Times New Roman" w:hAnsi="Arial" w:cs="Arial"/>
                <w:b w:val="0"/>
                <w:bCs w:val="0"/>
                <w:color w:val="FFFFFF" w:themeColor="background1"/>
                <w:sz w:val="20"/>
                <w:szCs w:val="20"/>
                <w:lang w:val="nl-NL" w:eastAsia="nl-NL"/>
              </w:rPr>
            </w:pPr>
          </w:p>
        </w:tc>
        <w:tc>
          <w:tcPr>
            <w:tcW w:w="2860" w:type="dxa"/>
            <w:tcBorders>
              <w:top w:val="single" w:sz="8" w:space="0" w:color="89E0FF"/>
              <w:left w:val="single" w:sz="8" w:space="0" w:color="89E0FF"/>
              <w:bottom w:val="single" w:sz="8" w:space="0" w:color="89E0FF"/>
              <w:right w:val="single" w:sz="8" w:space="0" w:color="89E0FF"/>
            </w:tcBorders>
            <w:shd w:val="clear" w:color="auto" w:fill="FFFFFF" w:themeFill="background1"/>
            <w:vAlign w:val="center"/>
            <w:hideMark/>
          </w:tcPr>
          <w:p w:rsidR="00C6201A" w:rsidRDefault="00C6201A" w:rsidP="009B7C3F">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ordinal or interval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ordered logistic regression</w:t>
            </w:r>
          </w:p>
        </w:tc>
      </w:tr>
      <w:tr w:rsidR="00C6201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bottom w:val="single" w:sz="4" w:space="0" w:color="FFFFFF" w:themeColor="background1"/>
              <w:right w:val="single" w:sz="8" w:space="0" w:color="89E0FF"/>
            </w:tcBorders>
            <w:shd w:val="clear" w:color="auto" w:fill="0070C0"/>
            <w:hideMark/>
          </w:tcPr>
          <w:p w:rsidR="00C6201A" w:rsidRPr="00DC1C3A" w:rsidRDefault="00C6201A" w:rsidP="009B7C3F">
            <w:pPr>
              <w:rPr>
                <w:rFonts w:ascii="Arial" w:eastAsia="Times New Roman" w:hAnsi="Arial" w:cs="Arial"/>
                <w:b w:val="0"/>
                <w:bCs w:val="0"/>
                <w:color w:val="FFFFFF" w:themeColor="background1"/>
                <w:sz w:val="20"/>
                <w:szCs w:val="20"/>
                <w:lang w:val="nl-NL" w:eastAsia="nl-NL"/>
              </w:rPr>
            </w:pPr>
          </w:p>
        </w:tc>
        <w:tc>
          <w:tcPr>
            <w:tcW w:w="2860" w:type="dxa"/>
            <w:tcBorders>
              <w:top w:val="single" w:sz="8" w:space="0" w:color="89E0FF"/>
              <w:left w:val="single" w:sz="8" w:space="0" w:color="89E0FF"/>
              <w:bottom w:val="single" w:sz="8" w:space="0" w:color="89E0FF"/>
              <w:right w:val="single" w:sz="8" w:space="0" w:color="89E0FF"/>
            </w:tcBorders>
            <w:shd w:val="clear" w:color="auto" w:fill="FFFFFF" w:themeFill="background1"/>
            <w:vAlign w:val="center"/>
            <w:hideMark/>
          </w:tcPr>
          <w:p w:rsidR="00C6201A" w:rsidRDefault="00C6201A" w:rsidP="009B7C3F">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Categorical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factorial logistic regression</w:t>
            </w:r>
          </w:p>
        </w:tc>
      </w:tr>
      <w:tr w:rsidR="00C6201A" w:rsidTr="009B7C3F">
        <w:trPr>
          <w:trHeight w:val="184"/>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FFFFFF" w:themeColor="background1"/>
              <w:left w:val="nil"/>
              <w:bottom w:val="nil"/>
              <w:right w:val="single" w:sz="8" w:space="0" w:color="89E0FF"/>
            </w:tcBorders>
            <w:shd w:val="clear" w:color="auto" w:fill="0070C0"/>
            <w:hideMark/>
          </w:tcPr>
          <w:p w:rsidR="00C6201A" w:rsidRPr="00DC1C3A" w:rsidRDefault="00C6201A" w:rsidP="009B7C3F">
            <w:pPr>
              <w:rPr>
                <w:rFonts w:ascii="Arial" w:eastAsia="Times New Roman" w:hAnsi="Arial" w:cs="Arial"/>
                <w:b w:val="0"/>
                <w:bCs w:val="0"/>
                <w:color w:val="FFFFFF" w:themeColor="background1"/>
                <w:sz w:val="20"/>
                <w:szCs w:val="20"/>
                <w:lang w:val="nl-NL" w:eastAsia="nl-NL"/>
              </w:rPr>
            </w:pPr>
            <w:r w:rsidRPr="00DC1C3A">
              <w:rPr>
                <w:rFonts w:ascii="Arial" w:eastAsia="Times New Roman" w:hAnsi="Arial" w:cs="Arial"/>
                <w:b w:val="0"/>
                <w:bCs w:val="0"/>
                <w:color w:val="FFFFFF" w:themeColor="background1"/>
                <w:sz w:val="20"/>
                <w:szCs w:val="20"/>
                <w:lang w:val="nl-NL" w:eastAsia="nl-NL"/>
              </w:rPr>
              <w:t>1 or more interval</w:t>
            </w:r>
          </w:p>
        </w:tc>
        <w:tc>
          <w:tcPr>
            <w:tcW w:w="2860" w:type="dxa"/>
            <w:vMerge w:val="restart"/>
            <w:tcBorders>
              <w:top w:val="single" w:sz="8" w:space="0" w:color="89E0FF"/>
              <w:left w:val="single" w:sz="8" w:space="0" w:color="89E0FF"/>
              <w:right w:val="single" w:sz="8" w:space="0" w:color="89E0FF"/>
            </w:tcBorders>
            <w:shd w:val="clear" w:color="auto" w:fill="FFFFFF" w:themeFill="background1"/>
            <w:vAlign w:val="center"/>
            <w:hideMark/>
          </w:tcPr>
          <w:p w:rsidR="00C6201A" w:rsidRDefault="00C6201A" w:rsidP="009B7C3F">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Interval &amp; Ratio</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regression</w:t>
            </w:r>
          </w:p>
        </w:tc>
      </w:tr>
      <w:tr w:rsidR="00C6201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tcBorders>
              <w:top w:val="nil"/>
              <w:left w:val="nil"/>
              <w:bottom w:val="nil"/>
              <w:right w:val="single" w:sz="8" w:space="0" w:color="89E0FF"/>
            </w:tcBorders>
            <w:shd w:val="clear" w:color="auto" w:fill="0070C0"/>
            <w:hideMark/>
          </w:tcPr>
          <w:p w:rsidR="00C6201A" w:rsidRPr="00DC1C3A" w:rsidRDefault="00C6201A" w:rsidP="009B7C3F">
            <w:pPr>
              <w:rPr>
                <w:rFonts w:ascii="Arial" w:eastAsia="Times New Roman" w:hAnsi="Arial" w:cs="Arial"/>
                <w:b w:val="0"/>
                <w:bCs w:val="0"/>
                <w:color w:val="FFFFFF" w:themeColor="background1"/>
                <w:sz w:val="20"/>
                <w:szCs w:val="20"/>
                <w:lang w:val="nl-NL" w:eastAsia="nl-NL"/>
              </w:rPr>
            </w:pPr>
            <w:r w:rsidRPr="00DC1C3A">
              <w:rPr>
                <w:rFonts w:ascii="Arial" w:eastAsia="Times New Roman" w:hAnsi="Arial" w:cs="Arial"/>
                <w:b w:val="0"/>
                <w:bCs w:val="0"/>
                <w:color w:val="FFFFFF" w:themeColor="background1"/>
                <w:sz w:val="20"/>
                <w:szCs w:val="20"/>
                <w:lang w:val="nl-NL" w:eastAsia="nl-NL"/>
              </w:rPr>
              <w:t xml:space="preserve">independent variables </w:t>
            </w:r>
            <w:proofErr w:type="spellStart"/>
            <w:r w:rsidRPr="00DC1C3A">
              <w:rPr>
                <w:rFonts w:ascii="Arial" w:eastAsia="Times New Roman" w:hAnsi="Arial" w:cs="Arial"/>
                <w:b w:val="0"/>
                <w:bCs w:val="0"/>
                <w:color w:val="FFFFFF" w:themeColor="background1"/>
                <w:sz w:val="20"/>
                <w:szCs w:val="20"/>
                <w:lang w:val="nl-NL" w:eastAsia="nl-NL"/>
              </w:rPr>
              <w:t>and</w:t>
            </w:r>
            <w:proofErr w:type="spellEnd"/>
            <w:r w:rsidRPr="00DC1C3A">
              <w:rPr>
                <w:rFonts w:ascii="Arial" w:eastAsia="Times New Roman" w:hAnsi="Arial" w:cs="Arial"/>
                <w:b w:val="0"/>
                <w:bCs w:val="0"/>
                <w:color w:val="FFFFFF" w:themeColor="background1"/>
                <w:sz w:val="20"/>
                <w:szCs w:val="20"/>
                <w:lang w:val="nl-NL" w:eastAsia="nl-NL"/>
              </w:rPr>
              <w:t xml:space="preserve">/or </w:t>
            </w:r>
          </w:p>
        </w:tc>
        <w:tc>
          <w:tcPr>
            <w:tcW w:w="2860" w:type="dxa"/>
            <w:vMerge/>
            <w:tcBorders>
              <w:left w:val="single" w:sz="8" w:space="0" w:color="89E0FF"/>
              <w:bottom w:val="single" w:sz="8" w:space="0" w:color="89E0FF"/>
              <w:right w:val="single" w:sz="8" w:space="0" w:color="89E0FF"/>
            </w:tcBorders>
            <w:shd w:val="clear" w:color="auto" w:fill="FFFFFF" w:themeFill="background1"/>
            <w:vAlign w:val="center"/>
            <w:hideMark/>
          </w:tcPr>
          <w:p w:rsidR="00C6201A" w:rsidRDefault="00C6201A" w:rsidP="009B7C3F">
            <w:pPr>
              <w:cnfStyle w:val="000000100000" w:firstRow="0" w:lastRow="0" w:firstColumn="0" w:lastColumn="0" w:oddVBand="0" w:evenVBand="0" w:oddHBand="1" w:evenHBand="0" w:firstRowFirstColumn="0" w:firstRowLastColumn="0" w:lastRowFirstColumn="0" w:lastRowLastColumn="0"/>
            </w:pP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analysis of covariance</w:t>
            </w:r>
          </w:p>
        </w:tc>
      </w:tr>
      <w:tr w:rsidR="00C6201A" w:rsidTr="009B7C3F">
        <w:trPr>
          <w:trHeight w:val="255"/>
        </w:trPr>
        <w:tc>
          <w:tcPr>
            <w:cnfStyle w:val="001000000000" w:firstRow="0" w:lastRow="0" w:firstColumn="1" w:lastColumn="0" w:oddVBand="0" w:evenVBand="0" w:oddHBand="0" w:evenHBand="0" w:firstRowFirstColumn="0" w:firstRowLastColumn="0" w:lastRowFirstColumn="0" w:lastRowLastColumn="0"/>
            <w:tcW w:w="3020" w:type="dxa"/>
            <w:vMerge w:val="restart"/>
            <w:tcBorders>
              <w:top w:val="nil"/>
              <w:left w:val="nil"/>
              <w:right w:val="single" w:sz="8" w:space="0" w:color="89E0FF"/>
            </w:tcBorders>
            <w:shd w:val="clear" w:color="auto" w:fill="0070C0"/>
            <w:vAlign w:val="center"/>
            <w:hideMark/>
          </w:tcPr>
          <w:p w:rsidR="00C6201A" w:rsidRPr="00DC1C3A" w:rsidRDefault="00C6201A" w:rsidP="009B7C3F">
            <w:pPr>
              <w:rPr>
                <w:rFonts w:ascii="Arial" w:eastAsia="Times New Roman" w:hAnsi="Arial" w:cs="Arial"/>
                <w:color w:val="FFFFFF" w:themeColor="background1"/>
                <w:sz w:val="20"/>
                <w:szCs w:val="20"/>
                <w:lang w:val="en-US" w:eastAsia="nl-NL"/>
              </w:rPr>
            </w:pPr>
            <w:r w:rsidRPr="00DC1C3A">
              <w:rPr>
                <w:rFonts w:ascii="Arial" w:eastAsia="Times New Roman" w:hAnsi="Arial" w:cs="Arial"/>
                <w:b w:val="0"/>
                <w:bCs w:val="0"/>
                <w:color w:val="FFFFFF" w:themeColor="background1"/>
                <w:sz w:val="20"/>
                <w:szCs w:val="20"/>
                <w:lang w:val="en-US" w:eastAsia="nl-NL"/>
              </w:rPr>
              <w:t>1 or more categorical independent variables</w:t>
            </w:r>
          </w:p>
        </w:tc>
        <w:tc>
          <w:tcPr>
            <w:tcW w:w="2860" w:type="dxa"/>
            <w:vMerge w:val="restart"/>
            <w:tcBorders>
              <w:top w:val="single" w:sz="8" w:space="0" w:color="89E0FF"/>
              <w:left w:val="single" w:sz="8" w:space="0" w:color="89E0FF"/>
              <w:right w:val="single" w:sz="8" w:space="0" w:color="89E0FF"/>
            </w:tcBorders>
            <w:shd w:val="clear" w:color="auto" w:fill="FFFFFF" w:themeFill="background1"/>
            <w:vAlign w:val="center"/>
            <w:hideMark/>
          </w:tcPr>
          <w:p w:rsidR="00C6201A" w:rsidRDefault="00C6201A" w:rsidP="009B7C3F">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Categorical</w:t>
            </w:r>
          </w:p>
        </w:tc>
        <w:tc>
          <w:tcPr>
            <w:tcW w:w="2320" w:type="dxa"/>
            <w:tcBorders>
              <w:top w:val="single" w:sz="8" w:space="0" w:color="89E0FF"/>
              <w:left w:val="single" w:sz="8" w:space="0" w:color="89E0FF"/>
              <w:bottom w:val="single" w:sz="8" w:space="0" w:color="89E0FF"/>
              <w:right w:val="nil"/>
            </w:tcBorders>
            <w:shd w:val="clear" w:color="auto" w:fill="FFFFFF" w:themeFill="background1"/>
            <w:hideMark/>
          </w:tcPr>
          <w:p w:rsidR="00C6201A" w:rsidRDefault="00C6201A" w:rsidP="009B7C3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logistic regression</w:t>
            </w:r>
          </w:p>
        </w:tc>
      </w:tr>
      <w:tr w:rsidR="00C6201A" w:rsidTr="009B7C3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20" w:type="dxa"/>
            <w:vMerge/>
            <w:tcBorders>
              <w:left w:val="nil"/>
              <w:bottom w:val="nil"/>
              <w:right w:val="single" w:sz="8" w:space="0" w:color="89E0FF"/>
            </w:tcBorders>
            <w:shd w:val="clear" w:color="auto" w:fill="0070C0"/>
            <w:hideMark/>
          </w:tcPr>
          <w:p w:rsidR="00C6201A" w:rsidRPr="00DC1C3A" w:rsidRDefault="00C6201A" w:rsidP="009B7C3F">
            <w:pPr>
              <w:rPr>
                <w:rFonts w:ascii="Arial" w:eastAsia="Times New Roman" w:hAnsi="Arial" w:cs="Arial"/>
                <w:b w:val="0"/>
                <w:bCs w:val="0"/>
                <w:color w:val="FFFFFF" w:themeColor="background1"/>
                <w:sz w:val="20"/>
                <w:szCs w:val="20"/>
                <w:lang w:val="nl-NL" w:eastAsia="nl-NL"/>
              </w:rPr>
            </w:pPr>
          </w:p>
        </w:tc>
        <w:tc>
          <w:tcPr>
            <w:tcW w:w="2860" w:type="dxa"/>
            <w:vMerge/>
            <w:tcBorders>
              <w:left w:val="single" w:sz="8" w:space="0" w:color="89E0FF"/>
              <w:bottom w:val="nil"/>
              <w:right w:val="single" w:sz="8" w:space="0" w:color="89E0FF"/>
            </w:tcBorders>
            <w:shd w:val="clear" w:color="auto" w:fill="FFFFFF" w:themeFill="background1"/>
            <w:hideMark/>
          </w:tcPr>
          <w:p w:rsidR="00C6201A" w:rsidRDefault="00C6201A" w:rsidP="009B7C3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20" w:type="dxa"/>
            <w:tcBorders>
              <w:top w:val="single" w:sz="8" w:space="0" w:color="89E0FF"/>
              <w:left w:val="single" w:sz="8" w:space="0" w:color="89E0FF"/>
              <w:bottom w:val="nil"/>
              <w:right w:val="nil"/>
            </w:tcBorders>
            <w:shd w:val="clear" w:color="auto" w:fill="FFFFFF" w:themeFill="background1"/>
            <w:hideMark/>
          </w:tcPr>
          <w:p w:rsidR="00C6201A" w:rsidRDefault="00C6201A" w:rsidP="009B7C3F">
            <w:pPr>
              <w:pStyle w:val="BodyText"/>
              <w:keepN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discriminant analysis</w:t>
            </w:r>
          </w:p>
        </w:tc>
      </w:tr>
    </w:tbl>
    <w:p w:rsidR="00585016" w:rsidRDefault="00C6201A" w:rsidP="00C6201A">
      <w:pPr>
        <w:pStyle w:val="BodyText"/>
        <w:rPr>
          <w:rFonts w:ascii="Verdana" w:hAnsi="Verdana"/>
          <w:lang w:val="en-US"/>
        </w:rPr>
      </w:pPr>
      <w:r>
        <w:rPr>
          <w:rFonts w:ascii="Verdana" w:hAnsi="Verdana"/>
          <w:lang w:val="en-US"/>
        </w:rPr>
        <w:t xml:space="preserve"> </w:t>
      </w:r>
      <w:r w:rsidR="00585016">
        <w:rPr>
          <w:rFonts w:ascii="Verdana" w:hAnsi="Verdana"/>
          <w:lang w:val="en-US"/>
        </w:rPr>
        <w:br/>
        <w:t>Seen as the dependent variable can only be indicated by a positive or negative impairment decision, 0 or 1, a multiple regression model would not be suitable because the dependent</w:t>
      </w:r>
      <w:r w:rsidR="00D6320E">
        <w:rPr>
          <w:rFonts w:ascii="Verdana" w:hAnsi="Verdana"/>
          <w:lang w:val="en-US"/>
        </w:rPr>
        <w:t xml:space="preserve"> variable is assumed to have a n</w:t>
      </w:r>
      <w:r w:rsidR="00585016">
        <w:rPr>
          <w:rFonts w:ascii="Verdana" w:hAnsi="Verdana"/>
          <w:lang w:val="en-US"/>
        </w:rPr>
        <w:t xml:space="preserve">ormal distribution. The technique most commonly used for dependent variables with a 0/1 value are logistic regression models. </w:t>
      </w:r>
    </w:p>
    <w:p w:rsidR="00585016" w:rsidRDefault="00585016" w:rsidP="00585016">
      <w:pPr>
        <w:pStyle w:val="BodyText"/>
        <w:rPr>
          <w:rFonts w:ascii="Verdana" w:hAnsi="Verdana"/>
          <w:lang w:val="en-US"/>
        </w:rPr>
      </w:pPr>
      <w:r>
        <w:rPr>
          <w:rFonts w:ascii="Verdana" w:hAnsi="Verdana"/>
          <w:lang w:val="en-US"/>
        </w:rPr>
        <w:t xml:space="preserve">Seen as the independent variables are categorical, this would leave us with multiple logistic regression. Based on comparable studies, for example, van de </w:t>
      </w:r>
      <w:proofErr w:type="spellStart"/>
      <w:r>
        <w:rPr>
          <w:rFonts w:ascii="Verdana" w:hAnsi="Verdana"/>
          <w:lang w:val="en-US"/>
        </w:rPr>
        <w:t>Poel</w:t>
      </w:r>
      <w:proofErr w:type="spellEnd"/>
      <w:r>
        <w:rPr>
          <w:rFonts w:ascii="Verdana" w:hAnsi="Verdana"/>
          <w:lang w:val="en-US"/>
        </w:rPr>
        <w:t xml:space="preserve"> et al. (2008),</w:t>
      </w:r>
      <w:r w:rsidR="00CA6BC3">
        <w:rPr>
          <w:rFonts w:ascii="Verdana" w:hAnsi="Verdana"/>
          <w:lang w:val="en-US"/>
        </w:rPr>
        <w:t xml:space="preserve"> Elliot and Shaw (1988),</w:t>
      </w:r>
      <w:r>
        <w:rPr>
          <w:rFonts w:ascii="Verdana" w:hAnsi="Verdana"/>
          <w:lang w:val="en-US"/>
        </w:rPr>
        <w:t xml:space="preserve"> </w:t>
      </w:r>
      <w:r>
        <w:rPr>
          <w:rFonts w:ascii="Verdana" w:hAnsi="Verdana"/>
          <w:iCs/>
          <w:lang w:val="en-US"/>
        </w:rPr>
        <w:t>Henning, Shaw and Stock (2004) and Lemans (2009)</w:t>
      </w:r>
      <w:r>
        <w:rPr>
          <w:rFonts w:ascii="Verdana" w:hAnsi="Verdana"/>
          <w:lang w:val="en-US"/>
        </w:rPr>
        <w:t xml:space="preserve">, the statistical model most used with these kind of studies is also multiple logistic regression. </w:t>
      </w:r>
    </w:p>
    <w:p w:rsidR="00585016" w:rsidRDefault="00071E16" w:rsidP="00585016">
      <w:pPr>
        <w:pStyle w:val="BodyText"/>
        <w:rPr>
          <w:rFonts w:ascii="Verdana" w:hAnsi="Verdana"/>
          <w:lang w:val="en-US"/>
        </w:rPr>
      </w:pPr>
      <w:r>
        <w:rPr>
          <w:rFonts w:ascii="Verdana" w:hAnsi="Verdana"/>
          <w:lang w:val="en-US"/>
        </w:rPr>
        <w:t>Seen as t</w:t>
      </w:r>
      <w:r w:rsidR="00585016">
        <w:rPr>
          <w:rFonts w:ascii="Verdana" w:hAnsi="Verdana"/>
          <w:lang w:val="en-US"/>
        </w:rPr>
        <w:t>he model which</w:t>
      </w:r>
      <w:r w:rsidR="004F63B4">
        <w:rPr>
          <w:rFonts w:ascii="Verdana" w:hAnsi="Verdana"/>
          <w:lang w:val="en-US"/>
        </w:rPr>
        <w:t xml:space="preserve"> matches the above described variables the best</w:t>
      </w:r>
      <w:r>
        <w:rPr>
          <w:rFonts w:ascii="Verdana" w:hAnsi="Verdana"/>
          <w:lang w:val="en-US"/>
        </w:rPr>
        <w:t>,</w:t>
      </w:r>
      <w:r w:rsidR="004F63B4">
        <w:rPr>
          <w:rFonts w:ascii="Verdana" w:hAnsi="Verdana"/>
          <w:lang w:val="en-US"/>
        </w:rPr>
        <w:t xml:space="preserve"> is the mo</w:t>
      </w:r>
      <w:r w:rsidR="00585016">
        <w:rPr>
          <w:rFonts w:ascii="Verdana" w:hAnsi="Verdana"/>
          <w:lang w:val="en-US"/>
        </w:rPr>
        <w:t>del as describ</w:t>
      </w:r>
      <w:r>
        <w:rPr>
          <w:rFonts w:ascii="Verdana" w:hAnsi="Verdana"/>
          <w:lang w:val="en-US"/>
        </w:rPr>
        <w:t xml:space="preserve">ed by van de </w:t>
      </w:r>
      <w:proofErr w:type="spellStart"/>
      <w:r>
        <w:rPr>
          <w:rFonts w:ascii="Verdana" w:hAnsi="Verdana"/>
          <w:lang w:val="en-US"/>
        </w:rPr>
        <w:t>Poel</w:t>
      </w:r>
      <w:proofErr w:type="spellEnd"/>
      <w:r>
        <w:rPr>
          <w:rFonts w:ascii="Verdana" w:hAnsi="Verdana"/>
          <w:lang w:val="en-US"/>
        </w:rPr>
        <w:t xml:space="preserve"> et al. (2008), this will be the model that will be used as a basis for further research. The other models focus more on other variables. Therefore van de </w:t>
      </w:r>
      <w:proofErr w:type="spellStart"/>
      <w:r>
        <w:rPr>
          <w:rFonts w:ascii="Verdana" w:hAnsi="Verdana"/>
          <w:lang w:val="en-US"/>
        </w:rPr>
        <w:t>Poel</w:t>
      </w:r>
      <w:proofErr w:type="spellEnd"/>
      <w:r>
        <w:rPr>
          <w:rFonts w:ascii="Verdana" w:hAnsi="Verdana"/>
          <w:lang w:val="en-US"/>
        </w:rPr>
        <w:t xml:space="preserve"> et al (2008) is a better match. The model of van de </w:t>
      </w:r>
      <w:proofErr w:type="spellStart"/>
      <w:r>
        <w:rPr>
          <w:rFonts w:ascii="Verdana" w:hAnsi="Verdana"/>
          <w:lang w:val="en-US"/>
        </w:rPr>
        <w:t>Poel</w:t>
      </w:r>
      <w:proofErr w:type="spellEnd"/>
      <w:r>
        <w:rPr>
          <w:rFonts w:ascii="Verdana" w:hAnsi="Verdana"/>
          <w:lang w:val="en-US"/>
        </w:rPr>
        <w:t xml:space="preserve"> et al (2008) looks as follows:</w:t>
      </w:r>
    </w:p>
    <w:p w:rsidR="00585016" w:rsidRDefault="00BB7754" w:rsidP="00585016">
      <w:pPr>
        <w:pStyle w:val="BodyText"/>
        <w:spacing w:line="360" w:lineRule="auto"/>
        <w:rPr>
          <w:rFonts w:ascii="Verdana" w:eastAsiaTheme="minorEastAsia" w:hAnsi="Verdana"/>
          <w:color w:val="auto"/>
          <w:lang w:val="en-US"/>
        </w:rPr>
      </w:pPr>
      <m:oMathPara>
        <m:oMath>
          <m:sSub>
            <m:sSubPr>
              <m:ctrlPr>
                <w:rPr>
                  <w:rFonts w:ascii="Cambria Math" w:hAnsi="Cambria Math"/>
                  <w:i/>
                  <w:lang w:val="en-US"/>
                </w:rPr>
              </m:ctrlPr>
            </m:sSubPr>
            <m:e>
              <m:r>
                <w:rPr>
                  <w:rFonts w:ascii="Cambria Math" w:hAnsi="Cambria Math"/>
                  <w:color w:val="auto"/>
                  <w:lang w:val="en-US"/>
                </w:rPr>
                <m:t>IMP</m:t>
              </m:r>
            </m:e>
            <m:sub>
              <m:r>
                <w:rPr>
                  <w:rFonts w:ascii="Cambria Math" w:hAnsi="Cambria Math"/>
                  <w:color w:val="auto"/>
                  <w:lang w:val="en-US"/>
                </w:rPr>
                <m:t>it</m:t>
              </m:r>
            </m:sub>
          </m:sSub>
          <m: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0</m:t>
              </m:r>
              <m:ctrlPr>
                <w:rPr>
                  <w:rFonts w:ascii="Cambria Math" w:hAnsi="Cambria Math"/>
                  <w:i/>
                  <w:lang w:val="en-US"/>
                </w:rPr>
              </m:ctrlPr>
            </m:sub>
          </m:sSub>
          <m: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1</m:t>
              </m:r>
              <m:ctrlPr>
                <w:rPr>
                  <w:rFonts w:ascii="Cambria Math" w:hAnsi="Cambria Math"/>
                  <w:i/>
                  <w:lang w:val="en-US"/>
                </w:rPr>
              </m:ctrlPr>
            </m:sub>
          </m:sSub>
          <m:sSub>
            <m:sSubPr>
              <m:ctrlPr>
                <w:rPr>
                  <w:rFonts w:ascii="Cambria Math" w:hAnsi="Cambria Math"/>
                  <w:i/>
                  <w:lang w:val="en-US"/>
                </w:rPr>
              </m:ctrlPr>
            </m:sSubPr>
            <m:e>
              <m:r>
                <w:rPr>
                  <w:rFonts w:ascii="Cambria Math" w:hAnsi="Cambria Math"/>
                  <w:color w:val="auto"/>
                  <w:lang w:val="en-US"/>
                </w:rPr>
                <m:t>GW</m:t>
              </m:r>
            </m:e>
            <m:sub>
              <m:r>
                <w:rPr>
                  <w:rFonts w:ascii="Cambria Math" w:hAnsi="Cambria Math"/>
                  <w:color w:val="auto"/>
                  <w:lang w:val="en-US"/>
                </w:rPr>
                <m:t>it-1</m:t>
              </m: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2</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SIZE</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3</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∆indROA</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4</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∆SALES</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5</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∆CFO</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6</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BATH</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m:rPr>
                  <m:sty m:val="p"/>
                </m:rPr>
                <w:rPr>
                  <w:rFonts w:ascii="Cambria Math" w:hAnsi="Cambria Math"/>
                  <w:color w:val="auto"/>
                  <w:lang w:val="en-US"/>
                </w:rPr>
                <m:t>7</m:t>
              </m:r>
            </m:sub>
          </m:sSub>
          <m:sSub>
            <m:sSubPr>
              <m:ctrlPr>
                <w:rPr>
                  <w:rFonts w:ascii="Cambria Math" w:hAnsi="Cambria Math"/>
                  <w:lang w:val="en-US"/>
                </w:rPr>
              </m:ctrlPr>
            </m:sSubPr>
            <m:e>
              <m:r>
                <w:rPr>
                  <w:rFonts w:ascii="Cambria Math" w:hAnsi="Cambria Math"/>
                  <w:color w:val="auto"/>
                  <w:lang w:val="en-US"/>
                </w:rPr>
                <m:t>SMOOTH</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8</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BIG4</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9</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BATH</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BIG4</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10</m:t>
              </m:r>
              <m:ctrlPr>
                <w:rPr>
                  <w:rFonts w:ascii="Cambria Math" w:hAnsi="Cambria Math"/>
                  <w:i/>
                  <w:lang w:val="en-US"/>
                </w:rPr>
              </m:ctrlPr>
            </m:sub>
          </m:sSub>
          <m:sSub>
            <m:sSubPr>
              <m:ctrlPr>
                <w:rPr>
                  <w:rFonts w:ascii="Cambria Math" w:hAnsi="Cambria Math"/>
                  <w:lang w:val="en-US"/>
                </w:rPr>
              </m:ctrlPr>
            </m:sSubPr>
            <m:e>
              <m:r>
                <w:rPr>
                  <w:rFonts w:ascii="Cambria Math" w:hAnsi="Cambria Math"/>
                  <w:color w:val="auto"/>
                  <w:lang w:val="en-US"/>
                </w:rPr>
                <m:t>SMO</m:t>
              </m:r>
              <m:r>
                <w:rPr>
                  <w:rFonts w:ascii="Cambria Math" w:hAnsi="Cambria Math"/>
                  <w:color w:val="auto"/>
                  <w:lang w:val="en-US"/>
                </w:rPr>
                <m:t>OTH</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BIG4</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r>
            <m:rPr>
              <m:sty m:val="p"/>
            </m:rPr>
            <w:rPr>
              <w:rFonts w:ascii="Cambria Math" w:hAnsi="Cambria Math"/>
              <w:color w:val="auto"/>
              <w:lang w:val="en-US"/>
            </w:rPr>
            <m:t>+</m:t>
          </m:r>
          <m:nary>
            <m:naryPr>
              <m:chr m:val="∑"/>
              <m:limLoc m:val="undOvr"/>
              <m:subHide m:val="1"/>
              <m:supHide m:val="1"/>
              <m:ctrlPr>
                <w:rPr>
                  <w:rFonts w:ascii="Cambria Math" w:hAnsi="Cambria Math"/>
                  <w:lang w:val="en-US"/>
                </w:rPr>
              </m:ctrlPr>
            </m:naryPr>
            <m:sub/>
            <m:sup/>
            <m:e>
              <m:sSub>
                <m:sSubPr>
                  <m:ctrlPr>
                    <w:rPr>
                      <w:rFonts w:ascii="Cambria Math" w:hAnsi="Cambria Math"/>
                      <w:lang w:val="en-US"/>
                    </w:rPr>
                  </m:ctrlPr>
                </m:sSubPr>
                <m:e>
                  <m:r>
                    <w:rPr>
                      <w:rFonts w:ascii="Cambria Math" w:hAnsi="Cambria Math"/>
                      <w:color w:val="auto"/>
                      <w:lang w:val="en-US"/>
                    </w:rPr>
                    <m:t>α</m:t>
                  </m:r>
                  <m:ctrlPr>
                    <w:rPr>
                      <w:rFonts w:ascii="Cambria Math" w:hAnsi="Cambria Math"/>
                      <w:i/>
                      <w:lang w:val="en-US"/>
                    </w:rPr>
                  </m:ctrlPr>
                </m:e>
                <m:sub>
                  <m:r>
                    <w:rPr>
                      <w:rFonts w:ascii="Cambria Math" w:hAnsi="Cambria Math"/>
                      <w:color w:val="auto"/>
                      <w:lang w:val="en-US"/>
                    </w:rPr>
                    <m:t>j</m:t>
                  </m:r>
                  <m:ctrlPr>
                    <w:rPr>
                      <w:rFonts w:ascii="Cambria Math" w:hAnsi="Cambria Math"/>
                      <w:i/>
                      <w:lang w:val="en-US"/>
                    </w:rPr>
                  </m:ctrlPr>
                </m:sub>
              </m:sSub>
            </m:e>
          </m:nary>
          <m:sSub>
            <m:sSubPr>
              <m:ctrlPr>
                <w:rPr>
                  <w:rFonts w:ascii="Cambria Math" w:hAnsi="Cambria Math"/>
                  <w:lang w:val="en-US"/>
                </w:rPr>
              </m:ctrlPr>
            </m:sSubPr>
            <m:e>
              <m:r>
                <w:rPr>
                  <w:rFonts w:ascii="Cambria Math" w:hAnsi="Cambria Math"/>
                  <w:color w:val="auto"/>
                  <w:lang w:val="en-US"/>
                </w:rPr>
                <m:t>CONTROLS</m:t>
              </m:r>
              <m:ctrlPr>
                <w:rPr>
                  <w:rFonts w:ascii="Cambria Math" w:hAnsi="Cambria Math"/>
                  <w:i/>
                  <w:lang w:val="en-US"/>
                </w:rPr>
              </m:ctrlPr>
            </m:e>
            <m:sub>
              <m:r>
                <w:rPr>
                  <w:rFonts w:ascii="Cambria Math" w:hAnsi="Cambria Math"/>
                  <w:color w:val="auto"/>
                  <w:lang w:val="en-US"/>
                </w:rPr>
                <m:t>itj</m:t>
              </m:r>
              <m:ctrlPr>
                <w:rPr>
                  <w:rFonts w:ascii="Cambria Math" w:hAnsi="Cambria Math"/>
                  <w:i/>
                  <w:lang w:val="en-US"/>
                </w:rPr>
              </m:ctrlPr>
            </m:sub>
          </m:sSub>
          <m:r>
            <m:rPr>
              <m:sty m:val="p"/>
            </m:rPr>
            <w:rPr>
              <w:rFonts w:ascii="Cambria Math" w:hAnsi="Cambria Math"/>
              <w:color w:val="auto"/>
              <w:lang w:val="en-US"/>
            </w:rPr>
            <m:t>+</m:t>
          </m:r>
          <m:sSub>
            <m:sSubPr>
              <m:ctrlPr>
                <w:rPr>
                  <w:rFonts w:ascii="Cambria Math" w:hAnsi="Cambria Math"/>
                  <w:lang w:val="en-US"/>
                </w:rPr>
              </m:ctrlPr>
            </m:sSubPr>
            <m:e>
              <m:r>
                <w:rPr>
                  <w:rFonts w:ascii="Cambria Math" w:hAnsi="Cambria Math"/>
                  <w:color w:val="auto"/>
                  <w:lang w:val="en-US"/>
                </w:rPr>
                <m:t>ε</m:t>
              </m:r>
              <m:ctrlPr>
                <w:rPr>
                  <w:rFonts w:ascii="Cambria Math" w:hAnsi="Cambria Math"/>
                  <w:i/>
                  <w:lang w:val="en-US"/>
                </w:rPr>
              </m:ctrlPr>
            </m:e>
            <m:sub>
              <m:r>
                <w:rPr>
                  <w:rFonts w:ascii="Cambria Math" w:hAnsi="Cambria Math"/>
                  <w:color w:val="auto"/>
                  <w:lang w:val="en-US"/>
                </w:rPr>
                <m:t>it</m:t>
              </m:r>
              <m:ctrlPr>
                <w:rPr>
                  <w:rFonts w:ascii="Cambria Math" w:hAnsi="Cambria Math"/>
                  <w:i/>
                  <w:lang w:val="en-US"/>
                </w:rPr>
              </m:ctrlPr>
            </m:sub>
          </m:sSub>
        </m:oMath>
      </m:oMathPara>
    </w:p>
    <w:p w:rsidR="00585016" w:rsidRDefault="00F70FA7" w:rsidP="00585016">
      <w:pPr>
        <w:pStyle w:val="BodyText"/>
        <w:rPr>
          <w:rFonts w:ascii="Verdana" w:hAnsi="Verdana"/>
          <w:lang w:val="en-US"/>
        </w:rPr>
      </w:pPr>
      <w:r>
        <w:rPr>
          <w:rFonts w:ascii="Verdana" w:hAnsi="Verdana"/>
          <w:lang w:val="en-US"/>
        </w:rPr>
        <w:t>Also refer to Appendix 3.</w:t>
      </w:r>
      <w:r w:rsidRPr="00F70FA7">
        <w:rPr>
          <w:rFonts w:ascii="Verdana" w:hAnsi="Verdana"/>
          <w:lang w:val="en-US"/>
        </w:rPr>
        <w:t xml:space="preserve"> Model as used by van the </w:t>
      </w:r>
      <w:proofErr w:type="spellStart"/>
      <w:r w:rsidRPr="00F70FA7">
        <w:rPr>
          <w:rFonts w:ascii="Verdana" w:hAnsi="Verdana"/>
          <w:lang w:val="en-US"/>
        </w:rPr>
        <w:t>Poel</w:t>
      </w:r>
      <w:proofErr w:type="spellEnd"/>
      <w:r w:rsidRPr="00F70FA7">
        <w:rPr>
          <w:rFonts w:ascii="Verdana" w:hAnsi="Verdana"/>
          <w:lang w:val="en-US"/>
        </w:rPr>
        <w:t xml:space="preserve"> et al. (2008). </w:t>
      </w:r>
      <w:r w:rsidR="00585016">
        <w:rPr>
          <w:rFonts w:ascii="Verdana" w:hAnsi="Verdana"/>
          <w:lang w:val="en-US"/>
        </w:rPr>
        <w:t xml:space="preserve">Based on this model and the variables as </w:t>
      </w:r>
      <w:r w:rsidR="00071E16">
        <w:rPr>
          <w:rFonts w:ascii="Verdana" w:hAnsi="Verdana"/>
          <w:lang w:val="en-US"/>
        </w:rPr>
        <w:t xml:space="preserve">described previously </w:t>
      </w:r>
      <w:r w:rsidR="00585016">
        <w:rPr>
          <w:rFonts w:ascii="Verdana" w:hAnsi="Verdana"/>
          <w:lang w:val="en-US"/>
        </w:rPr>
        <w:t>the multiple logistic regression research model will be:</w:t>
      </w:r>
    </w:p>
    <w:p w:rsidR="00585016" w:rsidRDefault="00BB7754" w:rsidP="00071E16">
      <w:pPr>
        <w:pStyle w:val="BodyText"/>
        <w:spacing w:line="360" w:lineRule="auto"/>
        <w:rPr>
          <w:rFonts w:ascii="Verdana" w:hAnsi="Verdana"/>
          <w:lang w:val="en-US"/>
        </w:rPr>
      </w:pPr>
      <m:oMathPara>
        <m:oMath>
          <m:sSub>
            <m:sSubPr>
              <m:ctrlPr>
                <w:rPr>
                  <w:rFonts w:ascii="Cambria Math" w:hAnsi="Cambria Math"/>
                  <w:i/>
                  <w:lang w:val="en-US"/>
                </w:rPr>
              </m:ctrlPr>
            </m:sSubPr>
            <m:e>
              <m:r>
                <w:rPr>
                  <w:rFonts w:ascii="Cambria Math" w:hAnsi="Cambria Math"/>
                  <w:lang w:val="en-US"/>
                </w:rPr>
                <m:t>IMP</m:t>
              </m:r>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1</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GW</m:t>
              </m:r>
            </m:e>
            <m:sub>
              <m:r>
                <w:rPr>
                  <w:rFonts w:ascii="Cambria Math" w:hAnsi="Cambria Math"/>
                  <w:lang w:val="en-US"/>
                </w:rPr>
                <m:t>it-1</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2</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SIZE</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3</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∆SALES</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4</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∆CFO</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5</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∆ROA</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6</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BigBath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m:rPr>
                  <m:sty m:val="p"/>
                </m:rPr>
                <w:rPr>
                  <w:rFonts w:ascii="Cambria Math" w:hAnsi="Cambria Math"/>
                  <w:lang w:val="en-US"/>
                </w:rPr>
                <m:t>7</m:t>
              </m:r>
            </m:sub>
          </m:sSub>
          <m:sSub>
            <m:sSubPr>
              <m:ctrlPr>
                <w:rPr>
                  <w:rFonts w:ascii="Cambria Math" w:hAnsi="Cambria Math"/>
                  <w:lang w:val="en-US"/>
                </w:rPr>
              </m:ctrlPr>
            </m:sSubPr>
            <m:e>
              <m:r>
                <w:rPr>
                  <w:rFonts w:ascii="Cambria Math" w:hAnsi="Cambria Math"/>
                  <w:lang w:val="en-US"/>
                </w:rPr>
                <m:t>IncSmooth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ε</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oMath>
      </m:oMathPara>
    </w:p>
    <w:p w:rsidR="00585016" w:rsidRDefault="00585016" w:rsidP="00585016">
      <w:pPr>
        <w:pStyle w:val="BodyText"/>
        <w:rPr>
          <w:rFonts w:ascii="Verdana" w:hAnsi="Verdana"/>
          <w:lang w:val="en-US"/>
        </w:rPr>
      </w:pPr>
      <w:r>
        <w:rPr>
          <w:rFonts w:ascii="Verdana" w:hAnsi="Verdana"/>
          <w:lang w:val="en-US"/>
        </w:rPr>
        <w:lastRenderedPageBreak/>
        <w:t xml:space="preserve">The starting point is that </w:t>
      </w:r>
      <w:proofErr w:type="spellStart"/>
      <w:r>
        <w:rPr>
          <w:rFonts w:ascii="Verdana" w:hAnsi="Verdana"/>
          <w:i/>
          <w:lang w:val="en-US"/>
        </w:rPr>
        <w:t>IMP</w:t>
      </w:r>
      <w:r>
        <w:rPr>
          <w:rFonts w:ascii="Verdana" w:hAnsi="Verdana"/>
          <w:vertAlign w:val="subscript"/>
          <w:lang w:val="en-US"/>
        </w:rPr>
        <w:t>it</w:t>
      </w:r>
      <w:proofErr w:type="spellEnd"/>
      <w:r>
        <w:rPr>
          <w:rFonts w:ascii="Verdana" w:hAnsi="Verdana"/>
          <w:lang w:val="en-US"/>
        </w:rPr>
        <w:t xml:space="preserve"> is 0 or 1. Were 0 represents that the company has taken no goodwill impairment and 1 represents a goodwill impairment. The mean response is the probability </w:t>
      </w:r>
      <w:r>
        <w:rPr>
          <w:rFonts w:ascii="Verdana" w:hAnsi="Verdana"/>
          <w:i/>
          <w:lang w:val="en-US"/>
        </w:rPr>
        <w:t>p</w:t>
      </w:r>
      <w:r>
        <w:rPr>
          <w:rFonts w:ascii="Verdana" w:hAnsi="Verdana"/>
          <w:lang w:val="en-US"/>
        </w:rPr>
        <w:t xml:space="preserve"> of success. This logistic regression model tries to explain </w:t>
      </w:r>
      <w:r>
        <w:rPr>
          <w:rFonts w:ascii="Verdana" w:hAnsi="Verdana"/>
          <w:i/>
          <w:lang w:val="en-US"/>
        </w:rPr>
        <w:t>p</w:t>
      </w:r>
      <w:r>
        <w:rPr>
          <w:rFonts w:ascii="Verdana" w:hAnsi="Verdana"/>
          <w:lang w:val="en-US"/>
        </w:rPr>
        <w:t xml:space="preserve"> in terms of several explanatory variables. The model will show which explanatory values influence the decision to take a goodwill impairment significantly.</w:t>
      </w:r>
    </w:p>
    <w:p w:rsidR="00585016" w:rsidRDefault="00585016" w:rsidP="00585016">
      <w:pPr>
        <w:pStyle w:val="BodyText"/>
        <w:rPr>
          <w:rFonts w:ascii="Verdana" w:hAnsi="Verdana"/>
          <w:lang w:val="en-US"/>
        </w:rPr>
      </w:pPr>
      <w:r>
        <w:rPr>
          <w:rFonts w:ascii="Verdana" w:hAnsi="Verdana"/>
          <w:lang w:val="en-US"/>
        </w:rPr>
        <w:t xml:space="preserve">There are two variables present that were not discussed yet, </w:t>
      </w:r>
      <w:r>
        <w:rPr>
          <w:rFonts w:ascii="Georgia" w:hAnsi="Georgia"/>
          <w:i/>
          <w:lang w:val="en-US"/>
        </w:rPr>
        <w:t>α</w:t>
      </w:r>
      <w:r>
        <w:rPr>
          <w:rFonts w:ascii="Verdana" w:hAnsi="Verdana"/>
          <w:i/>
          <w:vertAlign w:val="subscript"/>
          <w:lang w:val="en-US"/>
        </w:rPr>
        <w:t xml:space="preserve">0 </w:t>
      </w:r>
      <w:r>
        <w:rPr>
          <w:rFonts w:ascii="Verdana" w:hAnsi="Verdana"/>
          <w:lang w:val="en-US"/>
        </w:rPr>
        <w:t xml:space="preserve">and </w:t>
      </w:r>
      <w:proofErr w:type="spellStart"/>
      <w:r>
        <w:rPr>
          <w:rFonts w:ascii="Verdana" w:hAnsi="Verdana"/>
          <w:lang w:val="en-US"/>
        </w:rPr>
        <w:t>ε</w:t>
      </w:r>
      <w:r>
        <w:rPr>
          <w:rFonts w:ascii="Verdana" w:hAnsi="Verdana"/>
          <w:i/>
          <w:vertAlign w:val="subscript"/>
          <w:lang w:val="en-US"/>
        </w:rPr>
        <w:t>it</w:t>
      </w:r>
      <w:proofErr w:type="spellEnd"/>
      <w:r>
        <w:rPr>
          <w:rFonts w:ascii="Verdana" w:hAnsi="Verdana"/>
          <w:lang w:val="en-US"/>
        </w:rPr>
        <w:t xml:space="preserve">. These are the intercept and the stochastic variable. The intercept, </w:t>
      </w:r>
      <w:r>
        <w:rPr>
          <w:rFonts w:ascii="Georgia" w:hAnsi="Georgia"/>
          <w:i/>
          <w:lang w:val="en-US"/>
        </w:rPr>
        <w:t>α</w:t>
      </w:r>
      <w:r>
        <w:rPr>
          <w:rFonts w:ascii="Verdana" w:hAnsi="Verdana"/>
          <w:i/>
          <w:vertAlign w:val="subscript"/>
          <w:lang w:val="en-US"/>
        </w:rPr>
        <w:t xml:space="preserve">0 </w:t>
      </w:r>
      <w:r>
        <w:rPr>
          <w:rFonts w:ascii="Verdana" w:hAnsi="Verdana"/>
          <w:lang w:val="en-US"/>
        </w:rPr>
        <w:t xml:space="preserve">is the constant mean value of </w:t>
      </w:r>
      <w:proofErr w:type="spellStart"/>
      <w:r>
        <w:rPr>
          <w:rFonts w:ascii="Verdana" w:hAnsi="Verdana"/>
          <w:i/>
          <w:lang w:val="en-US"/>
        </w:rPr>
        <w:t>IMP</w:t>
      </w:r>
      <w:r>
        <w:rPr>
          <w:rFonts w:ascii="Verdana" w:hAnsi="Verdana"/>
          <w:vertAlign w:val="subscript"/>
          <w:lang w:val="en-US"/>
        </w:rPr>
        <w:t>it</w:t>
      </w:r>
      <w:proofErr w:type="spellEnd"/>
      <w:r>
        <w:rPr>
          <w:rFonts w:ascii="Verdana" w:hAnsi="Verdana"/>
          <w:lang w:val="en-US"/>
        </w:rPr>
        <w:t xml:space="preserve"> when the explanatory variables are equal to zero. The last variable is the stochastic variable. This variable is added because the explanatory values cannot describe </w:t>
      </w:r>
      <w:proofErr w:type="spellStart"/>
      <w:r>
        <w:rPr>
          <w:rFonts w:ascii="Verdana" w:hAnsi="Verdana"/>
          <w:i/>
          <w:lang w:val="en-US"/>
        </w:rPr>
        <w:t>IMP</w:t>
      </w:r>
      <w:r>
        <w:rPr>
          <w:rFonts w:ascii="Verdana" w:hAnsi="Verdana"/>
          <w:vertAlign w:val="subscript"/>
          <w:lang w:val="en-US"/>
        </w:rPr>
        <w:t>it</w:t>
      </w:r>
      <w:proofErr w:type="spellEnd"/>
      <w:r>
        <w:rPr>
          <w:rFonts w:ascii="Verdana" w:hAnsi="Verdana"/>
          <w:lang w:val="en-US"/>
        </w:rPr>
        <w:t xml:space="preserve"> exactly. There are always minor deviations. These deviations from the population means are consequence of three possible causes. Firstly there can be variables that were not observed or could not be observed. This could happen when a company has got a unique situation which influences their decision to take an impairment loss. Secondly the model assumes that there is a linear relation between the variables and the impairment decision. This assumption does not have to be true. And at last there can be measuring errors. These can be errors made when the data is collected, or when the data is entered into a data file for example. The stochastic variable can be seen as the repository for several different errors which create a deviation between the true and the expected value of the impairment decision. </w:t>
      </w:r>
    </w:p>
    <w:p w:rsidR="00E12614" w:rsidRDefault="00E12614" w:rsidP="00585016">
      <w:pPr>
        <w:pStyle w:val="BodyText"/>
        <w:rPr>
          <w:rFonts w:ascii="Verdana" w:hAnsi="Verdana"/>
          <w:lang w:val="en-US"/>
        </w:rPr>
      </w:pPr>
    </w:p>
    <w:p w:rsidR="00585016" w:rsidRDefault="003C2D90" w:rsidP="00E12614">
      <w:pPr>
        <w:pStyle w:val="Heading2"/>
        <w:rPr>
          <w:lang w:val="en-US"/>
        </w:rPr>
      </w:pPr>
      <w:bookmarkStart w:id="49" w:name="_Toc359957152"/>
      <w:r>
        <w:rPr>
          <w:lang w:val="en-US"/>
        </w:rPr>
        <w:t>5</w:t>
      </w:r>
      <w:r w:rsidR="00E12614">
        <w:rPr>
          <w:lang w:val="en-US"/>
        </w:rPr>
        <w:t xml:space="preserve">.4 </w:t>
      </w:r>
      <w:r w:rsidR="00585016">
        <w:rPr>
          <w:lang w:val="en-US"/>
        </w:rPr>
        <w:t>Research sample</w:t>
      </w:r>
      <w:bookmarkEnd w:id="49"/>
      <w:r w:rsidR="00E12614">
        <w:rPr>
          <w:lang w:val="en-US"/>
        </w:rPr>
        <w:br/>
      </w:r>
    </w:p>
    <w:p w:rsidR="00585016" w:rsidRDefault="00585016" w:rsidP="00585016">
      <w:pPr>
        <w:pStyle w:val="BodyText"/>
        <w:rPr>
          <w:rFonts w:ascii="Verdana" w:hAnsi="Verdana"/>
          <w:lang w:val="en-US"/>
        </w:rPr>
      </w:pPr>
      <w:r>
        <w:rPr>
          <w:rFonts w:ascii="Verdana" w:hAnsi="Verdana"/>
          <w:lang w:val="en-US"/>
        </w:rPr>
        <w:t xml:space="preserve">To obtain a proper research sample the quantitative and qualitative qualities of the sample are important. The qualitative side will be covered by </w:t>
      </w:r>
      <w:r w:rsidR="00BC5B60">
        <w:rPr>
          <w:rFonts w:ascii="Verdana" w:hAnsi="Verdana"/>
          <w:lang w:val="en-US"/>
        </w:rPr>
        <w:t>focusing on listed companies. The annual accounts of these companies are audited by independent auditors and therefore increase the reliability and qualitative side of the data. Besides this, the data will be obtained</w:t>
      </w:r>
      <w:r>
        <w:rPr>
          <w:rFonts w:ascii="Verdana" w:hAnsi="Verdana"/>
          <w:lang w:val="en-US"/>
        </w:rPr>
        <w:t xml:space="preserve"> through the Thomson One Banker financial database. The Thomson One Banker is a renowned financial database in which financial information can be found, derived from annual financial reports from compa</w:t>
      </w:r>
      <w:r w:rsidR="00BC5B60">
        <w:rPr>
          <w:rFonts w:ascii="Verdana" w:hAnsi="Verdana"/>
          <w:lang w:val="en-US"/>
        </w:rPr>
        <w:t xml:space="preserve">nies quoted on stock exchanges. </w:t>
      </w:r>
    </w:p>
    <w:p w:rsidR="00585016" w:rsidRDefault="00585016" w:rsidP="00585016">
      <w:pPr>
        <w:pStyle w:val="BodyText"/>
        <w:rPr>
          <w:rFonts w:ascii="Verdana" w:hAnsi="Verdana"/>
          <w:lang w:val="en-US"/>
        </w:rPr>
      </w:pPr>
      <w:r>
        <w:rPr>
          <w:rFonts w:ascii="Verdana" w:hAnsi="Verdana"/>
          <w:lang w:val="en-US"/>
        </w:rPr>
        <w:t>The quantitative side will be covered by choosing an industry and geographic area which will guarantee a large enough sample size with the right variables and comparable at the same time. For example, if the research sample would be all the companies listed on a single stock exchange, like the Amsterdam Exchange Index, the sample would have to be derived from several different lines of industries, which have different ratio’s in their financial statements and different structures. These would distort the results. This could be solved by splitting the research sample into different branches, but then the various samples would not be big enough to draw conclusive results.</w:t>
      </w:r>
    </w:p>
    <w:p w:rsidR="00BC5B60" w:rsidRDefault="00585016" w:rsidP="00007452">
      <w:pPr>
        <w:rPr>
          <w:rFonts w:ascii="Verdana" w:hAnsi="Verdana"/>
          <w:lang w:val="en-US"/>
        </w:rPr>
      </w:pPr>
      <w:r>
        <w:rPr>
          <w:rFonts w:ascii="Verdana" w:hAnsi="Verdana"/>
          <w:lang w:val="en-US"/>
        </w:rPr>
        <w:t xml:space="preserve">Therefore the research sample will exist </w:t>
      </w:r>
      <w:r w:rsidR="00BC5B60">
        <w:rPr>
          <w:rFonts w:ascii="Verdana" w:hAnsi="Verdana"/>
          <w:lang w:val="en-US"/>
        </w:rPr>
        <w:t xml:space="preserve">out </w:t>
      </w:r>
      <w:r>
        <w:rPr>
          <w:rFonts w:ascii="Verdana" w:hAnsi="Verdana"/>
          <w:lang w:val="en-US"/>
        </w:rPr>
        <w:t>of</w:t>
      </w:r>
      <w:r w:rsidR="00BC5B60">
        <w:rPr>
          <w:rFonts w:ascii="Verdana" w:hAnsi="Verdana"/>
          <w:lang w:val="en-US"/>
        </w:rPr>
        <w:t xml:space="preserve"> industrial production</w:t>
      </w:r>
      <w:r>
        <w:rPr>
          <w:rFonts w:ascii="Verdana" w:hAnsi="Verdana"/>
          <w:lang w:val="en-US"/>
        </w:rPr>
        <w:t xml:space="preserve"> companies which are listed on a stock exchange in member states of the European Union. </w:t>
      </w:r>
      <w:r w:rsidR="00BC5B60">
        <w:rPr>
          <w:rFonts w:ascii="Verdana" w:hAnsi="Verdana"/>
          <w:lang w:val="en-US"/>
        </w:rPr>
        <w:t>B</w:t>
      </w:r>
      <w:r w:rsidR="00007452">
        <w:rPr>
          <w:rFonts w:ascii="Verdana" w:hAnsi="Verdana"/>
          <w:lang w:val="en-US"/>
        </w:rPr>
        <w:t xml:space="preserve">ecause </w:t>
      </w:r>
      <w:r w:rsidR="00BC5B60">
        <w:rPr>
          <w:rFonts w:ascii="Verdana" w:hAnsi="Verdana"/>
          <w:lang w:val="en-US"/>
        </w:rPr>
        <w:t xml:space="preserve">all </w:t>
      </w:r>
      <w:r w:rsidR="00007452">
        <w:rPr>
          <w:rFonts w:ascii="Verdana" w:hAnsi="Verdana"/>
          <w:lang w:val="en-US"/>
        </w:rPr>
        <w:t>the member states of the European Union are chosen</w:t>
      </w:r>
      <w:r w:rsidR="00BC5B60">
        <w:rPr>
          <w:rFonts w:ascii="Verdana" w:hAnsi="Verdana"/>
          <w:lang w:val="en-US"/>
        </w:rPr>
        <w:t>,</w:t>
      </w:r>
      <w:r w:rsidR="00007452">
        <w:rPr>
          <w:rFonts w:ascii="Verdana" w:hAnsi="Verdana"/>
          <w:lang w:val="en-US"/>
        </w:rPr>
        <w:t xml:space="preserve"> </w:t>
      </w:r>
      <w:r>
        <w:rPr>
          <w:rFonts w:ascii="Verdana" w:hAnsi="Verdana"/>
          <w:lang w:val="en-US"/>
        </w:rPr>
        <w:t xml:space="preserve">the sample size </w:t>
      </w:r>
      <w:r w:rsidR="00BC5B60">
        <w:rPr>
          <w:rFonts w:ascii="Verdana" w:hAnsi="Verdana"/>
          <w:lang w:val="en-US"/>
        </w:rPr>
        <w:t>will be</w:t>
      </w:r>
      <w:r>
        <w:rPr>
          <w:rFonts w:ascii="Verdana" w:hAnsi="Verdana"/>
          <w:lang w:val="en-US"/>
        </w:rPr>
        <w:t xml:space="preserve"> big enough</w:t>
      </w:r>
      <w:r w:rsidR="00007452">
        <w:rPr>
          <w:rFonts w:ascii="Verdana" w:hAnsi="Verdana"/>
          <w:lang w:val="en-US"/>
        </w:rPr>
        <w:t>. The focus</w:t>
      </w:r>
      <w:r w:rsidR="00205826">
        <w:rPr>
          <w:rFonts w:ascii="Verdana" w:hAnsi="Verdana"/>
          <w:lang w:val="en-US"/>
        </w:rPr>
        <w:t xml:space="preserve"> lies</w:t>
      </w:r>
      <w:r w:rsidR="00007452">
        <w:rPr>
          <w:rFonts w:ascii="Verdana" w:hAnsi="Verdana"/>
          <w:lang w:val="en-US"/>
        </w:rPr>
        <w:t xml:space="preserve"> on industrial production companies </w:t>
      </w:r>
      <w:r w:rsidR="00205826">
        <w:rPr>
          <w:rFonts w:ascii="Verdana" w:hAnsi="Verdana"/>
          <w:lang w:val="en-US"/>
        </w:rPr>
        <w:t>because they, more often than not,</w:t>
      </w:r>
      <w:r w:rsidR="00BC5B60">
        <w:rPr>
          <w:rFonts w:ascii="Verdana" w:hAnsi="Verdana"/>
          <w:lang w:val="en-US"/>
        </w:rPr>
        <w:t xml:space="preserve"> </w:t>
      </w:r>
      <w:r w:rsidR="00007452">
        <w:rPr>
          <w:rFonts w:ascii="Verdana" w:hAnsi="Verdana"/>
          <w:lang w:val="en-US"/>
        </w:rPr>
        <w:t>have goodwill on balance</w:t>
      </w:r>
      <w:r w:rsidR="00205826">
        <w:rPr>
          <w:rFonts w:ascii="Verdana" w:hAnsi="Verdana"/>
          <w:lang w:val="en-US"/>
        </w:rPr>
        <w:t xml:space="preserve"> and no previous research on industrial production companies in relation to earnings management could b</w:t>
      </w:r>
      <w:r w:rsidR="00CC4062">
        <w:rPr>
          <w:rFonts w:ascii="Verdana" w:hAnsi="Verdana"/>
          <w:lang w:val="en-US"/>
        </w:rPr>
        <w:t>e found in the literature to date</w:t>
      </w:r>
      <w:r w:rsidR="00007452">
        <w:rPr>
          <w:rFonts w:ascii="Verdana" w:hAnsi="Verdana"/>
          <w:lang w:val="en-US"/>
        </w:rPr>
        <w:t>.</w:t>
      </w:r>
      <w:r w:rsidR="00205826">
        <w:rPr>
          <w:rFonts w:ascii="Verdana" w:hAnsi="Verdana"/>
          <w:lang w:val="en-US"/>
        </w:rPr>
        <w:t xml:space="preserve"> Therefore this increases the social relevance of this thesis.</w:t>
      </w:r>
    </w:p>
    <w:p w:rsidR="00585016" w:rsidRDefault="00585016" w:rsidP="00585016">
      <w:pPr>
        <w:pStyle w:val="BodyText"/>
        <w:rPr>
          <w:rFonts w:ascii="Verdana" w:hAnsi="Verdana"/>
          <w:lang w:val="en-US"/>
        </w:rPr>
      </w:pPr>
      <w:r>
        <w:rPr>
          <w:rFonts w:ascii="Verdana" w:hAnsi="Verdana"/>
          <w:lang w:val="en-US"/>
        </w:rPr>
        <w:lastRenderedPageBreak/>
        <w:t xml:space="preserve">These samples will be derived twice from the Thomson One Banker database to be able to compare the differences between the relations before and after the beginning of the crisis. Seen as the crisis started at 2008, the years 2007 and 2009 are selected to be included in the research sample. Because several variables also require data from the previous year, like </w:t>
      </w:r>
      <w:proofErr w:type="spellStart"/>
      <w:r>
        <w:rPr>
          <w:rFonts w:ascii="Verdana" w:hAnsi="Verdana"/>
          <w:i/>
          <w:lang w:val="en-US"/>
        </w:rPr>
        <w:t>SIZE</w:t>
      </w:r>
      <w:r>
        <w:rPr>
          <w:rFonts w:ascii="Verdana" w:hAnsi="Verdana"/>
          <w:i/>
          <w:vertAlign w:val="subscript"/>
          <w:lang w:val="en-US"/>
        </w:rPr>
        <w:t>it</w:t>
      </w:r>
      <w:proofErr w:type="spellEnd"/>
      <w:r>
        <w:rPr>
          <w:rFonts w:ascii="Verdana" w:hAnsi="Verdana"/>
          <w:lang w:val="en-US"/>
        </w:rPr>
        <w:t xml:space="preserve"> (goodwill and assets previous year), ∆</w:t>
      </w:r>
      <w:proofErr w:type="spellStart"/>
      <w:r>
        <w:rPr>
          <w:rFonts w:ascii="Verdana" w:hAnsi="Verdana"/>
          <w:i/>
          <w:lang w:val="en-US"/>
        </w:rPr>
        <w:t>CFO</w:t>
      </w:r>
      <w:r>
        <w:rPr>
          <w:rFonts w:ascii="Verdana" w:hAnsi="Verdana"/>
          <w:i/>
          <w:vertAlign w:val="subscript"/>
          <w:lang w:val="en-US"/>
        </w:rPr>
        <w:t>it</w:t>
      </w:r>
      <w:proofErr w:type="spellEnd"/>
      <w:r>
        <w:rPr>
          <w:rFonts w:ascii="Verdana" w:hAnsi="Verdana"/>
          <w:lang w:val="en-US"/>
        </w:rPr>
        <w:t xml:space="preserve"> (operating cash flow previous year) and ∆</w:t>
      </w:r>
      <w:proofErr w:type="spellStart"/>
      <w:r>
        <w:rPr>
          <w:rFonts w:ascii="Verdana" w:hAnsi="Verdana"/>
          <w:i/>
          <w:lang w:val="en-US"/>
        </w:rPr>
        <w:t>ROA</w:t>
      </w:r>
      <w:r>
        <w:rPr>
          <w:rFonts w:ascii="Verdana" w:hAnsi="Verdana"/>
          <w:i/>
          <w:vertAlign w:val="subscript"/>
          <w:lang w:val="en-US"/>
        </w:rPr>
        <w:t>it</w:t>
      </w:r>
      <w:proofErr w:type="spellEnd"/>
      <w:r>
        <w:rPr>
          <w:rFonts w:ascii="Verdana" w:hAnsi="Verdana"/>
          <w:lang w:val="en-US"/>
        </w:rPr>
        <w:t xml:space="preserve"> (return on assets previous year), these data are also derived from Thomson One Banker database for the years 2006 and 2008.</w:t>
      </w:r>
    </w:p>
    <w:p w:rsidR="00585016" w:rsidRDefault="00585016" w:rsidP="00585016">
      <w:pPr>
        <w:pStyle w:val="BodyText"/>
        <w:rPr>
          <w:rFonts w:ascii="Verdana" w:hAnsi="Verdana"/>
          <w:lang w:val="en-US"/>
        </w:rPr>
      </w:pPr>
      <w:r>
        <w:rPr>
          <w:rFonts w:ascii="Verdana" w:hAnsi="Verdana"/>
          <w:lang w:val="en-US"/>
        </w:rPr>
        <w:t xml:space="preserve">By setting these three conditions, industry, geography and time, the initial population exists of 1384 companies. </w:t>
      </w:r>
    </w:p>
    <w:p w:rsidR="00585016" w:rsidRDefault="00585016" w:rsidP="00585016">
      <w:pPr>
        <w:pStyle w:val="BodyText"/>
        <w:rPr>
          <w:rFonts w:ascii="Verdana" w:hAnsi="Verdana"/>
          <w:lang w:val="en-US"/>
        </w:rPr>
      </w:pPr>
      <w:r>
        <w:rPr>
          <w:rFonts w:ascii="Verdana" w:hAnsi="Verdana"/>
          <w:i/>
          <w:lang w:val="en-US"/>
        </w:rPr>
        <w:t>Industry and geography</w:t>
      </w:r>
      <w:r>
        <w:rPr>
          <w:rFonts w:ascii="Verdana" w:hAnsi="Verdana"/>
          <w:i/>
          <w:lang w:val="en-US"/>
        </w:rPr>
        <w:br/>
      </w:r>
      <w:r>
        <w:rPr>
          <w:rFonts w:ascii="Verdana" w:hAnsi="Verdana"/>
          <w:lang w:val="en-US"/>
        </w:rPr>
        <w:t xml:space="preserve">As mentioned before, to obtain the relevant data the Thomson One Banker financial database was chosen. To be able to extract data only from the industrial production companies a certain classification has to be entered into the Thomson One Banker analysis program. For the classification the </w:t>
      </w:r>
      <w:r>
        <w:rPr>
          <w:rFonts w:ascii="Verdana" w:hAnsi="Verdana"/>
        </w:rPr>
        <w:t xml:space="preserve">Standard Industrial Classification (SIC) was used. This is a system for classifying industries by a four-digit code. Several organisations use this code, among others the U.S. Securities and Exchange Commission. On basis of the SIC, the following </w:t>
      </w:r>
      <w:r>
        <w:rPr>
          <w:rFonts w:ascii="Verdana" w:hAnsi="Verdana"/>
          <w:lang w:val="en-US"/>
        </w:rPr>
        <w:t>groups were selected:</w:t>
      </w:r>
    </w:p>
    <w:p w:rsidR="00585016" w:rsidRDefault="00585016" w:rsidP="00585016">
      <w:pPr>
        <w:rPr>
          <w:rFonts w:ascii="Verdana" w:hAnsi="Verdana"/>
          <w:lang w:val="en-US"/>
        </w:rPr>
      </w:pPr>
      <w:r>
        <w:rPr>
          <w:rFonts w:ascii="Verdana" w:hAnsi="Verdana"/>
        </w:rPr>
        <w:t>33 Primary metal industries.</w:t>
      </w:r>
      <w:r>
        <w:rPr>
          <w:rFonts w:ascii="Verdana" w:hAnsi="Verdana"/>
        </w:rPr>
        <w:br/>
        <w:t>34 Fabricated metal products, except machinery and transportation equipment.</w:t>
      </w:r>
      <w:r>
        <w:rPr>
          <w:rFonts w:ascii="Verdana" w:hAnsi="Verdana"/>
        </w:rPr>
        <w:br/>
        <w:t>35 Industrial and commercial machinery and computer equipment.</w:t>
      </w:r>
      <w:r>
        <w:rPr>
          <w:rFonts w:ascii="Verdana" w:hAnsi="Verdana"/>
        </w:rPr>
        <w:br/>
        <w:t>36 Electronic and other electrical equipment and components, except computers.</w:t>
      </w:r>
      <w:r>
        <w:rPr>
          <w:rFonts w:ascii="Verdana" w:hAnsi="Verdana"/>
        </w:rPr>
        <w:br/>
        <w:t>37 Transportation equipment.</w:t>
      </w:r>
      <w:r>
        <w:rPr>
          <w:rFonts w:ascii="Verdana" w:hAnsi="Verdana"/>
        </w:rPr>
        <w:br/>
        <w:t>38 Instruments and related products.</w:t>
      </w:r>
      <w:r>
        <w:rPr>
          <w:rFonts w:ascii="Verdana" w:hAnsi="Verdana"/>
        </w:rPr>
        <w:br/>
        <w:t>39 Miscellaneous manufacturing industries.</w:t>
      </w:r>
    </w:p>
    <w:p w:rsidR="00585016" w:rsidRDefault="00585016" w:rsidP="00585016">
      <w:pPr>
        <w:pStyle w:val="BodyText"/>
        <w:rPr>
          <w:rFonts w:ascii="Verdana" w:hAnsi="Verdana"/>
          <w:lang w:val="en-US"/>
        </w:rPr>
      </w:pPr>
      <w:r>
        <w:rPr>
          <w:rFonts w:ascii="Verdana" w:hAnsi="Verdana"/>
          <w:lang w:val="en-US"/>
        </w:rPr>
        <w:t>By selecting these SIC codes the industry condition of the sample is covered. After the industry, the countries which participate in the population, are selected. These countries are the members of the European Union:</w:t>
      </w:r>
    </w:p>
    <w:p w:rsidR="00585016" w:rsidRDefault="00585016" w:rsidP="00585016">
      <w:pPr>
        <w:rPr>
          <w:rFonts w:ascii="Verdana" w:hAnsi="Verdana"/>
          <w:lang w:val="en-US"/>
        </w:rPr>
      </w:pPr>
      <w:r>
        <w:rPr>
          <w:rFonts w:ascii="Verdana" w:hAnsi="Verdana"/>
          <w:lang w:val="en-US"/>
        </w:rPr>
        <w:t>Austria, Belgium, Bulgaria, Cyprus, Czech Republic, Denmark, Estonia, Finland, France, Germany, Greece, Hungary, Ireland, Italy, Latvia, Lithuania, Luxembourg, Malta, Netherlands, Poland, Portugal, Romania, Slovakia, Slovenia, Spain, Sweden and the United Kingdom.</w:t>
      </w:r>
    </w:p>
    <w:p w:rsidR="00585016" w:rsidRDefault="00585016" w:rsidP="00585016">
      <w:pPr>
        <w:pStyle w:val="BodyText"/>
        <w:rPr>
          <w:rFonts w:ascii="Verdana" w:hAnsi="Verdana"/>
          <w:lang w:val="en-US"/>
        </w:rPr>
      </w:pPr>
      <w:r>
        <w:rPr>
          <w:rFonts w:ascii="Verdana" w:hAnsi="Verdana"/>
          <w:lang w:val="en-US"/>
        </w:rPr>
        <w:t xml:space="preserve">The public companies in these SIC groups and countries cumulate to a total population of 1384 companies. </w:t>
      </w:r>
    </w:p>
    <w:p w:rsidR="00585016" w:rsidRDefault="00585016" w:rsidP="00585016">
      <w:pPr>
        <w:pStyle w:val="BodyText"/>
        <w:rPr>
          <w:rFonts w:ascii="Verdana" w:hAnsi="Verdana"/>
          <w:lang w:val="en-US"/>
        </w:rPr>
      </w:pPr>
      <w:r>
        <w:rPr>
          <w:rFonts w:ascii="Verdana" w:hAnsi="Verdana"/>
          <w:i/>
          <w:lang w:val="en-US"/>
        </w:rPr>
        <w:t>Final Sample</w:t>
      </w:r>
      <w:r>
        <w:rPr>
          <w:rFonts w:ascii="Verdana" w:hAnsi="Verdana"/>
          <w:i/>
          <w:lang w:val="en-US"/>
        </w:rPr>
        <w:br/>
      </w:r>
      <w:r>
        <w:rPr>
          <w:rFonts w:ascii="Verdana" w:hAnsi="Verdana"/>
          <w:lang w:val="en-US"/>
        </w:rPr>
        <w:t xml:space="preserve">From the initial population of 1384 companies several have been removed from the population to reach the final research samples of 778 for 2007 and 835 for 2009. This is mainly due to the fact that not all of the companies had goodwill at the start of the years 2007 and 2009. For 2007, 563 companies did not have goodwill and for 2009 this applied to 514 companies. The companies which did not have any goodwill are not participating in the research sample because they could not make impairments to their goodwill. These companies are however included in the calculation for the industry average which will be compared with the pre-impaired earnings from year </w:t>
      </w:r>
      <w:proofErr w:type="spellStart"/>
      <w:r>
        <w:rPr>
          <w:rFonts w:ascii="Verdana" w:hAnsi="Verdana"/>
          <w:i/>
          <w:lang w:val="en-US"/>
        </w:rPr>
        <w:t>t</w:t>
      </w:r>
      <w:proofErr w:type="spellEnd"/>
      <w:r>
        <w:rPr>
          <w:rFonts w:ascii="Verdana" w:hAnsi="Verdana"/>
          <w:lang w:val="en-US"/>
        </w:rPr>
        <w:t xml:space="preserve"> divided by the total assets of the company at year </w:t>
      </w:r>
      <w:r>
        <w:rPr>
          <w:rFonts w:ascii="Verdana" w:hAnsi="Verdana"/>
          <w:i/>
          <w:lang w:val="en-US"/>
        </w:rPr>
        <w:t>t</w:t>
      </w:r>
      <w:r>
        <w:rPr>
          <w:rFonts w:ascii="Verdana" w:hAnsi="Verdana"/>
          <w:lang w:val="en-US"/>
        </w:rPr>
        <w:t xml:space="preserve"> for the variables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and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lang w:val="en-US"/>
        </w:rPr>
        <w:t xml:space="preserve">. </w:t>
      </w:r>
    </w:p>
    <w:p w:rsidR="00585016" w:rsidRDefault="00585016" w:rsidP="00585016">
      <w:pPr>
        <w:pStyle w:val="BodyText"/>
        <w:rPr>
          <w:rFonts w:ascii="Verdana" w:hAnsi="Verdana"/>
          <w:lang w:val="en-US"/>
        </w:rPr>
      </w:pPr>
      <w:r>
        <w:rPr>
          <w:rFonts w:ascii="Verdana" w:hAnsi="Verdana"/>
          <w:lang w:val="en-US"/>
        </w:rPr>
        <w:lastRenderedPageBreak/>
        <w:t>Besides companies who did not have goodwill there are also companies who entered or left the stock exchange during one of the years 2006 through 2009 and therefore the data is not completely available for every year. This applies to 43 companies in the 2007 selectio</w:t>
      </w:r>
      <w:r w:rsidR="00FA34EF">
        <w:rPr>
          <w:rFonts w:ascii="Verdana" w:hAnsi="Verdana"/>
          <w:lang w:val="en-US"/>
        </w:rPr>
        <w:t>n and 35 in the 2009 selection. Refer to table 5.1 for a summary:</w:t>
      </w:r>
    </w:p>
    <w:p w:rsidR="00FA34EF" w:rsidRPr="00FA34EF" w:rsidRDefault="00FA34EF" w:rsidP="00585016">
      <w:pPr>
        <w:pStyle w:val="BodyText"/>
        <w:rPr>
          <w:rFonts w:ascii="Verdana" w:hAnsi="Verdana"/>
          <w:i/>
          <w:lang w:val="en-US"/>
        </w:rPr>
      </w:pPr>
      <w:r>
        <w:rPr>
          <w:rFonts w:ascii="Verdana" w:hAnsi="Verdana"/>
          <w:i/>
          <w:lang w:val="en-US"/>
        </w:rPr>
        <w:t>Table 5.1 Final sample</w:t>
      </w:r>
    </w:p>
    <w:tbl>
      <w:tblPr>
        <w:tblStyle w:val="DarkList1"/>
        <w:tblW w:w="0" w:type="auto"/>
        <w:tblLook w:val="04A0" w:firstRow="1" w:lastRow="0" w:firstColumn="1" w:lastColumn="0" w:noHBand="0" w:noVBand="1"/>
      </w:tblPr>
      <w:tblGrid>
        <w:gridCol w:w="3085"/>
        <w:gridCol w:w="2977"/>
        <w:gridCol w:w="2810"/>
      </w:tblGrid>
      <w:tr w:rsidR="00585016" w:rsidTr="00585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00B0F0"/>
            <w:vAlign w:val="center"/>
          </w:tcPr>
          <w:p w:rsidR="00585016" w:rsidRDefault="00585016">
            <w:pPr>
              <w:pStyle w:val="BodyText"/>
              <w:jc w:val="center"/>
              <w:rPr>
                <w:rFonts w:cstheme="minorHAnsi"/>
                <w:sz w:val="20"/>
                <w:szCs w:val="20"/>
              </w:rPr>
            </w:pPr>
          </w:p>
        </w:tc>
        <w:tc>
          <w:tcPr>
            <w:tcW w:w="2977" w:type="dxa"/>
            <w:shd w:val="clear" w:color="auto" w:fill="00B0F0"/>
            <w:hideMark/>
          </w:tcPr>
          <w:p w:rsidR="00585016" w:rsidRPr="00DC1C3A" w:rsidRDefault="00585016">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DC1C3A">
              <w:rPr>
                <w:rFonts w:cstheme="minorHAnsi"/>
                <w:color w:val="FFFFFF" w:themeColor="background1"/>
                <w:sz w:val="20"/>
                <w:szCs w:val="20"/>
              </w:rPr>
              <w:t>2007</w:t>
            </w:r>
          </w:p>
        </w:tc>
        <w:tc>
          <w:tcPr>
            <w:tcW w:w="2810" w:type="dxa"/>
            <w:shd w:val="clear" w:color="auto" w:fill="00B0F0"/>
            <w:hideMark/>
          </w:tcPr>
          <w:p w:rsidR="00585016" w:rsidRPr="00DC1C3A" w:rsidRDefault="00585016">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DC1C3A">
              <w:rPr>
                <w:rFonts w:cstheme="minorHAnsi"/>
                <w:color w:val="FFFFFF" w:themeColor="background1"/>
                <w:sz w:val="20"/>
                <w:szCs w:val="20"/>
              </w:rPr>
              <w:t>2009</w:t>
            </w:r>
          </w:p>
        </w:tc>
      </w:tr>
      <w:tr w:rsidR="00585016" w:rsidTr="00585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0070C0"/>
            <w:hideMark/>
          </w:tcPr>
          <w:p w:rsidR="00585016" w:rsidRPr="00DC1C3A" w:rsidRDefault="00585016">
            <w:pPr>
              <w:pStyle w:val="BodyText"/>
              <w:rPr>
                <w:rFonts w:cstheme="minorHAnsi"/>
                <w:color w:val="FFFFFF" w:themeColor="background1"/>
                <w:sz w:val="20"/>
                <w:szCs w:val="20"/>
                <w:lang w:val="en-US"/>
              </w:rPr>
            </w:pPr>
            <w:r w:rsidRPr="00DC1C3A">
              <w:rPr>
                <w:rFonts w:cstheme="minorHAnsi"/>
                <w:color w:val="FFFFFF" w:themeColor="background1"/>
                <w:sz w:val="20"/>
                <w:szCs w:val="20"/>
                <w:lang w:val="en-US"/>
              </w:rPr>
              <w:t>Initial population</w:t>
            </w:r>
          </w:p>
        </w:tc>
        <w:tc>
          <w:tcPr>
            <w:tcW w:w="2977" w:type="dxa"/>
            <w:shd w:val="clear" w:color="auto" w:fill="FFFFFF" w:themeFill="background1"/>
            <w:hideMark/>
          </w:tcPr>
          <w:p w:rsidR="00585016" w:rsidRDefault="00585016">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1</w:t>
            </w:r>
            <w:r w:rsidR="00FA34EF">
              <w:rPr>
                <w:rFonts w:cstheme="minorHAnsi"/>
                <w:color w:val="auto"/>
                <w:sz w:val="20"/>
                <w:szCs w:val="20"/>
                <w:lang w:val="en-US"/>
              </w:rPr>
              <w:t>.</w:t>
            </w:r>
            <w:r>
              <w:rPr>
                <w:rFonts w:cstheme="minorHAnsi"/>
                <w:color w:val="auto"/>
                <w:sz w:val="20"/>
                <w:szCs w:val="20"/>
                <w:lang w:val="en-US"/>
              </w:rPr>
              <w:t>384</w:t>
            </w:r>
          </w:p>
        </w:tc>
        <w:tc>
          <w:tcPr>
            <w:tcW w:w="2810" w:type="dxa"/>
            <w:shd w:val="clear" w:color="auto" w:fill="FFFFFF" w:themeFill="background1"/>
            <w:hideMark/>
          </w:tcPr>
          <w:p w:rsidR="00585016" w:rsidRDefault="00585016">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1</w:t>
            </w:r>
            <w:r w:rsidR="00FA34EF">
              <w:rPr>
                <w:rFonts w:cstheme="minorHAnsi"/>
                <w:color w:val="auto"/>
                <w:sz w:val="20"/>
                <w:szCs w:val="20"/>
                <w:lang w:val="en-US"/>
              </w:rPr>
              <w:t>.</w:t>
            </w:r>
            <w:r>
              <w:rPr>
                <w:rFonts w:cstheme="minorHAnsi"/>
                <w:color w:val="auto"/>
                <w:sz w:val="20"/>
                <w:szCs w:val="20"/>
                <w:lang w:val="en-US"/>
              </w:rPr>
              <w:t>384</w:t>
            </w:r>
          </w:p>
        </w:tc>
      </w:tr>
      <w:tr w:rsidR="00585016" w:rsidTr="00585016">
        <w:tc>
          <w:tcPr>
            <w:cnfStyle w:val="001000000000" w:firstRow="0" w:lastRow="0" w:firstColumn="1" w:lastColumn="0" w:oddVBand="0" w:evenVBand="0" w:oddHBand="0" w:evenHBand="0" w:firstRowFirstColumn="0" w:firstRowLastColumn="0" w:lastRowFirstColumn="0" w:lastRowLastColumn="0"/>
            <w:tcW w:w="3085" w:type="dxa"/>
            <w:tcBorders>
              <w:top w:val="nil"/>
            </w:tcBorders>
            <w:shd w:val="clear" w:color="auto" w:fill="0070C0"/>
            <w:hideMark/>
          </w:tcPr>
          <w:p w:rsidR="00585016" w:rsidRPr="00DC1C3A" w:rsidRDefault="00585016">
            <w:pPr>
              <w:pStyle w:val="BodyText"/>
              <w:rPr>
                <w:rFonts w:cstheme="minorHAnsi"/>
                <w:color w:val="FFFFFF" w:themeColor="background1"/>
                <w:sz w:val="20"/>
                <w:szCs w:val="20"/>
                <w:lang w:val="en-US"/>
              </w:rPr>
            </w:pPr>
            <w:r w:rsidRPr="00DC1C3A">
              <w:rPr>
                <w:rFonts w:cstheme="minorHAnsi"/>
                <w:color w:val="FFFFFF" w:themeColor="background1"/>
                <w:sz w:val="20"/>
                <w:szCs w:val="20"/>
                <w:lang w:val="en-US"/>
              </w:rPr>
              <w:t>Amount of Goodwill is €0,-</w:t>
            </w:r>
          </w:p>
        </w:tc>
        <w:tc>
          <w:tcPr>
            <w:tcW w:w="2977" w:type="dxa"/>
            <w:shd w:val="clear" w:color="auto" w:fill="FFFFFF" w:themeFill="background1"/>
            <w:hideMark/>
          </w:tcPr>
          <w:p w:rsidR="00585016" w:rsidRDefault="00585016">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-563</w:t>
            </w:r>
          </w:p>
        </w:tc>
        <w:tc>
          <w:tcPr>
            <w:tcW w:w="2810" w:type="dxa"/>
            <w:shd w:val="clear" w:color="auto" w:fill="FFFFFF" w:themeFill="background1"/>
            <w:hideMark/>
          </w:tcPr>
          <w:p w:rsidR="00585016" w:rsidRDefault="00585016">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-514</w:t>
            </w:r>
          </w:p>
        </w:tc>
      </w:tr>
      <w:tr w:rsidR="00585016" w:rsidTr="00585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0070C0"/>
            <w:hideMark/>
          </w:tcPr>
          <w:p w:rsidR="00585016" w:rsidRPr="00DC1C3A" w:rsidRDefault="00585016">
            <w:pPr>
              <w:pStyle w:val="BodyText"/>
              <w:rPr>
                <w:rFonts w:cstheme="minorHAnsi"/>
                <w:color w:val="FFFFFF" w:themeColor="background1"/>
                <w:sz w:val="20"/>
                <w:szCs w:val="20"/>
                <w:lang w:val="en-US"/>
              </w:rPr>
            </w:pPr>
            <w:r w:rsidRPr="00DC1C3A">
              <w:rPr>
                <w:rFonts w:cstheme="minorHAnsi"/>
                <w:color w:val="FFFFFF" w:themeColor="background1"/>
                <w:sz w:val="20"/>
                <w:szCs w:val="20"/>
                <w:lang w:val="en-US"/>
              </w:rPr>
              <w:t>Incomplete data</w:t>
            </w:r>
          </w:p>
        </w:tc>
        <w:tc>
          <w:tcPr>
            <w:tcW w:w="2977" w:type="dxa"/>
            <w:tcBorders>
              <w:bottom w:val="single" w:sz="8" w:space="0" w:color="0070C0"/>
            </w:tcBorders>
            <w:shd w:val="clear" w:color="auto" w:fill="FFFFFF" w:themeFill="background1"/>
            <w:hideMark/>
          </w:tcPr>
          <w:p w:rsidR="00585016" w:rsidRDefault="00585016">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-43</w:t>
            </w:r>
          </w:p>
        </w:tc>
        <w:tc>
          <w:tcPr>
            <w:tcW w:w="2810" w:type="dxa"/>
            <w:tcBorders>
              <w:bottom w:val="single" w:sz="8" w:space="0" w:color="0070C0"/>
            </w:tcBorders>
            <w:shd w:val="clear" w:color="auto" w:fill="FFFFFF" w:themeFill="background1"/>
            <w:hideMark/>
          </w:tcPr>
          <w:p w:rsidR="00585016" w:rsidRDefault="00585016">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-35</w:t>
            </w:r>
          </w:p>
        </w:tc>
      </w:tr>
      <w:tr w:rsidR="00585016" w:rsidTr="00585016">
        <w:tc>
          <w:tcPr>
            <w:cnfStyle w:val="001000000000" w:firstRow="0" w:lastRow="0" w:firstColumn="1" w:lastColumn="0" w:oddVBand="0" w:evenVBand="0" w:oddHBand="0" w:evenHBand="0" w:firstRowFirstColumn="0" w:firstRowLastColumn="0" w:lastRowFirstColumn="0" w:lastRowLastColumn="0"/>
            <w:tcW w:w="3085" w:type="dxa"/>
            <w:tcBorders>
              <w:top w:val="nil"/>
            </w:tcBorders>
            <w:shd w:val="clear" w:color="auto" w:fill="0070C0"/>
            <w:hideMark/>
          </w:tcPr>
          <w:p w:rsidR="00585016" w:rsidRPr="00DC1C3A" w:rsidRDefault="00585016">
            <w:pPr>
              <w:pStyle w:val="BodyText"/>
              <w:rPr>
                <w:rFonts w:cstheme="minorHAnsi"/>
                <w:color w:val="FFFFFF" w:themeColor="background1"/>
                <w:sz w:val="20"/>
                <w:szCs w:val="20"/>
                <w:lang w:val="en-US"/>
              </w:rPr>
            </w:pPr>
            <w:r w:rsidRPr="00DC1C3A">
              <w:rPr>
                <w:rFonts w:cstheme="minorHAnsi"/>
                <w:color w:val="FFFFFF" w:themeColor="background1"/>
                <w:sz w:val="20"/>
                <w:szCs w:val="20"/>
                <w:lang w:val="en-US"/>
              </w:rPr>
              <w:t>Final sample</w:t>
            </w:r>
          </w:p>
        </w:tc>
        <w:tc>
          <w:tcPr>
            <w:tcW w:w="2977" w:type="dxa"/>
            <w:tcBorders>
              <w:top w:val="single" w:sz="8" w:space="0" w:color="0070C0"/>
              <w:left w:val="nil"/>
              <w:bottom w:val="thickThinSmallGap" w:sz="24" w:space="0" w:color="0070C0"/>
              <w:right w:val="nil"/>
            </w:tcBorders>
            <w:shd w:val="clear" w:color="auto" w:fill="FFFFFF" w:themeFill="background1"/>
            <w:hideMark/>
          </w:tcPr>
          <w:p w:rsidR="00585016" w:rsidRDefault="00585016">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778</w:t>
            </w:r>
          </w:p>
        </w:tc>
        <w:tc>
          <w:tcPr>
            <w:tcW w:w="2810" w:type="dxa"/>
            <w:tcBorders>
              <w:top w:val="single" w:sz="8" w:space="0" w:color="0070C0"/>
              <w:left w:val="nil"/>
              <w:bottom w:val="thickThinSmallGap" w:sz="24" w:space="0" w:color="0070C0"/>
              <w:right w:val="nil"/>
            </w:tcBorders>
            <w:shd w:val="clear" w:color="auto" w:fill="FFFFFF" w:themeFill="background1"/>
            <w:hideMark/>
          </w:tcPr>
          <w:p w:rsidR="00585016" w:rsidRDefault="00585016">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lang w:val="en-US"/>
              </w:rPr>
            </w:pPr>
            <w:r>
              <w:rPr>
                <w:rFonts w:cstheme="minorHAnsi"/>
                <w:color w:val="auto"/>
                <w:sz w:val="20"/>
                <w:szCs w:val="20"/>
                <w:lang w:val="en-US"/>
              </w:rPr>
              <w:t>835</w:t>
            </w:r>
          </w:p>
        </w:tc>
      </w:tr>
    </w:tbl>
    <w:p w:rsidR="00585016" w:rsidRDefault="00585016" w:rsidP="00585016">
      <w:pPr>
        <w:pStyle w:val="BodyText"/>
        <w:rPr>
          <w:rFonts w:ascii="Verdana" w:hAnsi="Verdana"/>
          <w:lang w:val="en-US"/>
        </w:rPr>
      </w:pPr>
    </w:p>
    <w:p w:rsidR="00585016" w:rsidRDefault="00585016" w:rsidP="00585016">
      <w:pPr>
        <w:pStyle w:val="BodyText"/>
        <w:rPr>
          <w:rFonts w:ascii="Verdana" w:hAnsi="Verdana"/>
          <w:lang w:val="en-US"/>
        </w:rPr>
      </w:pPr>
    </w:p>
    <w:p w:rsidR="00585016" w:rsidRDefault="003C2D90" w:rsidP="00E12614">
      <w:pPr>
        <w:pStyle w:val="Heading2"/>
        <w:rPr>
          <w:lang w:val="en-US"/>
        </w:rPr>
      </w:pPr>
      <w:bookmarkStart w:id="50" w:name="_Toc359957153"/>
      <w:r>
        <w:rPr>
          <w:lang w:val="en-US"/>
        </w:rPr>
        <w:t>5</w:t>
      </w:r>
      <w:r w:rsidR="00E12614">
        <w:rPr>
          <w:lang w:val="en-US"/>
        </w:rPr>
        <w:t xml:space="preserve">.5 </w:t>
      </w:r>
      <w:r w:rsidR="00585016">
        <w:rPr>
          <w:lang w:val="en-US"/>
        </w:rPr>
        <w:t>Summary and Conclusion</w:t>
      </w:r>
      <w:bookmarkEnd w:id="50"/>
    </w:p>
    <w:p w:rsidR="003C4423" w:rsidRDefault="009B220C" w:rsidP="009C0828">
      <w:pPr>
        <w:pStyle w:val="BodyText"/>
        <w:rPr>
          <w:rFonts w:ascii="Verdana" w:hAnsi="Verdana"/>
          <w:lang w:val="en-US"/>
        </w:rPr>
      </w:pPr>
      <w:r>
        <w:rPr>
          <w:rFonts w:ascii="Verdana" w:hAnsi="Verdana"/>
          <w:lang w:val="en-US"/>
        </w:rPr>
        <w:br/>
      </w:r>
      <w:r w:rsidR="009C0828">
        <w:rPr>
          <w:rFonts w:ascii="Verdana" w:hAnsi="Verdana"/>
          <w:lang w:val="en-US"/>
        </w:rPr>
        <w:t xml:space="preserve">The research </w:t>
      </w:r>
      <w:r w:rsidR="003C4423">
        <w:rPr>
          <w:rFonts w:ascii="Verdana" w:hAnsi="Verdana"/>
          <w:lang w:val="en-US"/>
        </w:rPr>
        <w:t>design described</w:t>
      </w:r>
      <w:r w:rsidR="009C0828">
        <w:rPr>
          <w:rFonts w:ascii="Verdana" w:hAnsi="Verdana"/>
          <w:lang w:val="en-US"/>
        </w:rPr>
        <w:t xml:space="preserve"> in this chapter is based on the hypotheses that were set out. These hypotheses are: H1</w:t>
      </w:r>
      <w:r w:rsidR="0049763A">
        <w:rPr>
          <w:rFonts w:ascii="Verdana" w:hAnsi="Verdana"/>
          <w:lang w:val="en-US"/>
        </w:rPr>
        <w:t>.0</w:t>
      </w:r>
      <w:r w:rsidR="009C0828">
        <w:rPr>
          <w:rFonts w:ascii="Verdana" w:hAnsi="Verdana"/>
          <w:lang w:val="en-US"/>
        </w:rPr>
        <w:t xml:space="preserve">: </w:t>
      </w:r>
      <w:r w:rsidR="009C0828" w:rsidRPr="00DC1E35">
        <w:rPr>
          <w:rFonts w:ascii="Verdana" w:hAnsi="Verdana"/>
          <w:lang w:val="en-US"/>
        </w:rPr>
        <w:t>Industrial firms are more likely to recognize a goodwill impairment loss when th</w:t>
      </w:r>
      <w:r w:rsidR="009C0828">
        <w:rPr>
          <w:rFonts w:ascii="Verdana" w:hAnsi="Verdana"/>
          <w:lang w:val="en-US"/>
        </w:rPr>
        <w:t>ey perform below branch average, H2</w:t>
      </w:r>
      <w:r w:rsidR="0049763A">
        <w:rPr>
          <w:rFonts w:ascii="Verdana" w:hAnsi="Verdana"/>
          <w:lang w:val="en-US"/>
        </w:rPr>
        <w:t>.0</w:t>
      </w:r>
      <w:r w:rsidR="009C0828">
        <w:rPr>
          <w:rFonts w:ascii="Verdana" w:hAnsi="Verdana"/>
          <w:lang w:val="en-US"/>
        </w:rPr>
        <w:t xml:space="preserve">: </w:t>
      </w:r>
      <w:r w:rsidR="009C0828" w:rsidRPr="00DC1E35">
        <w:rPr>
          <w:rFonts w:ascii="Verdana" w:hAnsi="Verdana"/>
          <w:lang w:val="en-US"/>
        </w:rPr>
        <w:t>Industrial firms are more likely to recognize a goodwill impairment loss when they perform above branch average</w:t>
      </w:r>
      <w:r w:rsidR="009C0828">
        <w:rPr>
          <w:rFonts w:ascii="Verdana" w:hAnsi="Verdana"/>
          <w:lang w:val="en-US"/>
        </w:rPr>
        <w:t xml:space="preserve"> and H3</w:t>
      </w:r>
      <w:r w:rsidR="0049763A">
        <w:rPr>
          <w:rFonts w:ascii="Verdana" w:hAnsi="Verdana"/>
          <w:lang w:val="en-US"/>
        </w:rPr>
        <w:t>.0</w:t>
      </w:r>
      <w:r w:rsidR="009C0828">
        <w:rPr>
          <w:rFonts w:ascii="Verdana" w:hAnsi="Verdana"/>
          <w:lang w:val="en-US"/>
        </w:rPr>
        <w:t>: D</w:t>
      </w:r>
      <w:r w:rsidR="009C0828" w:rsidRPr="00DC1E35">
        <w:rPr>
          <w:rFonts w:ascii="Verdana" w:hAnsi="Verdana"/>
          <w:lang w:val="en-US"/>
        </w:rPr>
        <w:t>ue to the crisis the incentive for management to perform earnings management has increased.</w:t>
      </w:r>
      <w:r w:rsidR="009C0828">
        <w:rPr>
          <w:rFonts w:ascii="Verdana" w:hAnsi="Verdana"/>
          <w:lang w:val="en-US"/>
        </w:rPr>
        <w:t xml:space="preserve"> </w:t>
      </w:r>
    </w:p>
    <w:p w:rsidR="004D143F" w:rsidRDefault="009C0828" w:rsidP="009C0828">
      <w:pPr>
        <w:pStyle w:val="BodyText"/>
        <w:rPr>
          <w:rFonts w:ascii="Verdana" w:hAnsi="Verdana"/>
          <w:lang w:val="en-US"/>
        </w:rPr>
      </w:pPr>
      <w:r>
        <w:rPr>
          <w:rFonts w:ascii="Verdana" w:hAnsi="Verdana"/>
          <w:lang w:val="en-US"/>
        </w:rPr>
        <w:t xml:space="preserve">The statistical model chosen for analysis on these hypotheses is based on the variables needed to research the hypotheses and leaded to a multiple logistic regression model. After the hypotheses were set out and the statistical model was determined, </w:t>
      </w:r>
      <w:r w:rsidR="004D143F">
        <w:rPr>
          <w:rFonts w:ascii="Verdana" w:hAnsi="Verdana"/>
          <w:lang w:val="en-US"/>
        </w:rPr>
        <w:t>consideration</w:t>
      </w:r>
      <w:r>
        <w:rPr>
          <w:rFonts w:ascii="Verdana" w:hAnsi="Verdana"/>
          <w:lang w:val="en-US"/>
        </w:rPr>
        <w:t>s were</w:t>
      </w:r>
      <w:r w:rsidR="004D143F">
        <w:rPr>
          <w:rFonts w:ascii="Verdana" w:hAnsi="Verdana"/>
          <w:lang w:val="en-US"/>
        </w:rPr>
        <w:t xml:space="preserve"> made </w:t>
      </w:r>
      <w:r w:rsidR="003C4423">
        <w:rPr>
          <w:rFonts w:ascii="Verdana" w:hAnsi="Verdana"/>
          <w:lang w:val="en-US"/>
        </w:rPr>
        <w:t>to obtain</w:t>
      </w:r>
      <w:r>
        <w:rPr>
          <w:rFonts w:ascii="Verdana" w:hAnsi="Verdana"/>
          <w:lang w:val="en-US"/>
        </w:rPr>
        <w:t xml:space="preserve"> a </w:t>
      </w:r>
      <w:r w:rsidR="004D143F">
        <w:rPr>
          <w:rFonts w:ascii="Verdana" w:hAnsi="Verdana"/>
          <w:lang w:val="en-US"/>
        </w:rPr>
        <w:t xml:space="preserve">proper research sample with comparable data. The final sample exists only out of </w:t>
      </w:r>
      <w:r w:rsidR="009B220C">
        <w:rPr>
          <w:rFonts w:ascii="Verdana" w:hAnsi="Verdana"/>
          <w:lang w:val="en-US"/>
        </w:rPr>
        <w:t xml:space="preserve">industrial production companies with goodwill on balance at the start of the year, </w:t>
      </w:r>
      <w:r w:rsidR="009873F5">
        <w:rPr>
          <w:rFonts w:ascii="Verdana" w:hAnsi="Verdana"/>
          <w:lang w:val="en-US"/>
        </w:rPr>
        <w:t>listed</w:t>
      </w:r>
      <w:r w:rsidR="009B220C">
        <w:rPr>
          <w:rFonts w:ascii="Verdana" w:hAnsi="Verdana"/>
          <w:lang w:val="en-US"/>
        </w:rPr>
        <w:t xml:space="preserve"> on</w:t>
      </w:r>
      <w:r w:rsidR="004D143F">
        <w:rPr>
          <w:rFonts w:ascii="Verdana" w:hAnsi="Verdana"/>
          <w:lang w:val="en-US"/>
        </w:rPr>
        <w:t xml:space="preserve"> the stock exchange</w:t>
      </w:r>
      <w:r w:rsidR="009B220C">
        <w:rPr>
          <w:rFonts w:ascii="Verdana" w:hAnsi="Verdana"/>
          <w:lang w:val="en-US"/>
        </w:rPr>
        <w:t xml:space="preserve"> in both 2007 and 2009 and based in a member country</w:t>
      </w:r>
      <w:r w:rsidR="004D143F">
        <w:rPr>
          <w:rFonts w:ascii="Verdana" w:hAnsi="Verdana"/>
          <w:lang w:val="en-US"/>
        </w:rPr>
        <w:t xml:space="preserve"> of the European Union. </w:t>
      </w:r>
    </w:p>
    <w:p w:rsidR="00585016" w:rsidRDefault="00585016" w:rsidP="00585016">
      <w:pPr>
        <w:rPr>
          <w:rFonts w:ascii="Verdana" w:hAnsi="Verdana"/>
          <w:lang w:val="en-US"/>
        </w:rPr>
      </w:pPr>
      <w:r>
        <w:rPr>
          <w:rFonts w:ascii="Verdana" w:hAnsi="Verdana"/>
          <w:color w:val="auto"/>
          <w:lang w:val="en-US"/>
        </w:rPr>
        <w:br w:type="page"/>
      </w:r>
    </w:p>
    <w:p w:rsidR="00585016" w:rsidRDefault="00585016" w:rsidP="00E12614">
      <w:pPr>
        <w:pStyle w:val="Heading1"/>
        <w:numPr>
          <w:ilvl w:val="0"/>
          <w:numId w:val="27"/>
        </w:numPr>
        <w:rPr>
          <w:lang w:val="en-US"/>
        </w:rPr>
      </w:pPr>
      <w:bookmarkStart w:id="51" w:name="_Toc359957154"/>
      <w:r>
        <w:rPr>
          <w:lang w:val="en-US"/>
        </w:rPr>
        <w:lastRenderedPageBreak/>
        <w:t>Descriptive statistics</w:t>
      </w:r>
      <w:bookmarkEnd w:id="51"/>
      <w:r>
        <w:rPr>
          <w:lang w:val="en-US"/>
        </w:rPr>
        <w:t xml:space="preserve"> </w:t>
      </w:r>
    </w:p>
    <w:p w:rsidR="00585016" w:rsidRDefault="00E12614" w:rsidP="00585016">
      <w:pPr>
        <w:rPr>
          <w:rFonts w:ascii="Verdana" w:hAnsi="Verdana"/>
          <w:lang w:val="en-US"/>
        </w:rPr>
      </w:pPr>
      <w:r>
        <w:rPr>
          <w:rFonts w:ascii="Verdana" w:hAnsi="Verdana"/>
          <w:lang w:val="en-US"/>
        </w:rPr>
        <w:br/>
      </w:r>
      <w:r w:rsidR="00585016">
        <w:rPr>
          <w:rFonts w:ascii="Verdana" w:hAnsi="Verdana"/>
          <w:lang w:val="en-US"/>
        </w:rPr>
        <w:t xml:space="preserve">This chapter covers the implementation of the data sample as described in the previous chapter into SPSS. First the descriptive statistics of the data will be described in subchapter </w:t>
      </w:r>
      <w:r w:rsidR="00D6320E">
        <w:rPr>
          <w:rFonts w:ascii="Verdana" w:hAnsi="Verdana"/>
          <w:lang w:val="en-US"/>
        </w:rPr>
        <w:t>6.1.</w:t>
      </w:r>
      <w:r w:rsidR="00585016">
        <w:rPr>
          <w:rFonts w:ascii="Verdana" w:hAnsi="Verdana"/>
          <w:lang w:val="en-US"/>
        </w:rPr>
        <w:t xml:space="preserve"> Then the power and significance of the model will be described in subchapter </w:t>
      </w:r>
      <w:r w:rsidR="00D6320E">
        <w:rPr>
          <w:rFonts w:ascii="Verdana" w:hAnsi="Verdana"/>
          <w:lang w:val="en-US"/>
        </w:rPr>
        <w:t>6.2.</w:t>
      </w:r>
      <w:r w:rsidR="00585016">
        <w:rPr>
          <w:rFonts w:ascii="Verdana" w:hAnsi="Verdana"/>
          <w:lang w:val="en-US"/>
        </w:rPr>
        <w:t xml:space="preserve"> To end this chapter the </w:t>
      </w:r>
      <w:proofErr w:type="spellStart"/>
      <w:r w:rsidR="00585016">
        <w:rPr>
          <w:rFonts w:ascii="Verdana" w:hAnsi="Verdana"/>
          <w:lang w:val="en-US"/>
        </w:rPr>
        <w:t>multicollinearity</w:t>
      </w:r>
      <w:proofErr w:type="spellEnd"/>
      <w:r w:rsidR="00585016">
        <w:rPr>
          <w:rFonts w:ascii="Verdana" w:hAnsi="Verdana"/>
          <w:lang w:val="en-US"/>
        </w:rPr>
        <w:t xml:space="preserve"> of the model will be discussed. </w:t>
      </w:r>
    </w:p>
    <w:p w:rsidR="00E12614" w:rsidRDefault="00E12614" w:rsidP="00585016">
      <w:pPr>
        <w:rPr>
          <w:rFonts w:ascii="Verdana" w:hAnsi="Verdana"/>
          <w:lang w:val="en-US"/>
        </w:rPr>
      </w:pPr>
    </w:p>
    <w:p w:rsidR="00585016" w:rsidRDefault="003C2D90" w:rsidP="00E12614">
      <w:pPr>
        <w:pStyle w:val="Heading2"/>
        <w:rPr>
          <w:lang w:val="en-US"/>
        </w:rPr>
      </w:pPr>
      <w:bookmarkStart w:id="52" w:name="_Toc359957155"/>
      <w:r>
        <w:rPr>
          <w:lang w:val="en-US"/>
        </w:rPr>
        <w:t>6</w:t>
      </w:r>
      <w:r w:rsidR="00E12614">
        <w:rPr>
          <w:lang w:val="en-US"/>
        </w:rPr>
        <w:t xml:space="preserve">.1 </w:t>
      </w:r>
      <w:r w:rsidR="00585016">
        <w:rPr>
          <w:lang w:val="en-US"/>
        </w:rPr>
        <w:t>Descriptive statistics</w:t>
      </w:r>
      <w:bookmarkEnd w:id="52"/>
      <w:r w:rsidR="00E12614">
        <w:rPr>
          <w:lang w:val="en-US"/>
        </w:rPr>
        <w:br/>
      </w:r>
    </w:p>
    <w:p w:rsidR="00585016" w:rsidRDefault="00585016" w:rsidP="00585016">
      <w:pPr>
        <w:pStyle w:val="BodyText"/>
        <w:rPr>
          <w:rFonts w:ascii="Verdana" w:hAnsi="Verdana"/>
          <w:lang w:val="en-US"/>
        </w:rPr>
      </w:pPr>
      <w:r>
        <w:rPr>
          <w:rFonts w:ascii="Verdana" w:hAnsi="Verdana"/>
          <w:lang w:val="en-US"/>
        </w:rPr>
        <w:t xml:space="preserve">First we will look at the descriptive statistics of the sample that was described in the previous chapter. These descriptive statistics will be used to gain insight in the data set that is used. </w:t>
      </w:r>
    </w:p>
    <w:p w:rsidR="00585016" w:rsidRDefault="00585016" w:rsidP="00585016">
      <w:pPr>
        <w:pStyle w:val="BodyText"/>
        <w:rPr>
          <w:rFonts w:ascii="Verdana" w:hAnsi="Verdana"/>
          <w:lang w:val="en-US"/>
        </w:rPr>
      </w:pPr>
      <w:r>
        <w:rPr>
          <w:rFonts w:ascii="Verdana" w:hAnsi="Verdana"/>
          <w:lang w:val="en-US"/>
        </w:rPr>
        <w:t xml:space="preserve">Table </w:t>
      </w:r>
      <w:r w:rsidR="001D640A">
        <w:rPr>
          <w:rFonts w:ascii="Verdana" w:hAnsi="Verdana"/>
          <w:lang w:val="en-US"/>
        </w:rPr>
        <w:t>6.1</w:t>
      </w:r>
      <w:r>
        <w:rPr>
          <w:rFonts w:ascii="Verdana" w:hAnsi="Verdana"/>
          <w:lang w:val="en-US"/>
        </w:rPr>
        <w:t xml:space="preserve"> shows that there were more impairments made in 2009 </w:t>
      </w:r>
      <w:r w:rsidR="00F254F5">
        <w:rPr>
          <w:rFonts w:ascii="Verdana" w:hAnsi="Verdana"/>
          <w:lang w:val="en-US"/>
        </w:rPr>
        <w:t>than</w:t>
      </w:r>
      <w:r>
        <w:rPr>
          <w:rFonts w:ascii="Verdana" w:hAnsi="Verdana"/>
          <w:lang w:val="en-US"/>
        </w:rPr>
        <w:t xml:space="preserve"> in 2007:</w:t>
      </w:r>
    </w:p>
    <w:p w:rsidR="00585016" w:rsidRDefault="001D640A" w:rsidP="00585016">
      <w:pPr>
        <w:pStyle w:val="BodyText"/>
        <w:rPr>
          <w:rFonts w:ascii="Verdana" w:hAnsi="Verdana"/>
          <w:i/>
          <w:lang w:val="en-US"/>
        </w:rPr>
      </w:pPr>
      <w:r>
        <w:rPr>
          <w:rFonts w:ascii="Verdana" w:hAnsi="Verdana"/>
          <w:i/>
          <w:lang w:val="en-US"/>
        </w:rPr>
        <w:br/>
      </w:r>
      <w:r w:rsidR="00585016">
        <w:rPr>
          <w:rFonts w:ascii="Verdana" w:hAnsi="Verdana"/>
          <w:i/>
          <w:lang w:val="en-US"/>
        </w:rPr>
        <w:t xml:space="preserve">Table </w:t>
      </w:r>
      <w:r>
        <w:rPr>
          <w:rFonts w:ascii="Verdana" w:hAnsi="Verdana"/>
          <w:i/>
          <w:lang w:val="en-US"/>
        </w:rPr>
        <w:t>6.1</w:t>
      </w:r>
      <w:r w:rsidR="00585016">
        <w:rPr>
          <w:rFonts w:ascii="Verdana" w:hAnsi="Verdana"/>
          <w:i/>
          <w:lang w:val="en-US"/>
        </w:rPr>
        <w:t xml:space="preserve"> Desc</w:t>
      </w:r>
      <w:r w:rsidR="00FA34EF">
        <w:rPr>
          <w:rFonts w:ascii="Verdana" w:hAnsi="Verdana"/>
          <w:i/>
          <w:lang w:val="en-US"/>
        </w:rPr>
        <w:t>riptive statistics, frequencies</w:t>
      </w:r>
    </w:p>
    <w:tbl>
      <w:tblPr>
        <w:tblStyle w:val="DarkList1"/>
        <w:tblW w:w="8325" w:type="dxa"/>
        <w:tblLayout w:type="fixed"/>
        <w:tblLook w:val="04A0" w:firstRow="1" w:lastRow="0" w:firstColumn="1" w:lastColumn="0" w:noHBand="0" w:noVBand="1"/>
      </w:tblPr>
      <w:tblGrid>
        <w:gridCol w:w="662"/>
        <w:gridCol w:w="1589"/>
        <w:gridCol w:w="1059"/>
        <w:gridCol w:w="907"/>
        <w:gridCol w:w="944"/>
        <w:gridCol w:w="331"/>
        <w:gridCol w:w="1059"/>
        <w:gridCol w:w="1774"/>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1" w:type="dxa"/>
            <w:shd w:val="clear" w:color="auto" w:fill="00B0F0"/>
            <w:noWrap/>
            <w:hideMark/>
          </w:tcPr>
          <w:p w:rsidR="00585016" w:rsidRDefault="00585016">
            <w:pPr>
              <w:rPr>
                <w:color w:val="FFFFFF" w:themeColor="background1"/>
              </w:rPr>
            </w:pPr>
          </w:p>
        </w:tc>
        <w:tc>
          <w:tcPr>
            <w:tcW w:w="2650" w:type="dxa"/>
            <w:gridSpan w:val="2"/>
            <w:shd w:val="clear" w:color="auto" w:fill="00B0F0"/>
            <w:noWrap/>
            <w:hideMark/>
          </w:tcPr>
          <w:p w:rsidR="00585016" w:rsidRPr="00DC1C3A" w:rsidRDefault="00585016">
            <w:pPr>
              <w:ind w:firstLine="47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DC1C3A">
              <w:rPr>
                <w:rFonts w:ascii="Arial" w:eastAsia="Times New Roman" w:hAnsi="Arial" w:cs="Arial"/>
                <w:color w:val="FFFFFF" w:themeColor="background1"/>
                <w:sz w:val="20"/>
                <w:szCs w:val="20"/>
                <w:lang w:val="en-US" w:eastAsia="nl-NL"/>
              </w:rPr>
              <w:t>Impairments 2007</w:t>
            </w:r>
          </w:p>
        </w:tc>
        <w:tc>
          <w:tcPr>
            <w:tcW w:w="2184" w:type="dxa"/>
            <w:gridSpan w:val="3"/>
            <w:shd w:val="clear" w:color="auto" w:fill="00B0F0"/>
            <w:noWrap/>
            <w:hideMark/>
          </w:tcPr>
          <w:p w:rsidR="00585016" w:rsidRPr="00DC1C3A" w:rsidRDefault="00585016">
            <w:pP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2835" w:type="dxa"/>
            <w:gridSpan w:val="2"/>
            <w:shd w:val="clear" w:color="auto" w:fill="00B0F0"/>
            <w:noWrap/>
            <w:hideMark/>
          </w:tcPr>
          <w:p w:rsidR="00585016" w:rsidRPr="00DC1C3A" w:rsidRDefault="00585016">
            <w:pPr>
              <w:ind w:hanging="6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DC1C3A">
              <w:rPr>
                <w:rFonts w:ascii="Arial" w:eastAsia="Times New Roman" w:hAnsi="Arial" w:cs="Arial"/>
                <w:color w:val="FFFFFF" w:themeColor="background1"/>
                <w:sz w:val="20"/>
                <w:szCs w:val="20"/>
                <w:lang w:val="en-US" w:eastAsia="nl-NL"/>
              </w:rPr>
              <w:t>Impairments 2009</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1" w:type="dxa"/>
            <w:shd w:val="clear" w:color="auto" w:fill="0070C0"/>
            <w:noWrap/>
            <w:hideMark/>
          </w:tcPr>
          <w:p w:rsidR="00585016" w:rsidRDefault="00585016">
            <w:pPr>
              <w:rPr>
                <w:rFonts w:ascii="Arial" w:eastAsia="Times New Roman" w:hAnsi="Arial" w:cs="Arial"/>
                <w:color w:val="FFFFFF" w:themeColor="background1"/>
                <w:sz w:val="20"/>
                <w:szCs w:val="20"/>
                <w:lang w:val="en-US" w:eastAsia="nl-NL"/>
              </w:rPr>
            </w:pPr>
            <w:r>
              <w:rPr>
                <w:rFonts w:ascii="Arial" w:eastAsia="Times New Roman" w:hAnsi="Arial" w:cs="Arial"/>
                <w:sz w:val="20"/>
                <w:szCs w:val="20"/>
                <w:lang w:val="en-US" w:eastAsia="nl-NL"/>
              </w:rPr>
              <w:t xml:space="preserve"> </w:t>
            </w:r>
          </w:p>
        </w:tc>
        <w:tc>
          <w:tcPr>
            <w:tcW w:w="1590" w:type="dxa"/>
            <w:shd w:val="clear" w:color="auto" w:fill="00B0F0"/>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n-US" w:eastAsia="nl-NL"/>
              </w:rPr>
            </w:pPr>
            <w:r>
              <w:rPr>
                <w:rFonts w:ascii="Arial" w:eastAsia="Times New Roman" w:hAnsi="Arial" w:cs="Arial"/>
                <w:sz w:val="20"/>
                <w:szCs w:val="20"/>
                <w:lang w:val="en-US" w:eastAsia="nl-NL"/>
              </w:rPr>
              <w:t>Frequency</w:t>
            </w:r>
          </w:p>
        </w:tc>
        <w:tc>
          <w:tcPr>
            <w:tcW w:w="1968" w:type="dxa"/>
            <w:gridSpan w:val="2"/>
            <w:shd w:val="clear" w:color="auto" w:fill="00B0F0"/>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n-US" w:eastAsia="nl-NL"/>
              </w:rPr>
            </w:pPr>
            <w:r>
              <w:rPr>
                <w:rFonts w:ascii="Arial" w:eastAsia="Times New Roman" w:hAnsi="Arial" w:cs="Arial"/>
                <w:sz w:val="20"/>
                <w:szCs w:val="20"/>
                <w:lang w:val="en-US" w:eastAsia="nl-NL"/>
              </w:rPr>
              <w:t>Percent</w:t>
            </w:r>
          </w:p>
        </w:tc>
        <w:tc>
          <w:tcPr>
            <w:tcW w:w="945" w:type="dxa"/>
            <w:shd w:val="clear" w:color="auto" w:fill="00B0F0"/>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91" w:type="dxa"/>
            <w:gridSpan w:val="2"/>
            <w:shd w:val="clear" w:color="auto" w:fill="00B0F0"/>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n-US" w:eastAsia="nl-NL"/>
              </w:rPr>
            </w:pPr>
            <w:r>
              <w:rPr>
                <w:rFonts w:ascii="Arial" w:eastAsia="Times New Roman" w:hAnsi="Arial" w:cs="Arial"/>
                <w:sz w:val="20"/>
                <w:szCs w:val="20"/>
                <w:lang w:val="en-US" w:eastAsia="nl-NL"/>
              </w:rPr>
              <w:t>Frequency</w:t>
            </w:r>
          </w:p>
        </w:tc>
        <w:tc>
          <w:tcPr>
            <w:tcW w:w="1775" w:type="dxa"/>
            <w:shd w:val="clear" w:color="auto" w:fill="00B0F0"/>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n-US" w:eastAsia="nl-NL"/>
              </w:rPr>
            </w:pPr>
            <w:r>
              <w:rPr>
                <w:rFonts w:ascii="Arial" w:eastAsia="Times New Roman" w:hAnsi="Arial" w:cs="Arial"/>
                <w:sz w:val="20"/>
                <w:szCs w:val="20"/>
                <w:lang w:val="en-US" w:eastAsia="nl-NL"/>
              </w:rPr>
              <w:t>Percent</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661" w:type="dxa"/>
            <w:tcBorders>
              <w:top w:val="nil"/>
            </w:tcBorders>
            <w:shd w:val="clear" w:color="auto" w:fill="0070C0"/>
            <w:noWrap/>
            <w:hideMark/>
          </w:tcPr>
          <w:p w:rsidR="00585016" w:rsidRPr="00DC1C3A" w:rsidRDefault="00585016">
            <w:pPr>
              <w:jc w:val="center"/>
              <w:rPr>
                <w:rFonts w:ascii="Arial" w:eastAsia="Times New Roman" w:hAnsi="Arial" w:cs="Arial"/>
                <w:color w:val="FFFFFF" w:themeColor="background1"/>
                <w:sz w:val="20"/>
                <w:szCs w:val="20"/>
                <w:lang w:val="en-US" w:eastAsia="nl-NL"/>
              </w:rPr>
            </w:pPr>
            <w:r w:rsidRPr="00DC1C3A">
              <w:rPr>
                <w:rFonts w:ascii="Arial" w:eastAsia="Times New Roman" w:hAnsi="Arial" w:cs="Arial"/>
                <w:color w:val="FFFFFF" w:themeColor="background1"/>
                <w:sz w:val="20"/>
                <w:szCs w:val="20"/>
                <w:lang w:val="en-US" w:eastAsia="nl-NL"/>
              </w:rPr>
              <w:t>0</w:t>
            </w:r>
          </w:p>
        </w:tc>
        <w:tc>
          <w:tcPr>
            <w:tcW w:w="1590"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645</w:t>
            </w:r>
          </w:p>
        </w:tc>
        <w:tc>
          <w:tcPr>
            <w:tcW w:w="1968" w:type="dxa"/>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82,9</w:t>
            </w:r>
          </w:p>
        </w:tc>
        <w:tc>
          <w:tcPr>
            <w:tcW w:w="945" w:type="dxa"/>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91" w:type="dxa"/>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656</w:t>
            </w:r>
          </w:p>
        </w:tc>
        <w:tc>
          <w:tcPr>
            <w:tcW w:w="1775"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78,6</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1" w:type="dxa"/>
            <w:shd w:val="clear" w:color="auto" w:fill="0070C0"/>
            <w:noWrap/>
            <w:hideMark/>
          </w:tcPr>
          <w:p w:rsidR="00585016" w:rsidRPr="00DC1C3A" w:rsidRDefault="00585016">
            <w:pPr>
              <w:jc w:val="center"/>
              <w:rPr>
                <w:rFonts w:ascii="Arial" w:eastAsia="Times New Roman" w:hAnsi="Arial" w:cs="Arial"/>
                <w:color w:val="FFFFFF" w:themeColor="background1"/>
                <w:sz w:val="20"/>
                <w:szCs w:val="20"/>
                <w:lang w:val="en-US" w:eastAsia="nl-NL"/>
              </w:rPr>
            </w:pPr>
            <w:r w:rsidRPr="00DC1C3A">
              <w:rPr>
                <w:rFonts w:ascii="Arial" w:eastAsia="Times New Roman" w:hAnsi="Arial" w:cs="Arial"/>
                <w:color w:val="FFFFFF" w:themeColor="background1"/>
                <w:sz w:val="20"/>
                <w:szCs w:val="20"/>
                <w:lang w:val="en-US" w:eastAsia="nl-NL"/>
              </w:rPr>
              <w:t>1</w:t>
            </w:r>
          </w:p>
        </w:tc>
        <w:tc>
          <w:tcPr>
            <w:tcW w:w="1590"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133</w:t>
            </w:r>
          </w:p>
        </w:tc>
        <w:tc>
          <w:tcPr>
            <w:tcW w:w="1968" w:type="dxa"/>
            <w:gridSpan w:val="2"/>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17,1</w:t>
            </w:r>
          </w:p>
        </w:tc>
        <w:tc>
          <w:tcPr>
            <w:tcW w:w="945"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91" w:type="dxa"/>
            <w:gridSpan w:val="2"/>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179</w:t>
            </w:r>
          </w:p>
        </w:tc>
        <w:tc>
          <w:tcPr>
            <w:tcW w:w="1775"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21,4</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661"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en-US" w:eastAsia="nl-NL"/>
              </w:rPr>
            </w:pPr>
            <w:r w:rsidRPr="00DC1C3A">
              <w:rPr>
                <w:rFonts w:ascii="Arial" w:eastAsia="Times New Roman" w:hAnsi="Arial" w:cs="Arial"/>
                <w:color w:val="FFFFFF" w:themeColor="background1"/>
                <w:sz w:val="20"/>
                <w:szCs w:val="20"/>
                <w:lang w:val="en-US" w:eastAsia="nl-NL"/>
              </w:rPr>
              <w:t>Total</w:t>
            </w:r>
          </w:p>
        </w:tc>
        <w:tc>
          <w:tcPr>
            <w:tcW w:w="1590"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778</w:t>
            </w:r>
          </w:p>
        </w:tc>
        <w:tc>
          <w:tcPr>
            <w:tcW w:w="1968" w:type="dxa"/>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100,0</w:t>
            </w:r>
          </w:p>
        </w:tc>
        <w:tc>
          <w:tcPr>
            <w:tcW w:w="945" w:type="dxa"/>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91" w:type="dxa"/>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835</w:t>
            </w:r>
          </w:p>
        </w:tc>
        <w:tc>
          <w:tcPr>
            <w:tcW w:w="1775"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eastAsia="nl-NL"/>
              </w:rPr>
            </w:pPr>
            <w:r>
              <w:rPr>
                <w:rFonts w:ascii="Arial" w:eastAsia="Times New Roman" w:hAnsi="Arial" w:cs="Arial"/>
                <w:color w:val="auto"/>
                <w:sz w:val="20"/>
                <w:szCs w:val="20"/>
                <w:lang w:val="en-US" w:eastAsia="nl-NL"/>
              </w:rPr>
              <w:t>100,0</w:t>
            </w:r>
          </w:p>
        </w:tc>
      </w:tr>
    </w:tbl>
    <w:p w:rsidR="00AA4948" w:rsidRDefault="00585016" w:rsidP="00585016">
      <w:pPr>
        <w:pStyle w:val="BodyText"/>
        <w:rPr>
          <w:rFonts w:ascii="Verdana" w:hAnsi="Verdana"/>
          <w:lang w:val="en-US"/>
        </w:rPr>
      </w:pPr>
      <w:r>
        <w:rPr>
          <w:rFonts w:ascii="Verdana" w:hAnsi="Verdana"/>
          <w:lang w:val="en-US"/>
        </w:rPr>
        <w:t xml:space="preserve"> </w:t>
      </w:r>
      <w:r>
        <w:rPr>
          <w:rFonts w:ascii="Verdana" w:hAnsi="Verdana"/>
          <w:lang w:val="en-US"/>
        </w:rPr>
        <w:br/>
      </w:r>
    </w:p>
    <w:p w:rsidR="00585016" w:rsidRDefault="00585016" w:rsidP="00585016">
      <w:pPr>
        <w:pStyle w:val="BodyText"/>
        <w:rPr>
          <w:rFonts w:ascii="Verdana" w:hAnsi="Verdana"/>
          <w:lang w:val="en-US"/>
        </w:rPr>
      </w:pPr>
      <w:r>
        <w:rPr>
          <w:rFonts w:ascii="Verdana" w:hAnsi="Verdana"/>
          <w:lang w:val="en-US"/>
        </w:rPr>
        <w:t xml:space="preserve">When looking at the variables of ∆SALES and ∆CFO </w:t>
      </w:r>
      <w:r w:rsidR="00367F09">
        <w:rPr>
          <w:rFonts w:ascii="Verdana" w:hAnsi="Verdana"/>
          <w:lang w:val="en-US"/>
        </w:rPr>
        <w:t>for 2007 in table</w:t>
      </w:r>
      <w:r w:rsidR="001D640A">
        <w:rPr>
          <w:rFonts w:ascii="Verdana" w:hAnsi="Verdana"/>
          <w:lang w:val="en-US"/>
        </w:rPr>
        <w:t xml:space="preserve"> 6.2</w:t>
      </w:r>
      <w:r w:rsidR="00F254F5">
        <w:rPr>
          <w:rFonts w:ascii="Verdana" w:hAnsi="Verdana"/>
          <w:lang w:val="en-US"/>
        </w:rPr>
        <w:t xml:space="preserve"> below</w:t>
      </w:r>
      <w:r w:rsidR="00367F09">
        <w:rPr>
          <w:rFonts w:ascii="Verdana" w:hAnsi="Verdana"/>
          <w:lang w:val="en-US"/>
        </w:rPr>
        <w:t xml:space="preserve"> and ∆SALES, ∆CFO and ∆ROA for 2009</w:t>
      </w:r>
      <w:r w:rsidR="001D640A">
        <w:rPr>
          <w:rFonts w:ascii="Verdana" w:hAnsi="Verdana"/>
          <w:lang w:val="en-US"/>
        </w:rPr>
        <w:t xml:space="preserve"> in table 6.3</w:t>
      </w:r>
      <w:r w:rsidR="00F254F5">
        <w:rPr>
          <w:rFonts w:ascii="Verdana" w:hAnsi="Verdana"/>
          <w:lang w:val="en-US"/>
        </w:rPr>
        <w:t xml:space="preserve">, </w:t>
      </w:r>
      <w:r>
        <w:rPr>
          <w:rFonts w:ascii="Verdana" w:hAnsi="Verdana"/>
          <w:lang w:val="en-US"/>
        </w:rPr>
        <w:t>it becomes apparent that the maximum is extremely high compared to the mean. This indicates outliers. Outliers are observations that lie an abnormal distance from other observations. To confirm which observations can be marked as outliers to be excluded from the sample, box plots hav</w:t>
      </w:r>
      <w:r w:rsidR="00477AF5">
        <w:rPr>
          <w:rFonts w:ascii="Verdana" w:hAnsi="Verdana"/>
          <w:lang w:val="en-US"/>
        </w:rPr>
        <w:t xml:space="preserve">e been made. See appendix </w:t>
      </w:r>
      <w:r w:rsidR="001D640A">
        <w:rPr>
          <w:rFonts w:ascii="Verdana" w:hAnsi="Verdana"/>
          <w:lang w:val="en-US"/>
        </w:rPr>
        <w:t xml:space="preserve">4. </w:t>
      </w:r>
      <w:r w:rsidR="00A90BF3">
        <w:rPr>
          <w:rFonts w:ascii="Verdana" w:hAnsi="Verdana"/>
          <w:lang w:val="en-US"/>
        </w:rPr>
        <w:t>B</w:t>
      </w:r>
      <w:r w:rsidR="00477AF5">
        <w:rPr>
          <w:rFonts w:ascii="Verdana" w:hAnsi="Verdana"/>
          <w:lang w:val="en-US"/>
        </w:rPr>
        <w:t>ox plots.</w:t>
      </w:r>
    </w:p>
    <w:p w:rsidR="00585016" w:rsidRDefault="001D640A" w:rsidP="00585016">
      <w:pPr>
        <w:pStyle w:val="BodyText"/>
        <w:rPr>
          <w:rFonts w:ascii="Verdana" w:hAnsi="Verdana"/>
          <w:i/>
          <w:lang w:val="en-US"/>
        </w:rPr>
      </w:pPr>
      <w:r>
        <w:rPr>
          <w:rFonts w:ascii="Verdana" w:hAnsi="Verdana"/>
          <w:i/>
          <w:lang w:val="en-US"/>
        </w:rPr>
        <w:br/>
      </w:r>
      <w:r w:rsidR="00585016">
        <w:rPr>
          <w:rFonts w:ascii="Verdana" w:hAnsi="Verdana"/>
          <w:i/>
          <w:lang w:val="en-US"/>
        </w:rPr>
        <w:t xml:space="preserve">Table </w:t>
      </w:r>
      <w:r>
        <w:rPr>
          <w:rFonts w:ascii="Verdana" w:hAnsi="Verdana"/>
          <w:i/>
          <w:lang w:val="en-US"/>
        </w:rPr>
        <w:t>6.2</w:t>
      </w:r>
      <w:r w:rsidR="00FA34EF">
        <w:rPr>
          <w:rFonts w:ascii="Verdana" w:hAnsi="Verdana"/>
          <w:i/>
          <w:lang w:val="en-US"/>
        </w:rPr>
        <w:t xml:space="preserve"> Descriptive statistics, 2007</w:t>
      </w:r>
    </w:p>
    <w:tbl>
      <w:tblPr>
        <w:tblStyle w:val="DarkList1"/>
        <w:tblW w:w="8330" w:type="dxa"/>
        <w:tblLook w:val="04A0" w:firstRow="1" w:lastRow="0" w:firstColumn="1" w:lastColumn="0" w:noHBand="0" w:noVBand="1"/>
      </w:tblPr>
      <w:tblGrid>
        <w:gridCol w:w="1960"/>
        <w:gridCol w:w="550"/>
        <w:gridCol w:w="1340"/>
        <w:gridCol w:w="1340"/>
        <w:gridCol w:w="1340"/>
        <w:gridCol w:w="1800"/>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B0F0"/>
            <w:noWrap/>
            <w:hideMark/>
          </w:tcPr>
          <w:p w:rsidR="00585016" w:rsidRDefault="00585016">
            <w:pPr>
              <w:rPr>
                <w:color w:val="FFFFFF" w:themeColor="background1"/>
              </w:rPr>
            </w:pPr>
          </w:p>
        </w:tc>
        <w:tc>
          <w:tcPr>
            <w:tcW w:w="55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N</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Minimum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Maximum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Mean</w:t>
            </w:r>
          </w:p>
        </w:tc>
        <w:tc>
          <w:tcPr>
            <w:tcW w:w="180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Std. Deviation</w:t>
            </w:r>
          </w:p>
        </w:tc>
      </w:tr>
      <w:tr w:rsidR="00585016" w:rsidTr="00856F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Imp</w:t>
            </w:r>
          </w:p>
        </w:tc>
        <w:tc>
          <w:tcPr>
            <w:tcW w:w="55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778</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0,171</w:t>
            </w:r>
          </w:p>
        </w:tc>
        <w:tc>
          <w:tcPr>
            <w:tcW w:w="180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0,377</w:t>
            </w:r>
          </w:p>
        </w:tc>
      </w:tr>
      <w:tr w:rsidR="00585016" w:rsidTr="00856F25">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GW</w:t>
            </w:r>
          </w:p>
        </w:tc>
        <w:tc>
          <w:tcPr>
            <w:tcW w:w="550" w:type="dxa"/>
            <w:shd w:val="clear" w:color="auto" w:fill="auto"/>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778</w:t>
            </w:r>
          </w:p>
        </w:tc>
        <w:tc>
          <w:tcPr>
            <w:tcW w:w="1340" w:type="dxa"/>
            <w:shd w:val="clear" w:color="auto" w:fill="auto"/>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-0,137</w:t>
            </w:r>
          </w:p>
        </w:tc>
        <w:tc>
          <w:tcPr>
            <w:tcW w:w="1340" w:type="dxa"/>
            <w:shd w:val="clear" w:color="auto" w:fill="auto"/>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0,963</w:t>
            </w:r>
          </w:p>
        </w:tc>
        <w:tc>
          <w:tcPr>
            <w:tcW w:w="1340" w:type="dxa"/>
            <w:shd w:val="clear" w:color="auto" w:fill="auto"/>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0,129</w:t>
            </w:r>
          </w:p>
        </w:tc>
        <w:tc>
          <w:tcPr>
            <w:tcW w:w="1800" w:type="dxa"/>
            <w:shd w:val="clear" w:color="auto" w:fill="auto"/>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0,137</w:t>
            </w:r>
          </w:p>
        </w:tc>
      </w:tr>
      <w:tr w:rsidR="00585016" w:rsidTr="00856F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SIZE</w:t>
            </w:r>
          </w:p>
        </w:tc>
        <w:tc>
          <w:tcPr>
            <w:tcW w:w="55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778</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5,710</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11,210</w:t>
            </w:r>
          </w:p>
        </w:tc>
        <w:tc>
          <w:tcPr>
            <w:tcW w:w="1340" w:type="dxa"/>
            <w:shd w:val="clear" w:color="auto" w:fill="auto"/>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8,411</w:t>
            </w:r>
          </w:p>
        </w:tc>
        <w:tc>
          <w:tcPr>
            <w:tcW w:w="180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sidRPr="001D640A">
              <w:rPr>
                <w:rFonts w:ascii="Arial" w:eastAsia="Times New Roman" w:hAnsi="Arial" w:cs="Arial"/>
                <w:color w:val="000000"/>
                <w:sz w:val="20"/>
                <w:szCs w:val="20"/>
                <w:lang w:val="en-US" w:eastAsia="nl-NL"/>
              </w:rPr>
              <w:t>0</w:t>
            </w:r>
            <w:r>
              <w:rPr>
                <w:rFonts w:ascii="Arial" w:eastAsia="Times New Roman" w:hAnsi="Arial" w:cs="Arial"/>
                <w:color w:val="000000"/>
                <w:sz w:val="20"/>
                <w:szCs w:val="20"/>
                <w:lang w:val="nl-NL" w:eastAsia="nl-NL"/>
              </w:rPr>
              <w:t>,931</w:t>
            </w:r>
          </w:p>
        </w:tc>
      </w:tr>
      <w:tr w:rsidR="00585016" w:rsidTr="00856F25">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SALES</w:t>
            </w:r>
          </w:p>
        </w:tc>
        <w:tc>
          <w:tcPr>
            <w:tcW w:w="55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778</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-93,408</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4660,150</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30,348</w:t>
            </w:r>
          </w:p>
        </w:tc>
        <w:tc>
          <w:tcPr>
            <w:tcW w:w="180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194,824</w:t>
            </w:r>
          </w:p>
        </w:tc>
      </w:tr>
      <w:tr w:rsidR="00585016" w:rsidTr="00856F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CFO</w:t>
            </w:r>
          </w:p>
        </w:tc>
        <w:tc>
          <w:tcPr>
            <w:tcW w:w="55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778</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-54,706</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1047,690</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1,246</w:t>
            </w:r>
          </w:p>
        </w:tc>
        <w:tc>
          <w:tcPr>
            <w:tcW w:w="180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38,176</w:t>
            </w:r>
          </w:p>
        </w:tc>
      </w:tr>
      <w:tr w:rsidR="00585016" w:rsidTr="00856F25">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ROA</w:t>
            </w:r>
          </w:p>
        </w:tc>
        <w:tc>
          <w:tcPr>
            <w:tcW w:w="55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778</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-54,399</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87,902</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0,796</w:t>
            </w:r>
          </w:p>
        </w:tc>
        <w:tc>
          <w:tcPr>
            <w:tcW w:w="180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11,283</w:t>
            </w:r>
          </w:p>
        </w:tc>
      </w:tr>
      <w:tr w:rsidR="00585016" w:rsidTr="00856F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BigBath</w:t>
            </w:r>
            <w:proofErr w:type="spellEnd"/>
          </w:p>
        </w:tc>
        <w:tc>
          <w:tcPr>
            <w:tcW w:w="55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778</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0,063</w:t>
            </w:r>
          </w:p>
        </w:tc>
        <w:tc>
          <w:tcPr>
            <w:tcW w:w="1800" w:type="dxa"/>
            <w:shd w:val="clear" w:color="auto" w:fill="auto"/>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0,243</w:t>
            </w:r>
          </w:p>
        </w:tc>
      </w:tr>
      <w:tr w:rsidR="00585016" w:rsidTr="00856F25">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IncSmooth</w:t>
            </w:r>
            <w:proofErr w:type="spellEnd"/>
          </w:p>
        </w:tc>
        <w:tc>
          <w:tcPr>
            <w:tcW w:w="55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778</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0,436</w:t>
            </w:r>
          </w:p>
        </w:tc>
        <w:tc>
          <w:tcPr>
            <w:tcW w:w="1800" w:type="dxa"/>
            <w:shd w:val="clear" w:color="auto" w:fill="auto"/>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0,496</w:t>
            </w:r>
          </w:p>
        </w:tc>
      </w:tr>
    </w:tbl>
    <w:p w:rsidR="00585016" w:rsidRDefault="00585016" w:rsidP="00585016">
      <w:pPr>
        <w:pStyle w:val="BodyText"/>
        <w:rPr>
          <w:rFonts w:ascii="Verdana" w:hAnsi="Verdana"/>
          <w:lang w:val="en-US"/>
        </w:rPr>
      </w:pPr>
    </w:p>
    <w:p w:rsidR="001D640A" w:rsidRDefault="001D640A">
      <w:pPr>
        <w:rPr>
          <w:rFonts w:ascii="Verdana" w:hAnsi="Verdana"/>
          <w:i/>
          <w:lang w:val="en-US"/>
        </w:rPr>
      </w:pPr>
      <w:r>
        <w:rPr>
          <w:rFonts w:ascii="Verdana" w:hAnsi="Verdana"/>
          <w:i/>
          <w:lang w:val="en-US"/>
        </w:rPr>
        <w:br w:type="page"/>
      </w:r>
    </w:p>
    <w:p w:rsidR="00585016" w:rsidRDefault="00585016" w:rsidP="00585016">
      <w:pPr>
        <w:pStyle w:val="BodyText"/>
        <w:rPr>
          <w:rFonts w:ascii="Verdana" w:hAnsi="Verdana"/>
          <w:i/>
          <w:lang w:val="en-US"/>
        </w:rPr>
      </w:pPr>
      <w:r>
        <w:rPr>
          <w:rFonts w:ascii="Verdana" w:hAnsi="Verdana"/>
          <w:i/>
          <w:lang w:val="en-US"/>
        </w:rPr>
        <w:lastRenderedPageBreak/>
        <w:t xml:space="preserve">Table </w:t>
      </w:r>
      <w:r w:rsidR="001D640A">
        <w:rPr>
          <w:rFonts w:ascii="Verdana" w:hAnsi="Verdana"/>
          <w:i/>
          <w:lang w:val="en-US"/>
        </w:rPr>
        <w:t>6.3</w:t>
      </w:r>
      <w:r w:rsidR="00FA34EF">
        <w:rPr>
          <w:rFonts w:ascii="Verdana" w:hAnsi="Verdana"/>
          <w:i/>
          <w:lang w:val="en-US"/>
        </w:rPr>
        <w:t xml:space="preserve"> Descriptive statistics, 2009</w:t>
      </w:r>
    </w:p>
    <w:tbl>
      <w:tblPr>
        <w:tblStyle w:val="DarkList1"/>
        <w:tblW w:w="8330" w:type="dxa"/>
        <w:tblLook w:val="04A0" w:firstRow="1" w:lastRow="0" w:firstColumn="1" w:lastColumn="0" w:noHBand="0" w:noVBand="1"/>
      </w:tblPr>
      <w:tblGrid>
        <w:gridCol w:w="1960"/>
        <w:gridCol w:w="550"/>
        <w:gridCol w:w="1340"/>
        <w:gridCol w:w="1340"/>
        <w:gridCol w:w="1340"/>
        <w:gridCol w:w="1800"/>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B0F0"/>
            <w:noWrap/>
            <w:hideMark/>
          </w:tcPr>
          <w:p w:rsidR="00585016" w:rsidRDefault="00585016">
            <w:pPr>
              <w:rPr>
                <w:color w:val="FFFFFF" w:themeColor="background1"/>
              </w:rPr>
            </w:pPr>
          </w:p>
        </w:tc>
        <w:tc>
          <w:tcPr>
            <w:tcW w:w="55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N</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Minimum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Maximum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Mean</w:t>
            </w:r>
          </w:p>
        </w:tc>
        <w:tc>
          <w:tcPr>
            <w:tcW w:w="180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Std. Deviation</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Imp</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835</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0,214</w:t>
            </w:r>
          </w:p>
        </w:tc>
        <w:tc>
          <w:tcPr>
            <w:tcW w:w="180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0,411</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GW</w:t>
            </w:r>
          </w:p>
        </w:tc>
        <w:tc>
          <w:tcPr>
            <w:tcW w:w="55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835</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-0,40</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0,95</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0,145</w:t>
            </w:r>
          </w:p>
        </w:tc>
        <w:tc>
          <w:tcPr>
            <w:tcW w:w="180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0,143</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SIZE</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835</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5,40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11,33</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8,357</w:t>
            </w:r>
          </w:p>
        </w:tc>
        <w:tc>
          <w:tcPr>
            <w:tcW w:w="180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0,952</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SALES</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835</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-99,55</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664,50</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-5,348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35,783</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CFO</w:t>
            </w:r>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835</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-45,79</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252,46</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0,641</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10,776</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ROA</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835</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-117,71</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330,56</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-2,498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20,187</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BigBath</w:t>
            </w:r>
            <w:proofErr w:type="spellEnd"/>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835</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0,162</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0,368</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IncSmooth</w:t>
            </w:r>
            <w:proofErr w:type="spellEnd"/>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835</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0,338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0,473</w:t>
            </w:r>
          </w:p>
        </w:tc>
      </w:tr>
    </w:tbl>
    <w:p w:rsidR="00585016" w:rsidRDefault="00585016" w:rsidP="00585016">
      <w:pPr>
        <w:pStyle w:val="BodyText"/>
        <w:rPr>
          <w:rFonts w:ascii="Verdana" w:hAnsi="Verdana"/>
          <w:lang w:val="en-US"/>
        </w:rPr>
      </w:pPr>
    </w:p>
    <w:p w:rsidR="00585016" w:rsidRDefault="00585016" w:rsidP="00585016">
      <w:pPr>
        <w:rPr>
          <w:rFonts w:ascii="Verdana" w:hAnsi="Verdana"/>
          <w:lang w:val="en-US"/>
        </w:rPr>
      </w:pPr>
      <w:r>
        <w:rPr>
          <w:rFonts w:ascii="Verdana" w:hAnsi="Verdana"/>
          <w:lang w:val="en-US"/>
        </w:rPr>
        <w:t>In order to judge which observation</w:t>
      </w:r>
      <w:r w:rsidR="009A47F1">
        <w:rPr>
          <w:rFonts w:ascii="Verdana" w:hAnsi="Verdana"/>
          <w:lang w:val="en-US"/>
        </w:rPr>
        <w:t>s</w:t>
      </w:r>
      <w:r>
        <w:rPr>
          <w:rFonts w:ascii="Verdana" w:hAnsi="Verdana"/>
          <w:lang w:val="en-US"/>
        </w:rPr>
        <w:t xml:space="preserve"> can be marked as outliers </w:t>
      </w:r>
      <w:r w:rsidR="004034DB">
        <w:rPr>
          <w:rFonts w:ascii="Verdana" w:hAnsi="Verdana"/>
          <w:lang w:val="en-US"/>
        </w:rPr>
        <w:t xml:space="preserve">the assumption </w:t>
      </w:r>
      <w:r>
        <w:rPr>
          <w:rFonts w:ascii="Verdana" w:hAnsi="Verdana"/>
          <w:lang w:val="en-US"/>
        </w:rPr>
        <w:t>of approximately three box lengths has been used. As a result 11 outliers in the 2007 sample and 9 outliers in the 2009 sample have been excluded from this point on. The removal of outliers has not significantly influenced the frequency of impairment decisions.</w:t>
      </w:r>
    </w:p>
    <w:p w:rsidR="00585016" w:rsidRDefault="00A90BF3" w:rsidP="00585016">
      <w:pPr>
        <w:rPr>
          <w:rFonts w:ascii="Verdana" w:hAnsi="Verdana"/>
          <w:lang w:val="en-US"/>
        </w:rPr>
      </w:pPr>
      <w:r>
        <w:rPr>
          <w:rFonts w:ascii="Verdana" w:hAnsi="Verdana"/>
          <w:lang w:val="en-US"/>
        </w:rPr>
        <w:t xml:space="preserve">For the impact on the box plots, refer to Appendix </w:t>
      </w:r>
      <w:r w:rsidR="001D640A">
        <w:rPr>
          <w:rFonts w:ascii="Verdana" w:hAnsi="Verdana"/>
          <w:lang w:val="en-US"/>
        </w:rPr>
        <w:t>4.</w:t>
      </w:r>
      <w:r>
        <w:rPr>
          <w:rFonts w:ascii="Verdana" w:hAnsi="Verdana"/>
          <w:lang w:val="en-US"/>
        </w:rPr>
        <w:t xml:space="preserve"> Box plots. </w:t>
      </w:r>
      <w:r w:rsidR="00585016">
        <w:rPr>
          <w:rFonts w:ascii="Verdana" w:hAnsi="Verdana"/>
          <w:lang w:val="en-US"/>
        </w:rPr>
        <w:t xml:space="preserve">The descriptive statistics per variable after the removal of outliers is shown in table </w:t>
      </w:r>
      <w:r w:rsidR="001D640A">
        <w:rPr>
          <w:rFonts w:ascii="Verdana" w:hAnsi="Verdana"/>
          <w:lang w:val="en-US"/>
        </w:rPr>
        <w:t>6.4</w:t>
      </w:r>
      <w:r w:rsidR="00585016">
        <w:rPr>
          <w:rFonts w:ascii="Verdana" w:hAnsi="Verdana"/>
          <w:lang w:val="en-US"/>
        </w:rPr>
        <w:t xml:space="preserve"> and </w:t>
      </w:r>
      <w:r w:rsidR="001D640A">
        <w:rPr>
          <w:rFonts w:ascii="Verdana" w:hAnsi="Verdana"/>
          <w:lang w:val="en-US"/>
        </w:rPr>
        <w:t>6.5.</w:t>
      </w:r>
      <w:r w:rsidR="00585016">
        <w:rPr>
          <w:rFonts w:ascii="Verdana" w:hAnsi="Verdana"/>
          <w:lang w:val="en-US"/>
        </w:rPr>
        <w:t xml:space="preserve"> The removal of outliers had the biggest influence on the descriptive statistics of ∆SALES 2009. The mean dropped with 12,98 and the standard deviation with 161,69. Further analysis show that the mean for ∆CFO has decreased 1,46 in 2007 and the standard deviations of ∆SALES, ∆CFO and ∆ROA have decreased significantly for 2009. </w:t>
      </w:r>
    </w:p>
    <w:p w:rsidR="00585016" w:rsidRDefault="006A33EB" w:rsidP="00585016">
      <w:pPr>
        <w:pStyle w:val="BodyText"/>
        <w:rPr>
          <w:rFonts w:ascii="Verdana" w:hAnsi="Verdana"/>
          <w:i/>
          <w:lang w:val="en-US"/>
        </w:rPr>
      </w:pPr>
      <w:r>
        <w:rPr>
          <w:rFonts w:ascii="Verdana" w:hAnsi="Verdana"/>
          <w:i/>
          <w:lang w:val="en-US"/>
        </w:rPr>
        <w:br/>
      </w:r>
      <w:r w:rsidR="00585016">
        <w:rPr>
          <w:rFonts w:ascii="Verdana" w:hAnsi="Verdana"/>
          <w:i/>
          <w:lang w:val="en-US"/>
        </w:rPr>
        <w:t xml:space="preserve">Table </w:t>
      </w:r>
      <w:r w:rsidR="001D640A">
        <w:rPr>
          <w:rFonts w:ascii="Verdana" w:hAnsi="Verdana"/>
          <w:i/>
          <w:lang w:val="en-US"/>
        </w:rPr>
        <w:t>6.4</w:t>
      </w:r>
      <w:r w:rsidR="00585016">
        <w:rPr>
          <w:rFonts w:ascii="Verdana" w:hAnsi="Verdana"/>
          <w:i/>
          <w:lang w:val="en-US"/>
        </w:rPr>
        <w:t xml:space="preserve"> Descriptive </w:t>
      </w:r>
      <w:r w:rsidR="00FA34EF">
        <w:rPr>
          <w:rFonts w:ascii="Verdana" w:hAnsi="Verdana"/>
          <w:i/>
          <w:lang w:val="en-US"/>
        </w:rPr>
        <w:t>statistics after outliers, 2007</w:t>
      </w:r>
    </w:p>
    <w:tbl>
      <w:tblPr>
        <w:tblStyle w:val="DarkList1"/>
        <w:tblW w:w="8330" w:type="dxa"/>
        <w:tblLook w:val="04A0" w:firstRow="1" w:lastRow="0" w:firstColumn="1" w:lastColumn="0" w:noHBand="0" w:noVBand="1"/>
      </w:tblPr>
      <w:tblGrid>
        <w:gridCol w:w="1960"/>
        <w:gridCol w:w="550"/>
        <w:gridCol w:w="1340"/>
        <w:gridCol w:w="1340"/>
        <w:gridCol w:w="1340"/>
        <w:gridCol w:w="1800"/>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B0F0"/>
            <w:noWrap/>
            <w:hideMark/>
          </w:tcPr>
          <w:p w:rsidR="00585016" w:rsidRDefault="00585016">
            <w:pPr>
              <w:rPr>
                <w:color w:val="FFFFFF" w:themeColor="background1"/>
              </w:rPr>
            </w:pPr>
          </w:p>
        </w:tc>
        <w:tc>
          <w:tcPr>
            <w:tcW w:w="55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N</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Minimum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Maximum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Mean</w:t>
            </w:r>
          </w:p>
        </w:tc>
        <w:tc>
          <w:tcPr>
            <w:tcW w:w="180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Std. Deviation</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Imp</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767</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1</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0,171</w:t>
            </w:r>
          </w:p>
        </w:tc>
        <w:tc>
          <w:tcPr>
            <w:tcW w:w="180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0,377</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GW</w:t>
            </w:r>
          </w:p>
        </w:tc>
        <w:tc>
          <w:tcPr>
            <w:tcW w:w="55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767</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-0,137</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0,963</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0,128</w:t>
            </w:r>
          </w:p>
        </w:tc>
        <w:tc>
          <w:tcPr>
            <w:tcW w:w="180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0,135</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SIZE</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767</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5,710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11,210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8,421</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sidRPr="001D640A">
              <w:rPr>
                <w:rFonts w:ascii="Arial" w:eastAsia="Times New Roman" w:hAnsi="Arial" w:cs="Arial"/>
                <w:color w:val="000000"/>
                <w:sz w:val="20"/>
                <w:szCs w:val="20"/>
                <w:lang w:val="en-US" w:eastAsia="nl-NL"/>
              </w:rPr>
              <w:t>0</w:t>
            </w:r>
            <w:r>
              <w:rPr>
                <w:rFonts w:ascii="Arial" w:eastAsia="Times New Roman" w:hAnsi="Arial" w:cs="Arial"/>
                <w:color w:val="000000"/>
                <w:sz w:val="20"/>
                <w:szCs w:val="20"/>
                <w:lang w:val="nl-NL" w:eastAsia="nl-NL"/>
              </w:rPr>
              <w:t>,929</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SALES</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767</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-93,408</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272,629</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17,370</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33,138</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CFO</w:t>
            </w:r>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767</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-38,087</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19,309</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-0,209</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4,093</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ROA</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767</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-54,399</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74,127</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0,669</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10,875</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BigBath</w:t>
            </w:r>
            <w:proofErr w:type="spellEnd"/>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767</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0,059</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0,235</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IncSmooth</w:t>
            </w:r>
            <w:proofErr w:type="spellEnd"/>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767</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0,438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0,496</w:t>
            </w:r>
          </w:p>
        </w:tc>
      </w:tr>
    </w:tbl>
    <w:p w:rsidR="00585016" w:rsidRDefault="00585016" w:rsidP="00585016">
      <w:pPr>
        <w:rPr>
          <w:rFonts w:ascii="Verdana" w:hAnsi="Verdana"/>
          <w:lang w:val="en-US"/>
        </w:rPr>
      </w:pPr>
    </w:p>
    <w:p w:rsidR="00585016" w:rsidRDefault="00585016" w:rsidP="00585016">
      <w:pPr>
        <w:pStyle w:val="BodyText"/>
        <w:rPr>
          <w:rFonts w:ascii="Verdana" w:hAnsi="Verdana"/>
          <w:i/>
          <w:lang w:val="en-US"/>
        </w:rPr>
      </w:pPr>
      <w:r>
        <w:rPr>
          <w:rFonts w:ascii="Verdana" w:hAnsi="Verdana"/>
          <w:i/>
          <w:lang w:val="en-US"/>
        </w:rPr>
        <w:t xml:space="preserve">Table </w:t>
      </w:r>
      <w:r w:rsidR="001D640A">
        <w:rPr>
          <w:rFonts w:ascii="Verdana" w:hAnsi="Verdana"/>
          <w:i/>
          <w:lang w:val="en-US"/>
        </w:rPr>
        <w:t>6.5</w:t>
      </w:r>
      <w:r>
        <w:rPr>
          <w:rFonts w:ascii="Verdana" w:hAnsi="Verdana"/>
          <w:i/>
          <w:lang w:val="en-US"/>
        </w:rPr>
        <w:t xml:space="preserve"> Descriptive </w:t>
      </w:r>
      <w:r w:rsidR="00FA34EF">
        <w:rPr>
          <w:rFonts w:ascii="Verdana" w:hAnsi="Verdana"/>
          <w:i/>
          <w:lang w:val="en-US"/>
        </w:rPr>
        <w:t>statistics after outliers, 2009</w:t>
      </w:r>
    </w:p>
    <w:tbl>
      <w:tblPr>
        <w:tblStyle w:val="DarkList1"/>
        <w:tblW w:w="8330" w:type="dxa"/>
        <w:tblLook w:val="04A0" w:firstRow="1" w:lastRow="0" w:firstColumn="1" w:lastColumn="0" w:noHBand="0" w:noVBand="1"/>
      </w:tblPr>
      <w:tblGrid>
        <w:gridCol w:w="1960"/>
        <w:gridCol w:w="550"/>
        <w:gridCol w:w="1340"/>
        <w:gridCol w:w="1340"/>
        <w:gridCol w:w="1340"/>
        <w:gridCol w:w="1800"/>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B0F0"/>
            <w:noWrap/>
            <w:hideMark/>
          </w:tcPr>
          <w:p w:rsidR="00585016" w:rsidRDefault="00585016">
            <w:pPr>
              <w:rPr>
                <w:color w:val="FFFFFF" w:themeColor="background1"/>
              </w:rPr>
            </w:pPr>
          </w:p>
        </w:tc>
        <w:tc>
          <w:tcPr>
            <w:tcW w:w="55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N</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Minimum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Maximum</w:t>
            </w:r>
          </w:p>
        </w:tc>
        <w:tc>
          <w:tcPr>
            <w:tcW w:w="134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Mean</w:t>
            </w:r>
          </w:p>
        </w:tc>
        <w:tc>
          <w:tcPr>
            <w:tcW w:w="1800" w:type="dxa"/>
            <w:shd w:val="clear" w:color="auto" w:fill="00B0F0"/>
            <w:noWrap/>
            <w:hideMark/>
          </w:tcPr>
          <w:p w:rsidR="00585016" w:rsidRPr="001D640A"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Std. Deviation</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Imp</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826</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0,215</w:t>
            </w:r>
          </w:p>
        </w:tc>
        <w:tc>
          <w:tcPr>
            <w:tcW w:w="180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0,411</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GW</w:t>
            </w:r>
          </w:p>
        </w:tc>
        <w:tc>
          <w:tcPr>
            <w:tcW w:w="55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826</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-0,402</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0,946</w:t>
            </w:r>
          </w:p>
        </w:tc>
        <w:tc>
          <w:tcPr>
            <w:tcW w:w="134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0,145</w:t>
            </w:r>
          </w:p>
        </w:tc>
        <w:tc>
          <w:tcPr>
            <w:tcW w:w="1800" w:type="dxa"/>
            <w:shd w:val="clear" w:color="auto" w:fill="FFFFFF" w:themeFill="background1"/>
            <w:noWrap/>
            <w:hideMark/>
          </w:tcPr>
          <w:p w:rsidR="00585016" w:rsidRPr="001D640A"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0,144</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Pr="001D640A" w:rsidRDefault="00585016">
            <w:pPr>
              <w:rPr>
                <w:rFonts w:ascii="Arial" w:eastAsia="Times New Roman" w:hAnsi="Arial" w:cs="Arial"/>
                <w:color w:val="FFFFFF" w:themeColor="background2"/>
                <w:sz w:val="20"/>
                <w:szCs w:val="20"/>
                <w:lang w:val="en-US" w:eastAsia="nl-NL"/>
              </w:rPr>
            </w:pPr>
            <w:r w:rsidRPr="001D640A">
              <w:rPr>
                <w:rFonts w:ascii="Arial" w:eastAsia="Times New Roman" w:hAnsi="Arial" w:cs="Arial"/>
                <w:color w:val="FFFFFF" w:themeColor="background2"/>
                <w:sz w:val="20"/>
                <w:szCs w:val="20"/>
                <w:lang w:val="en-US" w:eastAsia="nl-NL"/>
              </w:rPr>
              <w:t>SIZE</w:t>
            </w:r>
          </w:p>
        </w:tc>
        <w:tc>
          <w:tcPr>
            <w:tcW w:w="55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826</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5,397</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11,241</w:t>
            </w:r>
          </w:p>
        </w:tc>
        <w:tc>
          <w:tcPr>
            <w:tcW w:w="1340" w:type="dxa"/>
            <w:shd w:val="clear" w:color="auto" w:fill="FFFFFF" w:themeFill="background1"/>
            <w:noWrap/>
            <w:hideMark/>
          </w:tcPr>
          <w:p w:rsidR="00585016" w:rsidRPr="001D640A"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8,360</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sidRPr="001D640A">
              <w:rPr>
                <w:rFonts w:ascii="Arial" w:eastAsia="Times New Roman" w:hAnsi="Arial" w:cs="Arial"/>
                <w:color w:val="000000"/>
                <w:sz w:val="20"/>
                <w:szCs w:val="20"/>
                <w:lang w:val="en-US" w:eastAsia="nl-NL"/>
              </w:rPr>
              <w:t>0</w:t>
            </w:r>
            <w:r>
              <w:rPr>
                <w:rFonts w:ascii="Arial" w:eastAsia="Times New Roman" w:hAnsi="Arial" w:cs="Arial"/>
                <w:color w:val="000000"/>
                <w:sz w:val="20"/>
                <w:szCs w:val="20"/>
                <w:lang w:val="nl-NL" w:eastAsia="nl-NL"/>
              </w:rPr>
              <w:t>,941</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SALES</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826</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-99,124</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188,647</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-6,168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27,040</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CFO</w:t>
            </w:r>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826</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-39,058</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33,878</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0,121</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4,617</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r>
              <w:rPr>
                <w:rFonts w:ascii="Verdana" w:eastAsia="Times New Roman" w:hAnsi="Verdana" w:cs="Arial"/>
                <w:color w:val="FFFFFF" w:themeColor="background2"/>
                <w:sz w:val="20"/>
                <w:szCs w:val="20"/>
                <w:lang w:val="nl-NL" w:eastAsia="nl-NL"/>
              </w:rPr>
              <w:t>∆</w:t>
            </w:r>
            <w:r>
              <w:rPr>
                <w:rFonts w:ascii="Arial" w:eastAsia="Times New Roman" w:hAnsi="Arial" w:cs="Arial"/>
                <w:color w:val="FFFFFF" w:themeColor="background2"/>
                <w:sz w:val="20"/>
                <w:szCs w:val="20"/>
                <w:lang w:val="nl-NL" w:eastAsia="nl-NL"/>
              </w:rPr>
              <w:t>ROA</w:t>
            </w:r>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826</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-117,714</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68,383</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-3,238</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13,198</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BigBath</w:t>
            </w:r>
            <w:proofErr w:type="spellEnd"/>
          </w:p>
        </w:tc>
        <w:tc>
          <w:tcPr>
            <w:tcW w:w="55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826</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0,162</w:t>
            </w:r>
          </w:p>
        </w:tc>
        <w:tc>
          <w:tcPr>
            <w:tcW w:w="1800" w:type="dxa"/>
            <w:shd w:val="clear" w:color="auto" w:fill="FFFFFF" w:themeFill="background1"/>
            <w:noWrap/>
            <w:hideMark/>
          </w:tcPr>
          <w:p w:rsidR="00585016" w:rsidRDefault="005850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0,369</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hideMark/>
          </w:tcPr>
          <w:p w:rsidR="00585016" w:rsidRDefault="00585016">
            <w:pPr>
              <w:rPr>
                <w:rFonts w:ascii="Arial" w:eastAsia="Times New Roman" w:hAnsi="Arial" w:cs="Arial"/>
                <w:color w:val="FFFFFF" w:themeColor="background2"/>
                <w:sz w:val="20"/>
                <w:szCs w:val="20"/>
                <w:lang w:val="nl-NL" w:eastAsia="nl-NL"/>
              </w:rPr>
            </w:pPr>
            <w:proofErr w:type="spellStart"/>
            <w:r>
              <w:rPr>
                <w:rFonts w:ascii="Arial" w:eastAsia="Times New Roman" w:hAnsi="Arial" w:cs="Arial"/>
                <w:color w:val="FFFFFF" w:themeColor="background2"/>
                <w:sz w:val="20"/>
                <w:szCs w:val="20"/>
                <w:lang w:val="nl-NL" w:eastAsia="nl-NL"/>
              </w:rPr>
              <w:t>IncSmooth</w:t>
            </w:r>
            <w:proofErr w:type="spellEnd"/>
          </w:p>
        </w:tc>
        <w:tc>
          <w:tcPr>
            <w:tcW w:w="55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826</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w:t>
            </w:r>
          </w:p>
        </w:tc>
        <w:tc>
          <w:tcPr>
            <w:tcW w:w="134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0,339</w:t>
            </w:r>
          </w:p>
        </w:tc>
        <w:tc>
          <w:tcPr>
            <w:tcW w:w="1800" w:type="dxa"/>
            <w:shd w:val="clear" w:color="auto" w:fill="FFFFFF" w:themeFill="background1"/>
            <w:noWrap/>
            <w:hideMark/>
          </w:tcPr>
          <w:p w:rsidR="00585016" w:rsidRDefault="005850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0,474</w:t>
            </w:r>
          </w:p>
        </w:tc>
      </w:tr>
    </w:tbl>
    <w:p w:rsidR="00585016" w:rsidRDefault="00585016" w:rsidP="00585016">
      <w:pPr>
        <w:pStyle w:val="BodyText"/>
        <w:rPr>
          <w:rFonts w:ascii="Verdana" w:hAnsi="Verdana"/>
          <w:i/>
          <w:lang w:val="en-US"/>
        </w:rPr>
      </w:pPr>
    </w:p>
    <w:p w:rsidR="00585016" w:rsidRDefault="00585016" w:rsidP="00585016">
      <w:pPr>
        <w:rPr>
          <w:rFonts w:ascii="Verdana" w:hAnsi="Verdana"/>
          <w:lang w:val="en-US"/>
        </w:rPr>
      </w:pPr>
      <w:r>
        <w:rPr>
          <w:rFonts w:ascii="Verdana" w:hAnsi="Verdana"/>
          <w:lang w:val="en-US"/>
        </w:rPr>
        <w:lastRenderedPageBreak/>
        <w:t xml:space="preserve">When comparing 2007 to 2009, these tables show a decline in the performance of the companies when looking at ∆SALES and ∆ROA. The ∆SALES in 2007 show a positive mean of 17,37 and in 2009 the mean has become 6,17 negative. The ∆ROA has also turned from positive to negative. Opposite to this, the ∆CFO shows an improvement in 2009. Although the fluctuation between 2007 and 2009 is smaller than ∆SALES and ∆ROA, the ∆CFO mean was negative in 2007 and positive in 2009. </w:t>
      </w:r>
      <w:r>
        <w:rPr>
          <w:rFonts w:ascii="Verdana" w:hAnsi="Verdana"/>
          <w:lang w:val="en-US"/>
        </w:rPr>
        <w:br/>
        <w:t xml:space="preserve">Important to notice is that there are 45 companies observed which provide conditions for the big bath accounting in 2007 and 134 in 2009. This is because for these companies the variable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lang w:val="en-US"/>
        </w:rPr>
        <w:t xml:space="preserve"> has a value of 1. For income smoothing there are 336 companies observed which provide conditions for income smoothing in 2007 and 280 in 2009. </w:t>
      </w:r>
    </w:p>
    <w:p w:rsidR="00585016" w:rsidRDefault="00585016" w:rsidP="00585016">
      <w:pPr>
        <w:rPr>
          <w:rFonts w:ascii="Verdana" w:hAnsi="Verdana"/>
          <w:b/>
          <w:u w:val="single"/>
          <w:lang w:val="en-US"/>
        </w:rPr>
      </w:pPr>
    </w:p>
    <w:p w:rsidR="00585016" w:rsidRDefault="003C2D90" w:rsidP="00E12614">
      <w:pPr>
        <w:pStyle w:val="Heading2"/>
        <w:rPr>
          <w:lang w:val="en-US"/>
        </w:rPr>
      </w:pPr>
      <w:bookmarkStart w:id="53" w:name="_Toc359957156"/>
      <w:r>
        <w:rPr>
          <w:lang w:val="en-US"/>
        </w:rPr>
        <w:t>6</w:t>
      </w:r>
      <w:r w:rsidR="00E12614">
        <w:rPr>
          <w:lang w:val="en-US"/>
        </w:rPr>
        <w:t>.</w:t>
      </w:r>
      <w:r>
        <w:rPr>
          <w:lang w:val="en-US"/>
        </w:rPr>
        <w:t>2</w:t>
      </w:r>
      <w:r w:rsidR="00E12614">
        <w:rPr>
          <w:lang w:val="en-US"/>
        </w:rPr>
        <w:t xml:space="preserve"> </w:t>
      </w:r>
      <w:r w:rsidR="00585016">
        <w:rPr>
          <w:lang w:val="en-US"/>
        </w:rPr>
        <w:t>Power and significance</w:t>
      </w:r>
      <w:bookmarkEnd w:id="53"/>
      <w:r w:rsidR="00E12614">
        <w:rPr>
          <w:lang w:val="en-US"/>
        </w:rPr>
        <w:br/>
      </w:r>
    </w:p>
    <w:p w:rsidR="00585016" w:rsidRDefault="00585016" w:rsidP="00585016">
      <w:pPr>
        <w:rPr>
          <w:rFonts w:ascii="Verdana" w:hAnsi="Verdana"/>
          <w:lang w:val="en-US"/>
        </w:rPr>
      </w:pPr>
      <w:r>
        <w:rPr>
          <w:rFonts w:ascii="Verdana" w:hAnsi="Verdana"/>
          <w:lang w:val="en-US"/>
        </w:rPr>
        <w:t xml:space="preserve">Before conclusions are drawn from the model, it is important to look at the power of a model. The power indicates the proportion of the impairment decision that is influenced by the independent variables of the model. The value used to gain insight in the power is R-square. See table </w:t>
      </w:r>
      <w:r w:rsidR="006A33EB">
        <w:rPr>
          <w:rFonts w:ascii="Verdana" w:hAnsi="Verdana"/>
          <w:lang w:val="en-US"/>
        </w:rPr>
        <w:t>6.6</w:t>
      </w:r>
      <w:r>
        <w:rPr>
          <w:rFonts w:ascii="Verdana" w:hAnsi="Verdana"/>
          <w:lang w:val="en-US"/>
        </w:rPr>
        <w:t xml:space="preserve"> for the R-square of 2007 and 2009. This table shows that the proportion of the impairment decision influenced by the independent variables of the model is 6,5% in 2007 and 3,5% in 2009. Even though comparable research models often have R-squares lower </w:t>
      </w:r>
      <w:r w:rsidR="00F254F5">
        <w:rPr>
          <w:rFonts w:ascii="Verdana" w:hAnsi="Verdana"/>
          <w:lang w:val="en-US"/>
        </w:rPr>
        <w:t>than</w:t>
      </w:r>
      <w:r>
        <w:rPr>
          <w:rFonts w:ascii="Verdana" w:hAnsi="Verdana"/>
          <w:lang w:val="en-US"/>
        </w:rPr>
        <w:t xml:space="preserve"> 10%, Wang 2009, </w:t>
      </w:r>
      <w:proofErr w:type="spellStart"/>
      <w:r>
        <w:rPr>
          <w:rFonts w:ascii="Verdana" w:hAnsi="Verdana"/>
          <w:lang w:val="en-US"/>
        </w:rPr>
        <w:t>Ostende</w:t>
      </w:r>
      <w:proofErr w:type="spellEnd"/>
      <w:r>
        <w:rPr>
          <w:rFonts w:ascii="Verdana" w:hAnsi="Verdana"/>
          <w:lang w:val="en-US"/>
        </w:rPr>
        <w:t xml:space="preserve"> 2009 and </w:t>
      </w:r>
      <w:proofErr w:type="spellStart"/>
      <w:r>
        <w:rPr>
          <w:rFonts w:ascii="Verdana" w:hAnsi="Verdana"/>
          <w:lang w:val="en-US"/>
        </w:rPr>
        <w:t>Praag</w:t>
      </w:r>
      <w:proofErr w:type="spellEnd"/>
      <w:r>
        <w:rPr>
          <w:rFonts w:ascii="Verdana" w:hAnsi="Verdana"/>
          <w:lang w:val="en-US"/>
        </w:rPr>
        <w:t xml:space="preserve"> 2001, the model will be adjusted to examine if the R-square can be increased. </w:t>
      </w:r>
    </w:p>
    <w:p w:rsidR="00585016" w:rsidRDefault="006A33EB" w:rsidP="00585016">
      <w:pPr>
        <w:rPr>
          <w:rFonts w:ascii="Verdana" w:hAnsi="Verdana"/>
          <w:i/>
          <w:lang w:val="en-US"/>
        </w:rPr>
      </w:pPr>
      <w:r>
        <w:rPr>
          <w:rFonts w:ascii="Verdana" w:hAnsi="Verdana"/>
          <w:i/>
          <w:lang w:val="en-US"/>
        </w:rPr>
        <w:br/>
      </w:r>
      <w:r w:rsidR="00585016">
        <w:rPr>
          <w:rFonts w:ascii="Verdana" w:hAnsi="Verdana"/>
          <w:i/>
          <w:lang w:val="en-US"/>
        </w:rPr>
        <w:t xml:space="preserve">Table </w:t>
      </w:r>
      <w:r>
        <w:rPr>
          <w:rFonts w:ascii="Verdana" w:hAnsi="Verdana"/>
          <w:i/>
          <w:lang w:val="en-US"/>
        </w:rPr>
        <w:t>6.6</w:t>
      </w:r>
      <w:r w:rsidR="00585016">
        <w:rPr>
          <w:rFonts w:ascii="Verdana" w:hAnsi="Verdana"/>
          <w:i/>
          <w:lang w:val="en-US"/>
        </w:rPr>
        <w:t xml:space="preserve"> Model summary</w:t>
      </w:r>
    </w:p>
    <w:tbl>
      <w:tblPr>
        <w:tblStyle w:val="DarkList2"/>
        <w:tblW w:w="8860" w:type="dxa"/>
        <w:tblLook w:val="04A0" w:firstRow="1" w:lastRow="0" w:firstColumn="1" w:lastColumn="0" w:noHBand="0" w:noVBand="1"/>
      </w:tblPr>
      <w:tblGrid>
        <w:gridCol w:w="1000"/>
        <w:gridCol w:w="1820"/>
        <w:gridCol w:w="1820"/>
        <w:gridCol w:w="1820"/>
        <w:gridCol w:w="2400"/>
      </w:tblGrid>
      <w:tr w:rsidR="00585016" w:rsidRP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0" w:type="dxa"/>
            <w:shd w:val="clear" w:color="auto" w:fill="00B0F0"/>
            <w:noWrap/>
            <w:hideMark/>
          </w:tcPr>
          <w:p w:rsidR="00585016" w:rsidRDefault="00585016">
            <w:pPr>
              <w:jc w:val="center"/>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Model</w:t>
            </w:r>
          </w:p>
        </w:tc>
        <w:tc>
          <w:tcPr>
            <w:tcW w:w="1820" w:type="dxa"/>
            <w:shd w:val="clear" w:color="auto" w:fill="00B0F0"/>
            <w:noWrap/>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R</w:t>
            </w:r>
          </w:p>
        </w:tc>
        <w:tc>
          <w:tcPr>
            <w:tcW w:w="1820" w:type="dxa"/>
            <w:shd w:val="clear" w:color="auto" w:fill="00B0F0"/>
            <w:noWrap/>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R Square</w:t>
            </w:r>
          </w:p>
        </w:tc>
        <w:tc>
          <w:tcPr>
            <w:tcW w:w="1820" w:type="dxa"/>
            <w:shd w:val="clear" w:color="auto" w:fill="00B0F0"/>
            <w:noWrap/>
            <w:vAlign w:val="center"/>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Adjusted R Square</w:t>
            </w:r>
          </w:p>
        </w:tc>
        <w:tc>
          <w:tcPr>
            <w:tcW w:w="2400" w:type="dxa"/>
            <w:shd w:val="clear" w:color="auto" w:fill="00B0F0"/>
            <w:noWrap/>
            <w:vAlign w:val="center"/>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Std. Error of the Estimate</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0" w:type="dxa"/>
            <w:shd w:val="clear" w:color="auto" w:fill="0070C0"/>
            <w:noWrap/>
            <w:hideMark/>
          </w:tcPr>
          <w:p w:rsidR="00585016" w:rsidRPr="006A33EB" w:rsidRDefault="00585016">
            <w:pPr>
              <w:jc w:val="center"/>
              <w:rPr>
                <w:rFonts w:ascii="Arial" w:eastAsia="Times New Roman" w:hAnsi="Arial" w:cs="Arial"/>
                <w:color w:val="FFFFFF" w:themeColor="background2"/>
                <w:sz w:val="20"/>
                <w:szCs w:val="20"/>
                <w:lang w:val="en-US" w:eastAsia="nl-NL"/>
              </w:rPr>
            </w:pPr>
            <w:r w:rsidRPr="006A33EB">
              <w:rPr>
                <w:rFonts w:ascii="Arial" w:eastAsia="Times New Roman" w:hAnsi="Arial" w:cs="Arial"/>
                <w:color w:val="FFFFFF" w:themeColor="background2"/>
                <w:sz w:val="20"/>
                <w:szCs w:val="20"/>
                <w:lang w:val="en-US" w:eastAsia="nl-NL"/>
              </w:rPr>
              <w:t>2007</w:t>
            </w:r>
          </w:p>
        </w:tc>
        <w:tc>
          <w:tcPr>
            <w:tcW w:w="1820"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25,5%</w:t>
            </w:r>
          </w:p>
        </w:tc>
        <w:tc>
          <w:tcPr>
            <w:tcW w:w="1820"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6,5%</w:t>
            </w:r>
          </w:p>
        </w:tc>
        <w:tc>
          <w:tcPr>
            <w:tcW w:w="1820"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5,7%</w:t>
            </w:r>
          </w:p>
        </w:tc>
        <w:tc>
          <w:tcPr>
            <w:tcW w:w="2400"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0,366</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000" w:type="dxa"/>
            <w:tcBorders>
              <w:top w:val="nil"/>
            </w:tcBorders>
            <w:shd w:val="clear" w:color="auto" w:fill="0070C0"/>
            <w:noWrap/>
            <w:hideMark/>
          </w:tcPr>
          <w:p w:rsidR="00585016" w:rsidRPr="006A33EB" w:rsidRDefault="00585016">
            <w:pPr>
              <w:jc w:val="center"/>
              <w:rPr>
                <w:rFonts w:ascii="Arial" w:eastAsia="Times New Roman" w:hAnsi="Arial" w:cs="Arial"/>
                <w:color w:val="FFFFFF" w:themeColor="background2"/>
                <w:sz w:val="20"/>
                <w:szCs w:val="20"/>
                <w:lang w:val="en-US" w:eastAsia="nl-NL"/>
              </w:rPr>
            </w:pPr>
            <w:r w:rsidRPr="006A33EB">
              <w:rPr>
                <w:rFonts w:ascii="Arial" w:eastAsia="Times New Roman" w:hAnsi="Arial" w:cs="Arial"/>
                <w:color w:val="FFFFFF" w:themeColor="background2"/>
                <w:sz w:val="20"/>
                <w:szCs w:val="20"/>
                <w:lang w:val="en-US" w:eastAsia="nl-NL"/>
              </w:rPr>
              <w:t>2009</w:t>
            </w:r>
          </w:p>
        </w:tc>
        <w:tc>
          <w:tcPr>
            <w:tcW w:w="1820"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18,8%</w:t>
            </w:r>
          </w:p>
        </w:tc>
        <w:tc>
          <w:tcPr>
            <w:tcW w:w="1820"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3,5%</w:t>
            </w:r>
          </w:p>
        </w:tc>
        <w:tc>
          <w:tcPr>
            <w:tcW w:w="1820"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2,7%</w:t>
            </w:r>
          </w:p>
        </w:tc>
        <w:tc>
          <w:tcPr>
            <w:tcW w:w="2400"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0,406</w:t>
            </w:r>
          </w:p>
        </w:tc>
      </w:tr>
      <w:tr w:rsidR="00585016" w:rsidRP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60" w:type="dxa"/>
            <w:gridSpan w:val="5"/>
            <w:shd w:val="clear" w:color="auto" w:fill="FFFFFF" w:themeFill="background1"/>
            <w:noWrap/>
            <w:hideMark/>
          </w:tcPr>
          <w:p w:rsidR="00585016" w:rsidRDefault="00585016">
            <w:pP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a Predictors: (Constant), </w:t>
            </w:r>
            <w:proofErr w:type="spellStart"/>
            <w:r>
              <w:rPr>
                <w:rFonts w:ascii="Arial" w:eastAsia="Times New Roman" w:hAnsi="Arial" w:cs="Arial"/>
                <w:color w:val="000000"/>
                <w:sz w:val="20"/>
                <w:szCs w:val="20"/>
                <w:lang w:val="en-US" w:eastAsia="nl-NL"/>
              </w:rPr>
              <w:t>IncSmooth</w:t>
            </w:r>
            <w:proofErr w:type="spellEnd"/>
            <w:r>
              <w:rPr>
                <w:rFonts w:ascii="Arial" w:eastAsia="Times New Roman" w:hAnsi="Arial" w:cs="Arial"/>
                <w:color w:val="000000"/>
                <w:sz w:val="20"/>
                <w:szCs w:val="20"/>
                <w:lang w:val="en-US" w:eastAsia="nl-NL"/>
              </w:rPr>
              <w:t xml:space="preserve">, GW, CFO, SALES, SIZE, ROA, </w:t>
            </w:r>
            <w:proofErr w:type="spellStart"/>
            <w:r>
              <w:rPr>
                <w:rFonts w:ascii="Arial" w:eastAsia="Times New Roman" w:hAnsi="Arial" w:cs="Arial"/>
                <w:color w:val="000000"/>
                <w:sz w:val="20"/>
                <w:szCs w:val="20"/>
                <w:lang w:val="en-US" w:eastAsia="nl-NL"/>
              </w:rPr>
              <w:t>BigBath</w:t>
            </w:r>
            <w:proofErr w:type="spellEnd"/>
          </w:p>
        </w:tc>
      </w:tr>
    </w:tbl>
    <w:p w:rsidR="00585016" w:rsidRDefault="00585016" w:rsidP="00585016">
      <w:pPr>
        <w:rPr>
          <w:rFonts w:ascii="Verdana" w:hAnsi="Verdana"/>
          <w:lang w:val="en-US"/>
        </w:rPr>
      </w:pPr>
    </w:p>
    <w:p w:rsidR="00585016" w:rsidRDefault="00585016" w:rsidP="00585016">
      <w:pPr>
        <w:rPr>
          <w:rFonts w:ascii="Verdana" w:hAnsi="Verdana"/>
          <w:lang w:val="en-US"/>
        </w:rPr>
      </w:pPr>
      <w:r>
        <w:rPr>
          <w:rFonts w:ascii="Verdana" w:hAnsi="Verdana"/>
          <w:lang w:val="en-US"/>
        </w:rPr>
        <w:t xml:space="preserve">To increase the explanatory power of the model, variables can be added, or existing variables can be changed. This can also be the dependent variable. For example the dependent </w:t>
      </w:r>
      <w:proofErr w:type="spellStart"/>
      <w:r>
        <w:rPr>
          <w:rFonts w:ascii="Verdana" w:hAnsi="Verdana"/>
          <w:i/>
          <w:lang w:val="en-US"/>
        </w:rPr>
        <w:t>IMP</w:t>
      </w:r>
      <w:r>
        <w:rPr>
          <w:rFonts w:ascii="Verdana" w:hAnsi="Verdana"/>
          <w:i/>
          <w:vertAlign w:val="subscript"/>
          <w:lang w:val="en-US"/>
        </w:rPr>
        <w:t>it</w:t>
      </w:r>
      <w:proofErr w:type="spellEnd"/>
      <w:r>
        <w:rPr>
          <w:rFonts w:ascii="Verdana" w:hAnsi="Verdana"/>
          <w:lang w:val="en-US"/>
        </w:rPr>
        <w:t xml:space="preserve"> can be changed from a dummy variable, to goodwill impairments made during the year divided by total assets at the beginning of the year. If the dependent variable changes to this value, the R-square is increased to 11,4% in 2007 and 10,1% in 2009. As can be seen in table </w:t>
      </w:r>
      <w:r w:rsidR="006A33EB">
        <w:rPr>
          <w:rFonts w:ascii="Verdana" w:hAnsi="Verdana"/>
          <w:lang w:val="en-US"/>
        </w:rPr>
        <w:t>6.7</w:t>
      </w:r>
      <w:r>
        <w:rPr>
          <w:rFonts w:ascii="Verdana" w:hAnsi="Verdana"/>
          <w:lang w:val="en-US"/>
        </w:rPr>
        <w:t xml:space="preserve"> below.</w:t>
      </w:r>
    </w:p>
    <w:p w:rsidR="00585016" w:rsidRDefault="006A33EB" w:rsidP="00585016">
      <w:pPr>
        <w:rPr>
          <w:rFonts w:ascii="Verdana" w:hAnsi="Verdana"/>
          <w:i/>
          <w:lang w:val="en-US"/>
        </w:rPr>
      </w:pPr>
      <w:r>
        <w:rPr>
          <w:rFonts w:ascii="Verdana" w:hAnsi="Verdana"/>
          <w:i/>
          <w:lang w:val="en-US"/>
        </w:rPr>
        <w:br/>
      </w:r>
      <w:r w:rsidR="00585016">
        <w:rPr>
          <w:rFonts w:ascii="Verdana" w:hAnsi="Verdana"/>
          <w:i/>
          <w:lang w:val="en-US"/>
        </w:rPr>
        <w:t xml:space="preserve">Table </w:t>
      </w:r>
      <w:r>
        <w:rPr>
          <w:rFonts w:ascii="Verdana" w:hAnsi="Verdana"/>
          <w:i/>
          <w:lang w:val="en-US"/>
        </w:rPr>
        <w:t>6.7</w:t>
      </w:r>
      <w:r w:rsidR="00585016">
        <w:rPr>
          <w:rFonts w:ascii="Verdana" w:hAnsi="Verdana"/>
          <w:i/>
          <w:lang w:val="en-US"/>
        </w:rPr>
        <w:t xml:space="preserve"> Model summary 2 </w:t>
      </w:r>
    </w:p>
    <w:tbl>
      <w:tblPr>
        <w:tblStyle w:val="DarkList2"/>
        <w:tblW w:w="8860" w:type="dxa"/>
        <w:tblLook w:val="04A0" w:firstRow="1" w:lastRow="0" w:firstColumn="1" w:lastColumn="0" w:noHBand="0" w:noVBand="1"/>
      </w:tblPr>
      <w:tblGrid>
        <w:gridCol w:w="1000"/>
        <w:gridCol w:w="1820"/>
        <w:gridCol w:w="1820"/>
        <w:gridCol w:w="1820"/>
        <w:gridCol w:w="2400"/>
      </w:tblGrid>
      <w:tr w:rsidR="00585016" w:rsidRP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0" w:type="dxa"/>
            <w:shd w:val="clear" w:color="auto" w:fill="00B0F0"/>
            <w:noWrap/>
            <w:vAlign w:val="bottom"/>
            <w:hideMark/>
          </w:tcPr>
          <w:p w:rsidR="00585016" w:rsidRDefault="00585016">
            <w:pPr>
              <w:jc w:val="center"/>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Model</w:t>
            </w:r>
          </w:p>
        </w:tc>
        <w:tc>
          <w:tcPr>
            <w:tcW w:w="1820" w:type="dxa"/>
            <w:shd w:val="clear" w:color="auto" w:fill="00B0F0"/>
            <w:noWrap/>
            <w:vAlign w:val="bottom"/>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R</w:t>
            </w:r>
          </w:p>
        </w:tc>
        <w:tc>
          <w:tcPr>
            <w:tcW w:w="1820" w:type="dxa"/>
            <w:shd w:val="clear" w:color="auto" w:fill="00B0F0"/>
            <w:noWrap/>
            <w:vAlign w:val="bottom"/>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R Square</w:t>
            </w:r>
          </w:p>
        </w:tc>
        <w:tc>
          <w:tcPr>
            <w:tcW w:w="1820" w:type="dxa"/>
            <w:shd w:val="clear" w:color="auto" w:fill="00B0F0"/>
            <w:noWrap/>
            <w:vAlign w:val="bottom"/>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Adjusted R Square</w:t>
            </w:r>
          </w:p>
        </w:tc>
        <w:tc>
          <w:tcPr>
            <w:tcW w:w="2400" w:type="dxa"/>
            <w:shd w:val="clear" w:color="auto" w:fill="00B0F0"/>
            <w:noWrap/>
            <w:vAlign w:val="bottom"/>
            <w:hideMark/>
          </w:tcPr>
          <w:p w:rsidR="00585016"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2"/>
                <w:sz w:val="20"/>
                <w:szCs w:val="20"/>
                <w:lang w:val="en-US" w:eastAsia="nl-NL"/>
              </w:rPr>
            </w:pPr>
            <w:r>
              <w:rPr>
                <w:rFonts w:ascii="Arial" w:eastAsia="Times New Roman" w:hAnsi="Arial" w:cs="Arial"/>
                <w:color w:val="FFFFFF" w:themeColor="background2"/>
                <w:sz w:val="20"/>
                <w:szCs w:val="20"/>
                <w:lang w:val="en-US" w:eastAsia="nl-NL"/>
              </w:rPr>
              <w:t>Std. Error of the Estimate</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00" w:type="dxa"/>
            <w:shd w:val="clear" w:color="auto" w:fill="0070C0"/>
            <w:noWrap/>
            <w:vAlign w:val="bottom"/>
            <w:hideMark/>
          </w:tcPr>
          <w:p w:rsidR="00585016" w:rsidRDefault="00585016">
            <w:pPr>
              <w:jc w:val="center"/>
              <w:rPr>
                <w:rFonts w:ascii="Arial" w:eastAsia="Times New Roman" w:hAnsi="Arial" w:cs="Arial"/>
                <w:bCs/>
                <w:color w:val="FFFFFF" w:themeColor="background2"/>
                <w:sz w:val="20"/>
                <w:szCs w:val="20"/>
                <w:lang w:val="en-US" w:eastAsia="nl-NL"/>
              </w:rPr>
            </w:pPr>
            <w:r>
              <w:rPr>
                <w:rFonts w:ascii="Arial" w:eastAsia="Times New Roman" w:hAnsi="Arial" w:cs="Arial"/>
                <w:bCs/>
                <w:color w:val="FFFFFF" w:themeColor="background2"/>
                <w:sz w:val="20"/>
                <w:szCs w:val="20"/>
                <w:lang w:val="en-US" w:eastAsia="nl-NL"/>
              </w:rPr>
              <w:t>2007</w:t>
            </w:r>
          </w:p>
        </w:tc>
        <w:tc>
          <w:tcPr>
            <w:tcW w:w="1820" w:type="dxa"/>
            <w:shd w:val="clear" w:color="auto" w:fill="FFFFFF" w:themeFill="background1"/>
            <w:noWrap/>
            <w:vAlign w:val="bottom"/>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33,8%</w:t>
            </w:r>
          </w:p>
        </w:tc>
        <w:tc>
          <w:tcPr>
            <w:tcW w:w="1820" w:type="dxa"/>
            <w:shd w:val="clear" w:color="auto" w:fill="FFFFFF" w:themeFill="background1"/>
            <w:noWrap/>
            <w:vAlign w:val="bottom"/>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11,4%</w:t>
            </w:r>
          </w:p>
        </w:tc>
        <w:tc>
          <w:tcPr>
            <w:tcW w:w="1820" w:type="dxa"/>
            <w:shd w:val="clear" w:color="auto" w:fill="FFFFFF" w:themeFill="background1"/>
            <w:noWrap/>
            <w:vAlign w:val="bottom"/>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10,6%</w:t>
            </w:r>
          </w:p>
        </w:tc>
        <w:tc>
          <w:tcPr>
            <w:tcW w:w="2400" w:type="dxa"/>
            <w:shd w:val="clear" w:color="auto" w:fill="FFFFFF" w:themeFill="background1"/>
            <w:noWrap/>
            <w:vAlign w:val="bottom"/>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0,021</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000" w:type="dxa"/>
            <w:tcBorders>
              <w:top w:val="nil"/>
            </w:tcBorders>
            <w:shd w:val="clear" w:color="auto" w:fill="0070C0"/>
            <w:noWrap/>
            <w:vAlign w:val="bottom"/>
            <w:hideMark/>
          </w:tcPr>
          <w:p w:rsidR="00585016" w:rsidRDefault="00585016">
            <w:pPr>
              <w:jc w:val="center"/>
              <w:rPr>
                <w:rFonts w:ascii="Arial" w:eastAsia="Times New Roman" w:hAnsi="Arial" w:cs="Arial"/>
                <w:bCs/>
                <w:color w:val="FFFFFF" w:themeColor="background2"/>
                <w:sz w:val="20"/>
                <w:szCs w:val="20"/>
                <w:lang w:val="en-US" w:eastAsia="nl-NL"/>
              </w:rPr>
            </w:pPr>
            <w:r>
              <w:rPr>
                <w:rFonts w:ascii="Arial" w:eastAsia="Times New Roman" w:hAnsi="Arial" w:cs="Arial"/>
                <w:bCs/>
                <w:color w:val="FFFFFF" w:themeColor="background2"/>
                <w:sz w:val="20"/>
                <w:szCs w:val="20"/>
                <w:lang w:val="en-US" w:eastAsia="nl-NL"/>
              </w:rPr>
              <w:t>2009</w:t>
            </w:r>
          </w:p>
        </w:tc>
        <w:tc>
          <w:tcPr>
            <w:tcW w:w="1820" w:type="dxa"/>
            <w:shd w:val="clear" w:color="auto" w:fill="FFFFFF" w:themeFill="background1"/>
            <w:noWrap/>
            <w:vAlign w:val="bottom"/>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31,8%</w:t>
            </w:r>
          </w:p>
        </w:tc>
        <w:tc>
          <w:tcPr>
            <w:tcW w:w="1820" w:type="dxa"/>
            <w:shd w:val="clear" w:color="auto" w:fill="FFFFFF" w:themeFill="background1"/>
            <w:noWrap/>
            <w:vAlign w:val="bottom"/>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10,1%</w:t>
            </w:r>
          </w:p>
        </w:tc>
        <w:tc>
          <w:tcPr>
            <w:tcW w:w="1820" w:type="dxa"/>
            <w:shd w:val="clear" w:color="auto" w:fill="FFFFFF" w:themeFill="background1"/>
            <w:noWrap/>
            <w:vAlign w:val="bottom"/>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9,4%</w:t>
            </w:r>
          </w:p>
        </w:tc>
        <w:tc>
          <w:tcPr>
            <w:tcW w:w="2400" w:type="dxa"/>
            <w:shd w:val="clear" w:color="auto" w:fill="FFFFFF" w:themeFill="background1"/>
            <w:noWrap/>
            <w:vAlign w:val="bottom"/>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0,024</w:t>
            </w:r>
          </w:p>
        </w:tc>
      </w:tr>
      <w:tr w:rsidR="00585016" w:rsidRP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60" w:type="dxa"/>
            <w:gridSpan w:val="5"/>
            <w:shd w:val="clear" w:color="auto" w:fill="FFFFFF" w:themeFill="background1"/>
            <w:noWrap/>
            <w:hideMark/>
          </w:tcPr>
          <w:p w:rsidR="00585016" w:rsidRDefault="00585016">
            <w:pPr>
              <w:rPr>
                <w:rFonts w:ascii="Arial" w:eastAsia="Times New Roman" w:hAnsi="Arial" w:cs="Arial"/>
                <w:color w:val="000000"/>
                <w:sz w:val="20"/>
                <w:szCs w:val="20"/>
                <w:lang w:val="en-US" w:eastAsia="nl-NL"/>
              </w:rPr>
            </w:pPr>
            <w:r>
              <w:rPr>
                <w:rFonts w:ascii="Arial" w:eastAsia="Times New Roman" w:hAnsi="Arial" w:cs="Arial"/>
                <w:color w:val="000000"/>
                <w:sz w:val="20"/>
                <w:szCs w:val="20"/>
                <w:lang w:val="en-US" w:eastAsia="nl-NL"/>
              </w:rPr>
              <w:t xml:space="preserve">a Predictors: (Constant), </w:t>
            </w:r>
            <w:proofErr w:type="spellStart"/>
            <w:r>
              <w:rPr>
                <w:rFonts w:ascii="Arial" w:eastAsia="Times New Roman" w:hAnsi="Arial" w:cs="Arial"/>
                <w:color w:val="000000"/>
                <w:sz w:val="20"/>
                <w:szCs w:val="20"/>
                <w:lang w:val="en-US" w:eastAsia="nl-NL"/>
              </w:rPr>
              <w:t>IncSmooth</w:t>
            </w:r>
            <w:proofErr w:type="spellEnd"/>
            <w:r>
              <w:rPr>
                <w:rFonts w:ascii="Arial" w:eastAsia="Times New Roman" w:hAnsi="Arial" w:cs="Arial"/>
                <w:color w:val="000000"/>
                <w:sz w:val="20"/>
                <w:szCs w:val="20"/>
                <w:lang w:val="en-US" w:eastAsia="nl-NL"/>
              </w:rPr>
              <w:t xml:space="preserve">, GW, CFO, SALES, SIZE, ROA, </w:t>
            </w:r>
            <w:proofErr w:type="spellStart"/>
            <w:r>
              <w:rPr>
                <w:rFonts w:ascii="Arial" w:eastAsia="Times New Roman" w:hAnsi="Arial" w:cs="Arial"/>
                <w:color w:val="000000"/>
                <w:sz w:val="20"/>
                <w:szCs w:val="20"/>
                <w:lang w:val="en-US" w:eastAsia="nl-NL"/>
              </w:rPr>
              <w:t>BigBath</w:t>
            </w:r>
            <w:proofErr w:type="spellEnd"/>
          </w:p>
        </w:tc>
      </w:tr>
    </w:tbl>
    <w:p w:rsidR="00585016" w:rsidRDefault="00585016" w:rsidP="00585016">
      <w:pPr>
        <w:rPr>
          <w:rFonts w:ascii="Verdana" w:hAnsi="Verdana"/>
          <w:b/>
          <w:u w:val="single"/>
          <w:lang w:val="en-US"/>
        </w:rPr>
      </w:pPr>
    </w:p>
    <w:p w:rsidR="00585016" w:rsidRDefault="00585016" w:rsidP="00585016">
      <w:pPr>
        <w:rPr>
          <w:rFonts w:ascii="Verdana" w:hAnsi="Verdana"/>
          <w:lang w:val="en-US"/>
        </w:rPr>
      </w:pPr>
      <w:r>
        <w:rPr>
          <w:rFonts w:ascii="Verdana" w:hAnsi="Verdana"/>
          <w:lang w:val="en-US"/>
        </w:rPr>
        <w:lastRenderedPageBreak/>
        <w:t xml:space="preserve">This however decreases the significance of the variables </w:t>
      </w:r>
      <w:proofErr w:type="spellStart"/>
      <w:r>
        <w:rPr>
          <w:rFonts w:ascii="Verdana" w:hAnsi="Verdana"/>
          <w:i/>
          <w:lang w:val="en-US"/>
        </w:rPr>
        <w:t>BigBath</w:t>
      </w:r>
      <w:r>
        <w:rPr>
          <w:rFonts w:ascii="Verdana" w:hAnsi="Verdana"/>
          <w:i/>
          <w:vertAlign w:val="subscript"/>
          <w:lang w:val="en-US"/>
        </w:rPr>
        <w:t>it</w:t>
      </w:r>
      <w:proofErr w:type="spellEnd"/>
      <w:r>
        <w:rPr>
          <w:rFonts w:ascii="Verdana" w:hAnsi="Verdana"/>
          <w:i/>
          <w:lang w:val="en-US"/>
        </w:rPr>
        <w:t xml:space="preserve"> </w:t>
      </w:r>
      <w:r>
        <w:rPr>
          <w:rFonts w:ascii="Verdana" w:hAnsi="Verdana"/>
          <w:lang w:val="en-US"/>
        </w:rPr>
        <w:t>and</w:t>
      </w:r>
      <w:r>
        <w:rPr>
          <w:rFonts w:ascii="Verdana" w:hAnsi="Verdana"/>
          <w:i/>
          <w:lang w:val="en-US"/>
        </w:rPr>
        <w:t xml:space="preserve">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w:t>
      </w:r>
      <w:r w:rsidR="00F254F5">
        <w:rPr>
          <w:rFonts w:ascii="Verdana" w:hAnsi="Verdana"/>
          <w:lang w:val="en-US"/>
        </w:rPr>
        <w:t>significantly. Seen as these are the variables that are investigated t</w:t>
      </w:r>
      <w:r>
        <w:rPr>
          <w:rFonts w:ascii="Verdana" w:hAnsi="Verdana"/>
          <w:lang w:val="en-US"/>
        </w:rPr>
        <w:t xml:space="preserve">he dependent </w:t>
      </w:r>
      <w:proofErr w:type="spellStart"/>
      <w:r>
        <w:rPr>
          <w:rFonts w:ascii="Verdana" w:hAnsi="Verdana"/>
          <w:i/>
          <w:lang w:val="en-US"/>
        </w:rPr>
        <w:t>IMP</w:t>
      </w:r>
      <w:r>
        <w:rPr>
          <w:rFonts w:ascii="Verdana" w:hAnsi="Verdana"/>
          <w:i/>
          <w:vertAlign w:val="subscript"/>
          <w:lang w:val="en-US"/>
        </w:rPr>
        <w:t>it</w:t>
      </w:r>
      <w:proofErr w:type="spellEnd"/>
      <w:r>
        <w:rPr>
          <w:rFonts w:ascii="Verdana" w:hAnsi="Verdana"/>
          <w:lang w:val="en-US"/>
        </w:rPr>
        <w:t xml:space="preserve"> will not be changed and will stay a dummy variable.  </w:t>
      </w:r>
    </w:p>
    <w:p w:rsidR="006A5A37" w:rsidRDefault="00585016" w:rsidP="00585016">
      <w:pPr>
        <w:rPr>
          <w:rFonts w:ascii="Verdana" w:hAnsi="Verdana"/>
          <w:lang w:val="en-US"/>
        </w:rPr>
      </w:pPr>
      <w:r>
        <w:rPr>
          <w:rFonts w:ascii="Verdana" w:hAnsi="Verdana"/>
          <w:lang w:val="en-US"/>
        </w:rPr>
        <w:t xml:space="preserve">For the part that is explained by the variables, it is important to test if this predictable power is significant. This means that a significant proportion of the variability in </w:t>
      </w:r>
      <w:proofErr w:type="spellStart"/>
      <w:r>
        <w:rPr>
          <w:rFonts w:ascii="Verdana" w:hAnsi="Verdana"/>
          <w:i/>
          <w:lang w:val="en-US"/>
        </w:rPr>
        <w:t>IMP</w:t>
      </w:r>
      <w:r>
        <w:rPr>
          <w:rFonts w:ascii="Verdana" w:hAnsi="Verdana"/>
          <w:i/>
          <w:vertAlign w:val="subscript"/>
          <w:lang w:val="en-US"/>
        </w:rPr>
        <w:t>it</w:t>
      </w:r>
      <w:proofErr w:type="spellEnd"/>
      <w:r>
        <w:rPr>
          <w:rFonts w:ascii="Verdana" w:hAnsi="Verdana"/>
          <w:lang w:val="en-US"/>
        </w:rPr>
        <w:t xml:space="preserve"> can be predicted by the independent variables. This can be tested by running the ANOVA table.</w:t>
      </w:r>
      <w:r w:rsidR="006A5A37">
        <w:rPr>
          <w:rFonts w:ascii="Verdana" w:hAnsi="Verdana"/>
          <w:lang w:val="en-US"/>
        </w:rPr>
        <w:t xml:space="preserve"> See table</w:t>
      </w:r>
      <w:r w:rsidR="006A33EB">
        <w:rPr>
          <w:rFonts w:ascii="Verdana" w:hAnsi="Verdana"/>
          <w:lang w:val="en-US"/>
        </w:rPr>
        <w:t xml:space="preserve"> 6.8</w:t>
      </w:r>
      <w:r w:rsidR="006A5A37">
        <w:rPr>
          <w:rFonts w:ascii="Verdana" w:hAnsi="Verdana"/>
          <w:lang w:val="en-US"/>
        </w:rPr>
        <w:t>:</w:t>
      </w:r>
    </w:p>
    <w:p w:rsidR="006A5A37" w:rsidRPr="006A5A37" w:rsidRDefault="006A5A37" w:rsidP="006A5A37">
      <w:pPr>
        <w:rPr>
          <w:rFonts w:ascii="Arial" w:eastAsia="Times New Roman" w:hAnsi="Arial" w:cs="Arial"/>
          <w:b/>
          <w:bCs/>
          <w:color w:val="FFFFFF" w:themeColor="background2"/>
          <w:sz w:val="20"/>
          <w:szCs w:val="20"/>
          <w:lang w:val="en-US" w:eastAsia="nl-NL"/>
        </w:rPr>
      </w:pPr>
      <w:r>
        <w:rPr>
          <w:rFonts w:ascii="Verdana" w:hAnsi="Verdana"/>
          <w:i/>
          <w:lang w:val="en-US"/>
        </w:rPr>
        <w:br/>
        <w:t xml:space="preserve">Table </w:t>
      </w:r>
      <w:r w:rsidR="006A33EB">
        <w:rPr>
          <w:rFonts w:ascii="Verdana" w:hAnsi="Verdana"/>
          <w:i/>
          <w:lang w:val="en-US"/>
        </w:rPr>
        <w:t>6.8</w:t>
      </w:r>
      <w:r>
        <w:rPr>
          <w:rFonts w:ascii="Verdana" w:hAnsi="Verdana"/>
          <w:i/>
          <w:lang w:val="en-US"/>
        </w:rPr>
        <w:t xml:space="preserve"> </w:t>
      </w:r>
      <w:proofErr w:type="spellStart"/>
      <w:r>
        <w:rPr>
          <w:rFonts w:ascii="Verdana" w:hAnsi="Verdana"/>
          <w:i/>
          <w:lang w:val="en-US"/>
        </w:rPr>
        <w:t>Anova</w:t>
      </w:r>
      <w:proofErr w:type="spellEnd"/>
      <w:r>
        <w:rPr>
          <w:rFonts w:ascii="Verdana" w:hAnsi="Verdana"/>
          <w:i/>
          <w:lang w:val="en-US"/>
        </w:rPr>
        <w:t xml:space="preserve"> 2007 and 2009</w:t>
      </w:r>
    </w:p>
    <w:tbl>
      <w:tblPr>
        <w:tblStyle w:val="DarkList1"/>
        <w:tblW w:w="8825" w:type="dxa"/>
        <w:tblLook w:val="04A0" w:firstRow="1" w:lastRow="0" w:firstColumn="1" w:lastColumn="0" w:noHBand="0" w:noVBand="1"/>
      </w:tblPr>
      <w:tblGrid>
        <w:gridCol w:w="1960"/>
        <w:gridCol w:w="1834"/>
        <w:gridCol w:w="850"/>
        <w:gridCol w:w="1560"/>
        <w:gridCol w:w="708"/>
        <w:gridCol w:w="1913"/>
      </w:tblGrid>
      <w:tr w:rsidR="006A5A37" w:rsidTr="006A5A3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B0F0"/>
            <w:noWrap/>
            <w:hideMark/>
          </w:tcPr>
          <w:p w:rsidR="006A5A37" w:rsidRDefault="006A5A37" w:rsidP="009B7C3F">
            <w:pPr>
              <w:rPr>
                <w:color w:val="FFFFFF" w:themeColor="background1"/>
              </w:rPr>
            </w:pPr>
          </w:p>
        </w:tc>
        <w:tc>
          <w:tcPr>
            <w:tcW w:w="1834" w:type="dxa"/>
            <w:shd w:val="clear" w:color="auto" w:fill="00B0F0"/>
            <w:noWrap/>
            <w:vAlign w:val="center"/>
            <w:hideMark/>
          </w:tcPr>
          <w:p w:rsidR="006A5A37" w:rsidRPr="006A5A37" w:rsidRDefault="006A5A37" w:rsidP="006A5A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A5A37">
              <w:rPr>
                <w:rFonts w:ascii="Arial" w:hAnsi="Arial" w:cs="Arial"/>
                <w:color w:val="FFFFFF" w:themeColor="background1"/>
                <w:sz w:val="20"/>
                <w:szCs w:val="20"/>
              </w:rPr>
              <w:t>Sum of Squares</w:t>
            </w:r>
          </w:p>
        </w:tc>
        <w:tc>
          <w:tcPr>
            <w:tcW w:w="850" w:type="dxa"/>
            <w:shd w:val="clear" w:color="auto" w:fill="00B0F0"/>
            <w:noWrap/>
            <w:vAlign w:val="center"/>
            <w:hideMark/>
          </w:tcPr>
          <w:p w:rsidR="006A5A37" w:rsidRPr="006A5A37" w:rsidRDefault="006A5A37" w:rsidP="006A5A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6A5A37">
              <w:rPr>
                <w:rFonts w:ascii="Arial" w:hAnsi="Arial" w:cs="Arial"/>
                <w:color w:val="FFFFFF" w:themeColor="background1"/>
                <w:sz w:val="20"/>
                <w:szCs w:val="20"/>
              </w:rPr>
              <w:t>df</w:t>
            </w:r>
            <w:proofErr w:type="spellEnd"/>
          </w:p>
        </w:tc>
        <w:tc>
          <w:tcPr>
            <w:tcW w:w="1560" w:type="dxa"/>
            <w:shd w:val="clear" w:color="auto" w:fill="00B0F0"/>
            <w:noWrap/>
            <w:vAlign w:val="center"/>
            <w:hideMark/>
          </w:tcPr>
          <w:p w:rsidR="006A5A37" w:rsidRPr="006A5A37" w:rsidRDefault="006A5A37" w:rsidP="006A5A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A5A37">
              <w:rPr>
                <w:rFonts w:ascii="Arial" w:hAnsi="Arial" w:cs="Arial"/>
                <w:color w:val="FFFFFF" w:themeColor="background1"/>
                <w:sz w:val="20"/>
                <w:szCs w:val="20"/>
              </w:rPr>
              <w:t>Mean Square</w:t>
            </w:r>
          </w:p>
        </w:tc>
        <w:tc>
          <w:tcPr>
            <w:tcW w:w="708" w:type="dxa"/>
            <w:shd w:val="clear" w:color="auto" w:fill="00B0F0"/>
            <w:noWrap/>
            <w:vAlign w:val="center"/>
            <w:hideMark/>
          </w:tcPr>
          <w:p w:rsidR="006A5A37" w:rsidRPr="006A5A37" w:rsidRDefault="006A5A37" w:rsidP="006A5A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A5A37">
              <w:rPr>
                <w:rFonts w:ascii="Arial" w:hAnsi="Arial" w:cs="Arial"/>
                <w:color w:val="FFFFFF" w:themeColor="background1"/>
                <w:sz w:val="20"/>
                <w:szCs w:val="20"/>
              </w:rPr>
              <w:t>F</w:t>
            </w:r>
          </w:p>
        </w:tc>
        <w:tc>
          <w:tcPr>
            <w:tcW w:w="1913" w:type="dxa"/>
            <w:shd w:val="clear" w:color="auto" w:fill="00B0F0"/>
            <w:noWrap/>
            <w:vAlign w:val="center"/>
            <w:hideMark/>
          </w:tcPr>
          <w:p w:rsidR="006A5A37" w:rsidRPr="006A5A37" w:rsidRDefault="006A5A37" w:rsidP="006A5A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A5A37">
              <w:rPr>
                <w:rFonts w:ascii="Arial" w:hAnsi="Arial" w:cs="Arial"/>
                <w:color w:val="FFFFFF" w:themeColor="background1"/>
                <w:sz w:val="20"/>
                <w:szCs w:val="20"/>
              </w:rPr>
              <w:t>Sig.</w:t>
            </w:r>
          </w:p>
        </w:tc>
      </w:tr>
      <w:tr w:rsidR="006A5A37" w:rsidTr="006A5A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vAlign w:val="bottom"/>
          </w:tcPr>
          <w:p w:rsidR="006A5A37" w:rsidRPr="006A5A37" w:rsidRDefault="006A5A37">
            <w:pPr>
              <w:rPr>
                <w:rFonts w:ascii="Arial" w:hAnsi="Arial" w:cs="Arial"/>
                <w:b/>
                <w:color w:val="FFFFFF" w:themeColor="background1"/>
                <w:sz w:val="20"/>
                <w:szCs w:val="20"/>
              </w:rPr>
            </w:pPr>
            <w:r w:rsidRPr="006A5A37">
              <w:rPr>
                <w:rFonts w:ascii="Arial" w:hAnsi="Arial" w:cs="Arial"/>
                <w:b/>
                <w:color w:val="FFFFFF" w:themeColor="background1"/>
                <w:sz w:val="20"/>
                <w:szCs w:val="20"/>
              </w:rPr>
              <w:t>2007</w:t>
            </w:r>
          </w:p>
        </w:tc>
        <w:tc>
          <w:tcPr>
            <w:tcW w:w="1834"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85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56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08"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13"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6A5A37" w:rsidTr="006A5A37">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vAlign w:val="bottom"/>
          </w:tcPr>
          <w:p w:rsidR="006A5A37" w:rsidRPr="006A5A37" w:rsidRDefault="006A5A37" w:rsidP="009B7C3F">
            <w:pPr>
              <w:rPr>
                <w:rFonts w:ascii="Arial" w:hAnsi="Arial" w:cs="Arial"/>
                <w:color w:val="FFFFFF" w:themeColor="background1"/>
                <w:sz w:val="20"/>
                <w:szCs w:val="20"/>
              </w:rPr>
            </w:pPr>
            <w:r w:rsidRPr="006A5A37">
              <w:rPr>
                <w:rFonts w:ascii="Arial" w:hAnsi="Arial" w:cs="Arial"/>
                <w:color w:val="FFFFFF" w:themeColor="background1"/>
                <w:sz w:val="20"/>
                <w:szCs w:val="20"/>
              </w:rPr>
              <w:t>Regression</w:t>
            </w:r>
          </w:p>
        </w:tc>
        <w:tc>
          <w:tcPr>
            <w:tcW w:w="1834"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7,08</w:t>
            </w:r>
          </w:p>
        </w:tc>
        <w:tc>
          <w:tcPr>
            <w:tcW w:w="85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w:t>
            </w:r>
          </w:p>
        </w:tc>
        <w:tc>
          <w:tcPr>
            <w:tcW w:w="156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1,01</w:t>
            </w:r>
          </w:p>
        </w:tc>
        <w:tc>
          <w:tcPr>
            <w:tcW w:w="708"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7,56</w:t>
            </w:r>
          </w:p>
        </w:tc>
        <w:tc>
          <w:tcPr>
            <w:tcW w:w="1913"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r>
      <w:tr w:rsidR="006A5A37" w:rsidTr="006A5A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vAlign w:val="bottom"/>
          </w:tcPr>
          <w:p w:rsidR="006A5A37" w:rsidRPr="006A5A37" w:rsidRDefault="006A5A37" w:rsidP="009B7C3F">
            <w:pPr>
              <w:rPr>
                <w:rFonts w:ascii="Arial" w:hAnsi="Arial" w:cs="Arial"/>
                <w:color w:val="FFFFFF" w:themeColor="background1"/>
                <w:sz w:val="20"/>
                <w:szCs w:val="20"/>
              </w:rPr>
            </w:pPr>
            <w:r w:rsidRPr="006A5A37">
              <w:rPr>
                <w:rFonts w:ascii="Arial" w:hAnsi="Arial" w:cs="Arial"/>
                <w:color w:val="FFFFFF" w:themeColor="background1"/>
                <w:sz w:val="20"/>
                <w:szCs w:val="20"/>
              </w:rPr>
              <w:t>Residual</w:t>
            </w:r>
          </w:p>
        </w:tc>
        <w:tc>
          <w:tcPr>
            <w:tcW w:w="1834"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101,55</w:t>
            </w:r>
          </w:p>
        </w:tc>
        <w:tc>
          <w:tcPr>
            <w:tcW w:w="85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759</w:t>
            </w:r>
          </w:p>
        </w:tc>
        <w:tc>
          <w:tcPr>
            <w:tcW w:w="156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w:t>
            </w:r>
          </w:p>
        </w:tc>
        <w:tc>
          <w:tcPr>
            <w:tcW w:w="708"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13"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6A5A37" w:rsidTr="006A5A37">
        <w:trPr>
          <w:trHeight w:val="255"/>
        </w:trPr>
        <w:tc>
          <w:tcPr>
            <w:cnfStyle w:val="001000000000" w:firstRow="0" w:lastRow="0" w:firstColumn="1" w:lastColumn="0" w:oddVBand="0" w:evenVBand="0" w:oddHBand="0" w:evenHBand="0" w:firstRowFirstColumn="0" w:firstRowLastColumn="0" w:lastRowFirstColumn="0" w:lastRowLastColumn="0"/>
            <w:tcW w:w="1960" w:type="dxa"/>
            <w:tcBorders>
              <w:top w:val="nil"/>
            </w:tcBorders>
            <w:shd w:val="clear" w:color="auto" w:fill="0070C0"/>
            <w:noWrap/>
            <w:vAlign w:val="bottom"/>
          </w:tcPr>
          <w:p w:rsidR="006A5A37" w:rsidRPr="006A5A37" w:rsidRDefault="006A5A37" w:rsidP="009B7C3F">
            <w:pPr>
              <w:rPr>
                <w:rFonts w:ascii="Arial" w:hAnsi="Arial" w:cs="Arial"/>
                <w:color w:val="FFFFFF" w:themeColor="background1"/>
                <w:sz w:val="20"/>
                <w:szCs w:val="20"/>
              </w:rPr>
            </w:pPr>
            <w:r w:rsidRPr="006A5A37">
              <w:rPr>
                <w:rFonts w:ascii="Arial" w:hAnsi="Arial" w:cs="Arial"/>
                <w:color w:val="FFFFFF" w:themeColor="background1"/>
                <w:sz w:val="20"/>
                <w:szCs w:val="20"/>
              </w:rPr>
              <w:t>Total</w:t>
            </w:r>
          </w:p>
        </w:tc>
        <w:tc>
          <w:tcPr>
            <w:tcW w:w="1834"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108,63</w:t>
            </w:r>
          </w:p>
        </w:tc>
        <w:tc>
          <w:tcPr>
            <w:tcW w:w="85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766</w:t>
            </w:r>
          </w:p>
        </w:tc>
        <w:tc>
          <w:tcPr>
            <w:tcW w:w="156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708"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13"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A5A37" w:rsidRPr="006A5A37" w:rsidTr="006A5A3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tcPr>
          <w:p w:rsidR="006A5A37" w:rsidRPr="006A5A37" w:rsidRDefault="006A5A37" w:rsidP="009B7C3F">
            <w:pPr>
              <w:rPr>
                <w:rFonts w:ascii="Arial" w:eastAsia="Times New Roman" w:hAnsi="Arial" w:cs="Arial"/>
                <w:b/>
                <w:color w:val="FFFFFF" w:themeColor="background2"/>
                <w:sz w:val="16"/>
                <w:szCs w:val="16"/>
                <w:lang w:val="nl-NL" w:eastAsia="nl-NL"/>
              </w:rPr>
            </w:pPr>
          </w:p>
        </w:tc>
        <w:tc>
          <w:tcPr>
            <w:tcW w:w="1834" w:type="dxa"/>
            <w:shd w:val="clear" w:color="auto" w:fill="FFFFFF" w:themeFill="background1"/>
            <w:noWrap/>
            <w:vAlign w:val="center"/>
          </w:tcPr>
          <w:p w:rsidR="006A5A37" w:rsidRP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nl-NL" w:eastAsia="nl-NL"/>
              </w:rPr>
            </w:pPr>
          </w:p>
        </w:tc>
        <w:tc>
          <w:tcPr>
            <w:tcW w:w="850" w:type="dxa"/>
            <w:shd w:val="clear" w:color="auto" w:fill="FFFFFF" w:themeFill="background1"/>
            <w:noWrap/>
            <w:vAlign w:val="center"/>
          </w:tcPr>
          <w:p w:rsidR="006A5A37" w:rsidRP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nl-NL" w:eastAsia="nl-NL"/>
              </w:rPr>
            </w:pPr>
          </w:p>
        </w:tc>
        <w:tc>
          <w:tcPr>
            <w:tcW w:w="1560" w:type="dxa"/>
            <w:shd w:val="clear" w:color="auto" w:fill="FFFFFF" w:themeFill="background1"/>
            <w:noWrap/>
            <w:vAlign w:val="center"/>
          </w:tcPr>
          <w:p w:rsidR="006A5A37" w:rsidRP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nl-NL" w:eastAsia="nl-NL"/>
              </w:rPr>
            </w:pPr>
          </w:p>
        </w:tc>
        <w:tc>
          <w:tcPr>
            <w:tcW w:w="708" w:type="dxa"/>
            <w:shd w:val="clear" w:color="auto" w:fill="FFFFFF" w:themeFill="background1"/>
            <w:noWrap/>
            <w:vAlign w:val="center"/>
          </w:tcPr>
          <w:p w:rsidR="006A5A37" w:rsidRP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nl-NL" w:eastAsia="nl-NL"/>
              </w:rPr>
            </w:pPr>
          </w:p>
        </w:tc>
        <w:tc>
          <w:tcPr>
            <w:tcW w:w="1913" w:type="dxa"/>
            <w:shd w:val="clear" w:color="auto" w:fill="FFFFFF" w:themeFill="background1"/>
            <w:noWrap/>
            <w:vAlign w:val="center"/>
          </w:tcPr>
          <w:p w:rsidR="006A5A37" w:rsidRP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nl-NL" w:eastAsia="nl-NL"/>
              </w:rPr>
            </w:pPr>
          </w:p>
        </w:tc>
      </w:tr>
      <w:tr w:rsidR="006A5A37" w:rsidTr="006A5A37">
        <w:trPr>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tcPr>
          <w:p w:rsidR="006A5A37" w:rsidRPr="006A5A37" w:rsidRDefault="006A5A37" w:rsidP="009B7C3F">
            <w:pPr>
              <w:rPr>
                <w:rFonts w:ascii="Arial" w:eastAsia="Times New Roman" w:hAnsi="Arial" w:cs="Arial"/>
                <w:b/>
                <w:color w:val="FFFFFF" w:themeColor="background2"/>
                <w:sz w:val="20"/>
                <w:szCs w:val="20"/>
                <w:lang w:val="nl-NL" w:eastAsia="nl-NL"/>
              </w:rPr>
            </w:pPr>
            <w:r w:rsidRPr="006A5A37">
              <w:rPr>
                <w:rFonts w:ascii="Arial" w:eastAsia="Times New Roman" w:hAnsi="Arial" w:cs="Arial"/>
                <w:b/>
                <w:color w:val="FFFFFF" w:themeColor="background2"/>
                <w:sz w:val="20"/>
                <w:szCs w:val="20"/>
                <w:lang w:val="nl-NL" w:eastAsia="nl-NL"/>
              </w:rPr>
              <w:t>2009</w:t>
            </w:r>
          </w:p>
        </w:tc>
        <w:tc>
          <w:tcPr>
            <w:tcW w:w="1834"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85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156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708"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1913"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r>
      <w:tr w:rsidR="006A5A37" w:rsidTr="006A5A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vAlign w:val="bottom"/>
          </w:tcPr>
          <w:p w:rsidR="006A5A37" w:rsidRPr="006A5A37" w:rsidRDefault="006A5A37">
            <w:pPr>
              <w:rPr>
                <w:rFonts w:ascii="Arial" w:hAnsi="Arial" w:cs="Arial"/>
                <w:color w:val="FFFFFF" w:themeColor="background1"/>
                <w:sz w:val="20"/>
                <w:szCs w:val="20"/>
              </w:rPr>
            </w:pPr>
            <w:r w:rsidRPr="006A5A37">
              <w:rPr>
                <w:rFonts w:ascii="Arial" w:hAnsi="Arial" w:cs="Arial"/>
                <w:color w:val="FFFFFF" w:themeColor="background1"/>
                <w:sz w:val="20"/>
                <w:szCs w:val="20"/>
              </w:rPr>
              <w:t>Regression</w:t>
            </w:r>
          </w:p>
        </w:tc>
        <w:tc>
          <w:tcPr>
            <w:tcW w:w="1834"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4,95</w:t>
            </w:r>
          </w:p>
        </w:tc>
        <w:tc>
          <w:tcPr>
            <w:tcW w:w="85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w:t>
            </w:r>
          </w:p>
        </w:tc>
        <w:tc>
          <w:tcPr>
            <w:tcW w:w="156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w:t>
            </w:r>
          </w:p>
        </w:tc>
        <w:tc>
          <w:tcPr>
            <w:tcW w:w="708"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4,29</w:t>
            </w:r>
          </w:p>
        </w:tc>
        <w:tc>
          <w:tcPr>
            <w:tcW w:w="1913"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r>
      <w:tr w:rsidR="006A5A37" w:rsidTr="006A5A37">
        <w:trPr>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vAlign w:val="bottom"/>
          </w:tcPr>
          <w:p w:rsidR="006A5A37" w:rsidRPr="006A5A37" w:rsidRDefault="006A5A37">
            <w:pPr>
              <w:rPr>
                <w:rFonts w:ascii="Arial" w:hAnsi="Arial" w:cs="Arial"/>
                <w:color w:val="FFFFFF" w:themeColor="background1"/>
                <w:sz w:val="20"/>
                <w:szCs w:val="20"/>
              </w:rPr>
            </w:pPr>
            <w:r w:rsidRPr="006A5A37">
              <w:rPr>
                <w:rFonts w:ascii="Arial" w:hAnsi="Arial" w:cs="Arial"/>
                <w:color w:val="FFFFFF" w:themeColor="background1"/>
                <w:sz w:val="20"/>
                <w:szCs w:val="20"/>
              </w:rPr>
              <w:t>Residual</w:t>
            </w:r>
          </w:p>
        </w:tc>
        <w:tc>
          <w:tcPr>
            <w:tcW w:w="1834"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134,69</w:t>
            </w:r>
          </w:p>
        </w:tc>
        <w:tc>
          <w:tcPr>
            <w:tcW w:w="85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818</w:t>
            </w:r>
          </w:p>
        </w:tc>
        <w:tc>
          <w:tcPr>
            <w:tcW w:w="1560"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w:t>
            </w:r>
          </w:p>
        </w:tc>
        <w:tc>
          <w:tcPr>
            <w:tcW w:w="708"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913" w:type="dxa"/>
            <w:shd w:val="clear" w:color="auto" w:fill="FFFFFF" w:themeFill="background1"/>
            <w:noWrap/>
            <w:vAlign w:val="center"/>
          </w:tcPr>
          <w:p w:rsidR="006A5A37" w:rsidRDefault="006A5A37" w:rsidP="006A5A3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6A5A37" w:rsidTr="006A5A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60" w:type="dxa"/>
            <w:shd w:val="clear" w:color="auto" w:fill="0070C0"/>
            <w:noWrap/>
            <w:vAlign w:val="bottom"/>
          </w:tcPr>
          <w:p w:rsidR="006A5A37" w:rsidRPr="006A5A37" w:rsidRDefault="006A5A37">
            <w:pPr>
              <w:rPr>
                <w:rFonts w:ascii="Arial" w:hAnsi="Arial" w:cs="Arial"/>
                <w:color w:val="FFFFFF" w:themeColor="background1"/>
                <w:sz w:val="20"/>
                <w:szCs w:val="20"/>
              </w:rPr>
            </w:pPr>
            <w:r w:rsidRPr="006A5A37">
              <w:rPr>
                <w:rFonts w:ascii="Arial" w:hAnsi="Arial" w:cs="Arial"/>
                <w:color w:val="FFFFFF" w:themeColor="background1"/>
                <w:sz w:val="20"/>
                <w:szCs w:val="20"/>
              </w:rPr>
              <w:t>Total</w:t>
            </w:r>
          </w:p>
        </w:tc>
        <w:tc>
          <w:tcPr>
            <w:tcW w:w="1834"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139,64</w:t>
            </w:r>
          </w:p>
        </w:tc>
        <w:tc>
          <w:tcPr>
            <w:tcW w:w="85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825</w:t>
            </w:r>
          </w:p>
        </w:tc>
        <w:tc>
          <w:tcPr>
            <w:tcW w:w="1560"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08"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913" w:type="dxa"/>
            <w:shd w:val="clear" w:color="auto" w:fill="FFFFFF" w:themeFill="background1"/>
            <w:noWrap/>
            <w:vAlign w:val="center"/>
          </w:tcPr>
          <w:p w:rsidR="006A5A37" w:rsidRDefault="006A5A37" w:rsidP="006A5A3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rsidR="006A5A37" w:rsidRPr="006A5A37" w:rsidRDefault="006A5A37" w:rsidP="006A5A37">
      <w:pPr>
        <w:spacing w:after="0" w:line="240" w:lineRule="auto"/>
        <w:rPr>
          <w:rFonts w:ascii="Arial" w:eastAsia="Times New Roman" w:hAnsi="Arial" w:cs="Arial"/>
          <w:color w:val="000000"/>
          <w:sz w:val="20"/>
          <w:szCs w:val="20"/>
          <w:lang w:val="en-US" w:eastAsia="nl-NL"/>
        </w:rPr>
      </w:pPr>
      <w:r w:rsidRPr="006A5A37">
        <w:rPr>
          <w:rFonts w:ascii="Arial" w:eastAsia="Times New Roman" w:hAnsi="Arial" w:cs="Arial"/>
          <w:color w:val="000000"/>
          <w:sz w:val="20"/>
          <w:szCs w:val="20"/>
          <w:lang w:val="en-US" w:eastAsia="nl-NL"/>
        </w:rPr>
        <w:t>a</w:t>
      </w:r>
      <w:r w:rsidRPr="006A5A37">
        <w:rPr>
          <w:rFonts w:ascii="Arial" w:eastAsia="Times New Roman" w:hAnsi="Arial" w:cs="Arial"/>
          <w:color w:val="000000"/>
          <w:sz w:val="20"/>
          <w:szCs w:val="20"/>
          <w:lang w:val="en-US" w:eastAsia="nl-NL"/>
        </w:rPr>
        <w:tab/>
        <w:t xml:space="preserve">Predictors: (Constant), </w:t>
      </w:r>
      <w:proofErr w:type="spellStart"/>
      <w:r w:rsidRPr="006A5A37">
        <w:rPr>
          <w:rFonts w:ascii="Arial" w:eastAsia="Times New Roman" w:hAnsi="Arial" w:cs="Arial"/>
          <w:color w:val="000000"/>
          <w:sz w:val="20"/>
          <w:szCs w:val="20"/>
          <w:lang w:val="en-US" w:eastAsia="nl-NL"/>
        </w:rPr>
        <w:t>IncSmooth</w:t>
      </w:r>
      <w:proofErr w:type="spellEnd"/>
      <w:r w:rsidRPr="006A5A37">
        <w:rPr>
          <w:rFonts w:ascii="Arial" w:eastAsia="Times New Roman" w:hAnsi="Arial" w:cs="Arial"/>
          <w:color w:val="000000"/>
          <w:sz w:val="20"/>
          <w:szCs w:val="20"/>
          <w:lang w:val="en-US" w:eastAsia="nl-NL"/>
        </w:rPr>
        <w:t xml:space="preserve">, CFO, GW, SIZE, ROA, SALES, </w:t>
      </w:r>
      <w:proofErr w:type="spellStart"/>
      <w:r w:rsidRPr="006A5A37">
        <w:rPr>
          <w:rFonts w:ascii="Arial" w:eastAsia="Times New Roman" w:hAnsi="Arial" w:cs="Arial"/>
          <w:color w:val="000000"/>
          <w:sz w:val="20"/>
          <w:szCs w:val="20"/>
          <w:lang w:val="en-US" w:eastAsia="nl-NL"/>
        </w:rPr>
        <w:t>BigBath</w:t>
      </w:r>
      <w:proofErr w:type="spellEnd"/>
    </w:p>
    <w:p w:rsidR="006A5A37" w:rsidRPr="006A5A37" w:rsidRDefault="006A5A37" w:rsidP="006A5A37">
      <w:pPr>
        <w:spacing w:after="0" w:line="240" w:lineRule="auto"/>
        <w:rPr>
          <w:rFonts w:ascii="Arial" w:eastAsia="Times New Roman" w:hAnsi="Arial" w:cs="Arial"/>
          <w:color w:val="000000"/>
          <w:sz w:val="20"/>
          <w:szCs w:val="20"/>
          <w:lang w:val="en-US" w:eastAsia="nl-NL"/>
        </w:rPr>
      </w:pPr>
      <w:r w:rsidRPr="006A5A37">
        <w:rPr>
          <w:rFonts w:ascii="Arial" w:eastAsia="Times New Roman" w:hAnsi="Arial" w:cs="Arial"/>
          <w:color w:val="000000"/>
          <w:sz w:val="20"/>
          <w:szCs w:val="20"/>
          <w:lang w:val="en-US" w:eastAsia="nl-NL"/>
        </w:rPr>
        <w:t>b</w:t>
      </w:r>
      <w:r w:rsidRPr="006A5A37">
        <w:rPr>
          <w:rFonts w:ascii="Arial" w:eastAsia="Times New Roman" w:hAnsi="Arial" w:cs="Arial"/>
          <w:color w:val="000000"/>
          <w:sz w:val="20"/>
          <w:szCs w:val="20"/>
          <w:lang w:val="en-US" w:eastAsia="nl-NL"/>
        </w:rPr>
        <w:tab/>
        <w:t>Dependent Variable: Imp</w:t>
      </w:r>
    </w:p>
    <w:p w:rsidR="00585016" w:rsidRDefault="006A5A37" w:rsidP="00585016">
      <w:pPr>
        <w:rPr>
          <w:rFonts w:ascii="Verdana" w:hAnsi="Verdana"/>
          <w:b/>
          <w:u w:val="single"/>
          <w:lang w:val="en-US"/>
        </w:rPr>
      </w:pPr>
      <w:r>
        <w:rPr>
          <w:rFonts w:ascii="Verdana" w:hAnsi="Verdana"/>
          <w:lang w:val="en-US"/>
        </w:rPr>
        <w:br/>
      </w:r>
      <w:r w:rsidR="00585016">
        <w:rPr>
          <w:rFonts w:ascii="Verdana" w:hAnsi="Verdana"/>
          <w:lang w:val="en-US"/>
        </w:rPr>
        <w:t xml:space="preserve">The value to look for is the Sig. For both 2007 and 2009 this is </w:t>
      </w:r>
      <w:r>
        <w:rPr>
          <w:rFonts w:ascii="Verdana" w:hAnsi="Verdana"/>
          <w:lang w:val="en-US"/>
        </w:rPr>
        <w:t>0</w:t>
      </w:r>
      <w:r w:rsidR="00585016">
        <w:rPr>
          <w:rFonts w:ascii="Verdana" w:hAnsi="Verdana"/>
          <w:lang w:val="en-US"/>
        </w:rPr>
        <w:t>,000. This means that the prediction is significant at a one percent level.</w:t>
      </w:r>
    </w:p>
    <w:p w:rsidR="00585016" w:rsidRDefault="00585016" w:rsidP="00585016">
      <w:pPr>
        <w:rPr>
          <w:rFonts w:ascii="Verdana" w:hAnsi="Verdana"/>
          <w:b/>
          <w:u w:val="single"/>
          <w:lang w:val="en-US"/>
        </w:rPr>
      </w:pPr>
    </w:p>
    <w:p w:rsidR="00585016" w:rsidRDefault="003C2D90" w:rsidP="00E12614">
      <w:pPr>
        <w:pStyle w:val="Heading2"/>
        <w:rPr>
          <w:lang w:val="en-US"/>
        </w:rPr>
      </w:pPr>
      <w:bookmarkStart w:id="54" w:name="_Toc359957157"/>
      <w:r>
        <w:rPr>
          <w:lang w:val="en-US"/>
        </w:rPr>
        <w:t>6</w:t>
      </w:r>
      <w:r w:rsidR="00E12614">
        <w:rPr>
          <w:lang w:val="en-US"/>
        </w:rPr>
        <w:t>.</w:t>
      </w:r>
      <w:r>
        <w:rPr>
          <w:lang w:val="en-US"/>
        </w:rPr>
        <w:t>3</w:t>
      </w:r>
      <w:r w:rsidR="00E12614">
        <w:rPr>
          <w:lang w:val="en-US"/>
        </w:rPr>
        <w:t xml:space="preserve"> </w:t>
      </w:r>
      <w:proofErr w:type="spellStart"/>
      <w:r w:rsidR="00585016">
        <w:rPr>
          <w:lang w:val="en-US"/>
        </w:rPr>
        <w:t>Multicollinearity</w:t>
      </w:r>
      <w:bookmarkEnd w:id="54"/>
      <w:proofErr w:type="spellEnd"/>
      <w:r w:rsidR="00E12614">
        <w:rPr>
          <w:lang w:val="en-US"/>
        </w:rPr>
        <w:br/>
      </w:r>
    </w:p>
    <w:p w:rsidR="00585016" w:rsidRDefault="00585016" w:rsidP="00585016">
      <w:pPr>
        <w:rPr>
          <w:rFonts w:ascii="Verdana" w:hAnsi="Verdana"/>
          <w:lang w:val="en-US"/>
        </w:rPr>
      </w:pPr>
      <w:r>
        <w:rPr>
          <w:rFonts w:ascii="Verdana" w:hAnsi="Verdana"/>
          <w:lang w:val="en-US"/>
        </w:rPr>
        <w:t>Besides outliers, power and significance there is another important fac</w:t>
      </w:r>
      <w:r w:rsidR="00D6320E">
        <w:rPr>
          <w:rFonts w:ascii="Verdana" w:hAnsi="Verdana"/>
          <w:lang w:val="en-US"/>
        </w:rPr>
        <w:t xml:space="preserve">tor to consider and that is </w:t>
      </w:r>
      <w:proofErr w:type="spellStart"/>
      <w:r w:rsidR="00D6320E">
        <w:rPr>
          <w:rFonts w:ascii="Verdana" w:hAnsi="Verdana"/>
          <w:lang w:val="en-US"/>
        </w:rPr>
        <w:t>multicollinearity</w:t>
      </w:r>
      <w:proofErr w:type="spellEnd"/>
      <w:r w:rsidR="00D6320E">
        <w:rPr>
          <w:rFonts w:ascii="Verdana" w:hAnsi="Verdana"/>
          <w:lang w:val="en-US"/>
        </w:rPr>
        <w:t xml:space="preserve">. </w:t>
      </w:r>
      <w:proofErr w:type="spellStart"/>
      <w:r w:rsidR="00D6320E">
        <w:rPr>
          <w:rFonts w:ascii="Verdana" w:hAnsi="Verdana"/>
          <w:lang w:val="en-US"/>
        </w:rPr>
        <w:t>M</w:t>
      </w:r>
      <w:r>
        <w:rPr>
          <w:rFonts w:ascii="Verdana" w:hAnsi="Verdana"/>
          <w:lang w:val="en-US"/>
        </w:rPr>
        <w:t>ulticollinearity</w:t>
      </w:r>
      <w:proofErr w:type="spellEnd"/>
      <w:r>
        <w:rPr>
          <w:rFonts w:ascii="Verdana" w:hAnsi="Verdana"/>
          <w:lang w:val="en-US"/>
        </w:rPr>
        <w:t xml:space="preserve"> occurs when there is a strong correlation between two independent variables. The result of this </w:t>
      </w:r>
      <w:proofErr w:type="spellStart"/>
      <w:r>
        <w:rPr>
          <w:rFonts w:ascii="Verdana" w:hAnsi="Verdana"/>
          <w:lang w:val="en-US"/>
        </w:rPr>
        <w:t>multicollinearity</w:t>
      </w:r>
      <w:proofErr w:type="spellEnd"/>
      <w:r>
        <w:rPr>
          <w:rFonts w:ascii="Verdana" w:hAnsi="Verdana"/>
          <w:lang w:val="en-US"/>
        </w:rPr>
        <w:t xml:space="preserve"> is that the regression model estimates </w:t>
      </w:r>
      <w:r w:rsidR="008C1520">
        <w:rPr>
          <w:rFonts w:ascii="Verdana" w:hAnsi="Verdana"/>
          <w:lang w:val="en-US"/>
        </w:rPr>
        <w:t>i</w:t>
      </w:r>
      <w:r>
        <w:rPr>
          <w:rFonts w:ascii="Verdana" w:hAnsi="Verdana"/>
          <w:lang w:val="en-US"/>
        </w:rPr>
        <w:t xml:space="preserve">f the coefficients can become unstable and the standard errors for the coefficients can inflate out of proportion. The model as a whole can still be reliable, but the explanatory value of an independent variable is not reliable. </w:t>
      </w:r>
    </w:p>
    <w:p w:rsidR="00585016" w:rsidRDefault="00585016" w:rsidP="00585016">
      <w:pPr>
        <w:rPr>
          <w:rFonts w:ascii="Verdana" w:hAnsi="Verdana"/>
          <w:lang w:val="en-US"/>
        </w:rPr>
      </w:pPr>
      <w:r>
        <w:rPr>
          <w:rFonts w:ascii="Verdana" w:hAnsi="Verdana"/>
          <w:lang w:val="en-US"/>
        </w:rPr>
        <w:t xml:space="preserve">In literature related to the subject of impairments and earnings </w:t>
      </w:r>
      <w:proofErr w:type="spellStart"/>
      <w:r>
        <w:rPr>
          <w:rFonts w:ascii="Verdana" w:hAnsi="Verdana"/>
          <w:lang w:val="en-US"/>
        </w:rPr>
        <w:t>magement</w:t>
      </w:r>
      <w:proofErr w:type="spellEnd"/>
      <w:r>
        <w:rPr>
          <w:rFonts w:ascii="Verdana" w:hAnsi="Verdana"/>
          <w:lang w:val="en-US"/>
        </w:rPr>
        <w:t xml:space="preserve">, for example Wang 2009 and </w:t>
      </w:r>
      <w:proofErr w:type="spellStart"/>
      <w:r>
        <w:rPr>
          <w:rFonts w:ascii="Verdana" w:hAnsi="Verdana"/>
          <w:lang w:val="en-US"/>
        </w:rPr>
        <w:t>Ostende</w:t>
      </w:r>
      <w:proofErr w:type="spellEnd"/>
      <w:r>
        <w:rPr>
          <w:rFonts w:ascii="Verdana" w:hAnsi="Verdana"/>
          <w:lang w:val="en-US"/>
        </w:rPr>
        <w:t xml:space="preserve"> 2009, </w:t>
      </w:r>
      <w:proofErr w:type="spellStart"/>
      <w:r>
        <w:rPr>
          <w:rFonts w:ascii="Verdana" w:hAnsi="Verdana"/>
          <w:lang w:val="en-US"/>
        </w:rPr>
        <w:t>multicollinearity</w:t>
      </w:r>
      <w:proofErr w:type="spellEnd"/>
      <w:r>
        <w:rPr>
          <w:rFonts w:ascii="Verdana" w:hAnsi="Verdana"/>
          <w:lang w:val="en-US"/>
        </w:rPr>
        <w:t xml:space="preserve"> is said to be detected by performing a Pearson correlation test. This is however not correct because the Pearson correlation test checks for bi-</w:t>
      </w:r>
      <w:proofErr w:type="spellStart"/>
      <w:r>
        <w:rPr>
          <w:rFonts w:ascii="Verdana" w:hAnsi="Verdana"/>
          <w:lang w:val="en-US"/>
        </w:rPr>
        <w:t>collinearity</w:t>
      </w:r>
      <w:proofErr w:type="spellEnd"/>
      <w:r>
        <w:rPr>
          <w:rFonts w:ascii="Verdana" w:hAnsi="Verdana"/>
          <w:lang w:val="en-US"/>
        </w:rPr>
        <w:t xml:space="preserve"> and not </w:t>
      </w:r>
      <w:proofErr w:type="spellStart"/>
      <w:r>
        <w:rPr>
          <w:rFonts w:ascii="Verdana" w:hAnsi="Verdana"/>
          <w:lang w:val="en-US"/>
        </w:rPr>
        <w:t>multicollinearity</w:t>
      </w:r>
      <w:proofErr w:type="spellEnd"/>
      <w:r>
        <w:rPr>
          <w:rFonts w:ascii="Verdana" w:hAnsi="Verdana"/>
          <w:lang w:val="en-US"/>
        </w:rPr>
        <w:t xml:space="preserve">. A better test to check for the presence of </w:t>
      </w:r>
      <w:proofErr w:type="spellStart"/>
      <w:r>
        <w:rPr>
          <w:rFonts w:ascii="Verdana" w:hAnsi="Verdana"/>
          <w:lang w:val="en-US"/>
        </w:rPr>
        <w:t>multicollinearity</w:t>
      </w:r>
      <w:proofErr w:type="spellEnd"/>
      <w:r>
        <w:rPr>
          <w:rFonts w:ascii="Verdana" w:hAnsi="Verdana"/>
          <w:lang w:val="en-US"/>
        </w:rPr>
        <w:t xml:space="preserve"> is to look at ‘tolerance’ and the variance inflation factor. </w:t>
      </w:r>
    </w:p>
    <w:p w:rsidR="006A33EB" w:rsidRDefault="006A33EB">
      <w:pPr>
        <w:rPr>
          <w:rFonts w:ascii="Verdana" w:hAnsi="Verdana"/>
          <w:i/>
          <w:lang w:val="en-US"/>
        </w:rPr>
      </w:pPr>
      <w:r>
        <w:rPr>
          <w:rFonts w:ascii="Verdana" w:hAnsi="Verdana"/>
          <w:i/>
          <w:lang w:val="en-US"/>
        </w:rPr>
        <w:br w:type="page"/>
      </w:r>
    </w:p>
    <w:p w:rsidR="00585016" w:rsidRPr="006A33EB" w:rsidRDefault="00585016" w:rsidP="00585016">
      <w:pPr>
        <w:rPr>
          <w:rFonts w:ascii="Verdana" w:hAnsi="Verdana"/>
          <w:i/>
          <w:lang w:val="en-US"/>
        </w:rPr>
      </w:pPr>
      <w:r w:rsidRPr="006A33EB">
        <w:rPr>
          <w:rFonts w:ascii="Verdana" w:hAnsi="Verdana"/>
          <w:i/>
          <w:lang w:val="en-US"/>
        </w:rPr>
        <w:lastRenderedPageBreak/>
        <w:t xml:space="preserve">Table </w:t>
      </w:r>
      <w:r w:rsidR="006A33EB">
        <w:rPr>
          <w:rFonts w:ascii="Verdana" w:hAnsi="Verdana"/>
          <w:i/>
          <w:lang w:val="en-US"/>
        </w:rPr>
        <w:t>6.9</w:t>
      </w:r>
      <w:r w:rsidRPr="006A33EB">
        <w:rPr>
          <w:rFonts w:ascii="Verdana" w:hAnsi="Verdana"/>
          <w:i/>
          <w:lang w:val="en-US"/>
        </w:rPr>
        <w:t xml:space="preserve"> </w:t>
      </w:r>
      <w:proofErr w:type="spellStart"/>
      <w:r w:rsidRPr="006A33EB">
        <w:rPr>
          <w:rFonts w:ascii="Verdana" w:hAnsi="Verdana"/>
          <w:i/>
          <w:lang w:val="en-US"/>
        </w:rPr>
        <w:t>Collinearity</w:t>
      </w:r>
      <w:proofErr w:type="spellEnd"/>
      <w:r w:rsidRPr="006A33EB">
        <w:rPr>
          <w:rFonts w:ascii="Verdana" w:hAnsi="Verdana"/>
          <w:i/>
          <w:lang w:val="en-US"/>
        </w:rPr>
        <w:t xml:space="preserve"> Statistics</w:t>
      </w:r>
    </w:p>
    <w:tbl>
      <w:tblPr>
        <w:tblStyle w:val="DarkList1"/>
        <w:tblW w:w="4861" w:type="pct"/>
        <w:tblLook w:val="04A0" w:firstRow="1" w:lastRow="0" w:firstColumn="1" w:lastColumn="0" w:noHBand="0" w:noVBand="1"/>
      </w:tblPr>
      <w:tblGrid>
        <w:gridCol w:w="1559"/>
        <w:gridCol w:w="1688"/>
        <w:gridCol w:w="65"/>
        <w:gridCol w:w="1226"/>
        <w:gridCol w:w="448"/>
        <w:gridCol w:w="284"/>
        <w:gridCol w:w="165"/>
        <w:gridCol w:w="1054"/>
        <w:gridCol w:w="464"/>
        <w:gridCol w:w="1341"/>
        <w:gridCol w:w="399"/>
        <w:gridCol w:w="25"/>
        <w:gridCol w:w="37"/>
      </w:tblGrid>
      <w:tr w:rsidR="00585016" w:rsidTr="00585016">
        <w:trPr>
          <w:gridAfter w:val="2"/>
          <w:cnfStyle w:val="100000000000" w:firstRow="1" w:lastRow="0" w:firstColumn="0" w:lastColumn="0" w:oddVBand="0" w:evenVBand="0" w:oddHBand="0" w:evenHBand="0" w:firstRowFirstColumn="0" w:firstRowLastColumn="0" w:lastRowFirstColumn="0" w:lastRowLastColumn="0"/>
          <w:wAfter w:w="36" w:type="pct"/>
          <w:trHeight w:val="255"/>
        </w:trPr>
        <w:tc>
          <w:tcPr>
            <w:cnfStyle w:val="001000000000" w:firstRow="0" w:lastRow="0" w:firstColumn="1" w:lastColumn="0" w:oddVBand="0" w:evenVBand="0" w:oddHBand="0" w:evenHBand="0" w:firstRowFirstColumn="0" w:firstRowLastColumn="0" w:lastRowFirstColumn="0" w:lastRowLastColumn="0"/>
            <w:tcW w:w="891" w:type="pct"/>
            <w:shd w:val="clear" w:color="auto" w:fill="00B0F0"/>
            <w:noWrap/>
            <w:hideMark/>
          </w:tcPr>
          <w:p w:rsidR="00585016" w:rsidRDefault="00585016">
            <w:pPr>
              <w:rPr>
                <w:color w:val="FFFFFF" w:themeColor="background1"/>
              </w:rPr>
            </w:pPr>
          </w:p>
        </w:tc>
        <w:tc>
          <w:tcPr>
            <w:tcW w:w="1701" w:type="pct"/>
            <w:gridSpan w:val="3"/>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 xml:space="preserve">   2007</w:t>
            </w:r>
          </w:p>
        </w:tc>
        <w:tc>
          <w:tcPr>
            <w:tcW w:w="256" w:type="pct"/>
            <w:shd w:val="clear" w:color="auto" w:fill="00B0F0"/>
          </w:tcPr>
          <w:p w:rsidR="00585016" w:rsidRPr="006A33EB" w:rsidRDefault="005850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p>
        </w:tc>
        <w:tc>
          <w:tcPr>
            <w:tcW w:w="256" w:type="pct"/>
            <w:gridSpan w:val="2"/>
            <w:shd w:val="clear" w:color="auto" w:fill="00B0F0"/>
            <w:noWrap/>
            <w:hideMark/>
          </w:tcPr>
          <w:p w:rsidR="00585016" w:rsidRPr="00DC1C3A" w:rsidRDefault="00585016">
            <w:pP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861" w:type="pct"/>
            <w:gridSpan w:val="4"/>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2009</w:t>
            </w:r>
          </w:p>
        </w:tc>
      </w:tr>
      <w:tr w:rsidR="00585016" w:rsidTr="00585016">
        <w:trPr>
          <w:gridAfter w:val="1"/>
          <w:cnfStyle w:val="000000100000" w:firstRow="0" w:lastRow="0" w:firstColumn="0" w:lastColumn="0" w:oddVBand="0" w:evenVBand="0" w:oddHBand="1" w:evenHBand="0" w:firstRowFirstColumn="0" w:firstRowLastColumn="0" w:lastRowFirstColumn="0" w:lastRowLastColumn="0"/>
          <w:wAfter w:w="22" w:type="pct"/>
          <w:trHeight w:val="255"/>
        </w:trPr>
        <w:tc>
          <w:tcPr>
            <w:cnfStyle w:val="001000000000" w:firstRow="0" w:lastRow="0" w:firstColumn="1" w:lastColumn="0" w:oddVBand="0" w:evenVBand="0" w:oddHBand="0" w:evenHBand="0" w:firstRowFirstColumn="0" w:firstRowLastColumn="0" w:lastRowFirstColumn="0" w:lastRowLastColumn="0"/>
            <w:tcW w:w="891" w:type="pct"/>
            <w:shd w:val="clear" w:color="auto" w:fill="0070C0"/>
            <w:noWrap/>
            <w:hideMark/>
          </w:tcPr>
          <w:p w:rsidR="00585016" w:rsidRDefault="00585016">
            <w:pPr>
              <w:rPr>
                <w:color w:val="FFFFFF" w:themeColor="background1"/>
              </w:rPr>
            </w:pPr>
          </w:p>
        </w:tc>
        <w:tc>
          <w:tcPr>
            <w:tcW w:w="964" w:type="pct"/>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Tolerance</w:t>
            </w:r>
          </w:p>
        </w:tc>
        <w:tc>
          <w:tcPr>
            <w:tcW w:w="737" w:type="pct"/>
            <w:gridSpan w:val="2"/>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VIF</w:t>
            </w:r>
          </w:p>
        </w:tc>
        <w:tc>
          <w:tcPr>
            <w:tcW w:w="256" w:type="pct"/>
            <w:shd w:val="clear" w:color="auto" w:fill="FFFFFF" w:themeFill="background1"/>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p>
        </w:tc>
        <w:tc>
          <w:tcPr>
            <w:tcW w:w="1123" w:type="pct"/>
            <w:gridSpan w:val="4"/>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 xml:space="preserve">    Tolerance</w:t>
            </w:r>
          </w:p>
        </w:tc>
        <w:tc>
          <w:tcPr>
            <w:tcW w:w="1008" w:type="pct"/>
            <w:gridSpan w:val="3"/>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VIF</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891" w:type="pct"/>
            <w:tcBorders>
              <w:top w:val="nil"/>
            </w:tcBorders>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GW</w:t>
            </w:r>
          </w:p>
        </w:tc>
        <w:tc>
          <w:tcPr>
            <w:tcW w:w="1001" w:type="pct"/>
            <w:gridSpan w:val="2"/>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0,975</w:t>
            </w:r>
          </w:p>
        </w:tc>
        <w:tc>
          <w:tcPr>
            <w:tcW w:w="700" w:type="pct"/>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1,026</w:t>
            </w:r>
          </w:p>
        </w:tc>
        <w:tc>
          <w:tcPr>
            <w:tcW w:w="256" w:type="pct"/>
            <w:shd w:val="clear" w:color="auto" w:fill="FFFFFF" w:themeFill="background1"/>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p>
        </w:tc>
        <w:tc>
          <w:tcPr>
            <w:tcW w:w="162" w:type="pct"/>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0,949</w:t>
            </w:r>
          </w:p>
        </w:tc>
        <w:tc>
          <w:tcPr>
            <w:tcW w:w="1029" w:type="pct"/>
            <w:gridSpan w:val="4"/>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1,053</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1" w:type="pct"/>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SIZE</w:t>
            </w:r>
          </w:p>
        </w:tc>
        <w:tc>
          <w:tcPr>
            <w:tcW w:w="1001" w:type="pct"/>
            <w:gridSpan w:val="2"/>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0,911</w:t>
            </w:r>
          </w:p>
        </w:tc>
        <w:tc>
          <w:tcPr>
            <w:tcW w:w="700" w:type="pct"/>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1,097</w:t>
            </w:r>
          </w:p>
        </w:tc>
        <w:tc>
          <w:tcPr>
            <w:tcW w:w="256" w:type="pct"/>
            <w:shd w:val="clear" w:color="auto" w:fill="FFFFFF" w:themeFill="background1"/>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p>
        </w:tc>
        <w:tc>
          <w:tcPr>
            <w:tcW w:w="162" w:type="pct"/>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0,895</w:t>
            </w:r>
          </w:p>
        </w:tc>
        <w:tc>
          <w:tcPr>
            <w:tcW w:w="1029" w:type="pct"/>
            <w:gridSpan w:val="4"/>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1,118</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891" w:type="pct"/>
            <w:tcBorders>
              <w:top w:val="nil"/>
            </w:tcBorders>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Verdana" w:eastAsia="Times New Roman" w:hAnsi="Verdana" w:cs="Arial"/>
                <w:color w:val="FFFFFF" w:themeColor="background1"/>
                <w:sz w:val="20"/>
                <w:szCs w:val="20"/>
                <w:lang w:val="en-US" w:eastAsia="nl-NL"/>
              </w:rPr>
              <w:t>∆</w:t>
            </w:r>
            <w:r w:rsidRPr="006A33EB">
              <w:rPr>
                <w:rFonts w:ascii="Arial" w:eastAsia="Times New Roman" w:hAnsi="Arial" w:cs="Arial"/>
                <w:color w:val="FFFFFF" w:themeColor="background1"/>
                <w:sz w:val="20"/>
                <w:szCs w:val="20"/>
                <w:lang w:val="en-US" w:eastAsia="nl-NL"/>
              </w:rPr>
              <w:t>SALES</w:t>
            </w:r>
          </w:p>
        </w:tc>
        <w:tc>
          <w:tcPr>
            <w:tcW w:w="1001" w:type="pct"/>
            <w:gridSpan w:val="2"/>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0,978</w:t>
            </w:r>
          </w:p>
        </w:tc>
        <w:tc>
          <w:tcPr>
            <w:tcW w:w="700" w:type="pct"/>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1,022</w:t>
            </w:r>
          </w:p>
        </w:tc>
        <w:tc>
          <w:tcPr>
            <w:tcW w:w="256" w:type="pct"/>
            <w:shd w:val="clear" w:color="auto" w:fill="FFFFFF" w:themeFill="background1"/>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162" w:type="pct"/>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0,831</w:t>
            </w:r>
          </w:p>
        </w:tc>
        <w:tc>
          <w:tcPr>
            <w:tcW w:w="1029" w:type="pct"/>
            <w:gridSpan w:val="4"/>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1,204</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1" w:type="pct"/>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CFO</w:t>
            </w:r>
          </w:p>
        </w:tc>
        <w:tc>
          <w:tcPr>
            <w:tcW w:w="1001" w:type="pct"/>
            <w:gridSpan w:val="2"/>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0,994</w:t>
            </w:r>
          </w:p>
        </w:tc>
        <w:tc>
          <w:tcPr>
            <w:tcW w:w="700" w:type="pct"/>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1,006</w:t>
            </w:r>
          </w:p>
        </w:tc>
        <w:tc>
          <w:tcPr>
            <w:tcW w:w="256" w:type="pct"/>
            <w:shd w:val="clear" w:color="auto" w:fill="FFFFFF" w:themeFill="background1"/>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p>
        </w:tc>
        <w:tc>
          <w:tcPr>
            <w:tcW w:w="162" w:type="pct"/>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0,988</w:t>
            </w:r>
          </w:p>
        </w:tc>
        <w:tc>
          <w:tcPr>
            <w:tcW w:w="1029" w:type="pct"/>
            <w:gridSpan w:val="4"/>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1,012</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891" w:type="pct"/>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ROA</w:t>
            </w:r>
          </w:p>
        </w:tc>
        <w:tc>
          <w:tcPr>
            <w:tcW w:w="1001" w:type="pct"/>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0,959</w:t>
            </w:r>
          </w:p>
        </w:tc>
        <w:tc>
          <w:tcPr>
            <w:tcW w:w="700" w:type="pct"/>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1,043</w:t>
            </w:r>
          </w:p>
        </w:tc>
        <w:tc>
          <w:tcPr>
            <w:tcW w:w="256" w:type="pct"/>
            <w:shd w:val="clear" w:color="auto" w:fill="FFFFFF" w:themeFill="background1"/>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162" w:type="pct"/>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0,877</w:t>
            </w:r>
          </w:p>
        </w:tc>
        <w:tc>
          <w:tcPr>
            <w:tcW w:w="1029" w:type="pct"/>
            <w:gridSpan w:val="4"/>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1,140</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1" w:type="pct"/>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BigBath</w:t>
            </w:r>
            <w:proofErr w:type="spellEnd"/>
          </w:p>
        </w:tc>
        <w:tc>
          <w:tcPr>
            <w:tcW w:w="1001" w:type="pct"/>
            <w:gridSpan w:val="2"/>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0,858</w:t>
            </w:r>
          </w:p>
        </w:tc>
        <w:tc>
          <w:tcPr>
            <w:tcW w:w="700" w:type="pct"/>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1,165</w:t>
            </w:r>
          </w:p>
        </w:tc>
        <w:tc>
          <w:tcPr>
            <w:tcW w:w="256" w:type="pct"/>
            <w:shd w:val="clear" w:color="auto" w:fill="FFFFFF" w:themeFill="background1"/>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p>
        </w:tc>
        <w:tc>
          <w:tcPr>
            <w:tcW w:w="162" w:type="pct"/>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0,751</w:t>
            </w:r>
          </w:p>
        </w:tc>
        <w:tc>
          <w:tcPr>
            <w:tcW w:w="1029" w:type="pct"/>
            <w:gridSpan w:val="4"/>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1,332</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891" w:type="pct"/>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IncSmooth</w:t>
            </w:r>
            <w:proofErr w:type="spellEnd"/>
          </w:p>
        </w:tc>
        <w:tc>
          <w:tcPr>
            <w:tcW w:w="1001" w:type="pct"/>
            <w:gridSpan w:val="2"/>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0,943</w:t>
            </w:r>
          </w:p>
        </w:tc>
        <w:tc>
          <w:tcPr>
            <w:tcW w:w="700" w:type="pct"/>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1,060</w:t>
            </w:r>
          </w:p>
        </w:tc>
        <w:tc>
          <w:tcPr>
            <w:tcW w:w="256" w:type="pct"/>
            <w:shd w:val="clear" w:color="auto" w:fill="FFFFFF" w:themeFill="background1"/>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p>
        </w:tc>
        <w:tc>
          <w:tcPr>
            <w:tcW w:w="162" w:type="pct"/>
            <w:shd w:val="clear" w:color="auto" w:fill="FFFFFF" w:themeFill="background1"/>
            <w:noWrap/>
            <w:hideMark/>
          </w:tcPr>
          <w:p w:rsidR="00585016" w:rsidRDefault="00585016">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961" w:type="pct"/>
            <w:gridSpan w:val="3"/>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0,842</w:t>
            </w:r>
          </w:p>
        </w:tc>
        <w:tc>
          <w:tcPr>
            <w:tcW w:w="1029" w:type="pct"/>
            <w:gridSpan w:val="4"/>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1,187</w:t>
            </w:r>
          </w:p>
        </w:tc>
      </w:tr>
      <w:tr w:rsidR="00585016" w:rsidTr="00585016">
        <w:trPr>
          <w:gridAfter w:val="3"/>
          <w:cnfStyle w:val="000000100000" w:firstRow="0" w:lastRow="0" w:firstColumn="0" w:lastColumn="0" w:oddVBand="0" w:evenVBand="0" w:oddHBand="1" w:evenHBand="0" w:firstRowFirstColumn="0" w:firstRowLastColumn="0" w:lastRowFirstColumn="0" w:lastRowLastColumn="0"/>
          <w:wAfter w:w="263" w:type="pct"/>
          <w:trHeight w:val="255"/>
        </w:trPr>
        <w:tc>
          <w:tcPr>
            <w:cnfStyle w:val="001000000000" w:firstRow="0" w:lastRow="0" w:firstColumn="1" w:lastColumn="0" w:oddVBand="0" w:evenVBand="0" w:oddHBand="0" w:evenHBand="0" w:firstRowFirstColumn="0" w:firstRowLastColumn="0" w:lastRowFirstColumn="0" w:lastRowLastColumn="0"/>
            <w:tcW w:w="3706" w:type="pct"/>
            <w:gridSpan w:val="8"/>
            <w:shd w:val="clear" w:color="auto" w:fill="FFFFFF" w:themeFill="background1"/>
            <w:noWrap/>
            <w:hideMark/>
          </w:tcPr>
          <w:p w:rsidR="00585016" w:rsidRDefault="00585016">
            <w:pPr>
              <w:rPr>
                <w:rFonts w:ascii="Arial" w:eastAsia="Times New Roman" w:hAnsi="Arial" w:cs="Arial"/>
                <w:color w:val="auto"/>
                <w:sz w:val="20"/>
                <w:szCs w:val="20"/>
                <w:lang w:val="nl-NL" w:eastAsia="nl-NL"/>
              </w:rPr>
            </w:pPr>
            <w:proofErr w:type="spellStart"/>
            <w:r>
              <w:rPr>
                <w:rFonts w:ascii="Arial" w:eastAsia="Times New Roman" w:hAnsi="Arial" w:cs="Arial"/>
                <w:color w:val="auto"/>
                <w:sz w:val="20"/>
                <w:szCs w:val="20"/>
                <w:lang w:val="nl-NL" w:eastAsia="nl-NL"/>
              </w:rPr>
              <w:t>Dependent</w:t>
            </w:r>
            <w:proofErr w:type="spellEnd"/>
            <w:r>
              <w:rPr>
                <w:rFonts w:ascii="Arial" w:eastAsia="Times New Roman" w:hAnsi="Arial" w:cs="Arial"/>
                <w:color w:val="auto"/>
                <w:sz w:val="20"/>
                <w:szCs w:val="20"/>
                <w:lang w:val="nl-NL" w:eastAsia="nl-NL"/>
              </w:rPr>
              <w:t xml:space="preserve"> </w:t>
            </w:r>
            <w:proofErr w:type="spellStart"/>
            <w:r>
              <w:rPr>
                <w:rFonts w:ascii="Arial" w:eastAsia="Times New Roman" w:hAnsi="Arial" w:cs="Arial"/>
                <w:color w:val="auto"/>
                <w:sz w:val="20"/>
                <w:szCs w:val="20"/>
                <w:lang w:val="nl-NL" w:eastAsia="nl-NL"/>
              </w:rPr>
              <w:t>Variable</w:t>
            </w:r>
            <w:proofErr w:type="spellEnd"/>
            <w:r>
              <w:rPr>
                <w:rFonts w:ascii="Arial" w:eastAsia="Times New Roman" w:hAnsi="Arial" w:cs="Arial"/>
                <w:color w:val="auto"/>
                <w:sz w:val="20"/>
                <w:szCs w:val="20"/>
                <w:lang w:val="nl-NL" w:eastAsia="nl-NL"/>
              </w:rPr>
              <w:t>: Imp</w:t>
            </w:r>
          </w:p>
        </w:tc>
        <w:tc>
          <w:tcPr>
            <w:tcW w:w="1031" w:type="pct"/>
            <w:gridSpan w:val="2"/>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bl>
    <w:p w:rsidR="00585016" w:rsidRDefault="00585016" w:rsidP="00585016">
      <w:pPr>
        <w:rPr>
          <w:rFonts w:ascii="Arial" w:eastAsia="Times New Roman" w:hAnsi="Arial" w:cs="Arial"/>
          <w:color w:val="000000"/>
          <w:sz w:val="20"/>
          <w:szCs w:val="20"/>
          <w:lang w:val="nl-NL" w:eastAsia="nl-NL"/>
        </w:rPr>
      </w:pPr>
    </w:p>
    <w:p w:rsidR="00585016" w:rsidRDefault="00585016" w:rsidP="00585016">
      <w:pPr>
        <w:rPr>
          <w:rFonts w:ascii="Verdana" w:hAnsi="Verdana"/>
          <w:lang w:val="en-US"/>
        </w:rPr>
      </w:pPr>
      <w:r>
        <w:rPr>
          <w:rFonts w:ascii="Verdana" w:hAnsi="Verdana"/>
          <w:lang w:val="en-US"/>
        </w:rPr>
        <w:t xml:space="preserve">The tolerance indicates the percent of variance in the independent variable which cannot be accounted for by other independent variables. The variance inflation factor is 1 divided by the ‘tolerance’. </w:t>
      </w:r>
      <w:r w:rsidR="00D6320E">
        <w:rPr>
          <w:rFonts w:ascii="Verdana" w:hAnsi="Verdana"/>
          <w:lang w:val="en-US"/>
        </w:rPr>
        <w:t xml:space="preserve">The commonly used assumption </w:t>
      </w:r>
      <w:r>
        <w:rPr>
          <w:rFonts w:ascii="Verdana" w:hAnsi="Verdana"/>
          <w:lang w:val="en-US"/>
        </w:rPr>
        <w:t xml:space="preserve">is when the ‘tolerance’ is smaller than 10% or when the VIF is greater than 10 there may be an indication for </w:t>
      </w:r>
      <w:proofErr w:type="spellStart"/>
      <w:r>
        <w:rPr>
          <w:rFonts w:ascii="Verdana" w:hAnsi="Verdana"/>
          <w:lang w:val="en-US"/>
        </w:rPr>
        <w:t>multicollinearity</w:t>
      </w:r>
      <w:proofErr w:type="spellEnd"/>
      <w:r>
        <w:rPr>
          <w:rFonts w:ascii="Verdana" w:hAnsi="Verdana"/>
          <w:lang w:val="en-US"/>
        </w:rPr>
        <w:t xml:space="preserve">. As shown in table </w:t>
      </w:r>
      <w:r w:rsidR="006A33EB">
        <w:rPr>
          <w:rFonts w:ascii="Verdana" w:hAnsi="Verdana"/>
          <w:lang w:val="en-US"/>
        </w:rPr>
        <w:t>6.9, t</w:t>
      </w:r>
      <w:r>
        <w:rPr>
          <w:rFonts w:ascii="Verdana" w:hAnsi="Verdana"/>
          <w:lang w:val="en-US"/>
        </w:rPr>
        <w:t xml:space="preserve">here is no indication of </w:t>
      </w:r>
      <w:proofErr w:type="spellStart"/>
      <w:r>
        <w:rPr>
          <w:rFonts w:ascii="Verdana" w:hAnsi="Verdana"/>
          <w:lang w:val="en-US"/>
        </w:rPr>
        <w:t>multicollinearity</w:t>
      </w:r>
      <w:proofErr w:type="spellEnd"/>
      <w:r>
        <w:rPr>
          <w:rFonts w:ascii="Verdana" w:hAnsi="Verdana"/>
          <w:lang w:val="en-US"/>
        </w:rPr>
        <w:t>.</w:t>
      </w:r>
    </w:p>
    <w:p w:rsidR="00585016" w:rsidRDefault="00585016" w:rsidP="00585016">
      <w:pPr>
        <w:rPr>
          <w:rFonts w:ascii="Verdana" w:hAnsi="Verdana"/>
          <w:lang w:val="en-US"/>
        </w:rPr>
      </w:pPr>
    </w:p>
    <w:p w:rsidR="00585016" w:rsidRDefault="003C2D90" w:rsidP="00E12614">
      <w:pPr>
        <w:pStyle w:val="Heading2"/>
        <w:rPr>
          <w:lang w:val="en-US"/>
        </w:rPr>
      </w:pPr>
      <w:bookmarkStart w:id="55" w:name="_Toc359957158"/>
      <w:r>
        <w:rPr>
          <w:lang w:val="en-US"/>
        </w:rPr>
        <w:t>6</w:t>
      </w:r>
      <w:r w:rsidR="00E12614">
        <w:rPr>
          <w:lang w:val="en-US"/>
        </w:rPr>
        <w:t>.</w:t>
      </w:r>
      <w:r>
        <w:rPr>
          <w:lang w:val="en-US"/>
        </w:rPr>
        <w:t>4</w:t>
      </w:r>
      <w:r w:rsidR="00E12614">
        <w:rPr>
          <w:lang w:val="en-US"/>
        </w:rPr>
        <w:t xml:space="preserve"> </w:t>
      </w:r>
      <w:r w:rsidR="00585016">
        <w:rPr>
          <w:lang w:val="en-US"/>
        </w:rPr>
        <w:t>Summary and conclusion</w:t>
      </w:r>
      <w:bookmarkEnd w:id="55"/>
      <w:r w:rsidR="00E12614">
        <w:rPr>
          <w:lang w:val="en-US"/>
        </w:rPr>
        <w:br/>
      </w:r>
    </w:p>
    <w:p w:rsidR="00585016" w:rsidRDefault="00585016" w:rsidP="00585016">
      <w:pPr>
        <w:rPr>
          <w:rFonts w:ascii="Verdana" w:hAnsi="Verdana"/>
          <w:lang w:val="en-US"/>
        </w:rPr>
      </w:pPr>
      <w:r>
        <w:rPr>
          <w:rFonts w:ascii="Verdana" w:hAnsi="Verdana"/>
          <w:lang w:val="en-US"/>
        </w:rPr>
        <w:t xml:space="preserve">In this chapter the descriptive statistics were discussed. There were 4% more impairments made in 2009 than in 2007. Based on the descriptive statistics of the variables there were several outliers discovered which were removed. As a result 11 outliers in the 2007 sample and 9 outliers in the 2009 sample have been excluded. These were observations from the variables ∆SALES, ∆CFO and ∆ROA. </w:t>
      </w:r>
      <w:r>
        <w:rPr>
          <w:rFonts w:ascii="Verdana" w:hAnsi="Verdana"/>
          <w:lang w:val="en-US"/>
        </w:rPr>
        <w:br/>
        <w:t xml:space="preserve">After the descriptive statistics the power and significance of the model was described. As testing showed, the explanatory power of the model was increased by changing the dependent variable from a dummy into real values. This however decreased the significance of the variables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i/>
          <w:lang w:val="en-US"/>
        </w:rPr>
        <w:t xml:space="preserve"> </w:t>
      </w:r>
      <w:r>
        <w:rPr>
          <w:rFonts w:ascii="Verdana" w:hAnsi="Verdana"/>
          <w:lang w:val="en-US"/>
        </w:rPr>
        <w:t>and</w:t>
      </w:r>
      <w:r>
        <w:rPr>
          <w:rFonts w:ascii="Verdana" w:hAnsi="Verdana"/>
          <w:i/>
          <w:lang w:val="en-US"/>
        </w:rPr>
        <w:t xml:space="preserve">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Because the proportion of the independent variable which was explained through the model is comparable to related research and the explanatory power proved to be significant at the 1% level, the dependent variable remained a dummy variable.</w:t>
      </w:r>
      <w:r>
        <w:rPr>
          <w:rFonts w:ascii="Verdana" w:hAnsi="Verdana"/>
          <w:lang w:val="en-US"/>
        </w:rPr>
        <w:br/>
        <w:t xml:space="preserve">Finally, </w:t>
      </w:r>
      <w:proofErr w:type="spellStart"/>
      <w:r>
        <w:rPr>
          <w:rFonts w:ascii="Verdana" w:hAnsi="Verdana"/>
          <w:lang w:val="en-US"/>
        </w:rPr>
        <w:t>collinearity</w:t>
      </w:r>
      <w:proofErr w:type="spellEnd"/>
      <w:r>
        <w:rPr>
          <w:rFonts w:ascii="Verdana" w:hAnsi="Verdana"/>
          <w:lang w:val="en-US"/>
        </w:rPr>
        <w:t xml:space="preserve"> statistics were run, that showed there is no indication for </w:t>
      </w:r>
      <w:proofErr w:type="spellStart"/>
      <w:r>
        <w:rPr>
          <w:rFonts w:ascii="Verdana" w:hAnsi="Verdana"/>
          <w:lang w:val="en-US"/>
        </w:rPr>
        <w:t>multicollinearity</w:t>
      </w:r>
      <w:proofErr w:type="spellEnd"/>
      <w:r>
        <w:rPr>
          <w:rFonts w:ascii="Verdana" w:hAnsi="Verdana"/>
          <w:lang w:val="en-US"/>
        </w:rPr>
        <w:t xml:space="preserve">. Therefore no additional tests for </w:t>
      </w:r>
      <w:proofErr w:type="spellStart"/>
      <w:r>
        <w:rPr>
          <w:rFonts w:ascii="Verdana" w:hAnsi="Verdana"/>
          <w:lang w:val="en-US"/>
        </w:rPr>
        <w:t>multicollinearity</w:t>
      </w:r>
      <w:proofErr w:type="spellEnd"/>
      <w:r>
        <w:rPr>
          <w:rFonts w:ascii="Verdana" w:hAnsi="Verdana"/>
          <w:lang w:val="en-US"/>
        </w:rPr>
        <w:t xml:space="preserve"> need to be performed. </w:t>
      </w:r>
      <w:r>
        <w:rPr>
          <w:rFonts w:ascii="Verdana" w:hAnsi="Verdana"/>
          <w:lang w:val="en-US"/>
        </w:rPr>
        <w:br w:type="page"/>
      </w:r>
    </w:p>
    <w:p w:rsidR="00585016" w:rsidRDefault="00585016" w:rsidP="00856F25">
      <w:pPr>
        <w:pStyle w:val="Heading1"/>
        <w:numPr>
          <w:ilvl w:val="0"/>
          <w:numId w:val="27"/>
        </w:numPr>
        <w:rPr>
          <w:lang w:val="en-US"/>
        </w:rPr>
      </w:pPr>
      <w:bookmarkStart w:id="56" w:name="_Toc359957159"/>
      <w:r>
        <w:rPr>
          <w:lang w:val="en-US"/>
        </w:rPr>
        <w:lastRenderedPageBreak/>
        <w:t>Results and Analysis</w:t>
      </w:r>
      <w:bookmarkEnd w:id="56"/>
    </w:p>
    <w:p w:rsidR="00585016" w:rsidRDefault="00856F25" w:rsidP="00585016">
      <w:pPr>
        <w:rPr>
          <w:rFonts w:ascii="Verdana" w:hAnsi="Verdana"/>
          <w:lang w:val="en-US"/>
        </w:rPr>
      </w:pPr>
      <w:r>
        <w:rPr>
          <w:rFonts w:ascii="Verdana" w:hAnsi="Verdana"/>
          <w:lang w:val="en-US"/>
        </w:rPr>
        <w:br/>
      </w:r>
      <w:r w:rsidR="00585016">
        <w:rPr>
          <w:rFonts w:ascii="Verdana" w:hAnsi="Verdana"/>
          <w:lang w:val="en-US"/>
        </w:rPr>
        <w:t xml:space="preserve">This chapter will discuss the results of the regression analysis performed. This will be divided into three subchapters, first the 2007 regression analysis will be reviewed. In subchapter </w:t>
      </w:r>
      <w:r w:rsidR="00FA34EF">
        <w:rPr>
          <w:rFonts w:ascii="Verdana" w:hAnsi="Verdana"/>
          <w:lang w:val="en-US"/>
        </w:rPr>
        <w:t>7.2</w:t>
      </w:r>
      <w:r w:rsidR="00585016">
        <w:rPr>
          <w:rFonts w:ascii="Verdana" w:hAnsi="Verdana"/>
          <w:lang w:val="en-US"/>
        </w:rPr>
        <w:t xml:space="preserve"> the regression analysis of 2009 will be reviewed. After these subchapters the results of 2007 and 2009 will be compared and the effect of the crisis will be analyzed. The chapter will end with a summary and conclusion.</w:t>
      </w:r>
    </w:p>
    <w:p w:rsidR="00856F25" w:rsidRDefault="00856F25" w:rsidP="00585016">
      <w:pPr>
        <w:rPr>
          <w:rFonts w:ascii="Verdana" w:hAnsi="Verdana"/>
          <w:lang w:val="en-US"/>
        </w:rPr>
      </w:pPr>
    </w:p>
    <w:p w:rsidR="00585016" w:rsidRDefault="003C2D90" w:rsidP="00856F25">
      <w:pPr>
        <w:pStyle w:val="Heading2"/>
        <w:rPr>
          <w:lang w:val="en-US"/>
        </w:rPr>
      </w:pPr>
      <w:bookmarkStart w:id="57" w:name="_Toc359957160"/>
      <w:r>
        <w:rPr>
          <w:lang w:val="en-US"/>
        </w:rPr>
        <w:t>7</w:t>
      </w:r>
      <w:r w:rsidR="00856F25">
        <w:rPr>
          <w:lang w:val="en-US"/>
        </w:rPr>
        <w:t xml:space="preserve">.1 </w:t>
      </w:r>
      <w:r w:rsidR="00585016">
        <w:rPr>
          <w:lang w:val="en-US"/>
        </w:rPr>
        <w:t>Regression analysis 2007</w:t>
      </w:r>
      <w:bookmarkEnd w:id="57"/>
    </w:p>
    <w:p w:rsidR="00585016" w:rsidRDefault="00856F25" w:rsidP="00585016">
      <w:pPr>
        <w:rPr>
          <w:rFonts w:ascii="Verdana" w:hAnsi="Verdana"/>
          <w:lang w:val="en-US"/>
        </w:rPr>
      </w:pPr>
      <w:r>
        <w:rPr>
          <w:rFonts w:ascii="Verdana" w:hAnsi="Verdana"/>
          <w:lang w:val="en-US"/>
        </w:rPr>
        <w:br/>
      </w:r>
      <w:r w:rsidR="00585016">
        <w:rPr>
          <w:rFonts w:ascii="Verdana" w:hAnsi="Verdana"/>
          <w:lang w:val="en-US"/>
        </w:rPr>
        <w:t xml:space="preserve">This section will discuss the results of the regression analysis 2007. These are based on the data which was implemented in SPSS as discussed in the previous chapters. The estimates of the regression coefficients are shown in table </w:t>
      </w:r>
      <w:r w:rsidR="006A33EB">
        <w:rPr>
          <w:rFonts w:ascii="Verdana" w:hAnsi="Verdana"/>
          <w:lang w:val="en-US"/>
        </w:rPr>
        <w:t>7.1:</w:t>
      </w:r>
      <w:r w:rsidR="00585016">
        <w:rPr>
          <w:rFonts w:ascii="Verdana" w:hAnsi="Verdana"/>
          <w:lang w:val="en-US"/>
        </w:rPr>
        <w:t xml:space="preserve"> </w:t>
      </w:r>
    </w:p>
    <w:p w:rsidR="00585016" w:rsidRDefault="00FA34EF" w:rsidP="00585016">
      <w:pPr>
        <w:rPr>
          <w:rFonts w:ascii="Verdana" w:hAnsi="Verdana"/>
          <w:i/>
          <w:lang w:val="en-US"/>
        </w:rPr>
      </w:pPr>
      <w:r>
        <w:rPr>
          <w:rFonts w:ascii="Verdana" w:hAnsi="Verdana"/>
          <w:i/>
          <w:lang w:val="en-US"/>
        </w:rPr>
        <w:br/>
      </w:r>
      <w:r w:rsidR="00585016">
        <w:rPr>
          <w:rFonts w:ascii="Verdana" w:hAnsi="Verdana"/>
          <w:i/>
          <w:lang w:val="en-US"/>
        </w:rPr>
        <w:t xml:space="preserve">Table </w:t>
      </w:r>
      <w:r w:rsidR="006A33EB">
        <w:rPr>
          <w:rFonts w:ascii="Verdana" w:hAnsi="Verdana"/>
          <w:i/>
          <w:lang w:val="en-US"/>
        </w:rPr>
        <w:t>7.1</w:t>
      </w:r>
      <w:r w:rsidR="00585016">
        <w:rPr>
          <w:rFonts w:ascii="Verdana" w:hAnsi="Verdana"/>
          <w:i/>
          <w:lang w:val="en-US"/>
        </w:rPr>
        <w:t xml:space="preserve"> Coefficients 2007</w:t>
      </w:r>
    </w:p>
    <w:tbl>
      <w:tblPr>
        <w:tblStyle w:val="DarkList1"/>
        <w:tblW w:w="8415" w:type="dxa"/>
        <w:tblLayout w:type="fixed"/>
        <w:tblLook w:val="04A0" w:firstRow="1" w:lastRow="0" w:firstColumn="1" w:lastColumn="0" w:noHBand="0" w:noVBand="1"/>
      </w:tblPr>
      <w:tblGrid>
        <w:gridCol w:w="1383"/>
        <w:gridCol w:w="1621"/>
        <w:gridCol w:w="1354"/>
        <w:gridCol w:w="1558"/>
        <w:gridCol w:w="1161"/>
        <w:gridCol w:w="1338"/>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single" w:sz="18" w:space="0" w:color="00B0F0"/>
            </w:tcBorders>
            <w:shd w:val="clear" w:color="auto" w:fill="00B0F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Model</w:t>
            </w:r>
          </w:p>
        </w:tc>
        <w:tc>
          <w:tcPr>
            <w:tcW w:w="1622" w:type="dxa"/>
            <w:tcBorders>
              <w:top w:val="single" w:sz="18" w:space="0" w:color="00B0F0"/>
            </w:tcBorders>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B</w:t>
            </w:r>
          </w:p>
        </w:tc>
        <w:tc>
          <w:tcPr>
            <w:tcW w:w="1355" w:type="dxa"/>
            <w:tcBorders>
              <w:top w:val="single" w:sz="18" w:space="0" w:color="00B0F0"/>
            </w:tcBorders>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Std. Error</w:t>
            </w:r>
          </w:p>
        </w:tc>
        <w:tc>
          <w:tcPr>
            <w:tcW w:w="1559" w:type="dxa"/>
            <w:tcBorders>
              <w:top w:val="single" w:sz="18" w:space="0" w:color="00B0F0"/>
            </w:tcBorders>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Beta</w:t>
            </w:r>
          </w:p>
        </w:tc>
        <w:tc>
          <w:tcPr>
            <w:tcW w:w="1162" w:type="dxa"/>
            <w:tcBorders>
              <w:top w:val="single" w:sz="18" w:space="0" w:color="00B0F0"/>
            </w:tcBorders>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t</w:t>
            </w:r>
          </w:p>
        </w:tc>
        <w:tc>
          <w:tcPr>
            <w:tcW w:w="1339" w:type="dxa"/>
            <w:tcBorders>
              <w:top w:val="single" w:sz="18" w:space="0" w:color="00B0F0"/>
            </w:tcBorders>
            <w:shd w:val="clear" w:color="auto" w:fill="00B0F0"/>
            <w:noWrap/>
            <w:hideMark/>
          </w:tcPr>
          <w:p w:rsidR="00585016" w:rsidRPr="006A33EB"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Sig.</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single" w:sz="18" w:space="0" w:color="FFFFFF" w:themeColor="background1"/>
            </w:tcBorders>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1 (Constant)</w:t>
            </w:r>
          </w:p>
        </w:tc>
        <w:tc>
          <w:tcPr>
            <w:tcW w:w="1622" w:type="dxa"/>
            <w:tcBorders>
              <w:top w:val="single" w:sz="18" w:space="0" w:color="FFFFFF" w:themeColor="background1"/>
            </w:tcBorders>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0,189</w:t>
            </w:r>
          </w:p>
        </w:tc>
        <w:tc>
          <w:tcPr>
            <w:tcW w:w="1355" w:type="dxa"/>
            <w:tcBorders>
              <w:top w:val="single" w:sz="18" w:space="0" w:color="FFFFFF" w:themeColor="background1"/>
            </w:tcBorders>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0,128</w:t>
            </w:r>
          </w:p>
        </w:tc>
        <w:tc>
          <w:tcPr>
            <w:tcW w:w="1559" w:type="dxa"/>
            <w:tcBorders>
              <w:top w:val="single" w:sz="18" w:space="0" w:color="FFFFFF" w:themeColor="background1"/>
            </w:tcBorders>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62" w:type="dxa"/>
            <w:tcBorders>
              <w:top w:val="single" w:sz="18" w:space="0" w:color="FFFFFF" w:themeColor="background1"/>
            </w:tcBorders>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1,469</w:t>
            </w:r>
          </w:p>
        </w:tc>
        <w:tc>
          <w:tcPr>
            <w:tcW w:w="1339" w:type="dxa"/>
            <w:tcBorders>
              <w:top w:val="single" w:sz="18" w:space="0" w:color="FFFFFF" w:themeColor="background1"/>
            </w:tcBorders>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0,142</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GW</w:t>
            </w:r>
          </w:p>
        </w:tc>
        <w:tc>
          <w:tcPr>
            <w:tcW w:w="1622"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0,304</w:t>
            </w:r>
          </w:p>
        </w:tc>
        <w:tc>
          <w:tcPr>
            <w:tcW w:w="1355"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0,099</w:t>
            </w:r>
          </w:p>
        </w:tc>
        <w:tc>
          <w:tcPr>
            <w:tcW w:w="1559"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0,109</w:t>
            </w:r>
          </w:p>
        </w:tc>
        <w:tc>
          <w:tcPr>
            <w:tcW w:w="1162"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3,069</w:t>
            </w:r>
          </w:p>
        </w:tc>
        <w:tc>
          <w:tcPr>
            <w:tcW w:w="1339" w:type="dxa"/>
            <w:shd w:val="clear" w:color="auto" w:fill="FFFFFF" w:themeFill="background1"/>
            <w:noWrap/>
            <w:hideMark/>
          </w:tcPr>
          <w:p w:rsidR="00585016" w:rsidRPr="006A33EB"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0,002</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6A33EB" w:rsidRDefault="00585016">
            <w:pPr>
              <w:rPr>
                <w:rFonts w:ascii="Arial" w:eastAsia="Times New Roman" w:hAnsi="Arial" w:cs="Arial"/>
                <w:color w:val="FFFFFF" w:themeColor="background1"/>
                <w:sz w:val="20"/>
                <w:szCs w:val="20"/>
                <w:lang w:val="en-US" w:eastAsia="nl-NL"/>
              </w:rPr>
            </w:pPr>
            <w:r w:rsidRPr="006A33EB">
              <w:rPr>
                <w:rFonts w:ascii="Arial" w:eastAsia="Times New Roman" w:hAnsi="Arial" w:cs="Arial"/>
                <w:color w:val="FFFFFF" w:themeColor="background1"/>
                <w:sz w:val="20"/>
                <w:szCs w:val="20"/>
                <w:lang w:val="en-US" w:eastAsia="nl-NL"/>
              </w:rPr>
              <w:t>SIZE</w:t>
            </w:r>
          </w:p>
        </w:tc>
        <w:tc>
          <w:tcPr>
            <w:tcW w:w="1622"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-0,006</w:t>
            </w:r>
          </w:p>
        </w:tc>
        <w:tc>
          <w:tcPr>
            <w:tcW w:w="1355" w:type="dxa"/>
            <w:shd w:val="clear" w:color="auto" w:fill="FFFFFF" w:themeFill="background1"/>
            <w:noWrap/>
            <w:hideMark/>
          </w:tcPr>
          <w:p w:rsidR="00585016" w:rsidRPr="006A33EB"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6A33EB">
              <w:rPr>
                <w:rFonts w:ascii="Arial" w:eastAsia="Times New Roman" w:hAnsi="Arial" w:cs="Arial"/>
                <w:color w:val="000000"/>
                <w:sz w:val="20"/>
                <w:szCs w:val="20"/>
                <w:lang w:val="en-US" w:eastAsia="nl-NL"/>
              </w:rPr>
              <w:t>0,015</w:t>
            </w:r>
          </w:p>
        </w:tc>
        <w:tc>
          <w:tcPr>
            <w:tcW w:w="155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sidRPr="006A33EB">
              <w:rPr>
                <w:rFonts w:ascii="Arial" w:eastAsia="Times New Roman" w:hAnsi="Arial" w:cs="Arial"/>
                <w:color w:val="000000"/>
                <w:sz w:val="20"/>
                <w:szCs w:val="20"/>
                <w:lang w:val="en-US" w:eastAsia="nl-NL"/>
              </w:rPr>
              <w:t>-0,0</w:t>
            </w:r>
            <w:r>
              <w:rPr>
                <w:rFonts w:ascii="Arial" w:eastAsia="Times New Roman" w:hAnsi="Arial" w:cs="Arial"/>
                <w:color w:val="000000"/>
                <w:sz w:val="20"/>
                <w:szCs w:val="20"/>
                <w:lang w:val="nl-NL" w:eastAsia="nl-NL"/>
              </w:rPr>
              <w:t>15</w:t>
            </w:r>
          </w:p>
        </w:tc>
        <w:tc>
          <w:tcPr>
            <w:tcW w:w="1162"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-0,412</w:t>
            </w:r>
          </w:p>
        </w:tc>
        <w:tc>
          <w:tcPr>
            <w:tcW w:w="133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0,680</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SALES</w:t>
            </w:r>
          </w:p>
        </w:tc>
        <w:tc>
          <w:tcPr>
            <w:tcW w:w="162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0,000</w:t>
            </w:r>
          </w:p>
        </w:tc>
        <w:tc>
          <w:tcPr>
            <w:tcW w:w="1355"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0,000</w:t>
            </w:r>
          </w:p>
        </w:tc>
        <w:tc>
          <w:tcPr>
            <w:tcW w:w="155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0,002</w:t>
            </w:r>
          </w:p>
        </w:tc>
        <w:tc>
          <w:tcPr>
            <w:tcW w:w="116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0,063</w:t>
            </w:r>
          </w:p>
        </w:tc>
        <w:tc>
          <w:tcPr>
            <w:tcW w:w="133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0,950</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CFO</w:t>
            </w:r>
          </w:p>
        </w:tc>
        <w:tc>
          <w:tcPr>
            <w:tcW w:w="1622"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-0,005</w:t>
            </w:r>
          </w:p>
        </w:tc>
        <w:tc>
          <w:tcPr>
            <w:tcW w:w="1355"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0,003</w:t>
            </w:r>
          </w:p>
        </w:tc>
        <w:tc>
          <w:tcPr>
            <w:tcW w:w="155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-0,053</w:t>
            </w:r>
          </w:p>
        </w:tc>
        <w:tc>
          <w:tcPr>
            <w:tcW w:w="1162"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-1,501</w:t>
            </w:r>
          </w:p>
        </w:tc>
        <w:tc>
          <w:tcPr>
            <w:tcW w:w="133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0,134</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ROA</w:t>
            </w:r>
          </w:p>
        </w:tc>
        <w:tc>
          <w:tcPr>
            <w:tcW w:w="162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-0,002</w:t>
            </w:r>
          </w:p>
        </w:tc>
        <w:tc>
          <w:tcPr>
            <w:tcW w:w="1355"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0,001</w:t>
            </w:r>
          </w:p>
        </w:tc>
        <w:tc>
          <w:tcPr>
            <w:tcW w:w="155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-0,052</w:t>
            </w:r>
          </w:p>
        </w:tc>
        <w:tc>
          <w:tcPr>
            <w:tcW w:w="116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-1,457</w:t>
            </w:r>
          </w:p>
        </w:tc>
        <w:tc>
          <w:tcPr>
            <w:tcW w:w="133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0,145</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BigBath</w:t>
            </w:r>
            <w:proofErr w:type="spellEnd"/>
          </w:p>
        </w:tc>
        <w:tc>
          <w:tcPr>
            <w:tcW w:w="1622"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0,279</w:t>
            </w:r>
          </w:p>
        </w:tc>
        <w:tc>
          <w:tcPr>
            <w:tcW w:w="1355"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0,061</w:t>
            </w:r>
          </w:p>
        </w:tc>
        <w:tc>
          <w:tcPr>
            <w:tcW w:w="155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0,174</w:t>
            </w:r>
          </w:p>
        </w:tc>
        <w:tc>
          <w:tcPr>
            <w:tcW w:w="1162"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4,606</w:t>
            </w:r>
          </w:p>
        </w:tc>
        <w:tc>
          <w:tcPr>
            <w:tcW w:w="1339" w:type="dxa"/>
            <w:shd w:val="clear" w:color="auto" w:fill="FFFFFF" w:themeFill="background1"/>
            <w:noWrap/>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0,000</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IncSmooth</w:t>
            </w:r>
            <w:proofErr w:type="spellEnd"/>
          </w:p>
        </w:tc>
        <w:tc>
          <w:tcPr>
            <w:tcW w:w="162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-0,049</w:t>
            </w:r>
          </w:p>
        </w:tc>
        <w:tc>
          <w:tcPr>
            <w:tcW w:w="1355"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0,027</w:t>
            </w:r>
          </w:p>
        </w:tc>
        <w:tc>
          <w:tcPr>
            <w:tcW w:w="155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-0,065</w:t>
            </w:r>
          </w:p>
        </w:tc>
        <w:tc>
          <w:tcPr>
            <w:tcW w:w="1162"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-1,804</w:t>
            </w:r>
          </w:p>
        </w:tc>
        <w:tc>
          <w:tcPr>
            <w:tcW w:w="1339" w:type="dxa"/>
            <w:shd w:val="clear" w:color="auto" w:fill="FFFFFF" w:themeFill="background1"/>
            <w:noWrap/>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0,072</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06" w:type="dxa"/>
            <w:gridSpan w:val="2"/>
            <w:shd w:val="clear" w:color="auto" w:fill="FFFFFF" w:themeFill="background1"/>
            <w:noWrap/>
            <w:hideMark/>
          </w:tcPr>
          <w:p w:rsidR="00585016" w:rsidRDefault="00585016">
            <w:pPr>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 xml:space="preserve">a </w:t>
            </w:r>
            <w:proofErr w:type="spellStart"/>
            <w:r>
              <w:rPr>
                <w:rFonts w:ascii="Arial" w:eastAsia="Times New Roman" w:hAnsi="Arial" w:cs="Arial"/>
                <w:color w:val="000000"/>
                <w:sz w:val="20"/>
                <w:szCs w:val="20"/>
                <w:lang w:val="nl-NL" w:eastAsia="nl-NL"/>
              </w:rPr>
              <w:t>Dependent</w:t>
            </w:r>
            <w:proofErr w:type="spellEnd"/>
            <w:r>
              <w:rPr>
                <w:rFonts w:ascii="Arial" w:eastAsia="Times New Roman" w:hAnsi="Arial" w:cs="Arial"/>
                <w:color w:val="000000"/>
                <w:sz w:val="20"/>
                <w:szCs w:val="20"/>
                <w:lang w:val="nl-NL" w:eastAsia="nl-NL"/>
              </w:rPr>
              <w:t xml:space="preserve"> </w:t>
            </w:r>
            <w:proofErr w:type="spellStart"/>
            <w:r>
              <w:rPr>
                <w:rFonts w:ascii="Arial" w:eastAsia="Times New Roman" w:hAnsi="Arial" w:cs="Arial"/>
                <w:color w:val="000000"/>
                <w:sz w:val="20"/>
                <w:szCs w:val="20"/>
                <w:lang w:val="nl-NL" w:eastAsia="nl-NL"/>
              </w:rPr>
              <w:t>Variable</w:t>
            </w:r>
            <w:proofErr w:type="spellEnd"/>
            <w:r>
              <w:rPr>
                <w:rFonts w:ascii="Arial" w:eastAsia="Times New Roman" w:hAnsi="Arial" w:cs="Arial"/>
                <w:color w:val="000000"/>
                <w:sz w:val="20"/>
                <w:szCs w:val="20"/>
                <w:lang w:val="nl-NL" w:eastAsia="nl-NL"/>
              </w:rPr>
              <w:t>: Imp</w:t>
            </w:r>
          </w:p>
        </w:tc>
        <w:tc>
          <w:tcPr>
            <w:tcW w:w="1355"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559"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62"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9"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bl>
    <w:p w:rsidR="00585016" w:rsidRDefault="00585016" w:rsidP="00585016">
      <w:pPr>
        <w:rPr>
          <w:rFonts w:ascii="Verdana" w:hAnsi="Verdana"/>
          <w:lang w:val="en-US"/>
        </w:rPr>
      </w:pPr>
    </w:p>
    <w:p w:rsidR="00585016" w:rsidRDefault="00585016" w:rsidP="00585016">
      <w:pPr>
        <w:rPr>
          <w:rFonts w:ascii="Verdana" w:hAnsi="Verdana"/>
          <w:lang w:val="en-US"/>
        </w:rPr>
      </w:pPr>
      <w:r>
        <w:rPr>
          <w:rFonts w:ascii="Verdana" w:hAnsi="Verdana"/>
          <w:lang w:val="en-US"/>
        </w:rPr>
        <w:t xml:space="preserve">Table </w:t>
      </w:r>
      <w:r w:rsidR="00FA34EF">
        <w:rPr>
          <w:rFonts w:ascii="Verdana" w:hAnsi="Verdana"/>
          <w:lang w:val="en-US"/>
        </w:rPr>
        <w:t>7.1</w:t>
      </w:r>
      <w:r>
        <w:rPr>
          <w:rFonts w:ascii="Verdana" w:hAnsi="Verdana"/>
          <w:lang w:val="en-US"/>
        </w:rPr>
        <w:t xml:space="preserve"> shows that the control variable </w:t>
      </w:r>
      <w:r>
        <w:rPr>
          <w:rFonts w:ascii="Verdana" w:hAnsi="Verdana"/>
          <w:i/>
          <w:lang w:val="en-US"/>
        </w:rPr>
        <w:t>GW</w:t>
      </w:r>
      <w:r>
        <w:rPr>
          <w:rFonts w:ascii="Verdana" w:hAnsi="Verdana"/>
          <w:i/>
          <w:vertAlign w:val="subscript"/>
          <w:lang w:val="en-US"/>
        </w:rPr>
        <w:t xml:space="preserve"> it</w:t>
      </w:r>
      <w:r>
        <w:rPr>
          <w:rFonts w:ascii="Verdana" w:hAnsi="Verdana"/>
          <w:lang w:val="en-US"/>
        </w:rPr>
        <w:t xml:space="preserve"> and the reporting incentives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i/>
          <w:lang w:val="en-US"/>
        </w:rPr>
        <w:t xml:space="preserve"> </w:t>
      </w:r>
      <w:r>
        <w:rPr>
          <w:rFonts w:ascii="Verdana" w:hAnsi="Verdana"/>
          <w:lang w:val="en-US"/>
        </w:rPr>
        <w:t>and</w:t>
      </w:r>
      <w:r>
        <w:rPr>
          <w:rFonts w:ascii="Verdana" w:hAnsi="Verdana"/>
          <w:i/>
          <w:lang w:val="en-US"/>
        </w:rPr>
        <w:t xml:space="preserve">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have a significant influence on the impairment decision. Hereby it should be noted that </w:t>
      </w:r>
      <w:r>
        <w:rPr>
          <w:rFonts w:ascii="Verdana" w:hAnsi="Verdana"/>
          <w:i/>
          <w:lang w:val="en-US"/>
        </w:rPr>
        <w:t>GW</w:t>
      </w:r>
      <w:r>
        <w:rPr>
          <w:rFonts w:ascii="Verdana" w:hAnsi="Verdana"/>
          <w:i/>
          <w:vertAlign w:val="subscript"/>
          <w:lang w:val="en-US"/>
        </w:rPr>
        <w:t xml:space="preserve"> it</w:t>
      </w:r>
      <w:r>
        <w:rPr>
          <w:rFonts w:ascii="Verdana" w:hAnsi="Verdana"/>
          <w:lang w:val="en-US"/>
        </w:rPr>
        <w:t xml:space="preserve"> and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lang w:val="en-US"/>
        </w:rPr>
        <w:t xml:space="preserve"> are significant at the 1% level and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at the 10% level.</w:t>
      </w:r>
    </w:p>
    <w:p w:rsidR="00585016" w:rsidRDefault="00585016" w:rsidP="00585016">
      <w:pPr>
        <w:rPr>
          <w:rFonts w:ascii="Verdana" w:hAnsi="Verdana"/>
          <w:lang w:val="en-US"/>
        </w:rPr>
      </w:pPr>
      <w:r>
        <w:rPr>
          <w:rFonts w:ascii="Verdana" w:hAnsi="Verdana"/>
          <w:lang w:val="en-US"/>
        </w:rPr>
        <w:t xml:space="preserve">When the effects of these variables on the impairment decision are examined more thoroughly, the conclusion can be drawn that the effect of </w:t>
      </w:r>
      <w:r>
        <w:rPr>
          <w:rFonts w:ascii="Verdana" w:hAnsi="Verdana"/>
          <w:i/>
          <w:lang w:val="en-US"/>
        </w:rPr>
        <w:t xml:space="preserve">GW </w:t>
      </w:r>
      <w:r>
        <w:rPr>
          <w:rFonts w:ascii="Verdana" w:hAnsi="Verdana"/>
          <w:i/>
          <w:vertAlign w:val="subscript"/>
          <w:lang w:val="en-US"/>
        </w:rPr>
        <w:t>it</w:t>
      </w:r>
      <w:r>
        <w:rPr>
          <w:rFonts w:ascii="Verdana" w:hAnsi="Verdana"/>
          <w:lang w:val="en-US"/>
        </w:rPr>
        <w:t xml:space="preserve"> is conform expectation. When a company has got more goodwill on their opening balance, the impairment decision is positively influenced by this. </w:t>
      </w:r>
    </w:p>
    <w:p w:rsidR="00585016" w:rsidRDefault="00D6320E" w:rsidP="00585016">
      <w:pPr>
        <w:rPr>
          <w:rFonts w:ascii="Verdana" w:hAnsi="Verdana"/>
          <w:lang w:val="en-US"/>
        </w:rPr>
      </w:pPr>
      <w:r>
        <w:rPr>
          <w:rFonts w:ascii="Verdana" w:hAnsi="Verdana"/>
          <w:lang w:val="en-US"/>
        </w:rPr>
        <w:t>The reporting incentive</w:t>
      </w:r>
      <w:r w:rsidR="00585016">
        <w:rPr>
          <w:rFonts w:ascii="Verdana" w:hAnsi="Verdana"/>
          <w:lang w:val="en-US"/>
        </w:rPr>
        <w:t xml:space="preserve"> </w:t>
      </w:r>
      <w:proofErr w:type="spellStart"/>
      <w:r w:rsidR="00585016">
        <w:rPr>
          <w:rFonts w:ascii="Verdana" w:hAnsi="Verdana"/>
          <w:i/>
          <w:lang w:val="en-US"/>
        </w:rPr>
        <w:t>BigBath</w:t>
      </w:r>
      <w:proofErr w:type="spellEnd"/>
      <w:r w:rsidR="00585016">
        <w:rPr>
          <w:rFonts w:ascii="Verdana" w:hAnsi="Verdana"/>
          <w:i/>
          <w:vertAlign w:val="subscript"/>
          <w:lang w:val="en-US"/>
        </w:rPr>
        <w:t xml:space="preserve"> it</w:t>
      </w:r>
      <w:r w:rsidR="00585016">
        <w:rPr>
          <w:rFonts w:ascii="Verdana" w:hAnsi="Verdana"/>
          <w:i/>
          <w:lang w:val="en-US"/>
        </w:rPr>
        <w:t xml:space="preserve"> </w:t>
      </w:r>
      <w:r w:rsidR="00585016">
        <w:rPr>
          <w:rFonts w:ascii="Verdana" w:hAnsi="Verdana"/>
          <w:lang w:val="en-US"/>
        </w:rPr>
        <w:t xml:space="preserve">also has a positive significant influence on the impairment decision. This is also conform the expectation, since </w:t>
      </w:r>
      <w:proofErr w:type="spellStart"/>
      <w:r w:rsidR="00585016">
        <w:rPr>
          <w:rFonts w:ascii="Verdana" w:hAnsi="Verdana"/>
          <w:i/>
          <w:lang w:val="en-US"/>
        </w:rPr>
        <w:t>BigBath</w:t>
      </w:r>
      <w:proofErr w:type="spellEnd"/>
      <w:r w:rsidR="00585016">
        <w:rPr>
          <w:rFonts w:ascii="Verdana" w:hAnsi="Verdana"/>
          <w:i/>
          <w:vertAlign w:val="subscript"/>
          <w:lang w:val="en-US"/>
        </w:rPr>
        <w:t xml:space="preserve"> it</w:t>
      </w:r>
      <w:r w:rsidR="00585016">
        <w:rPr>
          <w:rFonts w:ascii="Verdana" w:hAnsi="Verdana"/>
          <w:lang w:val="en-US"/>
        </w:rPr>
        <w:t xml:space="preserve"> takes a value of one when the company performs below industry mean, concluding that when a company performs below industry mean, the change of taking an impairment loss is significantly increased. This implies that companies use big bath accounting through impairments losses as a tool for earnings management. Therefore this provides evidence for Hypothesis 1</w:t>
      </w:r>
      <w:r w:rsidR="00585016">
        <w:rPr>
          <w:rFonts w:ascii="Verdana" w:hAnsi="Verdana"/>
          <w:i/>
          <w:lang w:val="en-US"/>
        </w:rPr>
        <w:t xml:space="preserve"> </w:t>
      </w:r>
      <w:r w:rsidR="00585016">
        <w:rPr>
          <w:rFonts w:ascii="Verdana" w:hAnsi="Verdana"/>
          <w:lang w:val="en-US"/>
        </w:rPr>
        <w:t>that industrial firms are more likely to recognize a goodwill impairment loss when they perform below branch average.</w:t>
      </w:r>
    </w:p>
    <w:p w:rsidR="00585016" w:rsidRDefault="00585016" w:rsidP="00585016">
      <w:pPr>
        <w:rPr>
          <w:rFonts w:ascii="Verdana" w:hAnsi="Verdana"/>
          <w:lang w:val="en-US"/>
        </w:rPr>
      </w:pPr>
      <w:r>
        <w:rPr>
          <w:rFonts w:ascii="Verdana" w:hAnsi="Verdana"/>
          <w:lang w:val="en-US"/>
        </w:rPr>
        <w:lastRenderedPageBreak/>
        <w:t xml:space="preserve">The reporting incentives </w:t>
      </w:r>
      <w:proofErr w:type="spellStart"/>
      <w:r>
        <w:rPr>
          <w:rFonts w:ascii="Verdana" w:hAnsi="Verdana"/>
          <w:i/>
          <w:lang w:val="en-US"/>
        </w:rPr>
        <w:t>IncSmooth</w:t>
      </w:r>
      <w:r>
        <w:rPr>
          <w:rFonts w:ascii="Verdana" w:hAnsi="Verdana"/>
          <w:i/>
          <w:vertAlign w:val="subscript"/>
          <w:lang w:val="en-US"/>
        </w:rPr>
        <w:t>it</w:t>
      </w:r>
      <w:proofErr w:type="spellEnd"/>
      <w:r>
        <w:rPr>
          <w:rFonts w:ascii="Verdana" w:hAnsi="Verdana"/>
          <w:lang w:val="en-US"/>
        </w:rPr>
        <w:t xml:space="preserve"> shows a negative significant influence on the impairment decision. This would imply that when a firm performs above branch average the change of taking an impairment loss significantly decreases. This is contrary to expectations and previous research (</w:t>
      </w:r>
      <w:proofErr w:type="spellStart"/>
      <w:r>
        <w:rPr>
          <w:rFonts w:ascii="Verdana" w:hAnsi="Verdana"/>
          <w:lang w:val="en-US"/>
        </w:rPr>
        <w:t>Zucca</w:t>
      </w:r>
      <w:proofErr w:type="spellEnd"/>
      <w:r>
        <w:rPr>
          <w:rFonts w:ascii="Verdana" w:hAnsi="Verdana"/>
          <w:lang w:val="en-US"/>
        </w:rPr>
        <w:t xml:space="preserve"> and Campbell, 1992; Van de </w:t>
      </w:r>
      <w:proofErr w:type="spellStart"/>
      <w:r>
        <w:rPr>
          <w:rFonts w:ascii="Verdana" w:hAnsi="Verdana"/>
          <w:lang w:val="en-US"/>
        </w:rPr>
        <w:t>Poel</w:t>
      </w:r>
      <w:proofErr w:type="spellEnd"/>
      <w:r>
        <w:rPr>
          <w:rFonts w:ascii="Verdana" w:hAnsi="Verdana"/>
          <w:lang w:val="en-US"/>
        </w:rPr>
        <w:t xml:space="preserve"> et al., 2008; Wang, 2009) and provides evidence that rejects Hypothesis 2</w:t>
      </w:r>
      <w:r w:rsidR="000C61BB">
        <w:rPr>
          <w:rFonts w:ascii="Verdana" w:hAnsi="Verdana"/>
          <w:lang w:val="en-US"/>
        </w:rPr>
        <w:t>.0</w:t>
      </w:r>
      <w:r>
        <w:rPr>
          <w:rFonts w:ascii="Verdana" w:hAnsi="Verdana"/>
          <w:lang w:val="en-US"/>
        </w:rPr>
        <w:t xml:space="preserve"> that industrial firms are more likely to recognize a goodwill impairment loss when they perform above branch average. One explanation for the effect that is seen here which contradicts expectations and previous research is that the size of the firms performing above branch average when looking at the pre-impaired earnings from year </w:t>
      </w:r>
      <w:proofErr w:type="spellStart"/>
      <w:r>
        <w:rPr>
          <w:rFonts w:ascii="Verdana" w:hAnsi="Verdana"/>
          <w:i/>
          <w:lang w:val="en-US"/>
        </w:rPr>
        <w:t>t</w:t>
      </w:r>
      <w:proofErr w:type="spellEnd"/>
      <w:r>
        <w:rPr>
          <w:rFonts w:ascii="Verdana" w:hAnsi="Verdana"/>
          <w:lang w:val="en-US"/>
        </w:rPr>
        <w:t xml:space="preserve"> divided by the total assets of the company at year </w:t>
      </w:r>
      <w:r>
        <w:rPr>
          <w:rFonts w:ascii="Verdana" w:hAnsi="Verdana"/>
          <w:i/>
          <w:lang w:val="en-US"/>
        </w:rPr>
        <w:t>t</w:t>
      </w:r>
      <w:r>
        <w:rPr>
          <w:rFonts w:ascii="Verdana" w:hAnsi="Verdana"/>
          <w:lang w:val="en-US"/>
        </w:rPr>
        <w:t xml:space="preserve"> and comparing this to the median of the branch is larger than the approximately 25% expected</w:t>
      </w:r>
      <w:r w:rsidR="00C33C83">
        <w:rPr>
          <w:rFonts w:ascii="Verdana" w:hAnsi="Verdana"/>
          <w:lang w:val="en-US"/>
        </w:rPr>
        <w:t>. This is</w:t>
      </w:r>
      <w:r>
        <w:rPr>
          <w:rFonts w:ascii="Verdana" w:hAnsi="Verdana"/>
          <w:lang w:val="en-US"/>
        </w:rPr>
        <w:t xml:space="preserve"> due to the fact that there were more positive pre-impai</w:t>
      </w:r>
      <w:r w:rsidR="0046445D">
        <w:rPr>
          <w:rFonts w:ascii="Verdana" w:hAnsi="Verdana"/>
          <w:lang w:val="en-US"/>
        </w:rPr>
        <w:t>red earnings as shown in figure</w:t>
      </w:r>
      <w:r>
        <w:rPr>
          <w:rFonts w:ascii="Verdana" w:hAnsi="Verdana"/>
          <w:lang w:val="en-US"/>
        </w:rPr>
        <w:t xml:space="preserve"> </w:t>
      </w:r>
      <w:r w:rsidR="00FA34EF">
        <w:rPr>
          <w:rFonts w:ascii="Verdana" w:hAnsi="Verdana"/>
          <w:lang w:val="en-US"/>
        </w:rPr>
        <w:t>7.1</w:t>
      </w:r>
      <w:r>
        <w:rPr>
          <w:rFonts w:ascii="Verdana" w:hAnsi="Verdana"/>
          <w:lang w:val="en-US"/>
        </w:rPr>
        <w:t xml:space="preserve">  </w:t>
      </w:r>
    </w:p>
    <w:p w:rsidR="00585016" w:rsidRDefault="00FA34EF" w:rsidP="00585016">
      <w:pPr>
        <w:rPr>
          <w:rFonts w:ascii="Verdana" w:hAnsi="Verdana"/>
          <w:i/>
          <w:lang w:val="en-US"/>
        </w:rPr>
      </w:pPr>
      <w:r>
        <w:rPr>
          <w:rFonts w:ascii="Verdana" w:hAnsi="Verdana"/>
          <w:i/>
          <w:lang w:val="en-US"/>
        </w:rPr>
        <w:br/>
      </w:r>
      <w:r w:rsidR="00585016">
        <w:rPr>
          <w:rFonts w:ascii="Verdana" w:hAnsi="Verdana"/>
          <w:i/>
          <w:lang w:val="en-US"/>
        </w:rPr>
        <w:t xml:space="preserve">Figure </w:t>
      </w:r>
      <w:r>
        <w:rPr>
          <w:rFonts w:ascii="Verdana" w:hAnsi="Verdana"/>
          <w:i/>
          <w:lang w:val="en-US"/>
        </w:rPr>
        <w:t>7.1 2007 Pre-impaired earnings</w:t>
      </w:r>
    </w:p>
    <w:p w:rsidR="00585016" w:rsidRDefault="00585016" w:rsidP="00585016">
      <w:pPr>
        <w:rPr>
          <w:rFonts w:ascii="Verdana" w:hAnsi="Verdana"/>
          <w:lang w:val="en-US"/>
        </w:rPr>
      </w:pPr>
      <w:r>
        <w:rPr>
          <w:rFonts w:ascii="Verdana" w:hAnsi="Verdana"/>
          <w:noProof/>
          <w:lang w:val="nl-NL" w:eastAsia="nl-NL"/>
        </w:rPr>
        <w:drawing>
          <wp:inline distT="0" distB="0" distL="0" distR="0" wp14:anchorId="2F881F67" wp14:editId="1429896A">
            <wp:extent cx="5581650" cy="22574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445D" w:rsidRDefault="00D6320E" w:rsidP="00585016">
      <w:pPr>
        <w:rPr>
          <w:rFonts w:ascii="Verdana" w:hAnsi="Verdana"/>
          <w:lang w:val="en-US"/>
        </w:rPr>
      </w:pPr>
      <w:r>
        <w:rPr>
          <w:rFonts w:ascii="Verdana" w:hAnsi="Verdana"/>
          <w:lang w:val="en-US"/>
        </w:rPr>
        <w:t>The reporting incentive</w:t>
      </w:r>
      <w:r w:rsidR="0046445D">
        <w:rPr>
          <w:rFonts w:ascii="Verdana" w:hAnsi="Verdana"/>
          <w:lang w:val="en-US"/>
        </w:rPr>
        <w:t xml:space="preserve"> </w:t>
      </w:r>
      <w:proofErr w:type="spellStart"/>
      <w:r w:rsidR="0046445D">
        <w:rPr>
          <w:rFonts w:ascii="Verdana" w:hAnsi="Verdana"/>
          <w:i/>
          <w:lang w:val="en-US"/>
        </w:rPr>
        <w:t>IncSmooth</w:t>
      </w:r>
      <w:r w:rsidR="0046445D">
        <w:rPr>
          <w:rFonts w:ascii="Verdana" w:hAnsi="Verdana"/>
          <w:i/>
          <w:vertAlign w:val="subscript"/>
          <w:lang w:val="en-US"/>
        </w:rPr>
        <w:t>it</w:t>
      </w:r>
      <w:proofErr w:type="spellEnd"/>
      <w:r w:rsidR="0046445D">
        <w:rPr>
          <w:rFonts w:ascii="Verdana" w:hAnsi="Verdana"/>
          <w:lang w:val="en-US"/>
        </w:rPr>
        <w:t xml:space="preserve"> </w:t>
      </w:r>
      <w:r>
        <w:rPr>
          <w:rFonts w:ascii="Verdana" w:hAnsi="Verdana"/>
          <w:lang w:val="en-US"/>
        </w:rPr>
        <w:t>is</w:t>
      </w:r>
      <w:r w:rsidR="0046445D">
        <w:rPr>
          <w:rFonts w:ascii="Verdana" w:hAnsi="Verdana"/>
          <w:lang w:val="en-US"/>
        </w:rPr>
        <w:t xml:space="preserve"> calculated by dividing the pre-impaired earnings from year </w:t>
      </w:r>
      <w:r w:rsidR="0046445D">
        <w:rPr>
          <w:rFonts w:ascii="Verdana" w:hAnsi="Verdana"/>
          <w:i/>
          <w:lang w:val="en-US"/>
        </w:rPr>
        <w:t>t</w:t>
      </w:r>
      <w:r w:rsidR="0046445D">
        <w:rPr>
          <w:rFonts w:ascii="Verdana" w:hAnsi="Verdana"/>
          <w:lang w:val="en-US"/>
        </w:rPr>
        <w:t xml:space="preserve"> with the total assets of the company at year </w:t>
      </w:r>
      <w:r w:rsidR="0046445D">
        <w:rPr>
          <w:rFonts w:ascii="Verdana" w:hAnsi="Verdana"/>
          <w:i/>
          <w:lang w:val="en-US"/>
        </w:rPr>
        <w:t>t</w:t>
      </w:r>
      <w:r w:rsidR="0046445D">
        <w:rPr>
          <w:rFonts w:ascii="Verdana" w:hAnsi="Verdana"/>
          <w:lang w:val="en-US"/>
        </w:rPr>
        <w:t xml:space="preserve"> and comparing this to the median of the branch. When a company is above the industry median of non-zero positive values, </w:t>
      </w:r>
      <w:proofErr w:type="spellStart"/>
      <w:r w:rsidR="0046445D">
        <w:rPr>
          <w:rFonts w:ascii="Verdana" w:hAnsi="Verdana"/>
          <w:i/>
          <w:lang w:val="en-US"/>
        </w:rPr>
        <w:t>IncSmooth</w:t>
      </w:r>
      <w:r w:rsidR="0046445D">
        <w:rPr>
          <w:rFonts w:ascii="Verdana" w:hAnsi="Verdana"/>
          <w:i/>
          <w:vertAlign w:val="subscript"/>
          <w:lang w:val="en-US"/>
        </w:rPr>
        <w:t>it</w:t>
      </w:r>
      <w:proofErr w:type="spellEnd"/>
      <w:r w:rsidR="0046445D">
        <w:rPr>
          <w:rFonts w:ascii="Verdana" w:hAnsi="Verdana"/>
          <w:lang w:val="en-US"/>
        </w:rPr>
        <w:t xml:space="preserve"> will be 1. When the company is below the industry median of non-zero positive values </w:t>
      </w:r>
      <w:proofErr w:type="spellStart"/>
      <w:r w:rsidR="0046445D">
        <w:rPr>
          <w:rFonts w:ascii="Verdana" w:hAnsi="Verdana"/>
          <w:i/>
          <w:lang w:val="en-US"/>
        </w:rPr>
        <w:t>IncSmooth</w:t>
      </w:r>
      <w:r w:rsidR="0046445D">
        <w:rPr>
          <w:rFonts w:ascii="Verdana" w:hAnsi="Verdana"/>
          <w:i/>
          <w:vertAlign w:val="subscript"/>
          <w:lang w:val="en-US"/>
        </w:rPr>
        <w:t>it</w:t>
      </w:r>
      <w:proofErr w:type="spellEnd"/>
      <w:r w:rsidR="0046445D">
        <w:rPr>
          <w:rFonts w:ascii="Verdana" w:hAnsi="Verdana"/>
          <w:lang w:val="en-US"/>
        </w:rPr>
        <w:t xml:space="preserve"> will be 0. </w:t>
      </w:r>
    </w:p>
    <w:p w:rsidR="00585016" w:rsidRDefault="00585016" w:rsidP="00585016">
      <w:pPr>
        <w:rPr>
          <w:rFonts w:ascii="Verdana" w:hAnsi="Verdana"/>
          <w:lang w:val="en-US"/>
        </w:rPr>
      </w:pPr>
      <w:r>
        <w:rPr>
          <w:rFonts w:ascii="Verdana" w:hAnsi="Verdana"/>
          <w:lang w:val="en-US"/>
        </w:rPr>
        <w:t>As shown</w:t>
      </w:r>
      <w:r w:rsidR="0046445D">
        <w:rPr>
          <w:rFonts w:ascii="Verdana" w:hAnsi="Verdana"/>
          <w:lang w:val="en-US"/>
        </w:rPr>
        <w:t xml:space="preserve"> in </w:t>
      </w:r>
      <w:r w:rsidR="00815E7F">
        <w:rPr>
          <w:rFonts w:ascii="Verdana" w:hAnsi="Verdana"/>
          <w:lang w:val="en-US"/>
        </w:rPr>
        <w:t>figu</w:t>
      </w:r>
      <w:r w:rsidR="00FA34EF">
        <w:rPr>
          <w:rFonts w:ascii="Verdana" w:hAnsi="Verdana"/>
          <w:lang w:val="en-US"/>
        </w:rPr>
        <w:t>r</w:t>
      </w:r>
      <w:r w:rsidR="00815E7F">
        <w:rPr>
          <w:rFonts w:ascii="Verdana" w:hAnsi="Verdana"/>
          <w:lang w:val="en-US"/>
        </w:rPr>
        <w:t>e</w:t>
      </w:r>
      <w:r w:rsidR="00FA34EF">
        <w:rPr>
          <w:rFonts w:ascii="Verdana" w:hAnsi="Verdana"/>
          <w:lang w:val="en-US"/>
        </w:rPr>
        <w:t xml:space="preserve"> 7.1,</w:t>
      </w:r>
      <w:r>
        <w:rPr>
          <w:rFonts w:ascii="Verdana" w:hAnsi="Verdana"/>
          <w:lang w:val="en-US"/>
        </w:rPr>
        <w:t xml:space="preserve"> the pre-impaired earnings observations which had received a 1 for performing above branch average are almost 50% of the total sample</w:t>
      </w:r>
      <w:r w:rsidR="00274A72">
        <w:rPr>
          <w:rFonts w:ascii="Verdana" w:hAnsi="Verdana"/>
          <w:lang w:val="en-US"/>
        </w:rPr>
        <w:t xml:space="preserve"> (336 out of 767)</w:t>
      </w:r>
      <w:r>
        <w:rPr>
          <w:rFonts w:ascii="Verdana" w:hAnsi="Verdana"/>
          <w:lang w:val="en-US"/>
        </w:rPr>
        <w:t xml:space="preserve">. To filter the test sample on top performing companies, </w:t>
      </w:r>
      <w:r w:rsidR="0046445D">
        <w:rPr>
          <w:rFonts w:ascii="Verdana" w:hAnsi="Verdana"/>
          <w:lang w:val="en-US"/>
        </w:rPr>
        <w:t>the regression analyses 2007 has been performed again, but this time only the t</w:t>
      </w:r>
      <w:r w:rsidR="00274A72">
        <w:rPr>
          <w:rFonts w:ascii="Verdana" w:hAnsi="Verdana"/>
          <w:lang w:val="en-US"/>
        </w:rPr>
        <w:t>op 100</w:t>
      </w:r>
      <w:r>
        <w:rPr>
          <w:rFonts w:ascii="Verdana" w:hAnsi="Verdana"/>
          <w:lang w:val="en-US"/>
        </w:rPr>
        <w:t xml:space="preserve"> of the companies performing above </w:t>
      </w:r>
      <w:r w:rsidR="0046445D">
        <w:rPr>
          <w:rFonts w:ascii="Verdana" w:hAnsi="Verdana"/>
          <w:lang w:val="en-US"/>
        </w:rPr>
        <w:t xml:space="preserve">branch average </w:t>
      </w:r>
      <w:r w:rsidR="00274A72">
        <w:rPr>
          <w:rFonts w:ascii="Verdana" w:hAnsi="Verdana"/>
          <w:lang w:val="en-US"/>
        </w:rPr>
        <w:t xml:space="preserve">are given a 1 for </w:t>
      </w:r>
      <w:proofErr w:type="spellStart"/>
      <w:r w:rsidR="00274A72">
        <w:rPr>
          <w:rFonts w:ascii="Verdana" w:hAnsi="Verdana"/>
          <w:i/>
          <w:lang w:val="en-US"/>
        </w:rPr>
        <w:t>IncSmooth</w:t>
      </w:r>
      <w:r w:rsidR="00274A72">
        <w:rPr>
          <w:rFonts w:ascii="Verdana" w:hAnsi="Verdana"/>
          <w:i/>
          <w:vertAlign w:val="subscript"/>
          <w:lang w:val="en-US"/>
        </w:rPr>
        <w:t>it</w:t>
      </w:r>
      <w:proofErr w:type="spellEnd"/>
      <w:r w:rsidR="00274A72">
        <w:rPr>
          <w:rFonts w:ascii="Verdana" w:hAnsi="Verdana"/>
          <w:lang w:val="en-US"/>
        </w:rPr>
        <w:t xml:space="preserve">. This gives the following </w:t>
      </w:r>
      <w:r w:rsidR="00815E7F">
        <w:rPr>
          <w:rFonts w:ascii="Verdana" w:hAnsi="Verdana"/>
          <w:lang w:val="en-US"/>
        </w:rPr>
        <w:t>regression coefficients</w:t>
      </w:r>
      <w:r w:rsidR="00274A72">
        <w:rPr>
          <w:rFonts w:ascii="Verdana" w:hAnsi="Verdana"/>
          <w:lang w:val="en-US"/>
        </w:rPr>
        <w:t>:</w:t>
      </w:r>
    </w:p>
    <w:p w:rsidR="00FA34EF" w:rsidRDefault="00FA34EF">
      <w:pPr>
        <w:rPr>
          <w:rFonts w:ascii="Verdana" w:hAnsi="Verdana"/>
          <w:i/>
          <w:lang w:val="en-US"/>
        </w:rPr>
      </w:pPr>
      <w:bookmarkStart w:id="58" w:name="_GoBack"/>
      <w:bookmarkEnd w:id="58"/>
      <w:r>
        <w:rPr>
          <w:rFonts w:ascii="Verdana" w:hAnsi="Verdana"/>
          <w:i/>
          <w:lang w:val="en-US"/>
        </w:rPr>
        <w:br w:type="page"/>
      </w:r>
    </w:p>
    <w:p w:rsidR="00274A72" w:rsidRDefault="00274A72" w:rsidP="00274A72">
      <w:pPr>
        <w:rPr>
          <w:rFonts w:ascii="Verdana" w:hAnsi="Verdana"/>
          <w:i/>
          <w:lang w:val="en-US"/>
        </w:rPr>
      </w:pPr>
      <w:r>
        <w:rPr>
          <w:rFonts w:ascii="Verdana" w:hAnsi="Verdana"/>
          <w:i/>
          <w:lang w:val="en-US"/>
        </w:rPr>
        <w:lastRenderedPageBreak/>
        <w:t xml:space="preserve">Table </w:t>
      </w:r>
      <w:r w:rsidR="00FA34EF">
        <w:rPr>
          <w:rFonts w:ascii="Verdana" w:hAnsi="Verdana"/>
          <w:i/>
          <w:lang w:val="en-US"/>
        </w:rPr>
        <w:t>7.2</w:t>
      </w:r>
      <w:r>
        <w:rPr>
          <w:rFonts w:ascii="Verdana" w:hAnsi="Verdana"/>
          <w:i/>
          <w:lang w:val="en-US"/>
        </w:rPr>
        <w:t xml:space="preserve"> Alternative testing coefficients 2007</w:t>
      </w:r>
    </w:p>
    <w:tbl>
      <w:tblPr>
        <w:tblStyle w:val="DarkList1"/>
        <w:tblW w:w="8415" w:type="dxa"/>
        <w:tblLayout w:type="fixed"/>
        <w:tblLook w:val="04A0" w:firstRow="1" w:lastRow="0" w:firstColumn="1" w:lastColumn="0" w:noHBand="0" w:noVBand="1"/>
      </w:tblPr>
      <w:tblGrid>
        <w:gridCol w:w="1383"/>
        <w:gridCol w:w="1621"/>
        <w:gridCol w:w="1354"/>
        <w:gridCol w:w="1558"/>
        <w:gridCol w:w="1161"/>
        <w:gridCol w:w="1338"/>
      </w:tblGrid>
      <w:tr w:rsidR="00274A72" w:rsidTr="00274A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single" w:sz="18" w:space="0" w:color="00B0F0"/>
            </w:tcBorders>
            <w:shd w:val="clear" w:color="auto" w:fill="00B0F0"/>
            <w:noWrap/>
            <w:hideMark/>
          </w:tcPr>
          <w:p w:rsidR="00274A72" w:rsidRPr="00FA34EF" w:rsidRDefault="00274A72" w:rsidP="009B7C3F">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Model</w:t>
            </w:r>
          </w:p>
        </w:tc>
        <w:tc>
          <w:tcPr>
            <w:tcW w:w="1621" w:type="dxa"/>
            <w:tcBorders>
              <w:top w:val="single" w:sz="18" w:space="0" w:color="00B0F0"/>
            </w:tcBorders>
            <w:shd w:val="clear" w:color="auto" w:fill="00B0F0"/>
            <w:noWrap/>
            <w:hideMark/>
          </w:tcPr>
          <w:p w:rsidR="00274A72" w:rsidRPr="00FA34EF" w:rsidRDefault="00274A72" w:rsidP="009B7C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B</w:t>
            </w:r>
          </w:p>
        </w:tc>
        <w:tc>
          <w:tcPr>
            <w:tcW w:w="1354" w:type="dxa"/>
            <w:tcBorders>
              <w:top w:val="single" w:sz="18" w:space="0" w:color="00B0F0"/>
            </w:tcBorders>
            <w:shd w:val="clear" w:color="auto" w:fill="00B0F0"/>
            <w:noWrap/>
            <w:hideMark/>
          </w:tcPr>
          <w:p w:rsidR="00274A72" w:rsidRPr="00FA34EF" w:rsidRDefault="00274A72" w:rsidP="009B7C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Std. Error</w:t>
            </w:r>
          </w:p>
        </w:tc>
        <w:tc>
          <w:tcPr>
            <w:tcW w:w="1558" w:type="dxa"/>
            <w:tcBorders>
              <w:top w:val="single" w:sz="18" w:space="0" w:color="00B0F0"/>
            </w:tcBorders>
            <w:shd w:val="clear" w:color="auto" w:fill="00B0F0"/>
            <w:noWrap/>
            <w:hideMark/>
          </w:tcPr>
          <w:p w:rsidR="00274A72" w:rsidRPr="00FA34EF" w:rsidRDefault="00274A72" w:rsidP="009B7C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Beta</w:t>
            </w:r>
          </w:p>
        </w:tc>
        <w:tc>
          <w:tcPr>
            <w:tcW w:w="1161" w:type="dxa"/>
            <w:tcBorders>
              <w:top w:val="single" w:sz="18" w:space="0" w:color="00B0F0"/>
            </w:tcBorders>
            <w:shd w:val="clear" w:color="auto" w:fill="00B0F0"/>
            <w:noWrap/>
            <w:hideMark/>
          </w:tcPr>
          <w:p w:rsidR="00274A72" w:rsidRPr="00FA34EF" w:rsidRDefault="00274A72" w:rsidP="009B7C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t</w:t>
            </w:r>
          </w:p>
        </w:tc>
        <w:tc>
          <w:tcPr>
            <w:tcW w:w="1338" w:type="dxa"/>
            <w:tcBorders>
              <w:top w:val="single" w:sz="18" w:space="0" w:color="00B0F0"/>
            </w:tcBorders>
            <w:shd w:val="clear" w:color="auto" w:fill="00B0F0"/>
            <w:noWrap/>
            <w:hideMark/>
          </w:tcPr>
          <w:p w:rsidR="00274A72" w:rsidRPr="00FA34EF" w:rsidRDefault="00274A72" w:rsidP="009B7C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Sig.</w:t>
            </w:r>
          </w:p>
        </w:tc>
      </w:tr>
      <w:tr w:rsidR="00274A72" w:rsidTr="00274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single" w:sz="18" w:space="0" w:color="FFFFFF" w:themeColor="background1"/>
            </w:tcBorders>
            <w:shd w:val="clear" w:color="auto" w:fill="0070C0"/>
            <w:noWrap/>
            <w:hideMark/>
          </w:tcPr>
          <w:p w:rsidR="00274A72" w:rsidRPr="00FA34EF" w:rsidRDefault="00274A72" w:rsidP="009B7C3F">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1 (Constant)</w:t>
            </w:r>
          </w:p>
        </w:tc>
        <w:tc>
          <w:tcPr>
            <w:tcW w:w="1621" w:type="dxa"/>
            <w:tcBorders>
              <w:top w:val="single" w:sz="18" w:space="0" w:color="FFFFFF" w:themeColor="background1"/>
            </w:tcBorders>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0,186</w:t>
            </w:r>
          </w:p>
        </w:tc>
        <w:tc>
          <w:tcPr>
            <w:tcW w:w="1354" w:type="dxa"/>
            <w:tcBorders>
              <w:top w:val="single" w:sz="18" w:space="0" w:color="FFFFFF" w:themeColor="background1"/>
            </w:tcBorders>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0,128</w:t>
            </w:r>
          </w:p>
        </w:tc>
        <w:tc>
          <w:tcPr>
            <w:tcW w:w="1558" w:type="dxa"/>
            <w:tcBorders>
              <w:top w:val="single" w:sz="18" w:space="0" w:color="FFFFFF" w:themeColor="background1"/>
            </w:tcBorders>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1" w:type="dxa"/>
            <w:tcBorders>
              <w:top w:val="single" w:sz="18" w:space="0" w:color="FFFFFF" w:themeColor="background1"/>
            </w:tcBorders>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1,448</w:t>
            </w:r>
          </w:p>
        </w:tc>
        <w:tc>
          <w:tcPr>
            <w:tcW w:w="1338" w:type="dxa"/>
            <w:tcBorders>
              <w:top w:val="single" w:sz="18" w:space="0" w:color="FFFFFF" w:themeColor="background1"/>
            </w:tcBorders>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0,148</w:t>
            </w:r>
          </w:p>
        </w:tc>
      </w:tr>
      <w:tr w:rsidR="00274A72" w:rsidTr="00274A72">
        <w:trPr>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nil"/>
            </w:tcBorders>
            <w:shd w:val="clear" w:color="auto" w:fill="0070C0"/>
            <w:noWrap/>
            <w:hideMark/>
          </w:tcPr>
          <w:p w:rsidR="00274A72" w:rsidRPr="00FA34EF" w:rsidRDefault="00274A72" w:rsidP="009B7C3F">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GW</w:t>
            </w:r>
          </w:p>
        </w:tc>
        <w:tc>
          <w:tcPr>
            <w:tcW w:w="162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0,299</w:t>
            </w:r>
          </w:p>
        </w:tc>
        <w:tc>
          <w:tcPr>
            <w:tcW w:w="1354"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0,099</w:t>
            </w:r>
          </w:p>
        </w:tc>
        <w:tc>
          <w:tcPr>
            <w:tcW w:w="155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0,107</w:t>
            </w:r>
          </w:p>
        </w:tc>
        <w:tc>
          <w:tcPr>
            <w:tcW w:w="116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3,013</w:t>
            </w:r>
          </w:p>
        </w:tc>
        <w:tc>
          <w:tcPr>
            <w:tcW w:w="133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0,003</w:t>
            </w:r>
          </w:p>
        </w:tc>
      </w:tr>
      <w:tr w:rsidR="00274A72" w:rsidTr="00274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3" w:type="dxa"/>
            <w:shd w:val="clear" w:color="auto" w:fill="0070C0"/>
            <w:noWrap/>
            <w:hideMark/>
          </w:tcPr>
          <w:p w:rsidR="00274A72" w:rsidRPr="00FA34EF" w:rsidRDefault="00274A72" w:rsidP="009B7C3F">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SIZE</w:t>
            </w:r>
          </w:p>
        </w:tc>
        <w:tc>
          <w:tcPr>
            <w:tcW w:w="162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-0,008</w:t>
            </w:r>
          </w:p>
        </w:tc>
        <w:tc>
          <w:tcPr>
            <w:tcW w:w="1354"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0,015</w:t>
            </w:r>
          </w:p>
        </w:tc>
        <w:tc>
          <w:tcPr>
            <w:tcW w:w="155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-0,019</w:t>
            </w:r>
          </w:p>
        </w:tc>
        <w:tc>
          <w:tcPr>
            <w:tcW w:w="116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-0,505</w:t>
            </w:r>
          </w:p>
        </w:tc>
        <w:tc>
          <w:tcPr>
            <w:tcW w:w="133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0,614</w:t>
            </w:r>
          </w:p>
        </w:tc>
      </w:tr>
      <w:tr w:rsidR="00274A72" w:rsidTr="00274A72">
        <w:trPr>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nil"/>
            </w:tcBorders>
            <w:shd w:val="clear" w:color="auto" w:fill="0070C0"/>
            <w:noWrap/>
            <w:hideMark/>
          </w:tcPr>
          <w:p w:rsidR="00274A72" w:rsidRPr="00DC1C3A" w:rsidRDefault="00274A72" w:rsidP="009B7C3F">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SALES</w:t>
            </w:r>
          </w:p>
        </w:tc>
        <w:tc>
          <w:tcPr>
            <w:tcW w:w="162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0,000</w:t>
            </w:r>
          </w:p>
        </w:tc>
        <w:tc>
          <w:tcPr>
            <w:tcW w:w="1354"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0,000</w:t>
            </w:r>
          </w:p>
        </w:tc>
        <w:tc>
          <w:tcPr>
            <w:tcW w:w="155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0,000</w:t>
            </w:r>
          </w:p>
        </w:tc>
        <w:tc>
          <w:tcPr>
            <w:tcW w:w="116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0,006</w:t>
            </w:r>
          </w:p>
        </w:tc>
        <w:tc>
          <w:tcPr>
            <w:tcW w:w="133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0,995</w:t>
            </w:r>
          </w:p>
        </w:tc>
      </w:tr>
      <w:tr w:rsidR="00274A72" w:rsidTr="00274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3" w:type="dxa"/>
            <w:shd w:val="clear" w:color="auto" w:fill="0070C0"/>
            <w:noWrap/>
            <w:hideMark/>
          </w:tcPr>
          <w:p w:rsidR="00274A72" w:rsidRPr="00DC1C3A" w:rsidRDefault="00274A72" w:rsidP="009B7C3F">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CFO</w:t>
            </w:r>
          </w:p>
        </w:tc>
        <w:tc>
          <w:tcPr>
            <w:tcW w:w="162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-0,005</w:t>
            </w:r>
          </w:p>
        </w:tc>
        <w:tc>
          <w:tcPr>
            <w:tcW w:w="1354"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0,003</w:t>
            </w:r>
          </w:p>
        </w:tc>
        <w:tc>
          <w:tcPr>
            <w:tcW w:w="155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-0,054</w:t>
            </w:r>
          </w:p>
        </w:tc>
        <w:tc>
          <w:tcPr>
            <w:tcW w:w="116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-1,529</w:t>
            </w:r>
          </w:p>
        </w:tc>
        <w:tc>
          <w:tcPr>
            <w:tcW w:w="133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0,127</w:t>
            </w:r>
          </w:p>
        </w:tc>
      </w:tr>
      <w:tr w:rsidR="00274A72" w:rsidTr="00274A72">
        <w:trPr>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nil"/>
            </w:tcBorders>
            <w:shd w:val="clear" w:color="auto" w:fill="0070C0"/>
            <w:noWrap/>
            <w:hideMark/>
          </w:tcPr>
          <w:p w:rsidR="00274A72" w:rsidRPr="00DC1C3A" w:rsidRDefault="00274A72" w:rsidP="009B7C3F">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ROA</w:t>
            </w:r>
          </w:p>
        </w:tc>
        <w:tc>
          <w:tcPr>
            <w:tcW w:w="162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-0,002</w:t>
            </w:r>
          </w:p>
        </w:tc>
        <w:tc>
          <w:tcPr>
            <w:tcW w:w="1354"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0,001</w:t>
            </w:r>
          </w:p>
        </w:tc>
        <w:tc>
          <w:tcPr>
            <w:tcW w:w="155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-0,053</w:t>
            </w:r>
          </w:p>
        </w:tc>
        <w:tc>
          <w:tcPr>
            <w:tcW w:w="116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-1,484</w:t>
            </w:r>
          </w:p>
        </w:tc>
        <w:tc>
          <w:tcPr>
            <w:tcW w:w="133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0,138</w:t>
            </w:r>
          </w:p>
        </w:tc>
      </w:tr>
      <w:tr w:rsidR="00274A72" w:rsidTr="00274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3" w:type="dxa"/>
            <w:shd w:val="clear" w:color="auto" w:fill="0070C0"/>
            <w:noWrap/>
            <w:hideMark/>
          </w:tcPr>
          <w:p w:rsidR="00274A72" w:rsidRPr="00DC1C3A" w:rsidRDefault="00274A72" w:rsidP="009B7C3F">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BigBath</w:t>
            </w:r>
            <w:proofErr w:type="spellEnd"/>
          </w:p>
        </w:tc>
        <w:tc>
          <w:tcPr>
            <w:tcW w:w="162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0,293</w:t>
            </w:r>
          </w:p>
        </w:tc>
        <w:tc>
          <w:tcPr>
            <w:tcW w:w="1354"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0,060</w:t>
            </w:r>
          </w:p>
        </w:tc>
        <w:tc>
          <w:tcPr>
            <w:tcW w:w="155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0,183</w:t>
            </w:r>
          </w:p>
        </w:tc>
        <w:tc>
          <w:tcPr>
            <w:tcW w:w="1161"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4,910</w:t>
            </w:r>
          </w:p>
        </w:tc>
        <w:tc>
          <w:tcPr>
            <w:tcW w:w="1338" w:type="dxa"/>
            <w:shd w:val="clear" w:color="auto" w:fill="FFFFFF" w:themeFill="background1"/>
            <w:noWrap/>
            <w:vAlign w:val="center"/>
            <w:hideMark/>
          </w:tcPr>
          <w:p w:rsidR="00274A72" w:rsidRDefault="00274A72" w:rsidP="00274A7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0,000</w:t>
            </w:r>
          </w:p>
        </w:tc>
      </w:tr>
      <w:tr w:rsidR="00274A72" w:rsidTr="00274A72">
        <w:trPr>
          <w:trHeight w:val="255"/>
        </w:trPr>
        <w:tc>
          <w:tcPr>
            <w:cnfStyle w:val="001000000000" w:firstRow="0" w:lastRow="0" w:firstColumn="1" w:lastColumn="0" w:oddVBand="0" w:evenVBand="0" w:oddHBand="0" w:evenHBand="0" w:firstRowFirstColumn="0" w:firstRowLastColumn="0" w:lastRowFirstColumn="0" w:lastRowLastColumn="0"/>
            <w:tcW w:w="1383" w:type="dxa"/>
            <w:tcBorders>
              <w:top w:val="nil"/>
            </w:tcBorders>
            <w:shd w:val="clear" w:color="auto" w:fill="0070C0"/>
            <w:noWrap/>
            <w:hideMark/>
          </w:tcPr>
          <w:p w:rsidR="00274A72" w:rsidRPr="00DC1C3A" w:rsidRDefault="00274A72" w:rsidP="009B7C3F">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IncSmooth</w:t>
            </w:r>
            <w:proofErr w:type="spellEnd"/>
          </w:p>
        </w:tc>
        <w:tc>
          <w:tcPr>
            <w:tcW w:w="162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-0,061</w:t>
            </w:r>
          </w:p>
        </w:tc>
        <w:tc>
          <w:tcPr>
            <w:tcW w:w="1354"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0,041</w:t>
            </w:r>
          </w:p>
        </w:tc>
        <w:tc>
          <w:tcPr>
            <w:tcW w:w="155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-0,052</w:t>
            </w:r>
          </w:p>
        </w:tc>
        <w:tc>
          <w:tcPr>
            <w:tcW w:w="1161"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-1,469</w:t>
            </w:r>
          </w:p>
        </w:tc>
        <w:tc>
          <w:tcPr>
            <w:tcW w:w="1338" w:type="dxa"/>
            <w:shd w:val="clear" w:color="auto" w:fill="FFFFFF" w:themeFill="background1"/>
            <w:noWrap/>
            <w:vAlign w:val="center"/>
            <w:hideMark/>
          </w:tcPr>
          <w:p w:rsidR="00274A72" w:rsidRDefault="00274A72" w:rsidP="00274A7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0,142</w:t>
            </w:r>
          </w:p>
        </w:tc>
      </w:tr>
      <w:tr w:rsidR="00274A72" w:rsidTr="00274A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04" w:type="dxa"/>
            <w:gridSpan w:val="2"/>
            <w:shd w:val="clear" w:color="auto" w:fill="FFFFFF" w:themeFill="background1"/>
            <w:noWrap/>
            <w:hideMark/>
          </w:tcPr>
          <w:p w:rsidR="00274A72" w:rsidRDefault="00274A72" w:rsidP="009B7C3F">
            <w:pPr>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 xml:space="preserve">a </w:t>
            </w:r>
            <w:proofErr w:type="spellStart"/>
            <w:r>
              <w:rPr>
                <w:rFonts w:ascii="Arial" w:eastAsia="Times New Roman" w:hAnsi="Arial" w:cs="Arial"/>
                <w:color w:val="000000"/>
                <w:sz w:val="20"/>
                <w:szCs w:val="20"/>
                <w:lang w:val="nl-NL" w:eastAsia="nl-NL"/>
              </w:rPr>
              <w:t>Dependent</w:t>
            </w:r>
            <w:proofErr w:type="spellEnd"/>
            <w:r>
              <w:rPr>
                <w:rFonts w:ascii="Arial" w:eastAsia="Times New Roman" w:hAnsi="Arial" w:cs="Arial"/>
                <w:color w:val="000000"/>
                <w:sz w:val="20"/>
                <w:szCs w:val="20"/>
                <w:lang w:val="nl-NL" w:eastAsia="nl-NL"/>
              </w:rPr>
              <w:t xml:space="preserve"> </w:t>
            </w:r>
            <w:proofErr w:type="spellStart"/>
            <w:r>
              <w:rPr>
                <w:rFonts w:ascii="Arial" w:eastAsia="Times New Roman" w:hAnsi="Arial" w:cs="Arial"/>
                <w:color w:val="000000"/>
                <w:sz w:val="20"/>
                <w:szCs w:val="20"/>
                <w:lang w:val="nl-NL" w:eastAsia="nl-NL"/>
              </w:rPr>
              <w:t>Variable</w:t>
            </w:r>
            <w:proofErr w:type="spellEnd"/>
            <w:r>
              <w:rPr>
                <w:rFonts w:ascii="Arial" w:eastAsia="Times New Roman" w:hAnsi="Arial" w:cs="Arial"/>
                <w:color w:val="000000"/>
                <w:sz w:val="20"/>
                <w:szCs w:val="20"/>
                <w:lang w:val="nl-NL" w:eastAsia="nl-NL"/>
              </w:rPr>
              <w:t>: Imp</w:t>
            </w:r>
          </w:p>
        </w:tc>
        <w:tc>
          <w:tcPr>
            <w:tcW w:w="1354" w:type="dxa"/>
            <w:shd w:val="clear" w:color="auto" w:fill="FFFFFF" w:themeFill="background1"/>
            <w:noWrap/>
            <w:hideMark/>
          </w:tcPr>
          <w:p w:rsidR="00274A72" w:rsidRDefault="00274A72" w:rsidP="009B7C3F">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558" w:type="dxa"/>
            <w:shd w:val="clear" w:color="auto" w:fill="FFFFFF" w:themeFill="background1"/>
            <w:noWrap/>
            <w:hideMark/>
          </w:tcPr>
          <w:p w:rsidR="00274A72" w:rsidRDefault="00274A72" w:rsidP="009B7C3F">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61" w:type="dxa"/>
            <w:shd w:val="clear" w:color="auto" w:fill="FFFFFF" w:themeFill="background1"/>
            <w:noWrap/>
            <w:hideMark/>
          </w:tcPr>
          <w:p w:rsidR="00274A72" w:rsidRDefault="00274A72" w:rsidP="009B7C3F">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8" w:type="dxa"/>
            <w:shd w:val="clear" w:color="auto" w:fill="FFFFFF" w:themeFill="background1"/>
            <w:noWrap/>
            <w:hideMark/>
          </w:tcPr>
          <w:p w:rsidR="00274A72" w:rsidRDefault="00274A72" w:rsidP="009B7C3F">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bl>
    <w:p w:rsidR="00FA34EF" w:rsidRDefault="00FA34EF" w:rsidP="00274A72">
      <w:pPr>
        <w:rPr>
          <w:rFonts w:ascii="Verdana" w:hAnsi="Verdana"/>
          <w:lang w:val="en-US"/>
        </w:rPr>
      </w:pPr>
    </w:p>
    <w:p w:rsidR="00274A72" w:rsidRDefault="0088305B" w:rsidP="00274A72">
      <w:pPr>
        <w:rPr>
          <w:rFonts w:ascii="Verdana" w:hAnsi="Verdana"/>
          <w:lang w:val="en-US"/>
        </w:rPr>
      </w:pPr>
      <w:r>
        <w:rPr>
          <w:rFonts w:ascii="Verdana" w:hAnsi="Verdana"/>
          <w:lang w:val="en-US"/>
        </w:rPr>
        <w:t xml:space="preserve">Based on these results, </w:t>
      </w:r>
      <w:proofErr w:type="spellStart"/>
      <w:r>
        <w:rPr>
          <w:rFonts w:ascii="Verdana" w:hAnsi="Verdana"/>
          <w:lang w:val="en-US"/>
        </w:rPr>
        <w:t>IncSmooth</w:t>
      </w:r>
      <w:proofErr w:type="spellEnd"/>
      <w:r>
        <w:rPr>
          <w:rFonts w:ascii="Verdana" w:hAnsi="Verdana"/>
          <w:lang w:val="en-US"/>
        </w:rPr>
        <w:t xml:space="preserve"> is not significant. Therefore previous research is not disproved and the indication for rejection of Hypotheses 2, that industrial firms are more likely to recognize a goodwill impairment loss when they perform above branch average, remains.</w:t>
      </w:r>
    </w:p>
    <w:p w:rsidR="00585016" w:rsidRDefault="00585016" w:rsidP="00585016">
      <w:pPr>
        <w:rPr>
          <w:rFonts w:ascii="Verdana" w:hAnsi="Verdana"/>
          <w:lang w:val="en-US"/>
        </w:rPr>
      </w:pPr>
    </w:p>
    <w:p w:rsidR="00585016" w:rsidRDefault="003C2D90" w:rsidP="00856F25">
      <w:pPr>
        <w:pStyle w:val="Heading2"/>
        <w:rPr>
          <w:lang w:val="en-US"/>
        </w:rPr>
      </w:pPr>
      <w:bookmarkStart w:id="59" w:name="_Toc359957161"/>
      <w:r>
        <w:rPr>
          <w:lang w:val="en-US"/>
        </w:rPr>
        <w:t>7</w:t>
      </w:r>
      <w:r w:rsidR="00856F25">
        <w:rPr>
          <w:lang w:val="en-US"/>
        </w:rPr>
        <w:t xml:space="preserve">.2 </w:t>
      </w:r>
      <w:r w:rsidR="00585016">
        <w:rPr>
          <w:lang w:val="en-US"/>
        </w:rPr>
        <w:t>Regression analysis 2009</w:t>
      </w:r>
      <w:bookmarkEnd w:id="59"/>
      <w:r w:rsidR="00856F25">
        <w:rPr>
          <w:lang w:val="en-US"/>
        </w:rPr>
        <w:br/>
      </w:r>
    </w:p>
    <w:p w:rsidR="00585016" w:rsidRDefault="00585016" w:rsidP="00585016">
      <w:pPr>
        <w:rPr>
          <w:rFonts w:ascii="Verdana" w:hAnsi="Verdana"/>
          <w:lang w:val="en-US"/>
        </w:rPr>
      </w:pPr>
      <w:r>
        <w:rPr>
          <w:rFonts w:ascii="Verdana" w:hAnsi="Verdana"/>
          <w:lang w:val="en-US"/>
        </w:rPr>
        <w:t xml:space="preserve">This section will discuss the results of the regression analysis 2009. These are based on the data which was implemented in SPSS as discussed in the previous chapters. See table </w:t>
      </w:r>
      <w:r w:rsidR="00FA34EF">
        <w:rPr>
          <w:rFonts w:ascii="Verdana" w:hAnsi="Verdana"/>
          <w:lang w:val="en-US"/>
        </w:rPr>
        <w:t>7.3</w:t>
      </w:r>
      <w:r>
        <w:rPr>
          <w:rFonts w:ascii="Verdana" w:hAnsi="Verdana"/>
          <w:lang w:val="en-US"/>
        </w:rPr>
        <w:t xml:space="preserve"> Coefficients 2009 for the estimates of the regression.</w:t>
      </w:r>
    </w:p>
    <w:p w:rsidR="00585016" w:rsidRDefault="00FA34EF" w:rsidP="00585016">
      <w:pPr>
        <w:rPr>
          <w:rFonts w:ascii="Verdana" w:hAnsi="Verdana"/>
          <w:i/>
          <w:lang w:val="en-US"/>
        </w:rPr>
      </w:pPr>
      <w:r>
        <w:rPr>
          <w:rFonts w:ascii="Verdana" w:hAnsi="Verdana"/>
          <w:i/>
          <w:lang w:val="en-US"/>
        </w:rPr>
        <w:br/>
      </w:r>
      <w:r w:rsidR="00585016">
        <w:rPr>
          <w:rFonts w:ascii="Verdana" w:hAnsi="Verdana"/>
          <w:i/>
          <w:lang w:val="en-US"/>
        </w:rPr>
        <w:t xml:space="preserve">Table </w:t>
      </w:r>
      <w:r>
        <w:rPr>
          <w:rFonts w:ascii="Verdana" w:hAnsi="Verdana"/>
          <w:i/>
          <w:lang w:val="en-US"/>
        </w:rPr>
        <w:t>7.3</w:t>
      </w:r>
      <w:r w:rsidR="00585016">
        <w:rPr>
          <w:rFonts w:ascii="Verdana" w:hAnsi="Verdana"/>
          <w:i/>
          <w:lang w:val="en-US"/>
        </w:rPr>
        <w:t xml:space="preserve"> Coefficients 2009</w:t>
      </w:r>
    </w:p>
    <w:tbl>
      <w:tblPr>
        <w:tblStyle w:val="DarkList1"/>
        <w:tblW w:w="8415" w:type="dxa"/>
        <w:tblLayout w:type="fixed"/>
        <w:tblLook w:val="04A0" w:firstRow="1" w:lastRow="0" w:firstColumn="1" w:lastColumn="0" w:noHBand="0" w:noVBand="1"/>
      </w:tblPr>
      <w:tblGrid>
        <w:gridCol w:w="1383"/>
        <w:gridCol w:w="1621"/>
        <w:gridCol w:w="1354"/>
        <w:gridCol w:w="1558"/>
        <w:gridCol w:w="1161"/>
        <w:gridCol w:w="1338"/>
      </w:tblGrid>
      <w:tr w:rsidR="00585016" w:rsidTr="0058501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single" w:sz="18" w:space="0" w:color="00B0F0"/>
            </w:tcBorders>
            <w:shd w:val="clear" w:color="auto" w:fill="00B0F0"/>
            <w:noWrap/>
            <w:hideMark/>
          </w:tcPr>
          <w:p w:rsidR="00585016" w:rsidRPr="00FA34EF" w:rsidRDefault="00585016">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Model</w:t>
            </w:r>
          </w:p>
        </w:tc>
        <w:tc>
          <w:tcPr>
            <w:tcW w:w="1622" w:type="dxa"/>
            <w:tcBorders>
              <w:top w:val="single" w:sz="18" w:space="0" w:color="00B0F0"/>
            </w:tcBorders>
            <w:shd w:val="clear" w:color="auto" w:fill="00B0F0"/>
            <w:noWrap/>
            <w:hideMark/>
          </w:tcPr>
          <w:p w:rsidR="00585016" w:rsidRPr="00FA34EF"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B</w:t>
            </w:r>
          </w:p>
        </w:tc>
        <w:tc>
          <w:tcPr>
            <w:tcW w:w="1355" w:type="dxa"/>
            <w:tcBorders>
              <w:top w:val="single" w:sz="18" w:space="0" w:color="00B0F0"/>
            </w:tcBorders>
            <w:shd w:val="clear" w:color="auto" w:fill="00B0F0"/>
            <w:noWrap/>
            <w:hideMark/>
          </w:tcPr>
          <w:p w:rsidR="00585016" w:rsidRPr="00FA34EF"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Std. Error</w:t>
            </w:r>
          </w:p>
        </w:tc>
        <w:tc>
          <w:tcPr>
            <w:tcW w:w="1559" w:type="dxa"/>
            <w:tcBorders>
              <w:top w:val="single" w:sz="18" w:space="0" w:color="00B0F0"/>
            </w:tcBorders>
            <w:shd w:val="clear" w:color="auto" w:fill="00B0F0"/>
            <w:noWrap/>
            <w:hideMark/>
          </w:tcPr>
          <w:p w:rsidR="00585016" w:rsidRPr="00FA34EF"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Beta</w:t>
            </w:r>
          </w:p>
        </w:tc>
        <w:tc>
          <w:tcPr>
            <w:tcW w:w="1162" w:type="dxa"/>
            <w:tcBorders>
              <w:top w:val="single" w:sz="18" w:space="0" w:color="00B0F0"/>
            </w:tcBorders>
            <w:shd w:val="clear" w:color="auto" w:fill="00B0F0"/>
            <w:noWrap/>
            <w:hideMark/>
          </w:tcPr>
          <w:p w:rsidR="00585016" w:rsidRPr="00FA34EF"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t</w:t>
            </w:r>
          </w:p>
        </w:tc>
        <w:tc>
          <w:tcPr>
            <w:tcW w:w="1339" w:type="dxa"/>
            <w:tcBorders>
              <w:top w:val="single" w:sz="18" w:space="0" w:color="00B0F0"/>
            </w:tcBorders>
            <w:shd w:val="clear" w:color="auto" w:fill="00B0F0"/>
            <w:noWrap/>
            <w:hideMark/>
          </w:tcPr>
          <w:p w:rsidR="00585016" w:rsidRPr="00FA34EF" w:rsidRDefault="005850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Sig.</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single" w:sz="18" w:space="0" w:color="FFFFFF" w:themeColor="background1"/>
            </w:tcBorders>
            <w:shd w:val="clear" w:color="auto" w:fill="0070C0"/>
            <w:noWrap/>
            <w:hideMark/>
          </w:tcPr>
          <w:p w:rsidR="00585016" w:rsidRPr="00FA34EF" w:rsidRDefault="00585016">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1 (Constant)</w:t>
            </w:r>
          </w:p>
        </w:tc>
        <w:tc>
          <w:tcPr>
            <w:tcW w:w="1622" w:type="dxa"/>
            <w:tcBorders>
              <w:top w:val="single" w:sz="18" w:space="0" w:color="FFFFFF" w:themeColor="background1"/>
            </w:tcBorders>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-0,338</w:t>
            </w:r>
          </w:p>
        </w:tc>
        <w:tc>
          <w:tcPr>
            <w:tcW w:w="1355" w:type="dxa"/>
            <w:tcBorders>
              <w:top w:val="single" w:sz="18" w:space="0" w:color="FFFFFF" w:themeColor="background1"/>
            </w:tcBorders>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0,138</w:t>
            </w:r>
          </w:p>
        </w:tc>
        <w:tc>
          <w:tcPr>
            <w:tcW w:w="1559" w:type="dxa"/>
            <w:tcBorders>
              <w:top w:val="single" w:sz="18" w:space="0" w:color="FFFFFF" w:themeColor="background1"/>
            </w:tcBorders>
            <w:shd w:val="clear" w:color="auto" w:fill="FFFFFF" w:themeFill="background1"/>
            <w:noWrap/>
            <w:vAlign w:val="bottom"/>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62" w:type="dxa"/>
            <w:tcBorders>
              <w:top w:val="single" w:sz="18" w:space="0" w:color="FFFFFF" w:themeColor="background1"/>
            </w:tcBorders>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-2,458</w:t>
            </w:r>
          </w:p>
        </w:tc>
        <w:tc>
          <w:tcPr>
            <w:tcW w:w="1339" w:type="dxa"/>
            <w:tcBorders>
              <w:top w:val="single" w:sz="18" w:space="0" w:color="FFFFFF" w:themeColor="background1"/>
            </w:tcBorders>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0,014</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FA34EF" w:rsidRDefault="00585016">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GW</w:t>
            </w:r>
          </w:p>
        </w:tc>
        <w:tc>
          <w:tcPr>
            <w:tcW w:w="1622" w:type="dxa"/>
            <w:shd w:val="clear" w:color="auto" w:fill="FFFFFF" w:themeFill="background1"/>
            <w:noWrap/>
            <w:vAlign w:val="bottom"/>
            <w:hideMark/>
          </w:tcPr>
          <w:p w:rsidR="00585016" w:rsidRPr="00FA34EF"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0,116</w:t>
            </w:r>
          </w:p>
        </w:tc>
        <w:tc>
          <w:tcPr>
            <w:tcW w:w="1355" w:type="dxa"/>
            <w:shd w:val="clear" w:color="auto" w:fill="FFFFFF" w:themeFill="background1"/>
            <w:noWrap/>
            <w:vAlign w:val="bottom"/>
            <w:hideMark/>
          </w:tcPr>
          <w:p w:rsidR="00585016" w:rsidRPr="00FA34EF"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0,101</w:t>
            </w:r>
          </w:p>
        </w:tc>
        <w:tc>
          <w:tcPr>
            <w:tcW w:w="1559" w:type="dxa"/>
            <w:shd w:val="clear" w:color="auto" w:fill="FFFFFF" w:themeFill="background1"/>
            <w:noWrap/>
            <w:vAlign w:val="bottom"/>
            <w:hideMark/>
          </w:tcPr>
          <w:p w:rsidR="00585016" w:rsidRPr="00FA34EF"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0,040</w:t>
            </w:r>
          </w:p>
        </w:tc>
        <w:tc>
          <w:tcPr>
            <w:tcW w:w="1162" w:type="dxa"/>
            <w:shd w:val="clear" w:color="auto" w:fill="FFFFFF" w:themeFill="background1"/>
            <w:noWrap/>
            <w:vAlign w:val="bottom"/>
            <w:hideMark/>
          </w:tcPr>
          <w:p w:rsidR="00585016" w:rsidRPr="00FA34EF"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1,145</w:t>
            </w:r>
          </w:p>
        </w:tc>
        <w:tc>
          <w:tcPr>
            <w:tcW w:w="1339" w:type="dxa"/>
            <w:shd w:val="clear" w:color="auto" w:fill="FFFFFF" w:themeFill="background1"/>
            <w:noWrap/>
            <w:vAlign w:val="bottom"/>
            <w:hideMark/>
          </w:tcPr>
          <w:p w:rsidR="00585016" w:rsidRPr="00FA34EF"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0,253</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FA34EF" w:rsidRDefault="00585016">
            <w:pPr>
              <w:rPr>
                <w:rFonts w:ascii="Arial" w:eastAsia="Times New Roman" w:hAnsi="Arial" w:cs="Arial"/>
                <w:color w:val="FFFFFF" w:themeColor="background1"/>
                <w:sz w:val="20"/>
                <w:szCs w:val="20"/>
                <w:lang w:val="en-US" w:eastAsia="nl-NL"/>
              </w:rPr>
            </w:pPr>
            <w:r w:rsidRPr="00FA34EF">
              <w:rPr>
                <w:rFonts w:ascii="Arial" w:eastAsia="Times New Roman" w:hAnsi="Arial" w:cs="Arial"/>
                <w:color w:val="FFFFFF" w:themeColor="background1"/>
                <w:sz w:val="20"/>
                <w:szCs w:val="20"/>
                <w:lang w:val="en-US" w:eastAsia="nl-NL"/>
              </w:rPr>
              <w:t>SIZE</w:t>
            </w:r>
          </w:p>
        </w:tc>
        <w:tc>
          <w:tcPr>
            <w:tcW w:w="1622" w:type="dxa"/>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0,061</w:t>
            </w:r>
          </w:p>
        </w:tc>
        <w:tc>
          <w:tcPr>
            <w:tcW w:w="1355" w:type="dxa"/>
            <w:shd w:val="clear" w:color="auto" w:fill="FFFFFF" w:themeFill="background1"/>
            <w:noWrap/>
            <w:vAlign w:val="bottom"/>
            <w:hideMark/>
          </w:tcPr>
          <w:p w:rsidR="00585016" w:rsidRPr="00FA34EF"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0,016</w:t>
            </w:r>
          </w:p>
        </w:tc>
        <w:tc>
          <w:tcPr>
            <w:tcW w:w="155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sidRPr="00FA34EF">
              <w:rPr>
                <w:rFonts w:ascii="Arial" w:eastAsia="Times New Roman" w:hAnsi="Arial" w:cs="Arial"/>
                <w:color w:val="000000"/>
                <w:sz w:val="20"/>
                <w:szCs w:val="20"/>
                <w:lang w:val="en-US" w:eastAsia="nl-NL"/>
              </w:rPr>
              <w:t>0,1</w:t>
            </w:r>
            <w:r>
              <w:rPr>
                <w:rFonts w:ascii="Arial" w:eastAsia="Times New Roman" w:hAnsi="Arial" w:cs="Arial"/>
                <w:color w:val="000000"/>
                <w:sz w:val="20"/>
                <w:szCs w:val="20"/>
                <w:lang w:val="nl-NL" w:eastAsia="nl-NL"/>
              </w:rPr>
              <w:t>40</w:t>
            </w:r>
          </w:p>
        </w:tc>
        <w:tc>
          <w:tcPr>
            <w:tcW w:w="1162"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3,870</w:t>
            </w:r>
          </w:p>
        </w:tc>
        <w:tc>
          <w:tcPr>
            <w:tcW w:w="133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0,000</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SALES</w:t>
            </w:r>
          </w:p>
        </w:tc>
        <w:tc>
          <w:tcPr>
            <w:tcW w:w="162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-0,001</w:t>
            </w:r>
          </w:p>
        </w:tc>
        <w:tc>
          <w:tcPr>
            <w:tcW w:w="1355"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0,001</w:t>
            </w:r>
          </w:p>
        </w:tc>
        <w:tc>
          <w:tcPr>
            <w:tcW w:w="155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-0,035</w:t>
            </w:r>
          </w:p>
        </w:tc>
        <w:tc>
          <w:tcPr>
            <w:tcW w:w="116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-0,930</w:t>
            </w:r>
          </w:p>
        </w:tc>
        <w:tc>
          <w:tcPr>
            <w:tcW w:w="133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0,353</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CFO</w:t>
            </w:r>
          </w:p>
        </w:tc>
        <w:tc>
          <w:tcPr>
            <w:tcW w:w="1622"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-0,003</w:t>
            </w:r>
          </w:p>
        </w:tc>
        <w:tc>
          <w:tcPr>
            <w:tcW w:w="1355"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0,003</w:t>
            </w:r>
          </w:p>
        </w:tc>
        <w:tc>
          <w:tcPr>
            <w:tcW w:w="155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-0,031</w:t>
            </w:r>
          </w:p>
        </w:tc>
        <w:tc>
          <w:tcPr>
            <w:tcW w:w="1162"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-0,909</w:t>
            </w:r>
          </w:p>
        </w:tc>
        <w:tc>
          <w:tcPr>
            <w:tcW w:w="133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0,363</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r w:rsidRPr="00DC1C3A">
              <w:rPr>
                <w:rFonts w:ascii="Verdana" w:eastAsia="Times New Roman" w:hAnsi="Verdana" w:cs="Arial"/>
                <w:color w:val="FFFFFF" w:themeColor="background1"/>
                <w:sz w:val="20"/>
                <w:szCs w:val="20"/>
                <w:lang w:val="nl-NL" w:eastAsia="nl-NL"/>
              </w:rPr>
              <w:t>∆</w:t>
            </w:r>
            <w:r w:rsidRPr="00DC1C3A">
              <w:rPr>
                <w:rFonts w:ascii="Arial" w:eastAsia="Times New Roman" w:hAnsi="Arial" w:cs="Arial"/>
                <w:color w:val="FFFFFF" w:themeColor="background1"/>
                <w:sz w:val="20"/>
                <w:szCs w:val="20"/>
                <w:lang w:val="nl-NL" w:eastAsia="nl-NL"/>
              </w:rPr>
              <w:t>ROA</w:t>
            </w:r>
          </w:p>
        </w:tc>
        <w:tc>
          <w:tcPr>
            <w:tcW w:w="162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-0,002</w:t>
            </w:r>
          </w:p>
        </w:tc>
        <w:tc>
          <w:tcPr>
            <w:tcW w:w="1355"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0,001</w:t>
            </w:r>
          </w:p>
        </w:tc>
        <w:tc>
          <w:tcPr>
            <w:tcW w:w="155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-0,078</w:t>
            </w:r>
          </w:p>
        </w:tc>
        <w:tc>
          <w:tcPr>
            <w:tcW w:w="116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-2,120</w:t>
            </w:r>
          </w:p>
        </w:tc>
        <w:tc>
          <w:tcPr>
            <w:tcW w:w="133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0,034</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BigBath</w:t>
            </w:r>
            <w:proofErr w:type="spellEnd"/>
          </w:p>
        </w:tc>
        <w:tc>
          <w:tcPr>
            <w:tcW w:w="1622"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0,100</w:t>
            </w:r>
          </w:p>
        </w:tc>
        <w:tc>
          <w:tcPr>
            <w:tcW w:w="1355"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0,044</w:t>
            </w:r>
          </w:p>
        </w:tc>
        <w:tc>
          <w:tcPr>
            <w:tcW w:w="155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0,089</w:t>
            </w:r>
          </w:p>
        </w:tc>
        <w:tc>
          <w:tcPr>
            <w:tcW w:w="1162"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2,257</w:t>
            </w:r>
          </w:p>
        </w:tc>
        <w:tc>
          <w:tcPr>
            <w:tcW w:w="1339" w:type="dxa"/>
            <w:shd w:val="clear" w:color="auto" w:fill="FFFFFF" w:themeFill="background1"/>
            <w:noWrap/>
            <w:vAlign w:val="bottom"/>
            <w:hideMark/>
          </w:tcPr>
          <w:p w:rsidR="00585016" w:rsidRDefault="005850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0,024</w:t>
            </w:r>
          </w:p>
        </w:tc>
      </w:tr>
      <w:tr w:rsidR="00585016" w:rsidTr="00585016">
        <w:trPr>
          <w:trHeight w:val="255"/>
        </w:trPr>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0070C0"/>
            <w:noWrap/>
            <w:hideMark/>
          </w:tcPr>
          <w:p w:rsidR="00585016" w:rsidRPr="00DC1C3A" w:rsidRDefault="00585016">
            <w:pPr>
              <w:rPr>
                <w:rFonts w:ascii="Arial" w:eastAsia="Times New Roman" w:hAnsi="Arial" w:cs="Arial"/>
                <w:color w:val="FFFFFF" w:themeColor="background1"/>
                <w:sz w:val="20"/>
                <w:szCs w:val="20"/>
                <w:lang w:val="nl-NL" w:eastAsia="nl-NL"/>
              </w:rPr>
            </w:pPr>
            <w:proofErr w:type="spellStart"/>
            <w:r w:rsidRPr="00DC1C3A">
              <w:rPr>
                <w:rFonts w:ascii="Arial" w:eastAsia="Times New Roman" w:hAnsi="Arial" w:cs="Arial"/>
                <w:color w:val="FFFFFF" w:themeColor="background1"/>
                <w:sz w:val="20"/>
                <w:szCs w:val="20"/>
                <w:lang w:val="nl-NL" w:eastAsia="nl-NL"/>
              </w:rPr>
              <w:t>IncSmooth</w:t>
            </w:r>
            <w:proofErr w:type="spellEnd"/>
          </w:p>
        </w:tc>
        <w:tc>
          <w:tcPr>
            <w:tcW w:w="162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-0,010</w:t>
            </w:r>
          </w:p>
        </w:tc>
        <w:tc>
          <w:tcPr>
            <w:tcW w:w="1355"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0,033</w:t>
            </w:r>
          </w:p>
        </w:tc>
        <w:tc>
          <w:tcPr>
            <w:tcW w:w="155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-0,012</w:t>
            </w:r>
          </w:p>
        </w:tc>
        <w:tc>
          <w:tcPr>
            <w:tcW w:w="1162"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-0,318</w:t>
            </w:r>
          </w:p>
        </w:tc>
        <w:tc>
          <w:tcPr>
            <w:tcW w:w="1339" w:type="dxa"/>
            <w:shd w:val="clear" w:color="auto" w:fill="FFFFFF" w:themeFill="background1"/>
            <w:noWrap/>
            <w:vAlign w:val="bottom"/>
            <w:hideMark/>
          </w:tcPr>
          <w:p w:rsidR="00585016" w:rsidRDefault="005850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0,751</w:t>
            </w:r>
          </w:p>
        </w:tc>
      </w:tr>
      <w:tr w:rsidR="00585016" w:rsidTr="005850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06" w:type="dxa"/>
            <w:gridSpan w:val="2"/>
            <w:shd w:val="clear" w:color="auto" w:fill="FFFFFF" w:themeFill="background1"/>
            <w:noWrap/>
            <w:hideMark/>
          </w:tcPr>
          <w:p w:rsidR="00585016" w:rsidRDefault="00585016">
            <w:pPr>
              <w:rPr>
                <w:rFonts w:ascii="Arial" w:eastAsia="Times New Roman" w:hAnsi="Arial" w:cs="Arial"/>
                <w:color w:val="000000"/>
                <w:sz w:val="20"/>
                <w:szCs w:val="20"/>
                <w:lang w:val="nl-NL" w:eastAsia="nl-NL"/>
              </w:rPr>
            </w:pPr>
            <w:r>
              <w:rPr>
                <w:rFonts w:ascii="Arial" w:eastAsia="Times New Roman" w:hAnsi="Arial" w:cs="Arial"/>
                <w:color w:val="000000"/>
                <w:sz w:val="20"/>
                <w:szCs w:val="20"/>
                <w:lang w:val="nl-NL" w:eastAsia="nl-NL"/>
              </w:rPr>
              <w:t xml:space="preserve">a </w:t>
            </w:r>
            <w:proofErr w:type="spellStart"/>
            <w:r>
              <w:rPr>
                <w:rFonts w:ascii="Arial" w:eastAsia="Times New Roman" w:hAnsi="Arial" w:cs="Arial"/>
                <w:color w:val="000000"/>
                <w:sz w:val="20"/>
                <w:szCs w:val="20"/>
                <w:lang w:val="nl-NL" w:eastAsia="nl-NL"/>
              </w:rPr>
              <w:t>Dependent</w:t>
            </w:r>
            <w:proofErr w:type="spellEnd"/>
            <w:r>
              <w:rPr>
                <w:rFonts w:ascii="Arial" w:eastAsia="Times New Roman" w:hAnsi="Arial" w:cs="Arial"/>
                <w:color w:val="000000"/>
                <w:sz w:val="20"/>
                <w:szCs w:val="20"/>
                <w:lang w:val="nl-NL" w:eastAsia="nl-NL"/>
              </w:rPr>
              <w:t xml:space="preserve"> </w:t>
            </w:r>
            <w:proofErr w:type="spellStart"/>
            <w:r>
              <w:rPr>
                <w:rFonts w:ascii="Arial" w:eastAsia="Times New Roman" w:hAnsi="Arial" w:cs="Arial"/>
                <w:color w:val="000000"/>
                <w:sz w:val="20"/>
                <w:szCs w:val="20"/>
                <w:lang w:val="nl-NL" w:eastAsia="nl-NL"/>
              </w:rPr>
              <w:t>Variable</w:t>
            </w:r>
            <w:proofErr w:type="spellEnd"/>
            <w:r>
              <w:rPr>
                <w:rFonts w:ascii="Arial" w:eastAsia="Times New Roman" w:hAnsi="Arial" w:cs="Arial"/>
                <w:color w:val="000000"/>
                <w:sz w:val="20"/>
                <w:szCs w:val="20"/>
                <w:lang w:val="nl-NL" w:eastAsia="nl-NL"/>
              </w:rPr>
              <w:t>: Imp</w:t>
            </w:r>
          </w:p>
        </w:tc>
        <w:tc>
          <w:tcPr>
            <w:tcW w:w="1355"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559"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62"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9" w:type="dxa"/>
            <w:shd w:val="clear" w:color="auto" w:fill="FFFFFF" w:themeFill="background1"/>
            <w:noWrap/>
            <w:hideMark/>
          </w:tcPr>
          <w:p w:rsidR="00585016" w:rsidRDefault="00585016">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bl>
    <w:p w:rsidR="00585016" w:rsidRDefault="00585016" w:rsidP="00585016">
      <w:pPr>
        <w:rPr>
          <w:rFonts w:ascii="Verdana" w:hAnsi="Verdana"/>
          <w:lang w:val="en-US"/>
        </w:rPr>
      </w:pPr>
    </w:p>
    <w:p w:rsidR="00585016" w:rsidRDefault="00585016" w:rsidP="00585016">
      <w:pPr>
        <w:rPr>
          <w:rFonts w:ascii="Verdana" w:hAnsi="Verdana"/>
          <w:lang w:val="en-US"/>
        </w:rPr>
      </w:pPr>
      <w:r>
        <w:rPr>
          <w:rFonts w:ascii="Verdana" w:hAnsi="Verdana"/>
          <w:lang w:val="en-US"/>
        </w:rPr>
        <w:t xml:space="preserve">As we can see in Table </w:t>
      </w:r>
      <w:r w:rsidR="00FA34EF">
        <w:rPr>
          <w:rFonts w:ascii="Verdana" w:hAnsi="Verdana"/>
          <w:lang w:val="en-US"/>
        </w:rPr>
        <w:t>7.3</w:t>
      </w:r>
      <w:r>
        <w:rPr>
          <w:rFonts w:ascii="Verdana" w:hAnsi="Verdana"/>
          <w:lang w:val="en-US"/>
        </w:rPr>
        <w:t xml:space="preserve"> there are several unexpected results. </w:t>
      </w:r>
      <w:r>
        <w:rPr>
          <w:rFonts w:ascii="Verdana" w:hAnsi="Verdana"/>
          <w:i/>
          <w:lang w:val="en-US"/>
        </w:rPr>
        <w:t xml:space="preserve">GW </w:t>
      </w:r>
      <w:r>
        <w:rPr>
          <w:rFonts w:ascii="Verdana" w:hAnsi="Verdana"/>
          <w:i/>
          <w:vertAlign w:val="subscript"/>
          <w:lang w:val="en-US"/>
        </w:rPr>
        <w:t>it</w:t>
      </w:r>
      <w:r>
        <w:rPr>
          <w:rFonts w:ascii="Verdana" w:hAnsi="Verdana"/>
          <w:lang w:val="en-US"/>
        </w:rPr>
        <w:t xml:space="preserve"> does not have a significant influence on the dependent variable </w:t>
      </w:r>
      <w:r>
        <w:rPr>
          <w:rFonts w:ascii="Verdana" w:hAnsi="Verdana"/>
          <w:i/>
          <w:lang w:val="en-US"/>
        </w:rPr>
        <w:t>Imp</w:t>
      </w:r>
      <w:r>
        <w:rPr>
          <w:rFonts w:ascii="Verdana" w:hAnsi="Verdana"/>
          <w:i/>
          <w:vertAlign w:val="subscript"/>
          <w:lang w:val="en-US"/>
        </w:rPr>
        <w:t xml:space="preserve"> it</w:t>
      </w:r>
      <w:r>
        <w:rPr>
          <w:rFonts w:ascii="Verdana" w:hAnsi="Verdana"/>
          <w:lang w:val="en-US"/>
        </w:rPr>
        <w:t xml:space="preserve">. The control variable </w:t>
      </w:r>
      <w:r>
        <w:rPr>
          <w:rFonts w:ascii="Verdana" w:hAnsi="Verdana"/>
          <w:i/>
          <w:lang w:val="en-US"/>
        </w:rPr>
        <w:t>Size</w:t>
      </w:r>
      <w:r>
        <w:rPr>
          <w:rFonts w:ascii="Verdana" w:hAnsi="Verdana"/>
          <w:i/>
          <w:vertAlign w:val="subscript"/>
          <w:lang w:val="en-US"/>
        </w:rPr>
        <w:t xml:space="preserve"> it</w:t>
      </w:r>
      <w:r>
        <w:rPr>
          <w:rFonts w:ascii="Verdana" w:hAnsi="Verdana"/>
          <w:lang w:val="en-US"/>
        </w:rPr>
        <w:t xml:space="preserve"> however does have a positive significant influence on the dependent variable </w:t>
      </w:r>
      <w:r>
        <w:rPr>
          <w:rFonts w:ascii="Verdana" w:hAnsi="Verdana"/>
          <w:i/>
          <w:lang w:val="en-US"/>
        </w:rPr>
        <w:t>Imp</w:t>
      </w:r>
      <w:r>
        <w:rPr>
          <w:rFonts w:ascii="Verdana" w:hAnsi="Verdana"/>
          <w:i/>
          <w:vertAlign w:val="subscript"/>
          <w:lang w:val="en-US"/>
        </w:rPr>
        <w:t xml:space="preserve"> it</w:t>
      </w:r>
      <w:r>
        <w:rPr>
          <w:rFonts w:ascii="Verdana" w:hAnsi="Verdana"/>
          <w:lang w:val="en-US"/>
        </w:rPr>
        <w:t xml:space="preserve"> conform expectations. This </w:t>
      </w:r>
      <w:r w:rsidR="000C61BB">
        <w:rPr>
          <w:rFonts w:ascii="Verdana" w:hAnsi="Verdana"/>
          <w:lang w:val="en-US"/>
        </w:rPr>
        <w:t>shows</w:t>
      </w:r>
      <w:r>
        <w:rPr>
          <w:rFonts w:ascii="Verdana" w:hAnsi="Verdana"/>
          <w:lang w:val="en-US"/>
        </w:rPr>
        <w:t xml:space="preserve"> that when a company has got more assets, the chance of taking an impairment loss is significantly higher. </w:t>
      </w:r>
    </w:p>
    <w:p w:rsidR="00585016" w:rsidRDefault="00585016" w:rsidP="00585016">
      <w:pPr>
        <w:rPr>
          <w:rFonts w:ascii="Verdana" w:hAnsi="Verdana"/>
          <w:lang w:val="en-US"/>
        </w:rPr>
      </w:pPr>
      <w:r>
        <w:rPr>
          <w:rFonts w:ascii="Verdana" w:hAnsi="Verdana"/>
          <w:lang w:val="en-US"/>
        </w:rPr>
        <w:t xml:space="preserve">Change in return on assets shows a negative significant influence on the dependent variable </w:t>
      </w:r>
      <w:r>
        <w:rPr>
          <w:rFonts w:ascii="Verdana" w:hAnsi="Verdana"/>
          <w:i/>
          <w:lang w:val="en-US"/>
        </w:rPr>
        <w:t>Imp</w:t>
      </w:r>
      <w:r>
        <w:rPr>
          <w:rFonts w:ascii="Verdana" w:hAnsi="Verdana"/>
          <w:i/>
          <w:vertAlign w:val="subscript"/>
          <w:lang w:val="en-US"/>
        </w:rPr>
        <w:t xml:space="preserve"> it</w:t>
      </w:r>
      <w:r>
        <w:rPr>
          <w:rFonts w:ascii="Verdana" w:hAnsi="Verdana"/>
          <w:lang w:val="en-US"/>
        </w:rPr>
        <w:t xml:space="preserve">. This implicates that when a company has a higher return on assets the chance is significantly smaller that they would take an impairment loss. This observation points to big bath accounting, because a larger </w:t>
      </w:r>
      <w:r>
        <w:rPr>
          <w:rFonts w:ascii="Verdana" w:hAnsi="Verdana"/>
          <w:lang w:val="en-US"/>
        </w:rPr>
        <w:lastRenderedPageBreak/>
        <w:t>decrease in the return on assets is linked to a higher chance of taking an impairment loss.</w:t>
      </w:r>
    </w:p>
    <w:p w:rsidR="00585016" w:rsidRDefault="00585016" w:rsidP="00585016">
      <w:pPr>
        <w:rPr>
          <w:rFonts w:ascii="Verdana" w:hAnsi="Verdana"/>
          <w:lang w:val="en-US"/>
        </w:rPr>
      </w:pPr>
      <w:r>
        <w:rPr>
          <w:rFonts w:ascii="Verdana" w:hAnsi="Verdana"/>
          <w:lang w:val="en-US"/>
        </w:rPr>
        <w:t xml:space="preserve">The reporting incentives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i/>
          <w:lang w:val="en-US"/>
        </w:rPr>
        <w:t xml:space="preserve"> </w:t>
      </w:r>
      <w:r>
        <w:rPr>
          <w:rFonts w:ascii="Verdana" w:hAnsi="Verdana"/>
          <w:lang w:val="en-US"/>
        </w:rPr>
        <w:t>also has a positive significant influence on the impairment decision. This is conform expectation and the 2007 coefficients. This provides further evidence for the fact that companies use big bath accounting through impairments losses as a tool for earnings management and that Hypothesis 1</w:t>
      </w:r>
      <w:r w:rsidR="00AA1049">
        <w:rPr>
          <w:rFonts w:ascii="Verdana" w:hAnsi="Verdana"/>
          <w:lang w:val="en-US"/>
        </w:rPr>
        <w:t>.0</w:t>
      </w:r>
      <w:r>
        <w:rPr>
          <w:rFonts w:ascii="Verdana" w:hAnsi="Verdana"/>
          <w:lang w:val="en-US"/>
        </w:rPr>
        <w:t>, ‘industrial firms are more likely to recognize a goodwill impairment loss when they perform below branch average’</w:t>
      </w:r>
      <w:r>
        <w:rPr>
          <w:rFonts w:ascii="Verdana" w:hAnsi="Verdana"/>
          <w:i/>
          <w:lang w:val="en-US"/>
        </w:rPr>
        <w:t xml:space="preserve"> </w:t>
      </w:r>
      <w:r>
        <w:rPr>
          <w:rFonts w:ascii="Verdana" w:hAnsi="Verdana"/>
          <w:lang w:val="en-US"/>
        </w:rPr>
        <w:t>is not rejected.</w:t>
      </w:r>
    </w:p>
    <w:p w:rsidR="00585016" w:rsidRDefault="00585016" w:rsidP="00585016">
      <w:pPr>
        <w:rPr>
          <w:rFonts w:ascii="Verdana" w:hAnsi="Verdana"/>
          <w:lang w:val="en-US"/>
        </w:rPr>
      </w:pPr>
      <w:r>
        <w:rPr>
          <w:rFonts w:ascii="Verdana" w:hAnsi="Verdana"/>
          <w:lang w:val="en-US"/>
        </w:rPr>
        <w:t xml:space="preserve">Besides these three significant coefficients the other independent variables do not have a significant influence on the impairment decision. </w:t>
      </w:r>
    </w:p>
    <w:p w:rsidR="00585016" w:rsidRDefault="00585016" w:rsidP="00585016">
      <w:pPr>
        <w:rPr>
          <w:rFonts w:ascii="Verdana" w:hAnsi="Verdana"/>
          <w:lang w:val="en-US"/>
        </w:rPr>
      </w:pPr>
    </w:p>
    <w:p w:rsidR="00585016" w:rsidRDefault="003C2D90" w:rsidP="00856F25">
      <w:pPr>
        <w:pStyle w:val="Heading2"/>
        <w:rPr>
          <w:lang w:val="en-US"/>
        </w:rPr>
      </w:pPr>
      <w:bookmarkStart w:id="60" w:name="_Toc359957162"/>
      <w:r>
        <w:rPr>
          <w:lang w:val="en-US"/>
        </w:rPr>
        <w:t>7</w:t>
      </w:r>
      <w:r w:rsidR="00856F25">
        <w:rPr>
          <w:lang w:val="en-US"/>
        </w:rPr>
        <w:t xml:space="preserve">.3 </w:t>
      </w:r>
      <w:r w:rsidR="00585016">
        <w:rPr>
          <w:lang w:val="en-US"/>
        </w:rPr>
        <w:t>Effects of the crisis</w:t>
      </w:r>
      <w:bookmarkEnd w:id="60"/>
      <w:r w:rsidR="00856F25">
        <w:rPr>
          <w:lang w:val="en-US"/>
        </w:rPr>
        <w:br/>
      </w:r>
    </w:p>
    <w:p w:rsidR="00F34453" w:rsidRDefault="00585016" w:rsidP="00585016">
      <w:pPr>
        <w:rPr>
          <w:rFonts w:ascii="Verdana" w:hAnsi="Verdana"/>
          <w:lang w:val="en-US"/>
        </w:rPr>
      </w:pPr>
      <w:r>
        <w:rPr>
          <w:rFonts w:ascii="Verdana" w:hAnsi="Verdana"/>
          <w:lang w:val="en-US"/>
        </w:rPr>
        <w:t>To analyze the effects of the crisis, the significance and the explanatory power of the coefficients will be compared between the 2007 and 2009 regression analyses.</w:t>
      </w:r>
      <w:r w:rsidR="00F34453">
        <w:rPr>
          <w:rFonts w:ascii="Verdana" w:hAnsi="Verdana"/>
          <w:lang w:val="en-US"/>
        </w:rPr>
        <w:t xml:space="preserve"> </w:t>
      </w:r>
    </w:p>
    <w:p w:rsidR="006B536C" w:rsidRDefault="00F34453" w:rsidP="00585016">
      <w:pPr>
        <w:rPr>
          <w:rFonts w:ascii="Verdana" w:hAnsi="Verdana"/>
          <w:lang w:val="en-US"/>
        </w:rPr>
      </w:pPr>
      <w:r>
        <w:rPr>
          <w:rFonts w:ascii="Verdana" w:hAnsi="Verdana"/>
          <w:lang w:val="en-US"/>
        </w:rPr>
        <w:t xml:space="preserve">Based on the results of the regression analyses </w:t>
      </w:r>
      <w:r w:rsidR="0088305B">
        <w:rPr>
          <w:rFonts w:ascii="Verdana" w:hAnsi="Verdana"/>
          <w:lang w:val="en-US"/>
        </w:rPr>
        <w:t xml:space="preserve">2007 and 2009 </w:t>
      </w:r>
      <w:r>
        <w:rPr>
          <w:rFonts w:ascii="Verdana" w:hAnsi="Verdana"/>
          <w:lang w:val="en-US"/>
        </w:rPr>
        <w:t>a clear increase in significance</w:t>
      </w:r>
      <w:r w:rsidR="0088305B">
        <w:rPr>
          <w:rFonts w:ascii="Verdana" w:hAnsi="Verdana"/>
          <w:lang w:val="en-US"/>
        </w:rPr>
        <w:t xml:space="preserve"> or influence</w:t>
      </w:r>
      <w:r>
        <w:rPr>
          <w:rFonts w:ascii="Verdana" w:hAnsi="Verdana"/>
          <w:lang w:val="en-US"/>
        </w:rPr>
        <w:t xml:space="preserve"> of </w:t>
      </w:r>
      <w:proofErr w:type="spellStart"/>
      <w:r>
        <w:rPr>
          <w:rFonts w:ascii="Verdana" w:hAnsi="Verdana"/>
          <w:i/>
          <w:lang w:val="en-US"/>
        </w:rPr>
        <w:t>BigBath</w:t>
      </w:r>
      <w:proofErr w:type="spellEnd"/>
      <w:r>
        <w:rPr>
          <w:rFonts w:ascii="Verdana" w:hAnsi="Verdana"/>
          <w:i/>
          <w:vertAlign w:val="subscript"/>
          <w:lang w:val="en-US"/>
        </w:rPr>
        <w:t xml:space="preserve"> it</w:t>
      </w:r>
      <w:r>
        <w:rPr>
          <w:rFonts w:ascii="Verdana" w:hAnsi="Verdana"/>
          <w:lang w:val="en-US"/>
        </w:rPr>
        <w:t xml:space="preserve"> and</w:t>
      </w:r>
      <w:r w:rsidR="00D37696">
        <w:rPr>
          <w:rFonts w:ascii="Verdana" w:hAnsi="Verdana"/>
          <w:lang w:val="en-US"/>
        </w:rPr>
        <w:t xml:space="preserve"> </w:t>
      </w:r>
      <w:proofErr w:type="spellStart"/>
      <w:r w:rsidR="00D37696">
        <w:rPr>
          <w:rFonts w:ascii="Verdana" w:hAnsi="Verdana"/>
          <w:i/>
          <w:lang w:val="en-US"/>
        </w:rPr>
        <w:t>IncSmooth</w:t>
      </w:r>
      <w:r w:rsidR="00D37696">
        <w:rPr>
          <w:rFonts w:ascii="Verdana" w:hAnsi="Verdana"/>
          <w:i/>
          <w:vertAlign w:val="subscript"/>
          <w:lang w:val="en-US"/>
        </w:rPr>
        <w:t>it</w:t>
      </w:r>
      <w:proofErr w:type="spellEnd"/>
      <w:r>
        <w:rPr>
          <w:rFonts w:ascii="Verdana" w:hAnsi="Verdana"/>
          <w:lang w:val="en-US"/>
        </w:rPr>
        <w:t xml:space="preserve"> </w:t>
      </w:r>
      <w:r w:rsidR="00D37696">
        <w:rPr>
          <w:rFonts w:ascii="Verdana" w:hAnsi="Verdana"/>
          <w:lang w:val="en-US"/>
        </w:rPr>
        <w:t xml:space="preserve">was not noted. For both years the independent variable </w:t>
      </w:r>
      <w:proofErr w:type="spellStart"/>
      <w:r w:rsidR="00D37696">
        <w:rPr>
          <w:rFonts w:ascii="Verdana" w:hAnsi="Verdana"/>
          <w:i/>
          <w:lang w:val="en-US"/>
        </w:rPr>
        <w:t>BigBath</w:t>
      </w:r>
      <w:proofErr w:type="spellEnd"/>
      <w:r w:rsidR="00D37696">
        <w:rPr>
          <w:rFonts w:ascii="Verdana" w:hAnsi="Verdana"/>
          <w:i/>
          <w:vertAlign w:val="subscript"/>
          <w:lang w:val="en-US"/>
        </w:rPr>
        <w:t xml:space="preserve"> it</w:t>
      </w:r>
      <w:r w:rsidR="00D37696">
        <w:rPr>
          <w:rFonts w:ascii="Verdana" w:hAnsi="Verdana"/>
          <w:lang w:val="en-US"/>
        </w:rPr>
        <w:t xml:space="preserve"> was significant and did not reject hypothesis 1</w:t>
      </w:r>
      <w:r w:rsidR="00AA1049">
        <w:rPr>
          <w:rFonts w:ascii="Verdana" w:hAnsi="Verdana"/>
          <w:lang w:val="en-US"/>
        </w:rPr>
        <w:t>.0</w:t>
      </w:r>
      <w:r w:rsidR="00D37696">
        <w:rPr>
          <w:rFonts w:ascii="Verdana" w:hAnsi="Verdana"/>
          <w:lang w:val="en-US"/>
        </w:rPr>
        <w:t xml:space="preserve"> ‘industrial firms are more likely to recognize a goodwill impairment loss when the</w:t>
      </w:r>
      <w:r w:rsidR="00AA1049">
        <w:rPr>
          <w:rFonts w:ascii="Verdana" w:hAnsi="Verdana"/>
          <w:lang w:val="en-US"/>
        </w:rPr>
        <w:t>y perform below branch average’.</w:t>
      </w:r>
      <w:r w:rsidR="00D37696">
        <w:rPr>
          <w:rFonts w:ascii="Verdana" w:hAnsi="Verdana"/>
          <w:lang w:val="en-US"/>
        </w:rPr>
        <w:t xml:space="preserve"> </w:t>
      </w:r>
      <w:r w:rsidR="00AA1049">
        <w:rPr>
          <w:rFonts w:ascii="Verdana" w:hAnsi="Verdana"/>
          <w:lang w:val="en-US"/>
        </w:rPr>
        <w:t>T</w:t>
      </w:r>
      <w:r w:rsidR="00D37696">
        <w:rPr>
          <w:rFonts w:ascii="Verdana" w:hAnsi="Verdana"/>
          <w:lang w:val="en-US"/>
        </w:rPr>
        <w:t>he year after the start of the crisis showed a lower significant value and a smaller effect, from 0,279 in 2007 to 0,100 in 2009.</w:t>
      </w:r>
      <w:r w:rsidR="006B536C">
        <w:rPr>
          <w:rFonts w:ascii="Verdana" w:hAnsi="Verdana"/>
          <w:lang w:val="en-US"/>
        </w:rPr>
        <w:t xml:space="preserve"> </w:t>
      </w:r>
      <w:r w:rsidR="0088305B">
        <w:rPr>
          <w:rFonts w:ascii="Verdana" w:hAnsi="Verdana"/>
          <w:lang w:val="en-US"/>
        </w:rPr>
        <w:t>These results indicate rejection of hypothesis 3</w:t>
      </w:r>
      <w:r w:rsidR="00AA1049">
        <w:rPr>
          <w:rFonts w:ascii="Verdana" w:hAnsi="Verdana"/>
          <w:lang w:val="en-US"/>
        </w:rPr>
        <w:t>.0,</w:t>
      </w:r>
      <w:r w:rsidR="0088305B">
        <w:rPr>
          <w:rFonts w:ascii="Verdana" w:hAnsi="Verdana"/>
          <w:lang w:val="en-US"/>
        </w:rPr>
        <w:t xml:space="preserve"> </w:t>
      </w:r>
      <w:r w:rsidR="00AA1049">
        <w:rPr>
          <w:rFonts w:ascii="Verdana" w:hAnsi="Verdana"/>
          <w:lang w:val="en-US"/>
        </w:rPr>
        <w:t>‘</w:t>
      </w:r>
      <w:r w:rsidR="0088305B">
        <w:rPr>
          <w:rFonts w:ascii="Verdana" w:hAnsi="Verdana"/>
          <w:lang w:val="en-US"/>
        </w:rPr>
        <w:t>D</w:t>
      </w:r>
      <w:r w:rsidR="0088305B" w:rsidRPr="00DC1E35">
        <w:rPr>
          <w:rFonts w:ascii="Verdana" w:hAnsi="Verdana"/>
          <w:lang w:val="en-US"/>
        </w:rPr>
        <w:t>ue to the crisis the incentive for management to perform earnings management has increased</w:t>
      </w:r>
      <w:r w:rsidR="00AA1049">
        <w:rPr>
          <w:rFonts w:ascii="Verdana" w:hAnsi="Verdana"/>
          <w:lang w:val="en-US"/>
        </w:rPr>
        <w:t>’</w:t>
      </w:r>
      <w:r w:rsidR="0088305B">
        <w:rPr>
          <w:rFonts w:ascii="Verdana" w:hAnsi="Verdana"/>
          <w:lang w:val="en-US"/>
        </w:rPr>
        <w:t xml:space="preserve">. </w:t>
      </w:r>
    </w:p>
    <w:p w:rsidR="0088305B" w:rsidRDefault="0088305B" w:rsidP="00585016">
      <w:pPr>
        <w:rPr>
          <w:rFonts w:ascii="Verdana" w:hAnsi="Verdana"/>
          <w:lang w:val="en-US"/>
        </w:rPr>
      </w:pPr>
      <w:r>
        <w:rPr>
          <w:rFonts w:ascii="Verdana" w:hAnsi="Verdana"/>
          <w:lang w:val="en-US"/>
        </w:rPr>
        <w:t xml:space="preserve">The results of </w:t>
      </w:r>
      <w:r w:rsidR="006B536C">
        <w:rPr>
          <w:rFonts w:ascii="Verdana" w:hAnsi="Verdana"/>
          <w:lang w:val="en-US"/>
        </w:rPr>
        <w:t>the regression analyses and the conclusions that can be drawn will be summarized in the following chapter.</w:t>
      </w:r>
    </w:p>
    <w:p w:rsidR="00585016" w:rsidRDefault="00585016" w:rsidP="00585016">
      <w:pPr>
        <w:rPr>
          <w:rFonts w:ascii="Verdana" w:hAnsi="Verdana"/>
          <w:lang w:val="en-US"/>
        </w:rPr>
      </w:pPr>
    </w:p>
    <w:p w:rsidR="00585016" w:rsidRDefault="00585016" w:rsidP="00585016">
      <w:pPr>
        <w:rPr>
          <w:rFonts w:ascii="Verdana" w:hAnsi="Verdana"/>
          <w:lang w:val="en-US"/>
        </w:rPr>
      </w:pPr>
      <w:r>
        <w:rPr>
          <w:rFonts w:ascii="Verdana" w:hAnsi="Verdana"/>
          <w:color w:val="auto"/>
          <w:lang w:val="en-US"/>
        </w:rPr>
        <w:br w:type="page"/>
      </w:r>
    </w:p>
    <w:p w:rsidR="00585016" w:rsidRDefault="003C2D90" w:rsidP="00856F25">
      <w:pPr>
        <w:pStyle w:val="Heading1"/>
        <w:rPr>
          <w:lang w:val="en-US"/>
        </w:rPr>
      </w:pPr>
      <w:bookmarkStart w:id="61" w:name="_Toc359957163"/>
      <w:r>
        <w:rPr>
          <w:lang w:val="en-US"/>
        </w:rPr>
        <w:lastRenderedPageBreak/>
        <w:t>8</w:t>
      </w:r>
      <w:r w:rsidR="00585016">
        <w:rPr>
          <w:lang w:val="en-US"/>
        </w:rPr>
        <w:t>. Conclusion</w:t>
      </w:r>
      <w:bookmarkEnd w:id="61"/>
    </w:p>
    <w:p w:rsidR="009E3941" w:rsidRDefault="00856F25" w:rsidP="009E3941">
      <w:pPr>
        <w:rPr>
          <w:rFonts w:ascii="Verdana" w:hAnsi="Verdana"/>
          <w:lang w:val="en-US"/>
        </w:rPr>
      </w:pPr>
      <w:r>
        <w:rPr>
          <w:rFonts w:ascii="Verdana" w:hAnsi="Verdana"/>
          <w:lang w:val="en-US"/>
        </w:rPr>
        <w:br/>
      </w:r>
      <w:r w:rsidR="00585016">
        <w:rPr>
          <w:rFonts w:ascii="Verdana" w:hAnsi="Verdana"/>
          <w:lang w:val="en-US"/>
        </w:rPr>
        <w:t xml:space="preserve">This chapter will </w:t>
      </w:r>
      <w:r w:rsidR="00815E7F">
        <w:rPr>
          <w:rFonts w:ascii="Verdana" w:hAnsi="Verdana"/>
          <w:lang w:val="en-US"/>
        </w:rPr>
        <w:t>summarize</w:t>
      </w:r>
      <w:r w:rsidR="00D40EE9">
        <w:rPr>
          <w:rFonts w:ascii="Verdana" w:hAnsi="Verdana"/>
          <w:lang w:val="en-US"/>
        </w:rPr>
        <w:t xml:space="preserve"> and conclude</w:t>
      </w:r>
      <w:r w:rsidR="00585016">
        <w:rPr>
          <w:rFonts w:ascii="Verdana" w:hAnsi="Verdana"/>
          <w:lang w:val="en-US"/>
        </w:rPr>
        <w:t xml:space="preserve"> the research whic</w:t>
      </w:r>
      <w:r w:rsidR="00815E7F">
        <w:rPr>
          <w:rFonts w:ascii="Verdana" w:hAnsi="Verdana"/>
          <w:lang w:val="en-US"/>
        </w:rPr>
        <w:t xml:space="preserve">h was performed in this thesis and </w:t>
      </w:r>
      <w:r w:rsidR="00D40EE9">
        <w:rPr>
          <w:rFonts w:ascii="Verdana" w:hAnsi="Verdana"/>
          <w:lang w:val="en-US"/>
        </w:rPr>
        <w:t>will state this</w:t>
      </w:r>
      <w:r w:rsidR="00585016">
        <w:rPr>
          <w:rFonts w:ascii="Verdana" w:hAnsi="Verdana"/>
          <w:lang w:val="en-US"/>
        </w:rPr>
        <w:t xml:space="preserve"> in relation to the formulated hypotheses</w:t>
      </w:r>
      <w:r w:rsidR="009E3941">
        <w:rPr>
          <w:rFonts w:ascii="Verdana" w:hAnsi="Verdana"/>
          <w:lang w:val="en-US"/>
        </w:rPr>
        <w:t xml:space="preserve"> and theoretical outcomes</w:t>
      </w:r>
      <w:r w:rsidR="00585016">
        <w:rPr>
          <w:rFonts w:ascii="Verdana" w:hAnsi="Verdana"/>
          <w:lang w:val="en-US"/>
        </w:rPr>
        <w:t>. This chapter will end with suggestions for future research coming forth from this thesis.</w:t>
      </w:r>
    </w:p>
    <w:p w:rsidR="009E3941" w:rsidRDefault="009E3941" w:rsidP="009E3941">
      <w:pPr>
        <w:rPr>
          <w:rFonts w:ascii="Verdana" w:hAnsi="Verdana"/>
          <w:lang w:val="en-US"/>
        </w:rPr>
      </w:pPr>
    </w:p>
    <w:p w:rsidR="009E3941" w:rsidRDefault="009E3941" w:rsidP="009E3941">
      <w:pPr>
        <w:pStyle w:val="Heading2"/>
        <w:rPr>
          <w:lang w:val="en-US"/>
        </w:rPr>
      </w:pPr>
      <w:bookmarkStart w:id="62" w:name="_Toc359957164"/>
      <w:r>
        <w:rPr>
          <w:lang w:val="en-US"/>
        </w:rPr>
        <w:t>8.1 Conclusion</w:t>
      </w:r>
      <w:bookmarkEnd w:id="62"/>
    </w:p>
    <w:p w:rsidR="00AB0A83" w:rsidRDefault="009E3941" w:rsidP="009E3941">
      <w:pPr>
        <w:rPr>
          <w:rFonts w:ascii="Verdana" w:hAnsi="Verdana"/>
          <w:lang w:val="en-US"/>
        </w:rPr>
      </w:pPr>
      <w:r>
        <w:rPr>
          <w:rFonts w:ascii="Verdana" w:hAnsi="Verdana"/>
          <w:lang w:val="en-US"/>
        </w:rPr>
        <w:br/>
      </w:r>
      <w:r w:rsidR="009D5A18" w:rsidRPr="009D5A18">
        <w:rPr>
          <w:rFonts w:ascii="Verdana" w:hAnsi="Verdana"/>
          <w:lang w:val="en-US"/>
        </w:rPr>
        <w:t xml:space="preserve">In the </w:t>
      </w:r>
      <w:r w:rsidR="009D5A18">
        <w:rPr>
          <w:rFonts w:ascii="Verdana" w:hAnsi="Verdana"/>
          <w:lang w:val="en-US"/>
        </w:rPr>
        <w:t xml:space="preserve">research performed </w:t>
      </w:r>
      <w:r w:rsidR="00E506B8">
        <w:rPr>
          <w:rFonts w:ascii="Verdana" w:hAnsi="Verdana"/>
          <w:lang w:val="en-US"/>
        </w:rPr>
        <w:t xml:space="preserve">the </w:t>
      </w:r>
      <w:r w:rsidR="009D5A18">
        <w:rPr>
          <w:rFonts w:ascii="Verdana" w:hAnsi="Verdana"/>
          <w:lang w:val="en-US"/>
        </w:rPr>
        <w:t>th</w:t>
      </w:r>
      <w:r w:rsidR="00E506B8">
        <w:rPr>
          <w:rFonts w:ascii="Verdana" w:hAnsi="Verdana"/>
          <w:lang w:val="en-US"/>
        </w:rPr>
        <w:t>re</w:t>
      </w:r>
      <w:r w:rsidR="009D5A18">
        <w:rPr>
          <w:rFonts w:ascii="Verdana" w:hAnsi="Verdana"/>
          <w:lang w:val="en-US"/>
        </w:rPr>
        <w:t xml:space="preserve">e hypotheses </w:t>
      </w:r>
      <w:r w:rsidR="00AB0A83">
        <w:rPr>
          <w:rFonts w:ascii="Verdana" w:hAnsi="Verdana"/>
          <w:lang w:val="en-US"/>
        </w:rPr>
        <w:t>were</w:t>
      </w:r>
      <w:r w:rsidR="009D5A18">
        <w:rPr>
          <w:rFonts w:ascii="Verdana" w:hAnsi="Verdana"/>
          <w:lang w:val="en-US"/>
        </w:rPr>
        <w:t xml:space="preserve"> tested. </w:t>
      </w:r>
      <w:r w:rsidR="00C95D33">
        <w:rPr>
          <w:rFonts w:ascii="Verdana" w:hAnsi="Verdana"/>
          <w:lang w:val="en-US"/>
        </w:rPr>
        <w:t>The outcome per hypothesi</w:t>
      </w:r>
      <w:r w:rsidR="00E506B8">
        <w:rPr>
          <w:rFonts w:ascii="Verdana" w:hAnsi="Verdana"/>
          <w:lang w:val="en-US"/>
        </w:rPr>
        <w:t>s will be discussed:</w:t>
      </w:r>
    </w:p>
    <w:p w:rsidR="00666C5D" w:rsidRDefault="00666C5D" w:rsidP="00666C5D">
      <w:pPr>
        <w:pStyle w:val="BodyText"/>
        <w:ind w:left="720"/>
        <w:rPr>
          <w:rFonts w:ascii="Verdana" w:hAnsi="Verdana"/>
          <w:i/>
          <w:lang w:val="en-US"/>
        </w:rPr>
      </w:pPr>
      <w:r>
        <w:rPr>
          <w:rFonts w:ascii="Verdana" w:hAnsi="Verdana"/>
          <w:i/>
          <w:lang w:val="en-US"/>
        </w:rPr>
        <w:t>H1.</w:t>
      </w:r>
      <w:r w:rsidR="00D6320E">
        <w:rPr>
          <w:rFonts w:ascii="Verdana" w:hAnsi="Verdana"/>
          <w:i/>
          <w:lang w:val="en-US"/>
        </w:rPr>
        <w:t>0</w:t>
      </w:r>
      <w:r>
        <w:rPr>
          <w:rFonts w:ascii="Verdana" w:hAnsi="Verdana"/>
          <w:i/>
          <w:lang w:val="en-US"/>
        </w:rPr>
        <w:t>: Industrial firms are more likely to recognize a goodwill impairment loss when they perform below branch average.</w:t>
      </w:r>
    </w:p>
    <w:p w:rsidR="00666C5D" w:rsidRDefault="00D6320E" w:rsidP="00666C5D">
      <w:pPr>
        <w:pStyle w:val="BodyText"/>
        <w:ind w:left="720"/>
        <w:rPr>
          <w:rFonts w:ascii="Verdana" w:hAnsi="Verdana"/>
          <w:i/>
          <w:lang w:val="en-US"/>
        </w:rPr>
      </w:pPr>
      <w:r>
        <w:rPr>
          <w:rFonts w:ascii="Verdana" w:hAnsi="Verdana"/>
          <w:i/>
          <w:lang w:val="en-US"/>
        </w:rPr>
        <w:t>H1.1</w:t>
      </w:r>
      <w:r w:rsidR="00666C5D">
        <w:rPr>
          <w:rFonts w:ascii="Verdana" w:hAnsi="Verdana"/>
          <w:i/>
          <w:lang w:val="en-US"/>
        </w:rPr>
        <w:t>: Industrial firms are not more likely to recognize a goodwill impairment loss when they perform below branch average.</w:t>
      </w:r>
    </w:p>
    <w:p w:rsidR="00E506B8" w:rsidRPr="00E506B8" w:rsidRDefault="00E506B8" w:rsidP="00E506B8">
      <w:pPr>
        <w:pStyle w:val="BodyText"/>
        <w:rPr>
          <w:rFonts w:ascii="Verdana" w:hAnsi="Verdana"/>
          <w:lang w:val="en-US"/>
        </w:rPr>
      </w:pPr>
      <w:r>
        <w:rPr>
          <w:rFonts w:ascii="Verdana" w:hAnsi="Verdana"/>
          <w:lang w:val="en-US"/>
        </w:rPr>
        <w:t>Equal to previous research, for both years 2007 and 2009 there is significant evidence that industrial firms are more likely to recognize a goodwill impairment loss when they perform below branch average. This provides further evidence that firms delay goodwill write-offs strategically for a certain period, when they know that their ratios are being scrutinized more securely by their shareholders. Therefore hypothesis 1</w:t>
      </w:r>
      <w:r w:rsidR="007F0738">
        <w:rPr>
          <w:rFonts w:ascii="Verdana" w:hAnsi="Verdana"/>
          <w:lang w:val="en-US"/>
        </w:rPr>
        <w:t>.1</w:t>
      </w:r>
      <w:r w:rsidR="009273E1">
        <w:rPr>
          <w:rFonts w:ascii="Verdana" w:hAnsi="Verdana"/>
          <w:lang w:val="en-US"/>
        </w:rPr>
        <w:t xml:space="preserve"> is rejected.</w:t>
      </w:r>
    </w:p>
    <w:p w:rsidR="00666C5D" w:rsidRDefault="008148C8" w:rsidP="00666C5D">
      <w:pPr>
        <w:pStyle w:val="BodyText"/>
        <w:ind w:left="720"/>
        <w:rPr>
          <w:rFonts w:ascii="Verdana" w:hAnsi="Verdana"/>
          <w:i/>
          <w:lang w:val="en-US"/>
        </w:rPr>
      </w:pPr>
      <w:r>
        <w:rPr>
          <w:rFonts w:ascii="Verdana" w:hAnsi="Verdana"/>
          <w:i/>
          <w:lang w:val="en-US"/>
        </w:rPr>
        <w:t>H2.0</w:t>
      </w:r>
      <w:r w:rsidR="00666C5D">
        <w:rPr>
          <w:rFonts w:ascii="Verdana" w:hAnsi="Verdana"/>
          <w:i/>
          <w:lang w:val="en-US"/>
        </w:rPr>
        <w:t>: Industrial firms are more likely to recognize a goodwill impairment loss when they perform above branch average.</w:t>
      </w:r>
    </w:p>
    <w:p w:rsidR="00666C5D" w:rsidRDefault="00666C5D" w:rsidP="00666C5D">
      <w:pPr>
        <w:pStyle w:val="BodyText"/>
        <w:ind w:left="720"/>
        <w:rPr>
          <w:rFonts w:ascii="Verdana" w:hAnsi="Verdana"/>
          <w:i/>
          <w:lang w:val="en-US"/>
        </w:rPr>
      </w:pPr>
      <w:r>
        <w:rPr>
          <w:rFonts w:ascii="Verdana" w:hAnsi="Verdana"/>
          <w:i/>
          <w:lang w:val="en-US"/>
        </w:rPr>
        <w:t>H2.</w:t>
      </w:r>
      <w:r w:rsidR="008148C8">
        <w:rPr>
          <w:rFonts w:ascii="Verdana" w:hAnsi="Verdana"/>
          <w:i/>
          <w:lang w:val="en-US"/>
        </w:rPr>
        <w:t>1</w:t>
      </w:r>
      <w:r>
        <w:rPr>
          <w:rFonts w:ascii="Verdana" w:hAnsi="Verdana"/>
          <w:i/>
          <w:lang w:val="en-US"/>
        </w:rPr>
        <w:t>: Industrial firms are not more likely to recognize a goodwill impairment loss when they perform above branch average.</w:t>
      </w:r>
    </w:p>
    <w:p w:rsidR="00E26F3A" w:rsidRPr="00E506B8" w:rsidRDefault="00E506B8" w:rsidP="00E506B8">
      <w:pPr>
        <w:pStyle w:val="BodyText"/>
        <w:rPr>
          <w:rFonts w:ascii="Verdana" w:hAnsi="Verdana"/>
          <w:lang w:val="en-US"/>
        </w:rPr>
      </w:pPr>
      <w:r>
        <w:rPr>
          <w:rFonts w:ascii="Verdana" w:hAnsi="Verdana"/>
          <w:lang w:val="en-US"/>
        </w:rPr>
        <w:t>There is no significant evidence that the industrial</w:t>
      </w:r>
      <w:r w:rsidR="00E26F3A">
        <w:rPr>
          <w:rFonts w:ascii="Verdana" w:hAnsi="Verdana"/>
          <w:lang w:val="en-US"/>
        </w:rPr>
        <w:t xml:space="preserve"> firms in the chosen sample which are performing above branch average are more likely to recognize a goodwill impairment loss. Therefor</w:t>
      </w:r>
      <w:r w:rsidR="007A0B11">
        <w:rPr>
          <w:rFonts w:ascii="Verdana" w:hAnsi="Verdana"/>
          <w:lang w:val="en-US"/>
        </w:rPr>
        <w:t>e</w:t>
      </w:r>
      <w:r w:rsidR="00E26F3A">
        <w:rPr>
          <w:rFonts w:ascii="Verdana" w:hAnsi="Verdana"/>
          <w:lang w:val="en-US"/>
        </w:rPr>
        <w:t xml:space="preserve"> </w:t>
      </w:r>
      <w:r w:rsidR="00037C69">
        <w:rPr>
          <w:rFonts w:ascii="Verdana" w:hAnsi="Verdana"/>
          <w:lang w:val="en-US"/>
        </w:rPr>
        <w:t xml:space="preserve">we </w:t>
      </w:r>
      <w:r w:rsidR="007F0738">
        <w:rPr>
          <w:rFonts w:ascii="Verdana" w:hAnsi="Verdana"/>
          <w:lang w:val="en-US"/>
        </w:rPr>
        <w:t>fail to reject hypothesis 2.1</w:t>
      </w:r>
      <w:r w:rsidR="00037C69">
        <w:rPr>
          <w:rFonts w:ascii="Verdana" w:hAnsi="Verdana"/>
          <w:lang w:val="en-US"/>
        </w:rPr>
        <w:t xml:space="preserve"> in </w:t>
      </w:r>
      <w:proofErr w:type="spellStart"/>
      <w:r w:rsidR="00037C69">
        <w:rPr>
          <w:rFonts w:ascii="Verdana" w:hAnsi="Verdana"/>
          <w:lang w:val="en-US"/>
        </w:rPr>
        <w:t>favour</w:t>
      </w:r>
      <w:proofErr w:type="spellEnd"/>
      <w:r w:rsidR="00037C69">
        <w:rPr>
          <w:rFonts w:ascii="Verdana" w:hAnsi="Verdana"/>
          <w:lang w:val="en-US"/>
        </w:rPr>
        <w:t xml:space="preserve"> of </w:t>
      </w:r>
      <w:r w:rsidR="00E26F3A">
        <w:rPr>
          <w:rFonts w:ascii="Verdana" w:hAnsi="Verdana"/>
          <w:lang w:val="en-US"/>
        </w:rPr>
        <w:t>hypothesis 2</w:t>
      </w:r>
      <w:r w:rsidR="007F0738">
        <w:rPr>
          <w:rFonts w:ascii="Verdana" w:hAnsi="Verdana"/>
          <w:lang w:val="en-US"/>
        </w:rPr>
        <w:t>.0</w:t>
      </w:r>
      <w:r w:rsidR="00C269FD">
        <w:rPr>
          <w:rFonts w:ascii="Verdana" w:hAnsi="Verdana"/>
          <w:lang w:val="en-US"/>
        </w:rPr>
        <w:t xml:space="preserve"> for both years.</w:t>
      </w:r>
    </w:p>
    <w:p w:rsidR="00666C5D" w:rsidRDefault="00666C5D" w:rsidP="00666C5D">
      <w:pPr>
        <w:pStyle w:val="BodyText"/>
        <w:ind w:left="720"/>
        <w:rPr>
          <w:rFonts w:ascii="Verdana" w:hAnsi="Verdana"/>
          <w:i/>
          <w:lang w:val="en-US"/>
        </w:rPr>
      </w:pPr>
      <w:r>
        <w:rPr>
          <w:rFonts w:ascii="Verdana" w:hAnsi="Verdana"/>
          <w:i/>
          <w:lang w:val="en-US"/>
        </w:rPr>
        <w:t>H3.</w:t>
      </w:r>
      <w:r w:rsidR="00037C69">
        <w:rPr>
          <w:rFonts w:ascii="Verdana" w:hAnsi="Verdana"/>
          <w:i/>
          <w:lang w:val="en-US"/>
        </w:rPr>
        <w:t>0</w:t>
      </w:r>
      <w:r>
        <w:rPr>
          <w:rFonts w:ascii="Verdana" w:hAnsi="Verdana"/>
          <w:i/>
          <w:lang w:val="en-US"/>
        </w:rPr>
        <w:t>: Due to the crisis the incentive for management to perform earnings management has increased.</w:t>
      </w:r>
    </w:p>
    <w:p w:rsidR="00666C5D" w:rsidRDefault="00666C5D" w:rsidP="00666C5D">
      <w:pPr>
        <w:pStyle w:val="BodyText"/>
        <w:ind w:left="720"/>
        <w:rPr>
          <w:rFonts w:ascii="Verdana" w:hAnsi="Verdana"/>
          <w:i/>
          <w:lang w:val="en-US"/>
        </w:rPr>
      </w:pPr>
      <w:r>
        <w:rPr>
          <w:rFonts w:ascii="Verdana" w:hAnsi="Verdana"/>
          <w:i/>
          <w:lang w:val="en-US"/>
        </w:rPr>
        <w:t>H3.</w:t>
      </w:r>
      <w:r w:rsidR="00037C69">
        <w:rPr>
          <w:rFonts w:ascii="Verdana" w:hAnsi="Verdana"/>
          <w:i/>
          <w:lang w:val="en-US"/>
        </w:rPr>
        <w:t>1</w:t>
      </w:r>
      <w:r>
        <w:rPr>
          <w:rFonts w:ascii="Verdana" w:hAnsi="Verdana"/>
          <w:i/>
          <w:lang w:val="en-US"/>
        </w:rPr>
        <w:t>: Due to the crisis the incentive for management to perform earnings management has not increased.</w:t>
      </w:r>
    </w:p>
    <w:p w:rsidR="00F316D0" w:rsidRDefault="00F316D0" w:rsidP="00AB0A83">
      <w:pPr>
        <w:pStyle w:val="BodyText"/>
        <w:rPr>
          <w:rFonts w:ascii="Verdana" w:hAnsi="Verdana"/>
          <w:lang w:val="en-US"/>
        </w:rPr>
      </w:pPr>
      <w:r>
        <w:rPr>
          <w:rFonts w:ascii="Verdana" w:hAnsi="Verdana"/>
          <w:lang w:val="en-US"/>
        </w:rPr>
        <w:t>It was expected that the financial crisis would increase the effect of earnings management, if first proven by the hypotheses 1 and 2. However, the regression analyses over 2007 and 2009 showed no indications that the crisis had this effect.</w:t>
      </w:r>
    </w:p>
    <w:p w:rsidR="00AB0A83" w:rsidRDefault="00F316D0" w:rsidP="00AB0A83">
      <w:pPr>
        <w:pStyle w:val="BodyText"/>
        <w:rPr>
          <w:rFonts w:ascii="Verdana" w:hAnsi="Verdana"/>
          <w:lang w:val="en-US"/>
        </w:rPr>
      </w:pPr>
      <w:r>
        <w:rPr>
          <w:rFonts w:ascii="Verdana" w:hAnsi="Verdana"/>
          <w:lang w:val="en-US"/>
        </w:rPr>
        <w:t xml:space="preserve">Although for both years significant evidence was found to </w:t>
      </w:r>
      <w:r w:rsidR="007F0738">
        <w:rPr>
          <w:rFonts w:ascii="Verdana" w:hAnsi="Verdana"/>
          <w:lang w:val="en-US"/>
        </w:rPr>
        <w:t>reject</w:t>
      </w:r>
      <w:r>
        <w:rPr>
          <w:rFonts w:ascii="Verdana" w:hAnsi="Verdana"/>
          <w:lang w:val="en-US"/>
        </w:rPr>
        <w:t xml:space="preserve"> hypothesis 1</w:t>
      </w:r>
      <w:r w:rsidR="007F0738">
        <w:rPr>
          <w:rFonts w:ascii="Verdana" w:hAnsi="Verdana"/>
          <w:lang w:val="en-US"/>
        </w:rPr>
        <w:t>.1</w:t>
      </w:r>
      <w:r>
        <w:rPr>
          <w:rFonts w:ascii="Verdana" w:hAnsi="Verdana"/>
          <w:lang w:val="en-US"/>
        </w:rPr>
        <w:t xml:space="preserve">; that industrial firms are </w:t>
      </w:r>
      <w:r w:rsidR="007F0738">
        <w:rPr>
          <w:rFonts w:ascii="Verdana" w:hAnsi="Verdana"/>
          <w:lang w:val="en-US"/>
        </w:rPr>
        <w:t xml:space="preserve">not </w:t>
      </w:r>
      <w:r>
        <w:rPr>
          <w:rFonts w:ascii="Verdana" w:hAnsi="Verdana"/>
          <w:lang w:val="en-US"/>
        </w:rPr>
        <w:t>more likely to recognize a goodwill impairment loss when they perform below branch average, it was found that the significance</w:t>
      </w:r>
      <w:r w:rsidR="00815E7F">
        <w:rPr>
          <w:rFonts w:ascii="Verdana" w:hAnsi="Verdana"/>
          <w:lang w:val="en-US"/>
        </w:rPr>
        <w:t xml:space="preserve"> and effect</w:t>
      </w:r>
      <w:r w:rsidR="007F0738">
        <w:rPr>
          <w:rFonts w:ascii="Verdana" w:hAnsi="Verdana"/>
          <w:lang w:val="en-US"/>
        </w:rPr>
        <w:t>, on which this rejection was based, for</w:t>
      </w:r>
      <w:r>
        <w:rPr>
          <w:rFonts w:ascii="Verdana" w:hAnsi="Verdana"/>
          <w:lang w:val="en-US"/>
        </w:rPr>
        <w:t xml:space="preserve"> the</w:t>
      </w:r>
      <w:r w:rsidR="00037C69">
        <w:rPr>
          <w:rFonts w:ascii="Verdana" w:hAnsi="Verdana"/>
          <w:lang w:val="en-US"/>
        </w:rPr>
        <w:t xml:space="preserve"> year 2009, the year after the beginning of the c</w:t>
      </w:r>
      <w:r>
        <w:rPr>
          <w:rFonts w:ascii="Verdana" w:hAnsi="Verdana"/>
          <w:lang w:val="en-US"/>
        </w:rPr>
        <w:t>ri</w:t>
      </w:r>
      <w:r w:rsidR="00037C69">
        <w:rPr>
          <w:rFonts w:ascii="Verdana" w:hAnsi="Verdana"/>
          <w:lang w:val="en-US"/>
        </w:rPr>
        <w:t>sis</w:t>
      </w:r>
      <w:r>
        <w:rPr>
          <w:rFonts w:ascii="Verdana" w:hAnsi="Verdana"/>
          <w:lang w:val="en-US"/>
        </w:rPr>
        <w:t xml:space="preserve">, was less than the year before the crisis. This indicates that </w:t>
      </w:r>
      <w:r>
        <w:rPr>
          <w:rFonts w:ascii="Verdana" w:hAnsi="Verdana"/>
          <w:lang w:val="en-US"/>
        </w:rPr>
        <w:lastRenderedPageBreak/>
        <w:t xml:space="preserve">the crisis weakened the </w:t>
      </w:r>
      <w:r w:rsidR="00815E7F">
        <w:rPr>
          <w:rFonts w:ascii="Verdana" w:hAnsi="Verdana"/>
          <w:lang w:val="en-US"/>
        </w:rPr>
        <w:t xml:space="preserve">significance and effect. This could </w:t>
      </w:r>
      <w:r>
        <w:rPr>
          <w:rFonts w:ascii="Verdana" w:hAnsi="Verdana"/>
          <w:lang w:val="en-US"/>
        </w:rPr>
        <w:t xml:space="preserve">be caused </w:t>
      </w:r>
      <w:r w:rsidR="00815E7F">
        <w:rPr>
          <w:rFonts w:ascii="Verdana" w:hAnsi="Verdana"/>
          <w:lang w:val="en-US"/>
        </w:rPr>
        <w:t>by the declining</w:t>
      </w:r>
      <w:r>
        <w:rPr>
          <w:rFonts w:ascii="Verdana" w:hAnsi="Verdana"/>
          <w:lang w:val="en-US"/>
        </w:rPr>
        <w:t xml:space="preserve"> trust of investors </w:t>
      </w:r>
      <w:r w:rsidR="00815E7F">
        <w:rPr>
          <w:rFonts w:ascii="Verdana" w:hAnsi="Verdana"/>
          <w:lang w:val="en-US"/>
        </w:rPr>
        <w:t>d</w:t>
      </w:r>
      <w:r>
        <w:rPr>
          <w:rFonts w:ascii="Verdana" w:hAnsi="Verdana"/>
          <w:lang w:val="en-US"/>
        </w:rPr>
        <w:t>ue to the st</w:t>
      </w:r>
      <w:r w:rsidR="00815E7F">
        <w:rPr>
          <w:rFonts w:ascii="Verdana" w:hAnsi="Verdana"/>
          <w:lang w:val="en-US"/>
        </w:rPr>
        <w:t>art of the crisis and</w:t>
      </w:r>
      <w:r>
        <w:rPr>
          <w:rFonts w:ascii="Verdana" w:hAnsi="Verdana"/>
          <w:lang w:val="en-US"/>
        </w:rPr>
        <w:t xml:space="preserve"> companies wanted to show as positive results as possible</w:t>
      </w:r>
      <w:r w:rsidR="00815E7F">
        <w:rPr>
          <w:rFonts w:ascii="Verdana" w:hAnsi="Verdana"/>
          <w:lang w:val="en-US"/>
        </w:rPr>
        <w:t>. Therefor</w:t>
      </w:r>
      <w:r w:rsidR="007A0B11">
        <w:rPr>
          <w:rFonts w:ascii="Verdana" w:hAnsi="Verdana"/>
          <w:lang w:val="en-US"/>
        </w:rPr>
        <w:t>e</w:t>
      </w:r>
      <w:r w:rsidR="00815E7F">
        <w:rPr>
          <w:rFonts w:ascii="Verdana" w:hAnsi="Verdana"/>
          <w:lang w:val="en-US"/>
        </w:rPr>
        <w:t xml:space="preserve"> the incentive to perform earnings management and take a big bath could </w:t>
      </w:r>
      <w:r w:rsidR="00C269FD">
        <w:rPr>
          <w:rFonts w:ascii="Verdana" w:hAnsi="Verdana"/>
          <w:lang w:val="en-US"/>
        </w:rPr>
        <w:t xml:space="preserve">have </w:t>
      </w:r>
      <w:r w:rsidR="00815E7F">
        <w:rPr>
          <w:rFonts w:ascii="Verdana" w:hAnsi="Verdana"/>
          <w:lang w:val="en-US"/>
        </w:rPr>
        <w:t>decrease</w:t>
      </w:r>
      <w:r w:rsidR="00C269FD">
        <w:rPr>
          <w:rFonts w:ascii="Verdana" w:hAnsi="Verdana"/>
          <w:lang w:val="en-US"/>
        </w:rPr>
        <w:t>d</w:t>
      </w:r>
      <w:r w:rsidR="00815E7F">
        <w:rPr>
          <w:rFonts w:ascii="Verdana" w:hAnsi="Verdana"/>
          <w:lang w:val="en-US"/>
        </w:rPr>
        <w:t xml:space="preserve">. </w:t>
      </w:r>
    </w:p>
    <w:p w:rsidR="00F316D0" w:rsidRDefault="00AF660A" w:rsidP="00AB0A83">
      <w:pPr>
        <w:pStyle w:val="BodyText"/>
        <w:rPr>
          <w:rFonts w:ascii="Verdana" w:hAnsi="Verdana"/>
          <w:lang w:val="en-US"/>
        </w:rPr>
      </w:pPr>
      <w:r>
        <w:rPr>
          <w:rFonts w:ascii="Verdana" w:hAnsi="Verdana"/>
          <w:lang w:val="en-US"/>
        </w:rPr>
        <w:t>For neither year significant evidence was obtained to support hypothesis 2</w:t>
      </w:r>
      <w:r w:rsidR="00037C69">
        <w:rPr>
          <w:rFonts w:ascii="Verdana" w:hAnsi="Verdana"/>
          <w:lang w:val="en-US"/>
        </w:rPr>
        <w:t>.0</w:t>
      </w:r>
      <w:r>
        <w:rPr>
          <w:rFonts w:ascii="Verdana" w:hAnsi="Verdana"/>
          <w:lang w:val="en-US"/>
        </w:rPr>
        <w:t xml:space="preserve">. If the crisis however would increase the effect to perform earnings management the </w:t>
      </w:r>
      <w:r w:rsidR="00C95D33">
        <w:rPr>
          <w:rFonts w:ascii="Verdana" w:hAnsi="Verdana"/>
          <w:lang w:val="en-US"/>
        </w:rPr>
        <w:t>non-</w:t>
      </w:r>
      <w:r>
        <w:rPr>
          <w:rFonts w:ascii="Verdana" w:hAnsi="Verdana"/>
          <w:lang w:val="en-US"/>
        </w:rPr>
        <w:t xml:space="preserve">significance of the income </w:t>
      </w:r>
      <w:r w:rsidR="00C95D33">
        <w:rPr>
          <w:rFonts w:ascii="Verdana" w:hAnsi="Verdana"/>
          <w:lang w:val="en-US"/>
        </w:rPr>
        <w:t>smoothing variable would have de</w:t>
      </w:r>
      <w:r>
        <w:rPr>
          <w:rFonts w:ascii="Verdana" w:hAnsi="Verdana"/>
          <w:lang w:val="en-US"/>
        </w:rPr>
        <w:t>creased. Seen as the significance in 2009 decreased</w:t>
      </w:r>
      <w:r w:rsidR="00C95D33">
        <w:rPr>
          <w:rFonts w:ascii="Verdana" w:hAnsi="Verdana"/>
          <w:lang w:val="en-US"/>
        </w:rPr>
        <w:t xml:space="preserve"> even further</w:t>
      </w:r>
      <w:r>
        <w:rPr>
          <w:rFonts w:ascii="Verdana" w:hAnsi="Verdana"/>
          <w:lang w:val="en-US"/>
        </w:rPr>
        <w:t xml:space="preserve"> relating to 2007, no supporting evidence for a</w:t>
      </w:r>
      <w:r w:rsidR="00C95D33">
        <w:rPr>
          <w:rFonts w:ascii="Verdana" w:hAnsi="Verdana"/>
          <w:lang w:val="en-US"/>
        </w:rPr>
        <w:t>n</w:t>
      </w:r>
      <w:r>
        <w:rPr>
          <w:rFonts w:ascii="Verdana" w:hAnsi="Verdana"/>
          <w:lang w:val="en-US"/>
        </w:rPr>
        <w:t xml:space="preserve"> increased effect due to the crisis was noted. </w:t>
      </w:r>
    </w:p>
    <w:p w:rsidR="00643AA3" w:rsidRDefault="00AF660A" w:rsidP="00AB0A83">
      <w:pPr>
        <w:pStyle w:val="BodyText"/>
        <w:rPr>
          <w:rFonts w:ascii="Verdana" w:hAnsi="Verdana"/>
          <w:lang w:val="en-US"/>
        </w:rPr>
      </w:pPr>
      <w:r>
        <w:rPr>
          <w:rFonts w:ascii="Verdana" w:hAnsi="Verdana"/>
          <w:lang w:val="en-US"/>
        </w:rPr>
        <w:t xml:space="preserve">Based on the above results </w:t>
      </w:r>
      <w:r w:rsidR="007F0738">
        <w:rPr>
          <w:rFonts w:ascii="Verdana" w:hAnsi="Verdana"/>
          <w:lang w:val="en-US"/>
        </w:rPr>
        <w:t xml:space="preserve">we fail to reject </w:t>
      </w:r>
      <w:r>
        <w:rPr>
          <w:rFonts w:ascii="Verdana" w:hAnsi="Verdana"/>
          <w:lang w:val="en-US"/>
        </w:rPr>
        <w:t>hypothesis 3</w:t>
      </w:r>
      <w:r w:rsidR="00037C69">
        <w:rPr>
          <w:rFonts w:ascii="Verdana" w:hAnsi="Verdana"/>
          <w:lang w:val="en-US"/>
        </w:rPr>
        <w:t>.</w:t>
      </w:r>
      <w:r w:rsidR="007F0738">
        <w:rPr>
          <w:rFonts w:ascii="Verdana" w:hAnsi="Verdana"/>
          <w:lang w:val="en-US"/>
        </w:rPr>
        <w:t>1</w:t>
      </w:r>
      <w:r w:rsidR="00643AA3">
        <w:rPr>
          <w:rFonts w:ascii="Verdana" w:hAnsi="Verdana"/>
          <w:lang w:val="en-US"/>
        </w:rPr>
        <w:t xml:space="preserve"> </w:t>
      </w:r>
      <w:r w:rsidR="00037C69">
        <w:rPr>
          <w:rFonts w:ascii="Verdana" w:hAnsi="Verdana"/>
          <w:lang w:val="en-US"/>
        </w:rPr>
        <w:t xml:space="preserve">in </w:t>
      </w:r>
      <w:proofErr w:type="spellStart"/>
      <w:r w:rsidR="00037C69">
        <w:rPr>
          <w:rFonts w:ascii="Verdana" w:hAnsi="Verdana"/>
          <w:lang w:val="en-US"/>
        </w:rPr>
        <w:t>favour</w:t>
      </w:r>
      <w:proofErr w:type="spellEnd"/>
      <w:r w:rsidR="00037C69">
        <w:rPr>
          <w:rFonts w:ascii="Verdana" w:hAnsi="Verdana"/>
          <w:lang w:val="en-US"/>
        </w:rPr>
        <w:t xml:space="preserve"> of hypothesis 3.</w:t>
      </w:r>
      <w:r w:rsidR="007F0738">
        <w:rPr>
          <w:rFonts w:ascii="Verdana" w:hAnsi="Verdana"/>
          <w:lang w:val="en-US"/>
        </w:rPr>
        <w:t>0</w:t>
      </w:r>
      <w:r w:rsidR="00037C69">
        <w:rPr>
          <w:rFonts w:ascii="Verdana" w:hAnsi="Verdana"/>
          <w:lang w:val="en-US"/>
        </w:rPr>
        <w:t xml:space="preserve"> </w:t>
      </w:r>
      <w:r w:rsidR="00643AA3">
        <w:rPr>
          <w:rFonts w:ascii="Verdana" w:hAnsi="Verdana"/>
          <w:lang w:val="en-US"/>
        </w:rPr>
        <w:t>for both hypothesis 1 and 2</w:t>
      </w:r>
      <w:r>
        <w:rPr>
          <w:rFonts w:ascii="Verdana" w:hAnsi="Verdana"/>
          <w:lang w:val="en-US"/>
        </w:rPr>
        <w:t xml:space="preserve">. No significant evidence is found that the crisis increased the incentive of management to </w:t>
      </w:r>
      <w:r w:rsidR="00BB1525">
        <w:rPr>
          <w:rFonts w:ascii="Verdana" w:hAnsi="Verdana"/>
          <w:lang w:val="en-US"/>
        </w:rPr>
        <w:t xml:space="preserve">make the decision to </w:t>
      </w:r>
      <w:r>
        <w:rPr>
          <w:rFonts w:ascii="Verdana" w:hAnsi="Verdana"/>
          <w:lang w:val="en-US"/>
        </w:rPr>
        <w:t xml:space="preserve">perform earnings management. </w:t>
      </w:r>
      <w:r w:rsidR="00643AA3">
        <w:rPr>
          <w:rFonts w:ascii="Verdana" w:hAnsi="Verdana"/>
          <w:lang w:val="en-US"/>
        </w:rPr>
        <w:t xml:space="preserve">Summarized and relating to the theoretical outcomes as presented in the appendix </w:t>
      </w:r>
      <w:r w:rsidR="00F70FA7">
        <w:rPr>
          <w:rFonts w:ascii="Verdana" w:hAnsi="Verdana"/>
          <w:lang w:val="en-US"/>
        </w:rPr>
        <w:t>2.</w:t>
      </w:r>
      <w:r w:rsidR="00643AA3">
        <w:rPr>
          <w:rFonts w:ascii="Verdana" w:hAnsi="Verdana"/>
          <w:lang w:val="en-US"/>
        </w:rPr>
        <w:t xml:space="preserve"> Theoretical outcomes, number 16 represents the outcome of this thesis:</w:t>
      </w:r>
    </w:p>
    <w:p w:rsidR="00643AA3" w:rsidRPr="00643AA3" w:rsidRDefault="00643AA3" w:rsidP="00643AA3">
      <w:pPr>
        <w:rPr>
          <w:rFonts w:ascii="Verdana" w:hAnsi="Verdana"/>
          <w:i/>
          <w:lang w:val="en-US"/>
        </w:rPr>
      </w:pPr>
      <w:r>
        <w:rPr>
          <w:rFonts w:ascii="Verdana" w:hAnsi="Verdana"/>
          <w:i/>
          <w:lang w:val="en-US"/>
        </w:rPr>
        <w:t xml:space="preserve">Table </w:t>
      </w:r>
      <w:r w:rsidR="00FA34EF">
        <w:rPr>
          <w:rFonts w:ascii="Verdana" w:hAnsi="Verdana"/>
          <w:i/>
          <w:lang w:val="en-US"/>
        </w:rPr>
        <w:t>8.1</w:t>
      </w:r>
      <w:r>
        <w:rPr>
          <w:rFonts w:ascii="Verdana" w:hAnsi="Verdana"/>
          <w:i/>
          <w:lang w:val="en-US"/>
        </w:rPr>
        <w:t xml:space="preserve"> Result of thesis:</w:t>
      </w:r>
    </w:p>
    <w:tbl>
      <w:tblPr>
        <w:tblW w:w="3294" w:type="pct"/>
        <w:tblCellMar>
          <w:left w:w="70" w:type="dxa"/>
          <w:right w:w="70" w:type="dxa"/>
        </w:tblCellMar>
        <w:tblLook w:val="04A0" w:firstRow="1" w:lastRow="0" w:firstColumn="1" w:lastColumn="0" w:noHBand="0" w:noVBand="1"/>
      </w:tblPr>
      <w:tblGrid>
        <w:gridCol w:w="2479"/>
        <w:gridCol w:w="1702"/>
        <w:gridCol w:w="1701"/>
      </w:tblGrid>
      <w:tr w:rsidR="00643AA3" w:rsidRPr="004755B9" w:rsidTr="00643AA3">
        <w:trPr>
          <w:trHeight w:val="255"/>
        </w:trPr>
        <w:tc>
          <w:tcPr>
            <w:tcW w:w="2107" w:type="pct"/>
            <w:shd w:val="clear" w:color="auto" w:fill="00B0F0"/>
            <w:noWrap/>
            <w:vAlign w:val="bottom"/>
            <w:hideMark/>
          </w:tcPr>
          <w:p w:rsidR="00643AA3" w:rsidRPr="00643AA3" w:rsidRDefault="00643AA3" w:rsidP="009E3941">
            <w:pPr>
              <w:spacing w:after="0" w:line="240" w:lineRule="auto"/>
              <w:rPr>
                <w:rFonts w:ascii="Arial" w:eastAsia="Times New Roman" w:hAnsi="Arial" w:cs="Arial"/>
                <w:color w:val="FFFFFF" w:themeColor="background1"/>
                <w:sz w:val="20"/>
                <w:szCs w:val="20"/>
                <w:lang w:val="en-US" w:eastAsia="nl-NL"/>
              </w:rPr>
            </w:pPr>
          </w:p>
        </w:tc>
        <w:tc>
          <w:tcPr>
            <w:tcW w:w="2893" w:type="pct"/>
            <w:gridSpan w:val="2"/>
            <w:shd w:val="clear" w:color="auto" w:fill="00B0F0"/>
            <w:noWrap/>
            <w:vAlign w:val="bottom"/>
            <w:hideMark/>
          </w:tcPr>
          <w:p w:rsidR="00643AA3" w:rsidRPr="00FA34EF" w:rsidRDefault="00643AA3" w:rsidP="009E3941">
            <w:pPr>
              <w:spacing w:after="0" w:line="240" w:lineRule="auto"/>
              <w:jc w:val="center"/>
              <w:rPr>
                <w:rFonts w:ascii="Arial" w:eastAsia="Times New Roman" w:hAnsi="Arial" w:cs="Arial"/>
                <w:b/>
                <w:color w:val="FFFFFF" w:themeColor="background1"/>
                <w:sz w:val="20"/>
                <w:szCs w:val="20"/>
                <w:lang w:val="en-US" w:eastAsia="nl-NL"/>
              </w:rPr>
            </w:pPr>
            <w:r w:rsidRPr="00FA34EF">
              <w:rPr>
                <w:rFonts w:ascii="Arial" w:eastAsia="Times New Roman" w:hAnsi="Arial" w:cs="Arial"/>
                <w:b/>
                <w:color w:val="FFFFFF" w:themeColor="background1"/>
                <w:sz w:val="20"/>
                <w:szCs w:val="20"/>
                <w:lang w:val="en-US" w:eastAsia="nl-NL"/>
              </w:rPr>
              <w:t>16</w:t>
            </w:r>
          </w:p>
        </w:tc>
      </w:tr>
      <w:tr w:rsidR="00643AA3" w:rsidRPr="004755B9" w:rsidTr="00643AA3">
        <w:trPr>
          <w:trHeight w:val="270"/>
        </w:trPr>
        <w:tc>
          <w:tcPr>
            <w:tcW w:w="2107" w:type="pct"/>
            <w:tcBorders>
              <w:bottom w:val="single" w:sz="8" w:space="0" w:color="FFFFFF" w:themeColor="background1"/>
            </w:tcBorders>
            <w:shd w:val="clear" w:color="auto" w:fill="00B0F0"/>
            <w:noWrap/>
            <w:vAlign w:val="bottom"/>
            <w:hideMark/>
          </w:tcPr>
          <w:p w:rsidR="00643AA3" w:rsidRPr="00FA34EF" w:rsidRDefault="00643AA3" w:rsidP="009E3941">
            <w:pPr>
              <w:spacing w:after="0" w:line="240" w:lineRule="auto"/>
              <w:rPr>
                <w:rFonts w:ascii="Arial" w:eastAsia="Times New Roman" w:hAnsi="Arial" w:cs="Arial"/>
                <w:color w:val="FFFFFF" w:themeColor="background1"/>
                <w:sz w:val="20"/>
                <w:szCs w:val="20"/>
                <w:lang w:val="en-US" w:eastAsia="nl-NL"/>
              </w:rPr>
            </w:pPr>
          </w:p>
        </w:tc>
        <w:tc>
          <w:tcPr>
            <w:tcW w:w="1447" w:type="pct"/>
            <w:shd w:val="clear" w:color="auto" w:fill="00B0F0"/>
            <w:noWrap/>
            <w:vAlign w:val="bottom"/>
            <w:hideMark/>
          </w:tcPr>
          <w:p w:rsidR="00643AA3" w:rsidRPr="00FA34EF" w:rsidRDefault="00643AA3" w:rsidP="009E3941">
            <w:pPr>
              <w:spacing w:after="0" w:line="240" w:lineRule="auto"/>
              <w:jc w:val="center"/>
              <w:rPr>
                <w:rFonts w:ascii="Arial" w:eastAsia="Times New Roman" w:hAnsi="Arial" w:cs="Arial"/>
                <w:b/>
                <w:color w:val="FFFFFF" w:themeColor="background1"/>
                <w:sz w:val="20"/>
                <w:szCs w:val="20"/>
                <w:lang w:val="en-US" w:eastAsia="nl-NL"/>
              </w:rPr>
            </w:pPr>
            <w:r w:rsidRPr="00FA34EF">
              <w:rPr>
                <w:rFonts w:ascii="Arial" w:eastAsia="Times New Roman" w:hAnsi="Arial" w:cs="Arial"/>
                <w:b/>
                <w:color w:val="FFFFFF" w:themeColor="background1"/>
                <w:sz w:val="20"/>
                <w:szCs w:val="20"/>
                <w:lang w:val="en-US" w:eastAsia="nl-NL"/>
              </w:rPr>
              <w:t>Accepted</w:t>
            </w:r>
          </w:p>
        </w:tc>
        <w:tc>
          <w:tcPr>
            <w:tcW w:w="1446" w:type="pct"/>
            <w:shd w:val="clear" w:color="auto" w:fill="00B0F0"/>
            <w:noWrap/>
            <w:vAlign w:val="bottom"/>
            <w:hideMark/>
          </w:tcPr>
          <w:p w:rsidR="00643AA3" w:rsidRPr="00FA34EF" w:rsidRDefault="00643AA3" w:rsidP="009E3941">
            <w:pPr>
              <w:spacing w:after="0" w:line="240" w:lineRule="auto"/>
              <w:jc w:val="center"/>
              <w:rPr>
                <w:rFonts w:ascii="Arial" w:eastAsia="Times New Roman" w:hAnsi="Arial" w:cs="Arial"/>
                <w:b/>
                <w:color w:val="FFFFFF" w:themeColor="background1"/>
                <w:sz w:val="20"/>
                <w:szCs w:val="20"/>
                <w:lang w:val="en-US" w:eastAsia="nl-NL"/>
              </w:rPr>
            </w:pPr>
            <w:r w:rsidRPr="00FA34EF">
              <w:rPr>
                <w:rFonts w:ascii="Arial" w:eastAsia="Times New Roman" w:hAnsi="Arial" w:cs="Arial"/>
                <w:b/>
                <w:color w:val="FFFFFF" w:themeColor="background1"/>
                <w:sz w:val="20"/>
                <w:szCs w:val="20"/>
                <w:lang w:val="en-US" w:eastAsia="nl-NL"/>
              </w:rPr>
              <w:t>Rejected</w:t>
            </w:r>
          </w:p>
        </w:tc>
      </w:tr>
      <w:tr w:rsidR="00643AA3" w:rsidRPr="00F740D4" w:rsidTr="00643AA3">
        <w:trPr>
          <w:trHeight w:val="270"/>
        </w:trPr>
        <w:tc>
          <w:tcPr>
            <w:tcW w:w="2107" w:type="pct"/>
            <w:tcBorders>
              <w:top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H1.0</w:t>
            </w:r>
            <w:r w:rsidR="00643AA3" w:rsidRPr="00643AA3">
              <w:rPr>
                <w:rFonts w:ascii="Arial" w:eastAsia="Times New Roman" w:hAnsi="Arial" w:cs="Arial"/>
                <w:color w:val="FFFFFF" w:themeColor="background1"/>
                <w:sz w:val="20"/>
                <w:szCs w:val="20"/>
                <w:lang w:val="en-US" w:eastAsia="nl-NL"/>
              </w:rPr>
              <w:t xml:space="preserve"> - relating to 2007</w:t>
            </w:r>
          </w:p>
        </w:tc>
        <w:tc>
          <w:tcPr>
            <w:tcW w:w="1447" w:type="pct"/>
            <w:tcBorders>
              <w:left w:val="single" w:sz="8" w:space="0" w:color="00B0F0"/>
              <w:right w:val="single" w:sz="4" w:space="0" w:color="00B0F0"/>
            </w:tcBorders>
            <w:shd w:val="clear" w:color="auto" w:fill="auto"/>
            <w:noWrap/>
            <w:vAlign w:val="bottom"/>
            <w:hideMark/>
          </w:tcPr>
          <w:p w:rsidR="00643AA3" w:rsidRPr="00FA34EF" w:rsidRDefault="00EB57C1"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V</w:t>
            </w:r>
          </w:p>
        </w:tc>
        <w:tc>
          <w:tcPr>
            <w:tcW w:w="1446" w:type="pct"/>
            <w:tcBorders>
              <w:left w:val="single" w:sz="4" w:space="0" w:color="00B0F0"/>
              <w:right w:val="single" w:sz="8" w:space="0" w:color="00B0F0"/>
            </w:tcBorders>
            <w:shd w:val="clear" w:color="auto" w:fill="auto"/>
            <w:noWrap/>
            <w:vAlign w:val="bottom"/>
            <w:hideMark/>
          </w:tcPr>
          <w:p w:rsidR="00643AA3" w:rsidRPr="00FA34EF" w:rsidRDefault="00643AA3"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 </w:t>
            </w:r>
          </w:p>
        </w:tc>
      </w:tr>
      <w:tr w:rsidR="00643AA3" w:rsidRPr="00F740D4" w:rsidTr="00643AA3">
        <w:trPr>
          <w:trHeight w:val="270"/>
        </w:trPr>
        <w:tc>
          <w:tcPr>
            <w:tcW w:w="2107" w:type="pct"/>
            <w:tcBorders>
              <w:bottom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H1.0</w:t>
            </w:r>
            <w:r w:rsidR="00643AA3" w:rsidRPr="00643AA3">
              <w:rPr>
                <w:rFonts w:ascii="Arial" w:eastAsia="Times New Roman" w:hAnsi="Arial" w:cs="Arial"/>
                <w:color w:val="FFFFFF" w:themeColor="background1"/>
                <w:sz w:val="20"/>
                <w:szCs w:val="20"/>
                <w:lang w:val="en-US" w:eastAsia="nl-NL"/>
              </w:rPr>
              <w:t xml:space="preserve"> - relating to 2009</w:t>
            </w:r>
          </w:p>
        </w:tc>
        <w:tc>
          <w:tcPr>
            <w:tcW w:w="1447" w:type="pct"/>
            <w:tcBorders>
              <w:left w:val="single" w:sz="8" w:space="0" w:color="00B0F0"/>
              <w:bottom w:val="single" w:sz="4" w:space="0" w:color="00B0F0"/>
              <w:right w:val="single" w:sz="4" w:space="0" w:color="00B0F0"/>
            </w:tcBorders>
            <w:shd w:val="clear" w:color="auto" w:fill="auto"/>
            <w:noWrap/>
            <w:vAlign w:val="bottom"/>
            <w:hideMark/>
          </w:tcPr>
          <w:p w:rsidR="00643AA3" w:rsidRPr="00FA34EF" w:rsidRDefault="00EB57C1"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V</w:t>
            </w:r>
          </w:p>
        </w:tc>
        <w:tc>
          <w:tcPr>
            <w:tcW w:w="1446" w:type="pct"/>
            <w:tcBorders>
              <w:left w:val="single" w:sz="4" w:space="0" w:color="00B0F0"/>
              <w:bottom w:val="single" w:sz="4" w:space="0" w:color="00B0F0"/>
              <w:right w:val="single" w:sz="8" w:space="0" w:color="00B0F0"/>
            </w:tcBorders>
            <w:shd w:val="clear" w:color="auto" w:fill="auto"/>
            <w:noWrap/>
            <w:vAlign w:val="bottom"/>
            <w:hideMark/>
          </w:tcPr>
          <w:p w:rsidR="00643AA3" w:rsidRPr="00FA34EF" w:rsidRDefault="00643AA3"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 </w:t>
            </w:r>
          </w:p>
        </w:tc>
      </w:tr>
      <w:tr w:rsidR="00643AA3" w:rsidRPr="00F740D4" w:rsidTr="00643AA3">
        <w:trPr>
          <w:trHeight w:val="270"/>
        </w:trPr>
        <w:tc>
          <w:tcPr>
            <w:tcW w:w="2107" w:type="pct"/>
            <w:tcBorders>
              <w:top w:val="single" w:sz="8" w:space="0" w:color="FFFFFF" w:themeColor="background1"/>
              <w:bottom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H3.0</w:t>
            </w:r>
            <w:r w:rsidR="00643AA3" w:rsidRPr="00643AA3">
              <w:rPr>
                <w:rFonts w:ascii="Arial" w:eastAsia="Times New Roman" w:hAnsi="Arial" w:cs="Arial"/>
                <w:color w:val="FFFFFF" w:themeColor="background1"/>
                <w:sz w:val="20"/>
                <w:szCs w:val="20"/>
                <w:lang w:val="en-US" w:eastAsia="nl-NL"/>
              </w:rPr>
              <w:t xml:space="preserve"> &gt; relating to H1</w:t>
            </w:r>
          </w:p>
        </w:tc>
        <w:tc>
          <w:tcPr>
            <w:tcW w:w="1447" w:type="pct"/>
            <w:tcBorders>
              <w:top w:val="single" w:sz="4" w:space="0" w:color="00B0F0"/>
              <w:left w:val="single" w:sz="8" w:space="0" w:color="00B0F0"/>
              <w:bottom w:val="single" w:sz="4" w:space="0" w:color="00B0F0"/>
              <w:right w:val="single" w:sz="4" w:space="0" w:color="00B0F0"/>
            </w:tcBorders>
            <w:shd w:val="clear" w:color="auto" w:fill="auto"/>
            <w:noWrap/>
            <w:vAlign w:val="bottom"/>
            <w:hideMark/>
          </w:tcPr>
          <w:p w:rsidR="00643AA3" w:rsidRPr="00FA34EF" w:rsidRDefault="00643AA3"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 </w:t>
            </w:r>
          </w:p>
        </w:tc>
        <w:tc>
          <w:tcPr>
            <w:tcW w:w="1446" w:type="pct"/>
            <w:tcBorders>
              <w:top w:val="single" w:sz="4" w:space="0" w:color="00B0F0"/>
              <w:left w:val="single" w:sz="4" w:space="0" w:color="00B0F0"/>
              <w:bottom w:val="single" w:sz="4" w:space="0" w:color="00B0F0"/>
              <w:right w:val="single" w:sz="8" w:space="0" w:color="00B0F0"/>
            </w:tcBorders>
            <w:shd w:val="clear" w:color="auto" w:fill="auto"/>
            <w:noWrap/>
            <w:vAlign w:val="bottom"/>
            <w:hideMark/>
          </w:tcPr>
          <w:p w:rsidR="00643AA3" w:rsidRPr="00FA34EF" w:rsidRDefault="00643AA3" w:rsidP="009E3941">
            <w:pPr>
              <w:spacing w:after="0" w:line="240" w:lineRule="auto"/>
              <w:jc w:val="center"/>
              <w:rPr>
                <w:rFonts w:ascii="Arial" w:eastAsia="Times New Roman" w:hAnsi="Arial" w:cs="Arial"/>
                <w:color w:val="000000"/>
                <w:sz w:val="20"/>
                <w:szCs w:val="20"/>
                <w:lang w:val="en-US" w:eastAsia="nl-NL"/>
              </w:rPr>
            </w:pPr>
            <w:r w:rsidRPr="00FA34EF">
              <w:rPr>
                <w:rFonts w:ascii="Arial" w:eastAsia="Times New Roman" w:hAnsi="Arial" w:cs="Arial"/>
                <w:color w:val="000000"/>
                <w:sz w:val="20"/>
                <w:szCs w:val="20"/>
                <w:lang w:val="en-US" w:eastAsia="nl-NL"/>
              </w:rPr>
              <w:t>v</w:t>
            </w:r>
          </w:p>
        </w:tc>
      </w:tr>
      <w:tr w:rsidR="00643AA3" w:rsidRPr="00F740D4" w:rsidTr="00643AA3">
        <w:trPr>
          <w:trHeight w:val="270"/>
        </w:trPr>
        <w:tc>
          <w:tcPr>
            <w:tcW w:w="2107" w:type="pct"/>
            <w:tcBorders>
              <w:top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H2.0</w:t>
            </w:r>
            <w:r w:rsidR="00643AA3" w:rsidRPr="00643AA3">
              <w:rPr>
                <w:rFonts w:ascii="Arial" w:eastAsia="Times New Roman" w:hAnsi="Arial" w:cs="Arial"/>
                <w:color w:val="FFFFFF" w:themeColor="background1"/>
                <w:sz w:val="20"/>
                <w:szCs w:val="20"/>
                <w:lang w:val="en-US" w:eastAsia="nl-NL"/>
              </w:rPr>
              <w:t xml:space="preserve"> - relating to 2007</w:t>
            </w:r>
          </w:p>
        </w:tc>
        <w:tc>
          <w:tcPr>
            <w:tcW w:w="1447" w:type="pct"/>
            <w:tcBorders>
              <w:top w:val="single" w:sz="4" w:space="0" w:color="00B0F0"/>
              <w:left w:val="single" w:sz="8" w:space="0" w:color="00B0F0"/>
              <w:right w:val="single" w:sz="4"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 </w:t>
            </w:r>
          </w:p>
        </w:tc>
        <w:tc>
          <w:tcPr>
            <w:tcW w:w="1446" w:type="pct"/>
            <w:tcBorders>
              <w:top w:val="single" w:sz="4" w:space="0" w:color="00B0F0"/>
              <w:left w:val="single" w:sz="4" w:space="0" w:color="00B0F0"/>
              <w:right w:val="single" w:sz="8"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v</w:t>
            </w:r>
          </w:p>
        </w:tc>
      </w:tr>
      <w:tr w:rsidR="00643AA3" w:rsidRPr="00F740D4" w:rsidTr="00643AA3">
        <w:trPr>
          <w:trHeight w:val="270"/>
        </w:trPr>
        <w:tc>
          <w:tcPr>
            <w:tcW w:w="2107" w:type="pct"/>
            <w:tcBorders>
              <w:bottom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H2.0</w:t>
            </w:r>
            <w:r w:rsidR="00643AA3" w:rsidRPr="00643AA3">
              <w:rPr>
                <w:rFonts w:ascii="Arial" w:eastAsia="Times New Roman" w:hAnsi="Arial" w:cs="Arial"/>
                <w:color w:val="FFFFFF" w:themeColor="background1"/>
                <w:sz w:val="20"/>
                <w:szCs w:val="20"/>
                <w:lang w:val="en-US" w:eastAsia="nl-NL"/>
              </w:rPr>
              <w:t xml:space="preserve"> - relating to 2009</w:t>
            </w:r>
          </w:p>
        </w:tc>
        <w:tc>
          <w:tcPr>
            <w:tcW w:w="1447" w:type="pct"/>
            <w:tcBorders>
              <w:left w:val="single" w:sz="8" w:space="0" w:color="00B0F0"/>
              <w:bottom w:val="single" w:sz="4" w:space="0" w:color="00B0F0"/>
              <w:right w:val="single" w:sz="4"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 </w:t>
            </w:r>
          </w:p>
        </w:tc>
        <w:tc>
          <w:tcPr>
            <w:tcW w:w="1446" w:type="pct"/>
            <w:tcBorders>
              <w:left w:val="single" w:sz="4" w:space="0" w:color="00B0F0"/>
              <w:bottom w:val="single" w:sz="4" w:space="0" w:color="00B0F0"/>
              <w:right w:val="single" w:sz="8"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v</w:t>
            </w:r>
          </w:p>
        </w:tc>
      </w:tr>
      <w:tr w:rsidR="00643AA3" w:rsidRPr="00F740D4" w:rsidTr="00643AA3">
        <w:trPr>
          <w:trHeight w:val="270"/>
        </w:trPr>
        <w:tc>
          <w:tcPr>
            <w:tcW w:w="2107" w:type="pct"/>
            <w:tcBorders>
              <w:top w:val="single" w:sz="8" w:space="0" w:color="FFFFFF" w:themeColor="background1"/>
            </w:tcBorders>
            <w:shd w:val="clear" w:color="auto" w:fill="0070C0"/>
            <w:noWrap/>
            <w:vAlign w:val="bottom"/>
            <w:hideMark/>
          </w:tcPr>
          <w:p w:rsidR="00643AA3" w:rsidRPr="00643AA3" w:rsidRDefault="00037C69" w:rsidP="009E3941">
            <w:pPr>
              <w:spacing w:after="0" w:line="240" w:lineRule="auto"/>
              <w:rPr>
                <w:rFonts w:ascii="Arial" w:eastAsia="Times New Roman" w:hAnsi="Arial" w:cs="Arial"/>
                <w:color w:val="FFFFFF" w:themeColor="background1"/>
                <w:sz w:val="20"/>
                <w:szCs w:val="20"/>
                <w:lang w:val="en-US" w:eastAsia="nl-NL"/>
              </w:rPr>
            </w:pPr>
            <w:r>
              <w:rPr>
                <w:rFonts w:ascii="Arial" w:eastAsia="Times New Roman" w:hAnsi="Arial" w:cs="Arial"/>
                <w:color w:val="FFFFFF" w:themeColor="background1"/>
                <w:sz w:val="20"/>
                <w:szCs w:val="20"/>
                <w:lang w:val="en-US" w:eastAsia="nl-NL"/>
              </w:rPr>
              <w:t>H3.0</w:t>
            </w:r>
            <w:r w:rsidR="00643AA3" w:rsidRPr="00643AA3">
              <w:rPr>
                <w:rFonts w:ascii="Arial" w:eastAsia="Times New Roman" w:hAnsi="Arial" w:cs="Arial"/>
                <w:color w:val="FFFFFF" w:themeColor="background1"/>
                <w:sz w:val="20"/>
                <w:szCs w:val="20"/>
                <w:lang w:val="en-US" w:eastAsia="nl-NL"/>
              </w:rPr>
              <w:t xml:space="preserve"> &gt; relating H2</w:t>
            </w:r>
          </w:p>
        </w:tc>
        <w:tc>
          <w:tcPr>
            <w:tcW w:w="1447" w:type="pct"/>
            <w:tcBorders>
              <w:top w:val="single" w:sz="4" w:space="0" w:color="00B0F0"/>
              <w:left w:val="single" w:sz="8" w:space="0" w:color="00B0F0"/>
              <w:bottom w:val="single" w:sz="8" w:space="0" w:color="00B0F0"/>
              <w:right w:val="single" w:sz="4"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 </w:t>
            </w:r>
          </w:p>
        </w:tc>
        <w:tc>
          <w:tcPr>
            <w:tcW w:w="1446" w:type="pct"/>
            <w:tcBorders>
              <w:top w:val="single" w:sz="4" w:space="0" w:color="00B0F0"/>
              <w:left w:val="single" w:sz="4" w:space="0" w:color="00B0F0"/>
              <w:bottom w:val="single" w:sz="8" w:space="0" w:color="00B0F0"/>
              <w:right w:val="single" w:sz="8" w:space="0" w:color="00B0F0"/>
            </w:tcBorders>
            <w:shd w:val="clear" w:color="auto" w:fill="auto"/>
            <w:noWrap/>
            <w:vAlign w:val="bottom"/>
            <w:hideMark/>
          </w:tcPr>
          <w:p w:rsidR="00643AA3" w:rsidRPr="00037C69" w:rsidRDefault="00643AA3" w:rsidP="009E3941">
            <w:pPr>
              <w:spacing w:after="0" w:line="240" w:lineRule="auto"/>
              <w:jc w:val="center"/>
              <w:rPr>
                <w:rFonts w:ascii="Arial" w:eastAsia="Times New Roman" w:hAnsi="Arial" w:cs="Arial"/>
                <w:color w:val="000000"/>
                <w:sz w:val="20"/>
                <w:szCs w:val="20"/>
                <w:lang w:val="en-US" w:eastAsia="nl-NL"/>
              </w:rPr>
            </w:pPr>
            <w:r w:rsidRPr="00037C69">
              <w:rPr>
                <w:rFonts w:ascii="Arial" w:eastAsia="Times New Roman" w:hAnsi="Arial" w:cs="Arial"/>
                <w:color w:val="000000"/>
                <w:sz w:val="20"/>
                <w:szCs w:val="20"/>
                <w:lang w:val="en-US" w:eastAsia="nl-NL"/>
              </w:rPr>
              <w:t>v</w:t>
            </w:r>
          </w:p>
        </w:tc>
      </w:tr>
    </w:tbl>
    <w:p w:rsidR="00AF660A" w:rsidRDefault="00643AA3" w:rsidP="00AB0A83">
      <w:pPr>
        <w:pStyle w:val="BodyText"/>
        <w:rPr>
          <w:rFonts w:ascii="Verdana" w:hAnsi="Verdana"/>
          <w:lang w:val="en-US"/>
        </w:rPr>
      </w:pPr>
      <w:r w:rsidRPr="00643AA3">
        <w:rPr>
          <w:rFonts w:ascii="Arial" w:eastAsia="Times New Roman" w:hAnsi="Arial" w:cs="Arial"/>
          <w:color w:val="000000"/>
          <w:sz w:val="20"/>
          <w:szCs w:val="20"/>
          <w:lang w:val="en-US" w:eastAsia="nl-NL"/>
        </w:rPr>
        <w:br/>
      </w:r>
      <w:r w:rsidR="009E3941">
        <w:rPr>
          <w:rFonts w:ascii="Verdana" w:hAnsi="Verdana"/>
          <w:lang w:val="en-US"/>
        </w:rPr>
        <w:br/>
      </w:r>
      <w:r w:rsidR="00AF660A">
        <w:rPr>
          <w:rFonts w:ascii="Verdana" w:hAnsi="Verdana"/>
          <w:lang w:val="en-US"/>
        </w:rPr>
        <w:t>This is an interesting and relevant outcome because this indicates that due to the crisis the</w:t>
      </w:r>
      <w:r w:rsidR="00334D21">
        <w:rPr>
          <w:rFonts w:ascii="Verdana" w:hAnsi="Verdana"/>
          <w:lang w:val="en-US"/>
        </w:rPr>
        <w:t xml:space="preserve"> impairment of goodwill and therefor</w:t>
      </w:r>
      <w:r w:rsidR="007A0B11">
        <w:rPr>
          <w:rFonts w:ascii="Verdana" w:hAnsi="Verdana"/>
          <w:lang w:val="en-US"/>
        </w:rPr>
        <w:t>e</w:t>
      </w:r>
      <w:r w:rsidR="00334D21">
        <w:rPr>
          <w:rFonts w:ascii="Verdana" w:hAnsi="Verdana"/>
          <w:lang w:val="en-US"/>
        </w:rPr>
        <w:t>, the</w:t>
      </w:r>
      <w:r w:rsidR="00AF660A">
        <w:rPr>
          <w:rFonts w:ascii="Verdana" w:hAnsi="Verdana"/>
          <w:lang w:val="en-US"/>
        </w:rPr>
        <w:t xml:space="preserve"> financial statements were not influenced by earnings management </w:t>
      </w:r>
      <w:r w:rsidR="00334D21">
        <w:rPr>
          <w:rFonts w:ascii="Verdana" w:hAnsi="Verdana"/>
          <w:lang w:val="en-US"/>
        </w:rPr>
        <w:t>more than before the crisis.</w:t>
      </w:r>
    </w:p>
    <w:p w:rsidR="00585016" w:rsidRPr="00DC1C3A" w:rsidRDefault="00585016" w:rsidP="00585016">
      <w:pPr>
        <w:rPr>
          <w:rFonts w:ascii="Verdana" w:hAnsi="Verdana"/>
          <w:b/>
          <w:lang w:val="en-US"/>
        </w:rPr>
      </w:pPr>
    </w:p>
    <w:p w:rsidR="00585016" w:rsidRPr="00DC1C3A" w:rsidRDefault="003C2D90" w:rsidP="00856F25">
      <w:pPr>
        <w:pStyle w:val="Heading2"/>
        <w:rPr>
          <w:lang w:val="en-US"/>
        </w:rPr>
      </w:pPr>
      <w:bookmarkStart w:id="63" w:name="_Toc359957165"/>
      <w:r w:rsidRPr="00DC1C3A">
        <w:rPr>
          <w:lang w:val="en-US"/>
        </w:rPr>
        <w:t>8</w:t>
      </w:r>
      <w:r w:rsidR="00856F25" w:rsidRPr="00DC1C3A">
        <w:rPr>
          <w:lang w:val="en-US"/>
        </w:rPr>
        <w:t>.</w:t>
      </w:r>
      <w:r w:rsidR="009E3941">
        <w:rPr>
          <w:lang w:val="en-US"/>
        </w:rPr>
        <w:t>2</w:t>
      </w:r>
      <w:r w:rsidR="00856F25" w:rsidRPr="00DC1C3A">
        <w:rPr>
          <w:lang w:val="en-US"/>
        </w:rPr>
        <w:t xml:space="preserve"> </w:t>
      </w:r>
      <w:r w:rsidR="00585016" w:rsidRPr="00DC1C3A">
        <w:rPr>
          <w:lang w:val="en-US"/>
        </w:rPr>
        <w:t>Future research</w:t>
      </w:r>
      <w:bookmarkEnd w:id="63"/>
    </w:p>
    <w:p w:rsidR="00334D21" w:rsidRDefault="00AF660A" w:rsidP="00585016">
      <w:pPr>
        <w:rPr>
          <w:rFonts w:ascii="Verdana" w:hAnsi="Verdana"/>
          <w:lang w:val="en-US"/>
        </w:rPr>
      </w:pPr>
      <w:r>
        <w:rPr>
          <w:rFonts w:ascii="Verdana" w:hAnsi="Verdana"/>
          <w:lang w:val="en-US"/>
        </w:rPr>
        <w:br/>
      </w:r>
      <w:r w:rsidR="00334D21">
        <w:rPr>
          <w:rFonts w:ascii="Verdana" w:hAnsi="Verdana"/>
          <w:lang w:val="en-US"/>
        </w:rPr>
        <w:t xml:space="preserve">To gain a better insight in the effects of the crisis on earnings management and to assess if the conclusions drawn in this thesis are just, the years </w:t>
      </w:r>
      <w:r w:rsidR="0060579C">
        <w:rPr>
          <w:rFonts w:ascii="Verdana" w:hAnsi="Verdana"/>
          <w:lang w:val="en-US"/>
        </w:rPr>
        <w:t xml:space="preserve">2007 and 2009 </w:t>
      </w:r>
      <w:r w:rsidR="00334D21">
        <w:rPr>
          <w:rFonts w:ascii="Verdana" w:hAnsi="Verdana"/>
          <w:lang w:val="en-US"/>
        </w:rPr>
        <w:t>can be subjected to other kinds of research. In previous researches the effect of executive compensation and earnings management has been compared</w:t>
      </w:r>
      <w:r w:rsidR="00744189">
        <w:rPr>
          <w:rFonts w:ascii="Verdana" w:hAnsi="Verdana"/>
          <w:lang w:val="en-US"/>
        </w:rPr>
        <w:t xml:space="preserve"> (</w:t>
      </w:r>
      <w:proofErr w:type="spellStart"/>
      <w:r w:rsidR="00744189">
        <w:rPr>
          <w:rFonts w:ascii="Verdana" w:hAnsi="Verdana"/>
          <w:lang w:val="en-US"/>
        </w:rPr>
        <w:t>Saih</w:t>
      </w:r>
      <w:proofErr w:type="spellEnd"/>
      <w:r w:rsidR="00744189">
        <w:rPr>
          <w:rFonts w:ascii="Verdana" w:hAnsi="Verdana"/>
          <w:lang w:val="en-US"/>
        </w:rPr>
        <w:t xml:space="preserve"> and </w:t>
      </w:r>
      <w:proofErr w:type="spellStart"/>
      <w:r w:rsidR="00744189">
        <w:rPr>
          <w:rFonts w:ascii="Verdana" w:hAnsi="Verdana"/>
          <w:lang w:val="en-US"/>
        </w:rPr>
        <w:t>Kanhai</w:t>
      </w:r>
      <w:proofErr w:type="spellEnd"/>
      <w:r w:rsidR="00744189">
        <w:rPr>
          <w:rFonts w:ascii="Verdana" w:hAnsi="Verdana"/>
          <w:lang w:val="en-US"/>
        </w:rPr>
        <w:t>, 2010) and the effect of capital market pressures and institutional factors on firms’ incentives to perform earnings managements (</w:t>
      </w:r>
      <w:proofErr w:type="spellStart"/>
      <w:r w:rsidR="00744189">
        <w:rPr>
          <w:rFonts w:ascii="Verdana" w:hAnsi="Verdana"/>
          <w:lang w:val="en-US"/>
        </w:rPr>
        <w:t>Burgstahler</w:t>
      </w:r>
      <w:proofErr w:type="spellEnd"/>
      <w:r w:rsidR="00744189">
        <w:rPr>
          <w:rFonts w:ascii="Verdana" w:hAnsi="Verdana"/>
          <w:lang w:val="en-US"/>
        </w:rPr>
        <w:t xml:space="preserve"> et al</w:t>
      </w:r>
      <w:r w:rsidR="00721BF1">
        <w:rPr>
          <w:rFonts w:ascii="Verdana" w:hAnsi="Verdana"/>
          <w:lang w:val="en-US"/>
        </w:rPr>
        <w:t xml:space="preserve">, </w:t>
      </w:r>
      <w:r w:rsidR="00744189">
        <w:rPr>
          <w:rFonts w:ascii="Verdana" w:hAnsi="Verdana"/>
          <w:lang w:val="en-US"/>
        </w:rPr>
        <w:t>2006)</w:t>
      </w:r>
      <w:r w:rsidR="00721BF1">
        <w:rPr>
          <w:rFonts w:ascii="Verdana" w:hAnsi="Verdana"/>
          <w:lang w:val="en-US"/>
        </w:rPr>
        <w:t>. These researches can also be performed on years before and after the crisis to analyze the effects the crisis has on earnings management and therefor</w:t>
      </w:r>
      <w:r w:rsidR="007A0B11">
        <w:rPr>
          <w:rFonts w:ascii="Verdana" w:hAnsi="Verdana"/>
          <w:lang w:val="en-US"/>
        </w:rPr>
        <w:t>e</w:t>
      </w:r>
      <w:r w:rsidR="00721BF1">
        <w:rPr>
          <w:rFonts w:ascii="Verdana" w:hAnsi="Verdana"/>
          <w:lang w:val="en-US"/>
        </w:rPr>
        <w:t xml:space="preserve"> on the reliability of financial reporting.</w:t>
      </w:r>
    </w:p>
    <w:p w:rsidR="0060579C" w:rsidRDefault="0060579C" w:rsidP="00585016">
      <w:pPr>
        <w:rPr>
          <w:rFonts w:ascii="Verdana" w:hAnsi="Verdana"/>
          <w:lang w:val="en-US"/>
        </w:rPr>
      </w:pPr>
      <w:r>
        <w:rPr>
          <w:rFonts w:ascii="Verdana" w:hAnsi="Verdana"/>
          <w:lang w:val="en-US"/>
        </w:rPr>
        <w:t xml:space="preserve">This thesis researches earnings management by looking at the decision taken by management to perform impairment of goodwill. Further research can be performed by looking at the amount of impairment management takes. </w:t>
      </w:r>
    </w:p>
    <w:p w:rsidR="00585016" w:rsidRPr="00DC1C3A" w:rsidRDefault="00477AF5" w:rsidP="00585016">
      <w:pPr>
        <w:rPr>
          <w:rFonts w:ascii="Verdana" w:hAnsi="Verdana"/>
          <w:lang w:val="en-US"/>
        </w:rPr>
      </w:pPr>
      <w:r>
        <w:rPr>
          <w:rFonts w:ascii="Verdana" w:hAnsi="Verdana"/>
          <w:color w:val="auto"/>
          <w:lang w:val="en-US"/>
        </w:rPr>
        <w:lastRenderedPageBreak/>
        <w:t>This research can also be performed for other reporting standards. If the same research is performed in the United States, then, besides the effects of the crisis, also the effect of different reporting standards can be assessed on top of this.</w:t>
      </w:r>
      <w:r w:rsidR="00585016" w:rsidRPr="00DC1C3A">
        <w:rPr>
          <w:rFonts w:ascii="Verdana" w:hAnsi="Verdana"/>
          <w:color w:val="auto"/>
          <w:lang w:val="en-US"/>
        </w:rPr>
        <w:br w:type="page"/>
      </w:r>
    </w:p>
    <w:p w:rsidR="009E3941" w:rsidRDefault="009E3941" w:rsidP="009E3941">
      <w:pPr>
        <w:pStyle w:val="Heading1"/>
        <w:rPr>
          <w:lang w:val="en-US"/>
        </w:rPr>
      </w:pPr>
      <w:bookmarkStart w:id="64" w:name="_Toc359957166"/>
      <w:r>
        <w:rPr>
          <w:lang w:val="en-US"/>
        </w:rPr>
        <w:lastRenderedPageBreak/>
        <w:t>References</w:t>
      </w:r>
      <w:bookmarkEnd w:id="64"/>
      <w:r>
        <w:rPr>
          <w:lang w:val="en-US"/>
        </w:rPr>
        <w:br/>
      </w:r>
    </w:p>
    <w:p w:rsidR="009E3941" w:rsidRPr="0048281C" w:rsidRDefault="009E3941" w:rsidP="009E3941">
      <w:pPr>
        <w:pStyle w:val="BodyText"/>
        <w:rPr>
          <w:rFonts w:ascii="Verdana" w:hAnsi="Verdana"/>
          <w:lang w:val="en-US"/>
        </w:rPr>
      </w:pPr>
      <w:proofErr w:type="spellStart"/>
      <w:r w:rsidRPr="0048281C">
        <w:rPr>
          <w:rFonts w:ascii="Verdana" w:hAnsi="Verdana"/>
          <w:lang w:val="en-US"/>
        </w:rPr>
        <w:t>Alciator</w:t>
      </w:r>
      <w:r>
        <w:rPr>
          <w:rFonts w:ascii="Verdana" w:hAnsi="Verdana"/>
          <w:lang w:val="en-US"/>
        </w:rPr>
        <w:t>e</w:t>
      </w:r>
      <w:proofErr w:type="spellEnd"/>
      <w:r>
        <w:rPr>
          <w:rFonts w:ascii="Verdana" w:hAnsi="Verdana"/>
          <w:lang w:val="en-US"/>
        </w:rPr>
        <w:t>, M., Dee, C.C., Easton, P.,</w:t>
      </w:r>
      <w:r w:rsidRPr="0048281C">
        <w:rPr>
          <w:rFonts w:ascii="Verdana" w:hAnsi="Verdana"/>
          <w:lang w:val="en-US"/>
        </w:rPr>
        <w:t xml:space="preserve"> Spear</w:t>
      </w:r>
      <w:r>
        <w:rPr>
          <w:rFonts w:ascii="Verdana" w:hAnsi="Verdana"/>
          <w:lang w:val="en-US"/>
        </w:rPr>
        <w:t>, N.</w:t>
      </w:r>
      <w:r w:rsidRPr="0048281C">
        <w:rPr>
          <w:rFonts w:ascii="Verdana" w:hAnsi="Verdana"/>
          <w:lang w:val="en-US"/>
        </w:rPr>
        <w:t xml:space="preserve"> (1998), ‘Asset write-downs: A decade of research’,</w:t>
      </w:r>
      <w:r>
        <w:rPr>
          <w:rFonts w:ascii="Verdana" w:hAnsi="Verdana"/>
          <w:lang w:val="en-US"/>
        </w:rPr>
        <w:t xml:space="preserve"> </w:t>
      </w:r>
      <w:r w:rsidRPr="0048281C">
        <w:rPr>
          <w:rFonts w:ascii="Verdana" w:hAnsi="Verdana"/>
          <w:i/>
          <w:iCs/>
          <w:lang w:val="en-US"/>
        </w:rPr>
        <w:t>Journal of Accounting Literature</w:t>
      </w:r>
      <w:r w:rsidRPr="0048281C">
        <w:rPr>
          <w:rFonts w:ascii="Verdana" w:hAnsi="Verdana"/>
          <w:lang w:val="en-US"/>
        </w:rPr>
        <w:t>, Vol. 17, pp. 1-39.</w:t>
      </w:r>
    </w:p>
    <w:p w:rsidR="009E3941" w:rsidRDefault="009E3941" w:rsidP="009E3941">
      <w:pPr>
        <w:pStyle w:val="BodyText"/>
        <w:rPr>
          <w:rFonts w:ascii="Verdana" w:hAnsi="Verdana"/>
          <w:lang w:val="en-US"/>
        </w:rPr>
      </w:pPr>
      <w:proofErr w:type="spellStart"/>
      <w:r>
        <w:rPr>
          <w:rFonts w:ascii="Verdana" w:hAnsi="Verdana"/>
          <w:lang w:val="en-US"/>
        </w:rPr>
        <w:t>Barnea</w:t>
      </w:r>
      <w:proofErr w:type="spellEnd"/>
      <w:r>
        <w:rPr>
          <w:rFonts w:ascii="Verdana" w:hAnsi="Verdana"/>
          <w:lang w:val="en-US"/>
        </w:rPr>
        <w:t xml:space="preserve">, A.J., Ronen, J., </w:t>
      </w:r>
      <w:proofErr w:type="spellStart"/>
      <w:r>
        <w:rPr>
          <w:rFonts w:ascii="Verdana" w:hAnsi="Verdana"/>
          <w:lang w:val="en-US"/>
        </w:rPr>
        <w:t>Sadan</w:t>
      </w:r>
      <w:proofErr w:type="spellEnd"/>
      <w:r>
        <w:rPr>
          <w:rFonts w:ascii="Verdana" w:hAnsi="Verdana"/>
          <w:lang w:val="en-US"/>
        </w:rPr>
        <w:t xml:space="preserve">, S. (1976), ‘Classificatory Smoothing of Income with Extraordinary Items’, </w:t>
      </w:r>
      <w:r>
        <w:rPr>
          <w:rFonts w:ascii="Verdana" w:hAnsi="Verdana"/>
          <w:i/>
          <w:lang w:val="en-US"/>
        </w:rPr>
        <w:t xml:space="preserve">The Accounting Review, </w:t>
      </w:r>
      <w:r>
        <w:rPr>
          <w:rFonts w:ascii="Verdana" w:hAnsi="Verdana"/>
          <w:lang w:val="en-US"/>
        </w:rPr>
        <w:t>January, pp. 110-122.</w:t>
      </w:r>
    </w:p>
    <w:p w:rsidR="009E3941" w:rsidRPr="00744189" w:rsidRDefault="009E3941" w:rsidP="009E3941">
      <w:pPr>
        <w:pStyle w:val="BodyText"/>
        <w:rPr>
          <w:rFonts w:ascii="Verdana" w:hAnsi="Verdana"/>
          <w:lang w:val="en-US"/>
        </w:rPr>
      </w:pPr>
      <w:proofErr w:type="spellStart"/>
      <w:r>
        <w:rPr>
          <w:rFonts w:ascii="Verdana" w:hAnsi="Verdana"/>
          <w:lang w:val="en-US"/>
        </w:rPr>
        <w:t>Burgstahler</w:t>
      </w:r>
      <w:proofErr w:type="spellEnd"/>
      <w:r>
        <w:rPr>
          <w:rFonts w:ascii="Verdana" w:hAnsi="Verdana"/>
          <w:lang w:val="en-US"/>
        </w:rPr>
        <w:t xml:space="preserve">, D., Hail, L., </w:t>
      </w:r>
      <w:proofErr w:type="spellStart"/>
      <w:r>
        <w:rPr>
          <w:rFonts w:ascii="Verdana" w:hAnsi="Verdana"/>
          <w:lang w:val="en-US"/>
        </w:rPr>
        <w:t>Leuz</w:t>
      </w:r>
      <w:proofErr w:type="spellEnd"/>
      <w:r>
        <w:rPr>
          <w:rFonts w:ascii="Verdana" w:hAnsi="Verdana"/>
          <w:lang w:val="en-US"/>
        </w:rPr>
        <w:t xml:space="preserve">, C. (2006), ‘The importance of reporting incentives: Earnings management in European private and public firms’, </w:t>
      </w:r>
      <w:r>
        <w:rPr>
          <w:rFonts w:ascii="Verdana" w:hAnsi="Verdana"/>
          <w:i/>
          <w:lang w:val="en-US"/>
        </w:rPr>
        <w:t>The Accounting Review</w:t>
      </w:r>
      <w:r>
        <w:rPr>
          <w:rFonts w:ascii="Verdana" w:hAnsi="Verdana"/>
          <w:lang w:val="en-US"/>
        </w:rPr>
        <w:t>, Vol. 81, No. 5, pp. 983-1016.</w:t>
      </w:r>
    </w:p>
    <w:p w:rsidR="009E3941" w:rsidRDefault="009E3941" w:rsidP="009E3941">
      <w:pPr>
        <w:pStyle w:val="BodyText"/>
        <w:rPr>
          <w:rFonts w:ascii="Verdana" w:hAnsi="Verdana"/>
          <w:lang w:val="en-US"/>
        </w:rPr>
      </w:pPr>
      <w:r>
        <w:rPr>
          <w:rFonts w:ascii="Verdana" w:hAnsi="Verdana"/>
          <w:lang w:val="en-US"/>
        </w:rPr>
        <w:t>Dye, R.A. (1988), Earnings Management in an Overlapping Generations Model</w:t>
      </w:r>
      <w:r>
        <w:rPr>
          <w:rFonts w:ascii="Verdana" w:hAnsi="Verdana"/>
          <w:i/>
          <w:iCs/>
          <w:lang w:val="en-US"/>
        </w:rPr>
        <w:t>, Journal of accounting research</w:t>
      </w:r>
      <w:r>
        <w:rPr>
          <w:rFonts w:ascii="Verdana" w:hAnsi="Verdana"/>
          <w:lang w:val="en-US"/>
        </w:rPr>
        <w:t>, Vol. 26, No. 2, pp. 195-235.</w:t>
      </w:r>
    </w:p>
    <w:p w:rsidR="009E3941" w:rsidRDefault="009E3941" w:rsidP="009E3941">
      <w:pPr>
        <w:pStyle w:val="BodyText"/>
        <w:rPr>
          <w:rFonts w:ascii="Verdana" w:hAnsi="Verdana"/>
          <w:lang w:val="en-US"/>
        </w:rPr>
      </w:pPr>
      <w:r>
        <w:rPr>
          <w:rFonts w:ascii="Verdana" w:hAnsi="Verdana"/>
          <w:lang w:val="en-US"/>
        </w:rPr>
        <w:t xml:space="preserve">Elliott, J., Shaw, W. (1988), “Write Offs as Accounting Procedures to Manage Perceptions”, </w:t>
      </w:r>
      <w:r>
        <w:rPr>
          <w:rFonts w:ascii="Verdana" w:hAnsi="Verdana"/>
          <w:i/>
          <w:iCs/>
          <w:lang w:val="en-US"/>
        </w:rPr>
        <w:t>Journal of Accounting Research</w:t>
      </w:r>
      <w:r>
        <w:rPr>
          <w:rFonts w:ascii="Verdana" w:hAnsi="Verdana"/>
          <w:lang w:val="en-US"/>
        </w:rPr>
        <w:t>, Vol. 26, Supplement, pp. 91-119.</w:t>
      </w:r>
    </w:p>
    <w:p w:rsidR="009E3941" w:rsidRPr="008A1591" w:rsidRDefault="009E3941" w:rsidP="009E3941">
      <w:pPr>
        <w:pStyle w:val="BodyText"/>
        <w:rPr>
          <w:rFonts w:ascii="Verdana" w:hAnsi="Verdana"/>
          <w:lang w:val="en-US"/>
        </w:rPr>
      </w:pPr>
      <w:r w:rsidRPr="008A1591">
        <w:rPr>
          <w:rFonts w:ascii="Verdana" w:hAnsi="Verdana"/>
          <w:lang w:val="en-US"/>
        </w:rPr>
        <w:t xml:space="preserve">European Commission (2008), Report of the Commission to the Council and the European Parliament on the Operation of Regulation (EC) No 1606/2002 </w:t>
      </w:r>
      <w:r>
        <w:rPr>
          <w:rFonts w:ascii="Verdana" w:hAnsi="Verdana"/>
          <w:lang w:val="en-US"/>
        </w:rPr>
        <w:t xml:space="preserve">of 19 July 2002 </w:t>
      </w:r>
      <w:r w:rsidRPr="008A1591">
        <w:rPr>
          <w:rFonts w:ascii="Verdana" w:hAnsi="Verdana"/>
          <w:lang w:val="en-US"/>
        </w:rPr>
        <w:t>on the application of internat</w:t>
      </w:r>
      <w:r>
        <w:rPr>
          <w:rFonts w:ascii="Verdana" w:hAnsi="Verdana"/>
          <w:lang w:val="en-US"/>
        </w:rPr>
        <w:t>ional accounting standards. COM</w:t>
      </w:r>
      <w:r w:rsidRPr="008A1591">
        <w:rPr>
          <w:rFonts w:ascii="Verdana" w:hAnsi="Verdana"/>
          <w:lang w:val="en-US"/>
        </w:rPr>
        <w:t>(2008) 215</w:t>
      </w:r>
      <w:r>
        <w:rPr>
          <w:rFonts w:ascii="Verdana" w:hAnsi="Verdana"/>
          <w:lang w:val="en-US"/>
        </w:rPr>
        <w:t xml:space="preserve"> final</w:t>
      </w:r>
      <w:r w:rsidRPr="008A1591">
        <w:rPr>
          <w:rFonts w:ascii="Verdana" w:hAnsi="Verdana"/>
          <w:lang w:val="en-US"/>
        </w:rPr>
        <w:t xml:space="preserve">. </w:t>
      </w:r>
    </w:p>
    <w:p w:rsidR="009E3941" w:rsidRPr="004F63B4" w:rsidRDefault="009E3941" w:rsidP="009E3941">
      <w:pPr>
        <w:pStyle w:val="BodyText"/>
        <w:rPr>
          <w:rFonts w:ascii="Verdana" w:hAnsi="Verdana"/>
          <w:lang w:val="en-US"/>
        </w:rPr>
      </w:pPr>
      <w:proofErr w:type="spellStart"/>
      <w:r w:rsidRPr="004F63B4">
        <w:rPr>
          <w:rFonts w:ascii="Verdana" w:hAnsi="Verdana"/>
          <w:lang w:val="en-US"/>
        </w:rPr>
        <w:t>Eynde</w:t>
      </w:r>
      <w:proofErr w:type="spellEnd"/>
      <w:r w:rsidRPr="004F63B4">
        <w:rPr>
          <w:rFonts w:ascii="Verdana" w:hAnsi="Verdana"/>
          <w:lang w:val="en-US"/>
        </w:rPr>
        <w:t xml:space="preserve">, K. van den, (2007), ‘Goodwill en </w:t>
      </w:r>
      <w:proofErr w:type="spellStart"/>
      <w:r w:rsidRPr="004F63B4">
        <w:rPr>
          <w:rFonts w:ascii="Verdana" w:hAnsi="Verdana"/>
          <w:lang w:val="en-US"/>
        </w:rPr>
        <w:t>fusies</w:t>
      </w:r>
      <w:proofErr w:type="spellEnd"/>
      <w:r w:rsidRPr="004F63B4">
        <w:rPr>
          <w:rFonts w:ascii="Verdana" w:hAnsi="Verdana"/>
          <w:lang w:val="en-US"/>
        </w:rPr>
        <w:t xml:space="preserve"> in het </w:t>
      </w:r>
      <w:proofErr w:type="spellStart"/>
      <w:r w:rsidRPr="004F63B4">
        <w:rPr>
          <w:rFonts w:ascii="Verdana" w:hAnsi="Verdana"/>
          <w:lang w:val="en-US"/>
        </w:rPr>
        <w:t>kader</w:t>
      </w:r>
      <w:proofErr w:type="spellEnd"/>
      <w:r w:rsidRPr="004F63B4">
        <w:rPr>
          <w:rFonts w:ascii="Verdana" w:hAnsi="Verdana"/>
          <w:lang w:val="en-US"/>
        </w:rPr>
        <w:t xml:space="preserve"> van IFRS 3’, </w:t>
      </w:r>
      <w:r w:rsidRPr="004F63B4">
        <w:rPr>
          <w:rFonts w:ascii="Verdana" w:hAnsi="Verdana"/>
          <w:i/>
          <w:lang w:val="en-US"/>
        </w:rPr>
        <w:t>thesis major accounting and finance</w:t>
      </w:r>
      <w:r w:rsidRPr="004F63B4">
        <w:rPr>
          <w:rFonts w:ascii="Verdana" w:hAnsi="Verdana"/>
          <w:lang w:val="en-US"/>
        </w:rPr>
        <w:t xml:space="preserve">, </w:t>
      </w:r>
      <w:proofErr w:type="spellStart"/>
      <w:r w:rsidRPr="004F63B4">
        <w:rPr>
          <w:rFonts w:ascii="Verdana" w:hAnsi="Verdana"/>
          <w:lang w:val="en-US"/>
        </w:rPr>
        <w:t>Universiteit</w:t>
      </w:r>
      <w:proofErr w:type="spellEnd"/>
      <w:r w:rsidRPr="004F63B4">
        <w:rPr>
          <w:rFonts w:ascii="Verdana" w:hAnsi="Verdana"/>
          <w:lang w:val="en-US"/>
        </w:rPr>
        <w:t xml:space="preserve"> Hasselt.</w:t>
      </w:r>
    </w:p>
    <w:p w:rsidR="009E3941" w:rsidRDefault="009E3941" w:rsidP="009E3941">
      <w:pPr>
        <w:pStyle w:val="BodyText"/>
        <w:rPr>
          <w:rFonts w:ascii="Verdana" w:hAnsi="Verdana"/>
          <w:lang w:val="en-US"/>
        </w:rPr>
      </w:pPr>
      <w:proofErr w:type="spellStart"/>
      <w:r>
        <w:rPr>
          <w:rFonts w:ascii="Verdana" w:hAnsi="Verdana"/>
          <w:lang w:val="en-US"/>
        </w:rPr>
        <w:t>Fudenberg</w:t>
      </w:r>
      <w:proofErr w:type="spellEnd"/>
      <w:r>
        <w:rPr>
          <w:rFonts w:ascii="Verdana" w:hAnsi="Verdana"/>
          <w:lang w:val="en-US"/>
        </w:rPr>
        <w:t xml:space="preserve">, K., </w:t>
      </w:r>
      <w:proofErr w:type="spellStart"/>
      <w:r>
        <w:rPr>
          <w:rFonts w:ascii="Verdana" w:hAnsi="Verdana"/>
          <w:lang w:val="en-US"/>
        </w:rPr>
        <w:t>Tirole</w:t>
      </w:r>
      <w:proofErr w:type="spellEnd"/>
      <w:r>
        <w:rPr>
          <w:rFonts w:ascii="Verdana" w:hAnsi="Verdana"/>
          <w:lang w:val="en-US"/>
        </w:rPr>
        <w:t xml:space="preserve">, J. (1995), ‘A theory of income and dividend smoothing based on incumbency rents’, </w:t>
      </w:r>
      <w:r>
        <w:rPr>
          <w:rFonts w:ascii="Verdana" w:hAnsi="Verdana"/>
          <w:i/>
          <w:iCs/>
          <w:lang w:val="en-US"/>
        </w:rPr>
        <w:t xml:space="preserve">Journal of Political Economy, </w:t>
      </w:r>
      <w:r>
        <w:rPr>
          <w:rFonts w:ascii="Verdana" w:hAnsi="Verdana"/>
          <w:iCs/>
          <w:lang w:val="en-US"/>
        </w:rPr>
        <w:t>Vol</w:t>
      </w:r>
      <w:r>
        <w:rPr>
          <w:rFonts w:ascii="Verdana" w:hAnsi="Verdana"/>
          <w:i/>
          <w:iCs/>
          <w:lang w:val="en-US"/>
        </w:rPr>
        <w:t xml:space="preserve">. </w:t>
      </w:r>
      <w:r>
        <w:rPr>
          <w:rFonts w:ascii="Verdana" w:hAnsi="Verdana"/>
          <w:lang w:val="en-US"/>
        </w:rPr>
        <w:t xml:space="preserve">103, pp. 75-93. </w:t>
      </w:r>
    </w:p>
    <w:p w:rsidR="009E3941" w:rsidRDefault="009E3941" w:rsidP="009E3941">
      <w:pPr>
        <w:pStyle w:val="BodyText"/>
        <w:rPr>
          <w:rFonts w:ascii="Verdana" w:hAnsi="Verdana"/>
          <w:lang w:val="en-US"/>
        </w:rPr>
      </w:pPr>
      <w:r>
        <w:rPr>
          <w:rFonts w:ascii="Verdana" w:hAnsi="Verdana"/>
          <w:lang w:val="en-US"/>
        </w:rPr>
        <w:t xml:space="preserve">Han, J.C.Y., Wang, S. (1998), ‘Political Costs and Earnings Management of Oil Companies during the 1990 Persian Gulf Crisis’, </w:t>
      </w:r>
      <w:r>
        <w:rPr>
          <w:rFonts w:ascii="Verdana" w:hAnsi="Verdana"/>
          <w:i/>
          <w:iCs/>
          <w:lang w:val="en-US"/>
        </w:rPr>
        <w:t>The Accounting Review</w:t>
      </w:r>
      <w:r>
        <w:rPr>
          <w:rFonts w:ascii="Verdana" w:hAnsi="Verdana"/>
          <w:lang w:val="en-US"/>
        </w:rPr>
        <w:t>, Vol. 73, No. 1, pp. 103-117.</w:t>
      </w:r>
    </w:p>
    <w:p w:rsidR="009E3941" w:rsidRDefault="009E3941" w:rsidP="009E3941">
      <w:pPr>
        <w:pStyle w:val="BodyText"/>
        <w:rPr>
          <w:rFonts w:ascii="Verdana" w:hAnsi="Verdana"/>
          <w:i/>
          <w:iCs/>
          <w:lang w:val="en-US"/>
        </w:rPr>
      </w:pPr>
      <w:proofErr w:type="spellStart"/>
      <w:r>
        <w:rPr>
          <w:rFonts w:ascii="Verdana" w:hAnsi="Verdana"/>
          <w:lang w:val="en-US"/>
        </w:rPr>
        <w:t>Hayn</w:t>
      </w:r>
      <w:proofErr w:type="spellEnd"/>
      <w:r>
        <w:rPr>
          <w:rFonts w:ascii="Verdana" w:hAnsi="Verdana"/>
          <w:lang w:val="en-US"/>
        </w:rPr>
        <w:t xml:space="preserve">, C., Hughes, P.J. (2006) ‘Leading Indicators of Goodwill Impairment’, </w:t>
      </w:r>
      <w:r>
        <w:rPr>
          <w:rFonts w:ascii="Verdana" w:hAnsi="Verdana"/>
          <w:i/>
          <w:iCs/>
          <w:lang w:val="en-US"/>
        </w:rPr>
        <w:t>Journal of Accounting, Auditing and Finance</w:t>
      </w:r>
      <w:r>
        <w:rPr>
          <w:rFonts w:ascii="Verdana" w:hAnsi="Verdana"/>
          <w:lang w:val="en-US"/>
        </w:rPr>
        <w:t>, Vol. 21, No 3, pp. 223-265.</w:t>
      </w:r>
    </w:p>
    <w:p w:rsidR="009E3941" w:rsidRDefault="009E3941" w:rsidP="009E3941">
      <w:pPr>
        <w:pStyle w:val="BodyText"/>
        <w:rPr>
          <w:rFonts w:ascii="Verdana" w:hAnsi="Verdana"/>
          <w:lang w:val="en-US"/>
        </w:rPr>
      </w:pPr>
      <w:r>
        <w:rPr>
          <w:rFonts w:ascii="Verdana" w:hAnsi="Verdana"/>
          <w:lang w:val="en-US"/>
        </w:rPr>
        <w:t xml:space="preserve">Healy, P.M., </w:t>
      </w:r>
      <w:proofErr w:type="spellStart"/>
      <w:r>
        <w:rPr>
          <w:rFonts w:ascii="Verdana" w:hAnsi="Verdana"/>
          <w:lang w:val="en-US"/>
        </w:rPr>
        <w:t>Wahlen</w:t>
      </w:r>
      <w:proofErr w:type="spellEnd"/>
      <w:r>
        <w:rPr>
          <w:rFonts w:ascii="Verdana" w:hAnsi="Verdana"/>
          <w:lang w:val="en-US"/>
        </w:rPr>
        <w:t xml:space="preserve">, J.M. (1999), A review of the earnings management literature and its implications for standard setting, </w:t>
      </w:r>
      <w:r>
        <w:rPr>
          <w:rFonts w:ascii="Verdana" w:hAnsi="Verdana"/>
          <w:i/>
          <w:iCs/>
          <w:lang w:val="en-US"/>
        </w:rPr>
        <w:t>Accounting Horizons</w:t>
      </w:r>
      <w:r>
        <w:rPr>
          <w:rFonts w:ascii="Verdana" w:hAnsi="Verdana"/>
          <w:lang w:val="en-US"/>
        </w:rPr>
        <w:t>, Vol. 13, pp. 365-383.</w:t>
      </w:r>
    </w:p>
    <w:p w:rsidR="009E3941" w:rsidRDefault="009E3941" w:rsidP="009E3941">
      <w:pPr>
        <w:pStyle w:val="BodyText"/>
        <w:rPr>
          <w:rFonts w:ascii="Verdana" w:hAnsi="Verdana"/>
          <w:lang w:val="en-US"/>
        </w:rPr>
      </w:pPr>
      <w:r>
        <w:rPr>
          <w:rFonts w:ascii="Verdana" w:hAnsi="Verdana"/>
          <w:lang w:val="en-US"/>
        </w:rPr>
        <w:t xml:space="preserve">Henning, S.L., Lewis, B.L., Shaw, W.H. (2000), ‘Valuation of the components of purchased Goodwill’, </w:t>
      </w:r>
      <w:r>
        <w:rPr>
          <w:rFonts w:ascii="Verdana" w:hAnsi="Verdana"/>
          <w:i/>
          <w:lang w:val="en-US"/>
        </w:rPr>
        <w:t xml:space="preserve">Journal of Accounting Research, </w:t>
      </w:r>
      <w:r>
        <w:rPr>
          <w:rFonts w:ascii="Verdana" w:hAnsi="Verdana"/>
          <w:lang w:val="en-US"/>
        </w:rPr>
        <w:t>Vol. 38, No. 2, pp. 375-386.</w:t>
      </w:r>
    </w:p>
    <w:p w:rsidR="009E3941" w:rsidRDefault="009E3941" w:rsidP="009E3941">
      <w:pPr>
        <w:pStyle w:val="BodyText"/>
        <w:rPr>
          <w:rFonts w:ascii="Verdana" w:hAnsi="Verdana"/>
          <w:lang w:val="en-US"/>
        </w:rPr>
      </w:pPr>
      <w:r>
        <w:rPr>
          <w:rFonts w:ascii="Verdana" w:hAnsi="Verdana"/>
          <w:lang w:val="en-US"/>
        </w:rPr>
        <w:t xml:space="preserve">Henning, S.L., Shaw, W.H., Stock, T. (2004) ‘The Amount and Timing of Goodwill Write-offs and Revaluations: Evidence from U.S. and U.K. Firms’, </w:t>
      </w:r>
      <w:r>
        <w:rPr>
          <w:rFonts w:ascii="Verdana" w:hAnsi="Verdana"/>
          <w:i/>
          <w:iCs/>
          <w:lang w:val="en-US"/>
        </w:rPr>
        <w:t>Review of Quantitative Finance and Accounting</w:t>
      </w:r>
      <w:r>
        <w:rPr>
          <w:rFonts w:ascii="Verdana" w:hAnsi="Verdana"/>
          <w:lang w:val="en-US"/>
        </w:rPr>
        <w:t>, Vol. 23, pp. 99-121.</w:t>
      </w:r>
    </w:p>
    <w:p w:rsidR="009E3941" w:rsidRDefault="009E3941" w:rsidP="009E3941">
      <w:pPr>
        <w:pStyle w:val="BodyText"/>
        <w:rPr>
          <w:rFonts w:ascii="Verdana" w:hAnsi="Verdana"/>
          <w:lang w:val="en-US"/>
        </w:rPr>
      </w:pPr>
      <w:r>
        <w:rPr>
          <w:rFonts w:ascii="Verdana" w:hAnsi="Verdana"/>
          <w:lang w:val="en-US"/>
        </w:rPr>
        <w:t>IASC Foundation Education, ‘Technical Summary IFRS 3 Business Combinations’ [</w:t>
      </w:r>
      <w:r>
        <w:rPr>
          <w:rFonts w:ascii="Verdana" w:hAnsi="Verdana"/>
          <w:u w:val="single"/>
          <w:lang w:val="en-US"/>
        </w:rPr>
        <w:t xml:space="preserve">http://www.iasb.org/NR/rdonlyres/73E562FE-F581-4DD4-8365-B17E228955C9/0/IFRS3.pdf] </w:t>
      </w:r>
      <w:r>
        <w:rPr>
          <w:rFonts w:ascii="Verdana" w:hAnsi="Verdana"/>
          <w:lang w:val="en-US"/>
        </w:rPr>
        <w:t>27-7-2010.</w:t>
      </w:r>
    </w:p>
    <w:p w:rsidR="009E3941" w:rsidRDefault="009E3941" w:rsidP="009E3941">
      <w:pPr>
        <w:pStyle w:val="BodyText"/>
        <w:rPr>
          <w:rFonts w:ascii="Verdana" w:hAnsi="Verdana"/>
          <w:lang w:val="en-US"/>
        </w:rPr>
      </w:pPr>
      <w:proofErr w:type="spellStart"/>
      <w:r>
        <w:rPr>
          <w:rFonts w:ascii="Verdana" w:hAnsi="Verdana"/>
          <w:lang w:val="en-US"/>
        </w:rPr>
        <w:t>Langmead</w:t>
      </w:r>
      <w:proofErr w:type="spellEnd"/>
      <w:r>
        <w:rPr>
          <w:rFonts w:ascii="Verdana" w:hAnsi="Verdana"/>
          <w:lang w:val="en-US"/>
        </w:rPr>
        <w:t xml:space="preserve">, J.M., </w:t>
      </w:r>
      <w:proofErr w:type="spellStart"/>
      <w:r>
        <w:rPr>
          <w:rFonts w:ascii="Verdana" w:hAnsi="Verdana"/>
          <w:lang w:val="en-US"/>
        </w:rPr>
        <w:t>Soroosh</w:t>
      </w:r>
      <w:proofErr w:type="spellEnd"/>
      <w:r>
        <w:rPr>
          <w:rFonts w:ascii="Verdana" w:hAnsi="Verdana"/>
          <w:lang w:val="en-US"/>
        </w:rPr>
        <w:t xml:space="preserve">, J. (2009), ‘International Financial Reporting Standards: The Road Ahead’, </w:t>
      </w:r>
      <w:r>
        <w:rPr>
          <w:rFonts w:ascii="Verdana" w:hAnsi="Verdana"/>
          <w:i/>
          <w:lang w:val="en-US"/>
        </w:rPr>
        <w:t>The CPA Journal</w:t>
      </w:r>
      <w:r>
        <w:rPr>
          <w:rFonts w:ascii="Verdana" w:hAnsi="Verdana"/>
          <w:lang w:val="en-US"/>
        </w:rPr>
        <w:t>, Vol. 79, No. 3, pp. 16-24.</w:t>
      </w:r>
    </w:p>
    <w:p w:rsidR="009E3941" w:rsidRDefault="009E3941" w:rsidP="009E3941">
      <w:pPr>
        <w:pStyle w:val="BodyText"/>
        <w:rPr>
          <w:rFonts w:ascii="Verdana" w:hAnsi="Verdana"/>
          <w:lang w:val="en-US"/>
        </w:rPr>
      </w:pPr>
      <w:proofErr w:type="spellStart"/>
      <w:r>
        <w:rPr>
          <w:rFonts w:ascii="Verdana" w:hAnsi="Verdana"/>
          <w:lang w:val="en-US"/>
        </w:rPr>
        <w:lastRenderedPageBreak/>
        <w:t>Lapointe-Antunes</w:t>
      </w:r>
      <w:proofErr w:type="spellEnd"/>
      <w:r>
        <w:rPr>
          <w:rFonts w:ascii="Verdana" w:hAnsi="Verdana"/>
          <w:lang w:val="en-US"/>
        </w:rPr>
        <w:t xml:space="preserve">, P., Cormier, D., </w:t>
      </w:r>
      <w:proofErr w:type="spellStart"/>
      <w:r>
        <w:rPr>
          <w:rFonts w:ascii="Verdana" w:hAnsi="Verdana"/>
          <w:lang w:val="en-US"/>
        </w:rPr>
        <w:t>Magnan</w:t>
      </w:r>
      <w:proofErr w:type="spellEnd"/>
      <w:r>
        <w:rPr>
          <w:rFonts w:ascii="Verdana" w:hAnsi="Verdana"/>
          <w:lang w:val="en-US"/>
        </w:rPr>
        <w:t xml:space="preserve">, M. (2008), ‘Equity Recognition of Mandatory Accounting Changes: The Case of Transitional Goodwill Impairment Losses’, </w:t>
      </w:r>
      <w:r>
        <w:rPr>
          <w:rFonts w:ascii="Verdana" w:hAnsi="Verdana"/>
          <w:i/>
          <w:iCs/>
          <w:lang w:val="en-US"/>
        </w:rPr>
        <w:t>Canadian Journal of Administrative Sciences</w:t>
      </w:r>
      <w:r>
        <w:rPr>
          <w:rFonts w:ascii="Verdana" w:hAnsi="Verdana"/>
          <w:lang w:val="en-US"/>
        </w:rPr>
        <w:t xml:space="preserve">, Vol. 25, pp. 37-54. </w:t>
      </w:r>
    </w:p>
    <w:p w:rsidR="009E3941" w:rsidRDefault="009E3941" w:rsidP="009E3941">
      <w:pPr>
        <w:pStyle w:val="BodyText"/>
        <w:rPr>
          <w:rFonts w:ascii="Verdana" w:hAnsi="Verdana"/>
          <w:lang w:val="en-US"/>
        </w:rPr>
      </w:pPr>
      <w:r>
        <w:rPr>
          <w:rFonts w:ascii="Verdana" w:hAnsi="Verdana"/>
          <w:lang w:val="en-US"/>
        </w:rPr>
        <w:t>Lemans, J.D. (2009), ‘Goodwill Impairment as a Tool for Earnings Management’, master thesis for the faculty of Economics and Business.</w:t>
      </w:r>
    </w:p>
    <w:p w:rsidR="009E3941" w:rsidRDefault="009E3941" w:rsidP="009E3941">
      <w:pPr>
        <w:pStyle w:val="BodyText"/>
        <w:rPr>
          <w:rFonts w:ascii="Verdana" w:hAnsi="Verdana"/>
          <w:lang w:val="en-US"/>
        </w:rPr>
      </w:pPr>
      <w:proofErr w:type="spellStart"/>
      <w:r w:rsidRPr="0048281C">
        <w:rPr>
          <w:rFonts w:ascii="Verdana" w:hAnsi="Verdana"/>
          <w:lang w:val="en-US"/>
        </w:rPr>
        <w:t>Masselink</w:t>
      </w:r>
      <w:proofErr w:type="spellEnd"/>
      <w:r w:rsidRPr="0048281C">
        <w:rPr>
          <w:rFonts w:ascii="Verdana" w:hAnsi="Verdana"/>
          <w:lang w:val="en-US"/>
        </w:rPr>
        <w:t xml:space="preserve">, M. and van den </w:t>
      </w:r>
      <w:proofErr w:type="spellStart"/>
      <w:r w:rsidRPr="0048281C">
        <w:rPr>
          <w:rFonts w:ascii="Verdana" w:hAnsi="Verdana"/>
          <w:lang w:val="en-US"/>
        </w:rPr>
        <w:t>Noord</w:t>
      </w:r>
      <w:proofErr w:type="spellEnd"/>
      <w:r w:rsidRPr="0048281C">
        <w:rPr>
          <w:rFonts w:ascii="Verdana" w:hAnsi="Verdana"/>
          <w:lang w:val="en-US"/>
        </w:rPr>
        <w:t xml:space="preserve">, P. (2009) The Global Financial Crisis and its effects on the Netherlands, </w:t>
      </w:r>
      <w:proofErr w:type="spellStart"/>
      <w:r w:rsidRPr="0048281C">
        <w:rPr>
          <w:rFonts w:ascii="Verdana" w:hAnsi="Verdana"/>
          <w:lang w:val="en-US"/>
        </w:rPr>
        <w:t>Ecfin</w:t>
      </w:r>
      <w:proofErr w:type="spellEnd"/>
      <w:r w:rsidRPr="0048281C">
        <w:rPr>
          <w:rFonts w:ascii="Verdana" w:hAnsi="Verdana"/>
          <w:lang w:val="en-US"/>
        </w:rPr>
        <w:t xml:space="preserve"> Country focus, Volume 6, issue 10, 4-12-2009</w:t>
      </w:r>
      <w:r>
        <w:rPr>
          <w:rFonts w:ascii="Verdana" w:hAnsi="Verdana"/>
          <w:lang w:val="en-US"/>
        </w:rPr>
        <w:t>.</w:t>
      </w:r>
    </w:p>
    <w:p w:rsidR="009E3941" w:rsidRDefault="009E3941" w:rsidP="009E3941">
      <w:pPr>
        <w:pStyle w:val="BodyText"/>
        <w:rPr>
          <w:rFonts w:ascii="Verdana" w:hAnsi="Verdana"/>
          <w:lang w:val="en-US"/>
        </w:rPr>
      </w:pPr>
      <w:r>
        <w:rPr>
          <w:rFonts w:ascii="Verdana" w:hAnsi="Verdana"/>
          <w:lang w:val="en-US"/>
        </w:rPr>
        <w:t xml:space="preserve">Mercer, Z.C., Crow, M.R., Patton, K.W. (2002), “Goodwill valuation under SFAS 142’ </w:t>
      </w:r>
      <w:r>
        <w:rPr>
          <w:rFonts w:ascii="Verdana" w:hAnsi="Verdana"/>
          <w:i/>
          <w:lang w:val="en-US"/>
        </w:rPr>
        <w:t>The CPA Journal</w:t>
      </w:r>
      <w:r>
        <w:rPr>
          <w:rFonts w:ascii="Verdana" w:hAnsi="Verdana"/>
          <w:lang w:val="en-US"/>
        </w:rPr>
        <w:t>, Vol. 72, No. 2, pp. 22-29.</w:t>
      </w:r>
    </w:p>
    <w:p w:rsidR="009E3941" w:rsidRPr="00037A1A" w:rsidRDefault="009E3941" w:rsidP="009E3941">
      <w:pPr>
        <w:pStyle w:val="BodyText"/>
        <w:rPr>
          <w:rFonts w:ascii="Verdana" w:hAnsi="Verdana"/>
          <w:lang w:val="en-US"/>
        </w:rPr>
      </w:pPr>
      <w:r w:rsidRPr="00037A1A">
        <w:rPr>
          <w:rFonts w:ascii="Verdana" w:hAnsi="Verdana"/>
          <w:lang w:val="en-US"/>
        </w:rPr>
        <w:t xml:space="preserve">Office for Official Publications of the European Communities, European Commission (2009), </w:t>
      </w:r>
      <w:r w:rsidRPr="00037A1A">
        <w:rPr>
          <w:rFonts w:ascii="Verdana" w:hAnsi="Verdana"/>
          <w:bCs/>
          <w:lang w:val="en-US"/>
        </w:rPr>
        <w:t>Annual Report on the Euro Area 2009, European Economy No 3/2009.</w:t>
      </w:r>
    </w:p>
    <w:p w:rsidR="009E3941" w:rsidRDefault="009E3941" w:rsidP="009E3941">
      <w:pPr>
        <w:pStyle w:val="BodyText"/>
        <w:rPr>
          <w:rFonts w:ascii="Verdana" w:hAnsi="Verdana"/>
          <w:u w:val="single"/>
          <w:lang w:val="en-US"/>
        </w:rPr>
      </w:pPr>
      <w:proofErr w:type="spellStart"/>
      <w:r>
        <w:rPr>
          <w:rFonts w:ascii="Verdana" w:hAnsi="Verdana"/>
          <w:lang w:val="en-US"/>
        </w:rPr>
        <w:t>Ostende</w:t>
      </w:r>
      <w:proofErr w:type="spellEnd"/>
      <w:r>
        <w:rPr>
          <w:rFonts w:ascii="Verdana" w:hAnsi="Verdana"/>
          <w:lang w:val="en-US"/>
        </w:rPr>
        <w:t>, van M.C., (2009), ‘Goodwill Impairment as a Tool for Earnings Management in Western and Middle European Union member states’, master thesis for the faculty of Economics and Business.</w:t>
      </w:r>
    </w:p>
    <w:p w:rsidR="009E3941" w:rsidRDefault="009E3941" w:rsidP="009E3941">
      <w:pPr>
        <w:pStyle w:val="BodyText"/>
        <w:rPr>
          <w:rFonts w:ascii="Verdana" w:hAnsi="Verdana"/>
          <w:lang w:val="en-US"/>
        </w:rPr>
      </w:pPr>
      <w:proofErr w:type="spellStart"/>
      <w:r>
        <w:rPr>
          <w:rFonts w:ascii="Verdana" w:hAnsi="Verdana"/>
          <w:lang w:val="en-US"/>
        </w:rPr>
        <w:t>Palepu</w:t>
      </w:r>
      <w:proofErr w:type="spellEnd"/>
      <w:r>
        <w:rPr>
          <w:rFonts w:ascii="Verdana" w:hAnsi="Verdana"/>
          <w:lang w:val="en-US"/>
        </w:rPr>
        <w:t>, K.G., Healy, P.M., Bernard, V.L., Peek, E. (2007), ‘Business analysis and evaluation (IFRS edition)’, pp. 434-449.</w:t>
      </w:r>
    </w:p>
    <w:p w:rsidR="009E3941" w:rsidRDefault="009E3941" w:rsidP="009E3941">
      <w:pPr>
        <w:pStyle w:val="BodyText"/>
        <w:rPr>
          <w:rFonts w:ascii="Verdana" w:hAnsi="Verdana"/>
          <w:lang w:val="en-US"/>
        </w:rPr>
      </w:pPr>
      <w:proofErr w:type="spellStart"/>
      <w:r>
        <w:rPr>
          <w:rFonts w:ascii="Verdana" w:hAnsi="Verdana"/>
          <w:lang w:val="en-US"/>
        </w:rPr>
        <w:t>Poel</w:t>
      </w:r>
      <w:proofErr w:type="spellEnd"/>
      <w:r>
        <w:rPr>
          <w:rFonts w:ascii="Verdana" w:hAnsi="Verdana"/>
          <w:lang w:val="en-US"/>
        </w:rPr>
        <w:t xml:space="preserve">, van de K., </w:t>
      </w:r>
      <w:proofErr w:type="spellStart"/>
      <w:r>
        <w:rPr>
          <w:rFonts w:ascii="Verdana" w:hAnsi="Verdana"/>
          <w:lang w:val="en-US"/>
        </w:rPr>
        <w:t>Maijoor</w:t>
      </w:r>
      <w:proofErr w:type="spellEnd"/>
      <w:r>
        <w:rPr>
          <w:rFonts w:ascii="Verdana" w:hAnsi="Verdana"/>
          <w:lang w:val="en-US"/>
        </w:rPr>
        <w:t xml:space="preserve">, S., </w:t>
      </w:r>
      <w:proofErr w:type="spellStart"/>
      <w:r>
        <w:rPr>
          <w:rFonts w:ascii="Verdana" w:hAnsi="Verdana"/>
          <w:lang w:val="en-US"/>
        </w:rPr>
        <w:t>Vanstraelen</w:t>
      </w:r>
      <w:proofErr w:type="spellEnd"/>
      <w:r>
        <w:rPr>
          <w:rFonts w:ascii="Verdana" w:hAnsi="Verdana"/>
          <w:lang w:val="en-US"/>
        </w:rPr>
        <w:t>, A. (2008), ‘Implementation of IFRS within Europe: the</w:t>
      </w:r>
      <w:r w:rsidR="00F13D7E">
        <w:rPr>
          <w:rFonts w:ascii="Verdana" w:hAnsi="Verdana"/>
          <w:lang w:val="en-US"/>
        </w:rPr>
        <w:t xml:space="preserve"> </w:t>
      </w:r>
      <w:r>
        <w:rPr>
          <w:rFonts w:ascii="Verdana" w:hAnsi="Verdana"/>
          <w:lang w:val="en-US"/>
        </w:rPr>
        <w:t>case of goodwill’ [</w:t>
      </w:r>
      <w:r>
        <w:rPr>
          <w:rFonts w:ascii="Verdana" w:hAnsi="Verdana"/>
          <w:u w:val="single"/>
          <w:lang w:val="en-US"/>
        </w:rPr>
        <w:t>http://aaahq.org/meetings/AUD2009/ImplementationOfIFRS.pdf</w:t>
      </w:r>
      <w:r>
        <w:rPr>
          <w:rFonts w:ascii="Verdana" w:hAnsi="Verdana"/>
          <w:lang w:val="en-US"/>
        </w:rPr>
        <w:t>] (10-08-2010).</w:t>
      </w:r>
    </w:p>
    <w:p w:rsidR="0065245F" w:rsidRPr="0065245F" w:rsidRDefault="0065245F" w:rsidP="0065245F">
      <w:pPr>
        <w:pStyle w:val="BodyText"/>
        <w:rPr>
          <w:rFonts w:ascii="Verdana" w:hAnsi="Verdana"/>
          <w:bCs/>
          <w:lang w:val="en-US"/>
        </w:rPr>
      </w:pPr>
      <w:proofErr w:type="spellStart"/>
      <w:r>
        <w:rPr>
          <w:rFonts w:ascii="Verdana" w:hAnsi="Verdana"/>
          <w:lang w:val="en-US"/>
        </w:rPr>
        <w:t>Pownall</w:t>
      </w:r>
      <w:proofErr w:type="spellEnd"/>
      <w:r>
        <w:rPr>
          <w:rFonts w:ascii="Verdana" w:hAnsi="Verdana"/>
          <w:lang w:val="en-US"/>
        </w:rPr>
        <w:t xml:space="preserve">, G., </w:t>
      </w:r>
      <w:proofErr w:type="spellStart"/>
      <w:r w:rsidRPr="0065245F">
        <w:rPr>
          <w:rFonts w:ascii="Verdana" w:hAnsi="Verdana"/>
          <w:lang w:val="en-US"/>
        </w:rPr>
        <w:t>Wieczynska</w:t>
      </w:r>
      <w:proofErr w:type="spellEnd"/>
      <w:r w:rsidRPr="0065245F">
        <w:rPr>
          <w:rFonts w:ascii="Verdana" w:hAnsi="Verdana"/>
          <w:lang w:val="en-US"/>
        </w:rPr>
        <w:t>, M. (2012), ‘</w:t>
      </w:r>
      <w:r w:rsidRPr="0065245F">
        <w:rPr>
          <w:rFonts w:ascii="Verdana" w:hAnsi="Verdana"/>
          <w:bCs/>
          <w:lang w:val="en-US"/>
        </w:rPr>
        <w:t>Deviations from the Mandatory Adoption of IFRS in the European Union:</w:t>
      </w:r>
      <w:r>
        <w:rPr>
          <w:rFonts w:ascii="Times New Roman" w:hAnsi="Times New Roman" w:cs="Times New Roman"/>
          <w:color w:val="000000"/>
          <w:sz w:val="24"/>
          <w:szCs w:val="24"/>
          <w:lang w:val="en-US"/>
        </w:rPr>
        <w:t xml:space="preserve"> </w:t>
      </w:r>
      <w:r w:rsidRPr="0065245F">
        <w:rPr>
          <w:rFonts w:ascii="Verdana" w:hAnsi="Verdana"/>
          <w:bCs/>
          <w:lang w:val="en-US"/>
        </w:rPr>
        <w:t>Implementation, Enforcement, Incentives, and Compliance</w:t>
      </w:r>
      <w:r>
        <w:rPr>
          <w:rFonts w:ascii="Verdana" w:hAnsi="Verdana"/>
          <w:bCs/>
          <w:lang w:val="en-US"/>
        </w:rPr>
        <w:t>’.</w:t>
      </w:r>
    </w:p>
    <w:p w:rsidR="009E3941" w:rsidRDefault="009E3941" w:rsidP="009E3941">
      <w:pPr>
        <w:pStyle w:val="BodyText"/>
        <w:rPr>
          <w:rFonts w:ascii="Verdana" w:hAnsi="Verdana"/>
          <w:lang w:val="en-US"/>
        </w:rPr>
      </w:pPr>
      <w:proofErr w:type="spellStart"/>
      <w:r>
        <w:rPr>
          <w:rFonts w:ascii="Verdana" w:hAnsi="Verdana"/>
          <w:lang w:val="en-US"/>
        </w:rPr>
        <w:t>Praag</w:t>
      </w:r>
      <w:proofErr w:type="spellEnd"/>
      <w:r>
        <w:rPr>
          <w:rFonts w:ascii="Verdana" w:hAnsi="Verdana"/>
          <w:lang w:val="en-US"/>
        </w:rPr>
        <w:t xml:space="preserve">, B. van (2001), ‘Earnings management: Empirical Evidence on Value Relevance and Income smoothing’, </w:t>
      </w:r>
      <w:r>
        <w:rPr>
          <w:rFonts w:ascii="Verdana" w:hAnsi="Verdana"/>
          <w:i/>
          <w:lang w:val="en-US"/>
        </w:rPr>
        <w:t xml:space="preserve">Tinbergen Institute Research Series, </w:t>
      </w:r>
      <w:r>
        <w:rPr>
          <w:rFonts w:ascii="Verdana" w:hAnsi="Verdana"/>
          <w:lang w:val="en-US"/>
        </w:rPr>
        <w:t>No. 251.</w:t>
      </w:r>
    </w:p>
    <w:p w:rsidR="009E3941" w:rsidRDefault="009E3941" w:rsidP="009E3941">
      <w:pPr>
        <w:pStyle w:val="BodyText"/>
        <w:rPr>
          <w:rFonts w:ascii="Verdana" w:hAnsi="Verdana"/>
          <w:lang w:val="en-US"/>
        </w:rPr>
      </w:pPr>
      <w:r>
        <w:rPr>
          <w:rFonts w:ascii="Verdana" w:hAnsi="Verdana"/>
          <w:lang w:val="en-US"/>
        </w:rPr>
        <w:t xml:space="preserve">Ronen, J., </w:t>
      </w:r>
      <w:proofErr w:type="spellStart"/>
      <w:r>
        <w:rPr>
          <w:rFonts w:ascii="Verdana" w:hAnsi="Verdana"/>
          <w:lang w:val="en-US"/>
        </w:rPr>
        <w:t>Yaari</w:t>
      </w:r>
      <w:proofErr w:type="spellEnd"/>
      <w:r>
        <w:rPr>
          <w:rFonts w:ascii="Verdana" w:hAnsi="Verdana"/>
          <w:lang w:val="en-US"/>
        </w:rPr>
        <w:t xml:space="preserve">, V. (2008), ‘Earnings management: Emerging insights in theory, practice, and research’, Springer US. </w:t>
      </w:r>
    </w:p>
    <w:p w:rsidR="009E3941" w:rsidRPr="00744189" w:rsidRDefault="009E3941" w:rsidP="009E3941">
      <w:pPr>
        <w:pStyle w:val="BodyText"/>
        <w:rPr>
          <w:rFonts w:ascii="Verdana" w:hAnsi="Verdana"/>
          <w:lang w:val="en-US"/>
        </w:rPr>
      </w:pPr>
      <w:proofErr w:type="spellStart"/>
      <w:r>
        <w:rPr>
          <w:rFonts w:ascii="Verdana" w:hAnsi="Verdana"/>
          <w:lang w:val="en-US"/>
        </w:rPr>
        <w:t>Saih</w:t>
      </w:r>
      <w:proofErr w:type="spellEnd"/>
      <w:r>
        <w:rPr>
          <w:rFonts w:ascii="Verdana" w:hAnsi="Verdana"/>
          <w:lang w:val="en-US"/>
        </w:rPr>
        <w:t xml:space="preserve">, J., </w:t>
      </w:r>
      <w:proofErr w:type="spellStart"/>
      <w:r>
        <w:rPr>
          <w:rFonts w:ascii="Verdana" w:hAnsi="Verdana"/>
          <w:lang w:val="en-US"/>
        </w:rPr>
        <w:t>Kanhai</w:t>
      </w:r>
      <w:proofErr w:type="spellEnd"/>
      <w:r>
        <w:rPr>
          <w:rFonts w:ascii="Verdana" w:hAnsi="Verdana"/>
          <w:lang w:val="en-US"/>
        </w:rPr>
        <w:t xml:space="preserve">, I. (2010), </w:t>
      </w:r>
      <w:r w:rsidRPr="00744189">
        <w:rPr>
          <w:rFonts w:ascii="Verdana" w:hAnsi="Verdana"/>
          <w:lang w:val="en-US"/>
        </w:rPr>
        <w:t>‘</w:t>
      </w:r>
      <w:r w:rsidRPr="00744189">
        <w:rPr>
          <w:rFonts w:ascii="Verdana" w:hAnsi="Verdana"/>
          <w:bCs/>
          <w:lang w:val="en-US"/>
        </w:rPr>
        <w:t>Executive equity-based compensation</w:t>
      </w:r>
      <w:r>
        <w:rPr>
          <w:rFonts w:ascii="Verdana" w:hAnsi="Verdana"/>
          <w:bCs/>
          <w:lang w:val="en-US"/>
        </w:rPr>
        <w:t xml:space="preserve"> and Earnings Management’.</w:t>
      </w:r>
    </w:p>
    <w:p w:rsidR="009E3941" w:rsidRDefault="009E3941" w:rsidP="009E3941">
      <w:pPr>
        <w:pStyle w:val="BodyText"/>
        <w:rPr>
          <w:rFonts w:ascii="Verdana" w:hAnsi="Verdana"/>
          <w:lang w:val="en-US"/>
        </w:rPr>
      </w:pPr>
      <w:proofErr w:type="spellStart"/>
      <w:r>
        <w:rPr>
          <w:rFonts w:ascii="Verdana" w:hAnsi="Verdana"/>
          <w:lang w:val="en-US"/>
        </w:rPr>
        <w:t>Schipper</w:t>
      </w:r>
      <w:proofErr w:type="spellEnd"/>
      <w:r>
        <w:rPr>
          <w:rFonts w:ascii="Verdana" w:hAnsi="Verdana"/>
          <w:lang w:val="en-US"/>
        </w:rPr>
        <w:t xml:space="preserve">, K. (1989), ‘Commentary on Earnings Management’, </w:t>
      </w:r>
      <w:r>
        <w:rPr>
          <w:rFonts w:ascii="Verdana" w:hAnsi="Verdana"/>
          <w:i/>
          <w:iCs/>
          <w:lang w:val="en-US"/>
        </w:rPr>
        <w:t xml:space="preserve">Accounting Horizons, </w:t>
      </w:r>
      <w:r>
        <w:rPr>
          <w:rFonts w:ascii="Verdana" w:hAnsi="Verdana"/>
          <w:lang w:val="en-US"/>
        </w:rPr>
        <w:t>Vol. 3, No. 4, pp. 91-102.</w:t>
      </w:r>
    </w:p>
    <w:p w:rsidR="009E3941" w:rsidRDefault="009E3941" w:rsidP="009E3941">
      <w:pPr>
        <w:pStyle w:val="BodyText"/>
        <w:rPr>
          <w:rFonts w:ascii="Verdana" w:hAnsi="Verdana"/>
          <w:lang w:val="en-US"/>
        </w:rPr>
      </w:pPr>
      <w:proofErr w:type="spellStart"/>
      <w:r>
        <w:rPr>
          <w:rFonts w:ascii="Verdana" w:hAnsi="Verdana"/>
          <w:lang w:val="en-US"/>
        </w:rPr>
        <w:t>Seetharaman</w:t>
      </w:r>
      <w:proofErr w:type="spellEnd"/>
      <w:r>
        <w:rPr>
          <w:rFonts w:ascii="Verdana" w:hAnsi="Verdana"/>
          <w:lang w:val="en-US"/>
        </w:rPr>
        <w:t xml:space="preserve">, A., </w:t>
      </w:r>
      <w:proofErr w:type="spellStart"/>
      <w:r>
        <w:rPr>
          <w:rFonts w:ascii="Verdana" w:hAnsi="Verdana"/>
          <w:lang w:val="en-US"/>
        </w:rPr>
        <w:t>Sreenivasan</w:t>
      </w:r>
      <w:proofErr w:type="spellEnd"/>
      <w:r>
        <w:rPr>
          <w:rFonts w:ascii="Verdana" w:hAnsi="Verdana"/>
          <w:lang w:val="en-US"/>
        </w:rPr>
        <w:t xml:space="preserve">, J., </w:t>
      </w:r>
      <w:proofErr w:type="spellStart"/>
      <w:r>
        <w:rPr>
          <w:rFonts w:ascii="Verdana" w:hAnsi="Verdana"/>
          <w:lang w:val="en-US"/>
        </w:rPr>
        <w:t>Sudha</w:t>
      </w:r>
      <w:proofErr w:type="spellEnd"/>
      <w:r>
        <w:rPr>
          <w:rFonts w:ascii="Verdana" w:hAnsi="Verdana"/>
          <w:lang w:val="en-US"/>
        </w:rPr>
        <w:t xml:space="preserve">, R., Yee, T.Y. (2006), ‘Managing impairment of goodwill’, </w:t>
      </w:r>
      <w:r>
        <w:rPr>
          <w:rFonts w:ascii="Verdana" w:hAnsi="Verdana"/>
          <w:i/>
          <w:lang w:val="en-US"/>
        </w:rPr>
        <w:t xml:space="preserve">Journal of Intellectual Capital, </w:t>
      </w:r>
      <w:r>
        <w:rPr>
          <w:rFonts w:ascii="Verdana" w:hAnsi="Verdana"/>
          <w:lang w:val="en-US"/>
        </w:rPr>
        <w:t>Vol. 7, No. 3, pp. 338-353.</w:t>
      </w:r>
    </w:p>
    <w:p w:rsidR="009E3941" w:rsidRDefault="009E3941" w:rsidP="009E3941">
      <w:pPr>
        <w:pStyle w:val="BodyText"/>
        <w:rPr>
          <w:rFonts w:ascii="Verdana" w:hAnsi="Verdana"/>
          <w:lang w:val="en-US"/>
        </w:rPr>
      </w:pPr>
      <w:proofErr w:type="spellStart"/>
      <w:r>
        <w:rPr>
          <w:rFonts w:ascii="Verdana" w:hAnsi="Verdana"/>
          <w:lang w:val="en-US"/>
        </w:rPr>
        <w:t>Sevin</w:t>
      </w:r>
      <w:proofErr w:type="spellEnd"/>
      <w:r>
        <w:rPr>
          <w:rFonts w:ascii="Verdana" w:hAnsi="Verdana"/>
          <w:lang w:val="en-US"/>
        </w:rPr>
        <w:t xml:space="preserve">, S., Schroeder, R. (2005), ‘Earnings management: evidence from SFAS No. 142 reporting’, </w:t>
      </w:r>
      <w:r>
        <w:rPr>
          <w:rFonts w:ascii="Verdana" w:hAnsi="Verdana"/>
          <w:i/>
          <w:lang w:val="en-US"/>
        </w:rPr>
        <w:t xml:space="preserve">Managerial Auditing Journal, </w:t>
      </w:r>
      <w:r>
        <w:rPr>
          <w:rFonts w:ascii="Verdana" w:hAnsi="Verdana"/>
          <w:lang w:val="en-US"/>
        </w:rPr>
        <w:t>Vol. 20, No 1, pp. 47-54.</w:t>
      </w:r>
    </w:p>
    <w:p w:rsidR="009E3941" w:rsidRPr="009E3941" w:rsidRDefault="009E3941" w:rsidP="009E3941">
      <w:pPr>
        <w:pStyle w:val="BodyText"/>
        <w:rPr>
          <w:rFonts w:ascii="Verdana" w:hAnsi="Verdana"/>
          <w:lang w:val="en-US"/>
        </w:rPr>
      </w:pPr>
      <w:r>
        <w:rPr>
          <w:rFonts w:ascii="Verdana" w:hAnsi="Verdana"/>
          <w:iCs/>
        </w:rPr>
        <w:t xml:space="preserve">Watts, R.L, Zimmerman, J.L. (1986), Positive Accounting Theory, </w:t>
      </w:r>
      <w:r>
        <w:rPr>
          <w:rFonts w:ascii="Verdana" w:hAnsi="Verdana"/>
          <w:i/>
          <w:iCs/>
        </w:rPr>
        <w:t>Prentice-Hall Inc</w:t>
      </w:r>
      <w:r>
        <w:rPr>
          <w:rFonts w:ascii="Verdana" w:hAnsi="Verdana"/>
          <w:iCs/>
        </w:rPr>
        <w:t>.</w:t>
      </w:r>
      <w:r>
        <w:rPr>
          <w:b/>
          <w:bCs/>
          <w:i/>
          <w:lang w:val="en-US"/>
        </w:rPr>
        <w:br w:type="page"/>
      </w:r>
    </w:p>
    <w:p w:rsidR="00585016" w:rsidRDefault="00585016" w:rsidP="00856F25">
      <w:pPr>
        <w:pStyle w:val="Heading1"/>
        <w:rPr>
          <w:lang w:val="en-US"/>
        </w:rPr>
      </w:pPr>
      <w:bookmarkStart w:id="65" w:name="_Toc359957167"/>
      <w:r>
        <w:rPr>
          <w:lang w:val="en-US"/>
        </w:rPr>
        <w:lastRenderedPageBreak/>
        <w:t>Appendix</w:t>
      </w:r>
      <w:bookmarkEnd w:id="65"/>
    </w:p>
    <w:p w:rsidR="00E96B37" w:rsidRDefault="00E96B37">
      <w:pPr>
        <w:rPr>
          <w:rFonts w:ascii="Verdana" w:hAnsi="Verdana"/>
          <w:b/>
          <w:u w:val="single"/>
          <w:lang w:val="en-US"/>
        </w:rPr>
      </w:pPr>
      <w:r>
        <w:rPr>
          <w:rFonts w:ascii="Verdana" w:hAnsi="Verdana"/>
          <w:b/>
          <w:u w:val="single"/>
          <w:lang w:val="en-US"/>
        </w:rPr>
        <w:br w:type="page"/>
      </w:r>
    </w:p>
    <w:p w:rsidR="00E96B37" w:rsidRPr="0095030F" w:rsidRDefault="001D640A" w:rsidP="0095030F">
      <w:pPr>
        <w:pStyle w:val="Heading3"/>
        <w:rPr>
          <w:rFonts w:ascii="Verdana" w:hAnsi="Verdana"/>
          <w:u w:val="single"/>
          <w:lang w:val="en-US"/>
        </w:rPr>
      </w:pPr>
      <w:bookmarkStart w:id="66" w:name="_Toc359957168"/>
      <w:r>
        <w:rPr>
          <w:lang w:val="en-US"/>
        </w:rPr>
        <w:lastRenderedPageBreak/>
        <w:t xml:space="preserve">1. </w:t>
      </w:r>
      <w:r w:rsidR="0095030F" w:rsidRPr="0095030F">
        <w:rPr>
          <w:lang w:val="en-US"/>
        </w:rPr>
        <w:t>Use of options in the IAS Regulation by Member States</w:t>
      </w:r>
      <w:bookmarkEnd w:id="66"/>
      <w:r w:rsidR="0095030F">
        <w:rPr>
          <w:lang w:val="en-US"/>
        </w:rPr>
        <w:br/>
      </w:r>
    </w:p>
    <w:p w:rsidR="008A1591" w:rsidRPr="00E96B37" w:rsidRDefault="00E96B37">
      <w:pPr>
        <w:rPr>
          <w:rFonts w:ascii="Verdana" w:hAnsi="Verdana"/>
          <w:b/>
          <w:sz w:val="16"/>
          <w:szCs w:val="16"/>
          <w:u w:val="single"/>
          <w:lang w:val="en-US"/>
        </w:rPr>
      </w:pPr>
      <w:r w:rsidRPr="00E96B37">
        <w:rPr>
          <w:noProof/>
          <w:lang w:val="nl-NL" w:eastAsia="nl-NL"/>
        </w:rPr>
        <w:drawing>
          <wp:inline distT="0" distB="0" distL="0" distR="0" wp14:anchorId="18895691" wp14:editId="67CAAED9">
            <wp:extent cx="5581015" cy="60795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015" cy="6079586"/>
                    </a:xfrm>
                    <a:prstGeom prst="rect">
                      <a:avLst/>
                    </a:prstGeom>
                    <a:noFill/>
                    <a:ln>
                      <a:noFill/>
                    </a:ln>
                  </pic:spPr>
                </pic:pic>
              </a:graphicData>
            </a:graphic>
          </wp:inline>
        </w:drawing>
      </w:r>
      <w:r>
        <w:rPr>
          <w:rFonts w:ascii="Verdana" w:hAnsi="Verdana"/>
          <w:b/>
          <w:u w:val="single"/>
          <w:lang w:val="en-US"/>
        </w:rPr>
        <w:br/>
      </w:r>
      <w:r>
        <w:rPr>
          <w:rFonts w:ascii="Verdana" w:hAnsi="Verdana"/>
          <w:sz w:val="16"/>
          <w:szCs w:val="16"/>
          <w:lang w:val="en-US"/>
        </w:rPr>
        <w:br/>
      </w:r>
      <w:r w:rsidRPr="00E96B37">
        <w:rPr>
          <w:rFonts w:ascii="Verdana" w:hAnsi="Verdana"/>
          <w:sz w:val="16"/>
          <w:szCs w:val="16"/>
          <w:lang w:val="en-US"/>
        </w:rPr>
        <w:t xml:space="preserve">Source: European Commission (2008), Report of the Commission to the Council and the European Parliament on the Operation of Regulation (EC) No 1606/2002 of 19 July 2002 on the application of international accounting standards. </w:t>
      </w:r>
      <w:r w:rsidR="008A1591" w:rsidRPr="00E96B37">
        <w:rPr>
          <w:rFonts w:ascii="Verdana" w:hAnsi="Verdana"/>
          <w:b/>
          <w:sz w:val="16"/>
          <w:szCs w:val="16"/>
          <w:u w:val="single"/>
          <w:lang w:val="en-US"/>
        </w:rPr>
        <w:br w:type="page"/>
      </w:r>
    </w:p>
    <w:p w:rsidR="00A74FC0" w:rsidRDefault="001D640A" w:rsidP="0095030F">
      <w:pPr>
        <w:pStyle w:val="Heading3"/>
        <w:rPr>
          <w:lang w:val="en-US"/>
        </w:rPr>
      </w:pPr>
      <w:bookmarkStart w:id="67" w:name="_Toc359957169"/>
      <w:r>
        <w:rPr>
          <w:lang w:val="en-US"/>
        </w:rPr>
        <w:lastRenderedPageBreak/>
        <w:t xml:space="preserve">2. </w:t>
      </w:r>
      <w:r w:rsidR="004755B9" w:rsidRPr="004755B9">
        <w:rPr>
          <w:lang w:val="en-US"/>
        </w:rPr>
        <w:t>Theoretical outcomes:</w:t>
      </w:r>
      <w:bookmarkEnd w:id="67"/>
    </w:p>
    <w:p w:rsidR="00A74FC0" w:rsidRDefault="00A74FC0" w:rsidP="0095030F">
      <w:pPr>
        <w:pStyle w:val="Heading3"/>
        <w:rPr>
          <w:rFonts w:ascii="Verdana" w:hAnsi="Verdana"/>
          <w:lang w:val="en-US"/>
        </w:rPr>
      </w:pPr>
    </w:p>
    <w:p w:rsidR="004755B9" w:rsidRPr="004755B9" w:rsidRDefault="00A74FC0" w:rsidP="00A74FC0">
      <w:pPr>
        <w:pStyle w:val="BodyText"/>
        <w:rPr>
          <w:lang w:val="en-US"/>
        </w:rPr>
      </w:pPr>
      <w:r>
        <w:rPr>
          <w:lang w:val="en-US"/>
        </w:rPr>
        <w:t>As described in chapter 5.1, based on the 3 hypotheses, the possible theoretical outcomes of this thesis can be predicted. See below for all possibilities:</w:t>
      </w:r>
      <w:r w:rsidR="0095030F">
        <w:rPr>
          <w:lang w:val="en-US"/>
        </w:rPr>
        <w:br/>
      </w:r>
    </w:p>
    <w:tbl>
      <w:tblPr>
        <w:tblW w:w="5000" w:type="pct"/>
        <w:tblCellMar>
          <w:left w:w="70" w:type="dxa"/>
          <w:right w:w="70" w:type="dxa"/>
        </w:tblCellMar>
        <w:tblLook w:val="04A0" w:firstRow="1" w:lastRow="0" w:firstColumn="1" w:lastColumn="0" w:noHBand="0" w:noVBand="1"/>
      </w:tblPr>
      <w:tblGrid>
        <w:gridCol w:w="1218"/>
        <w:gridCol w:w="314"/>
        <w:gridCol w:w="329"/>
        <w:gridCol w:w="314"/>
        <w:gridCol w:w="329"/>
        <w:gridCol w:w="314"/>
        <w:gridCol w:w="329"/>
        <w:gridCol w:w="314"/>
        <w:gridCol w:w="329"/>
        <w:gridCol w:w="314"/>
        <w:gridCol w:w="329"/>
        <w:gridCol w:w="314"/>
        <w:gridCol w:w="329"/>
        <w:gridCol w:w="314"/>
        <w:gridCol w:w="329"/>
        <w:gridCol w:w="314"/>
        <w:gridCol w:w="329"/>
        <w:gridCol w:w="314"/>
        <w:gridCol w:w="329"/>
        <w:gridCol w:w="314"/>
        <w:gridCol w:w="332"/>
        <w:gridCol w:w="314"/>
        <w:gridCol w:w="329"/>
        <w:gridCol w:w="314"/>
        <w:gridCol w:w="321"/>
      </w:tblGrid>
      <w:tr w:rsidR="004755B9" w:rsidRPr="004755B9" w:rsidTr="004755B9">
        <w:trPr>
          <w:trHeight w:val="255"/>
        </w:trPr>
        <w:tc>
          <w:tcPr>
            <w:tcW w:w="682" w:type="pct"/>
            <w:shd w:val="clear" w:color="auto" w:fill="00B0F0"/>
            <w:noWrap/>
            <w:vAlign w:val="bottom"/>
            <w:hideMark/>
          </w:tcPr>
          <w:p w:rsidR="004755B9" w:rsidRPr="001D640A" w:rsidRDefault="004755B9" w:rsidP="004755B9">
            <w:pPr>
              <w:spacing w:after="0" w:line="240" w:lineRule="auto"/>
              <w:rPr>
                <w:rFonts w:ascii="Arial" w:eastAsia="Times New Roman" w:hAnsi="Arial" w:cs="Arial"/>
                <w:color w:val="FFFFFF" w:themeColor="background1"/>
                <w:sz w:val="20"/>
                <w:szCs w:val="20"/>
                <w:lang w:val="en-US" w:eastAsia="nl-NL"/>
              </w:rPr>
            </w:pP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1</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2</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3</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4</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5</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6</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7</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8</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9</w:t>
            </w:r>
          </w:p>
        </w:tc>
        <w:tc>
          <w:tcPr>
            <w:tcW w:w="362"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10</w:t>
            </w:r>
          </w:p>
        </w:tc>
        <w:tc>
          <w:tcPr>
            <w:tcW w:w="360"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11</w:t>
            </w:r>
          </w:p>
        </w:tc>
        <w:tc>
          <w:tcPr>
            <w:tcW w:w="356" w:type="pct"/>
            <w:gridSpan w:val="2"/>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12</w:t>
            </w:r>
          </w:p>
        </w:tc>
      </w:tr>
      <w:tr w:rsidR="004755B9" w:rsidRPr="004755B9" w:rsidTr="004755B9">
        <w:trPr>
          <w:trHeight w:val="270"/>
        </w:trPr>
        <w:tc>
          <w:tcPr>
            <w:tcW w:w="682" w:type="pct"/>
            <w:tcBorders>
              <w:bottom w:val="single" w:sz="8" w:space="0" w:color="FFFFFF" w:themeColor="background1"/>
            </w:tcBorders>
            <w:shd w:val="clear" w:color="auto" w:fill="00B0F0"/>
            <w:noWrap/>
            <w:vAlign w:val="bottom"/>
            <w:hideMark/>
          </w:tcPr>
          <w:p w:rsidR="004755B9" w:rsidRPr="001D640A" w:rsidRDefault="004755B9" w:rsidP="004755B9">
            <w:pPr>
              <w:spacing w:after="0" w:line="240" w:lineRule="auto"/>
              <w:rPr>
                <w:rFonts w:ascii="Arial" w:eastAsia="Times New Roman" w:hAnsi="Arial" w:cs="Arial"/>
                <w:color w:val="FFFFFF" w:themeColor="background1"/>
                <w:sz w:val="20"/>
                <w:szCs w:val="20"/>
                <w:lang w:val="en-US" w:eastAsia="nl-NL"/>
              </w:rPr>
            </w:pP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4"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c>
          <w:tcPr>
            <w:tcW w:w="176"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A</w:t>
            </w:r>
          </w:p>
        </w:tc>
        <w:tc>
          <w:tcPr>
            <w:tcW w:w="180" w:type="pct"/>
            <w:shd w:val="clear" w:color="auto" w:fill="00B0F0"/>
            <w:noWrap/>
            <w:vAlign w:val="bottom"/>
            <w:hideMark/>
          </w:tcPr>
          <w:p w:rsidR="004755B9" w:rsidRPr="001D640A" w:rsidRDefault="004755B9" w:rsidP="004755B9">
            <w:pPr>
              <w:spacing w:after="0" w:line="240" w:lineRule="auto"/>
              <w:jc w:val="center"/>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R</w:t>
            </w:r>
          </w:p>
        </w:tc>
      </w:tr>
      <w:tr w:rsidR="004755B9" w:rsidRPr="004755B9" w:rsidTr="004755B9">
        <w:trPr>
          <w:trHeight w:val="270"/>
        </w:trPr>
        <w:tc>
          <w:tcPr>
            <w:tcW w:w="682" w:type="pct"/>
            <w:tcBorders>
              <w:top w:val="single" w:sz="8" w:space="0" w:color="FFFFFF" w:themeColor="background1"/>
            </w:tcBorders>
            <w:shd w:val="clear" w:color="auto" w:fill="0070C0"/>
            <w:noWrap/>
            <w:vAlign w:val="bottom"/>
            <w:hideMark/>
          </w:tcPr>
          <w:p w:rsidR="004755B9" w:rsidRPr="001D640A" w:rsidRDefault="004755B9" w:rsidP="004755B9">
            <w:pPr>
              <w:spacing w:after="0" w:line="240" w:lineRule="auto"/>
              <w:rPr>
                <w:rFonts w:ascii="Arial" w:eastAsia="Times New Roman" w:hAnsi="Arial" w:cs="Arial"/>
                <w:color w:val="FFFFFF" w:themeColor="background1"/>
                <w:sz w:val="20"/>
                <w:szCs w:val="20"/>
                <w:lang w:val="en-US" w:eastAsia="nl-NL"/>
              </w:rPr>
            </w:pPr>
            <w:r w:rsidRPr="001D640A">
              <w:rPr>
                <w:rFonts w:ascii="Arial" w:eastAsia="Times New Roman" w:hAnsi="Arial" w:cs="Arial"/>
                <w:color w:val="FFFFFF" w:themeColor="background1"/>
                <w:sz w:val="20"/>
                <w:szCs w:val="20"/>
                <w:lang w:val="en-US" w:eastAsia="nl-NL"/>
              </w:rPr>
              <w:t>H1</w:t>
            </w:r>
            <w:r w:rsidR="00D6320E">
              <w:rPr>
                <w:rFonts w:ascii="Arial" w:eastAsia="Times New Roman" w:hAnsi="Arial" w:cs="Arial"/>
                <w:color w:val="FFFFFF" w:themeColor="background1"/>
                <w:sz w:val="20"/>
                <w:szCs w:val="20"/>
                <w:lang w:val="en-US" w:eastAsia="nl-NL"/>
              </w:rPr>
              <w:t>.0</w:t>
            </w:r>
            <w:r w:rsidRPr="001D640A">
              <w:rPr>
                <w:rFonts w:ascii="Arial" w:eastAsia="Times New Roman" w:hAnsi="Arial" w:cs="Arial"/>
                <w:color w:val="FFFFFF" w:themeColor="background1"/>
                <w:sz w:val="20"/>
                <w:szCs w:val="20"/>
                <w:lang w:val="en-US" w:eastAsia="nl-NL"/>
              </w:rPr>
              <w:t xml:space="preserve"> -2007</w:t>
            </w:r>
          </w:p>
        </w:tc>
        <w:tc>
          <w:tcPr>
            <w:tcW w:w="176" w:type="pct"/>
            <w:shd w:val="clear" w:color="auto" w:fill="auto"/>
            <w:noWrap/>
            <w:vAlign w:val="bottom"/>
            <w:hideMark/>
          </w:tcPr>
          <w:p w:rsidR="004755B9" w:rsidRPr="001D640A" w:rsidRDefault="00A72FFC"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6"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4"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c>
          <w:tcPr>
            <w:tcW w:w="176" w:type="pct"/>
            <w:tcBorders>
              <w:lef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r w:rsidRPr="001D640A">
              <w:rPr>
                <w:rFonts w:ascii="Arial" w:eastAsia="Times New Roman" w:hAnsi="Arial" w:cs="Arial"/>
                <w:color w:val="000000"/>
                <w:sz w:val="20"/>
                <w:szCs w:val="20"/>
                <w:lang w:val="en-US" w:eastAsia="nl-NL"/>
              </w:rPr>
              <w:t>v</w:t>
            </w:r>
          </w:p>
        </w:tc>
        <w:tc>
          <w:tcPr>
            <w:tcW w:w="180" w:type="pct"/>
            <w:tcBorders>
              <w:right w:val="single" w:sz="8" w:space="0" w:color="00B0F0"/>
            </w:tcBorders>
            <w:shd w:val="clear" w:color="auto" w:fill="auto"/>
            <w:noWrap/>
            <w:vAlign w:val="bottom"/>
            <w:hideMark/>
          </w:tcPr>
          <w:p w:rsidR="004755B9" w:rsidRPr="001D640A" w:rsidRDefault="004755B9" w:rsidP="004755B9">
            <w:pPr>
              <w:spacing w:after="0" w:line="240" w:lineRule="auto"/>
              <w:jc w:val="center"/>
              <w:rPr>
                <w:rFonts w:ascii="Arial" w:eastAsia="Times New Roman" w:hAnsi="Arial" w:cs="Arial"/>
                <w:color w:val="000000"/>
                <w:sz w:val="20"/>
                <w:szCs w:val="20"/>
                <w:lang w:val="en-US" w:eastAsia="nl-NL"/>
              </w:rPr>
            </w:pPr>
          </w:p>
        </w:tc>
      </w:tr>
      <w:tr w:rsidR="004755B9" w:rsidRPr="004755B9" w:rsidTr="004755B9">
        <w:trPr>
          <w:trHeight w:val="270"/>
        </w:trPr>
        <w:tc>
          <w:tcPr>
            <w:tcW w:w="682" w:type="pct"/>
            <w:tcBorders>
              <w:bottom w:val="single" w:sz="8" w:space="0" w:color="FFFFFF" w:themeColor="background1"/>
            </w:tcBorders>
            <w:shd w:val="clear" w:color="auto" w:fill="0070C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4755B9" w:rsidRPr="004755B9" w:rsidRDefault="00A72FFC"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r>
      <w:tr w:rsidR="004755B9" w:rsidRPr="004755B9" w:rsidTr="004755B9">
        <w:trPr>
          <w:trHeight w:val="270"/>
        </w:trPr>
        <w:tc>
          <w:tcPr>
            <w:tcW w:w="682" w:type="pct"/>
            <w:tcBorders>
              <w:top w:val="single" w:sz="8" w:space="0" w:color="FFFFFF" w:themeColor="background1"/>
              <w:bottom w:val="single" w:sz="8" w:space="0" w:color="FFFFFF" w:themeColor="background1"/>
            </w:tcBorders>
            <w:shd w:val="clear" w:color="auto" w:fill="0070C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176" w:type="pct"/>
            <w:shd w:val="clear" w:color="auto" w:fill="auto"/>
            <w:noWrap/>
            <w:vAlign w:val="bottom"/>
            <w:hideMark/>
          </w:tcPr>
          <w:p w:rsidR="004755B9" w:rsidRPr="004755B9" w:rsidRDefault="00A72FFC"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6"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0"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r>
      <w:tr w:rsidR="004755B9" w:rsidRPr="004755B9" w:rsidTr="00FE6BFE">
        <w:trPr>
          <w:trHeight w:val="270"/>
        </w:trPr>
        <w:tc>
          <w:tcPr>
            <w:tcW w:w="682" w:type="pct"/>
            <w:tcBorders>
              <w:top w:val="single" w:sz="8" w:space="0" w:color="FFFFFF" w:themeColor="background1"/>
            </w:tcBorders>
            <w:shd w:val="clear" w:color="auto" w:fill="0070C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4755B9" w:rsidRPr="004755B9" w:rsidRDefault="00A72FFC"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r>
      <w:tr w:rsidR="004755B9" w:rsidRPr="004755B9" w:rsidTr="00FE6BFE">
        <w:trPr>
          <w:trHeight w:val="270"/>
        </w:trPr>
        <w:tc>
          <w:tcPr>
            <w:tcW w:w="682" w:type="pct"/>
            <w:tcBorders>
              <w:bottom w:val="single" w:sz="8" w:space="0" w:color="FFFFFF" w:themeColor="background1"/>
            </w:tcBorders>
            <w:shd w:val="clear" w:color="auto" w:fill="0070C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4755B9" w:rsidRPr="004755B9" w:rsidRDefault="00A72FFC"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EB57C1"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0" w:type="pct"/>
            <w:tcBorders>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r>
      <w:tr w:rsidR="004755B9" w:rsidRPr="004755B9" w:rsidTr="00FE6BFE">
        <w:trPr>
          <w:trHeight w:val="270"/>
        </w:trPr>
        <w:tc>
          <w:tcPr>
            <w:tcW w:w="682" w:type="pct"/>
            <w:tcBorders>
              <w:top w:val="single" w:sz="8" w:space="0" w:color="FFFFFF" w:themeColor="background1"/>
            </w:tcBorders>
            <w:shd w:val="clear" w:color="auto" w:fill="0070C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176" w:type="pct"/>
            <w:tcBorders>
              <w:bottom w:val="single" w:sz="8" w:space="0" w:color="00B0F0"/>
            </w:tcBorders>
            <w:shd w:val="clear" w:color="auto" w:fill="auto"/>
            <w:noWrap/>
            <w:vAlign w:val="bottom"/>
            <w:hideMark/>
          </w:tcPr>
          <w:p w:rsidR="004755B9" w:rsidRPr="004755B9" w:rsidRDefault="00A72FFC"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bottom w:val="single" w:sz="8" w:space="0" w:color="00B0F0"/>
              <w:right w:val="single" w:sz="8" w:space="0" w:color="00B0F0"/>
            </w:tcBorders>
            <w:shd w:val="clear" w:color="auto" w:fill="auto"/>
            <w:noWrap/>
            <w:vAlign w:val="bottom"/>
            <w:hideMark/>
          </w:tcPr>
          <w:p w:rsidR="004755B9" w:rsidRPr="004755B9" w:rsidRDefault="00EB57C1"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6"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76" w:type="pct"/>
            <w:tcBorders>
              <w:left w:val="single" w:sz="8" w:space="0" w:color="00B0F0"/>
              <w:bottom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p>
        </w:tc>
        <w:tc>
          <w:tcPr>
            <w:tcW w:w="180" w:type="pct"/>
            <w:tcBorders>
              <w:bottom w:val="single" w:sz="8" w:space="0" w:color="00B0F0"/>
              <w:right w:val="single" w:sz="8" w:space="0" w:color="00B0F0"/>
            </w:tcBorders>
            <w:shd w:val="clear" w:color="auto" w:fill="auto"/>
            <w:noWrap/>
            <w:vAlign w:val="bottom"/>
            <w:hideMark/>
          </w:tcPr>
          <w:p w:rsidR="004755B9" w:rsidRPr="004755B9" w:rsidRDefault="004755B9" w:rsidP="004755B9">
            <w:pPr>
              <w:spacing w:after="0" w:line="240" w:lineRule="auto"/>
              <w:jc w:val="center"/>
              <w:rPr>
                <w:rFonts w:ascii="Arial" w:eastAsia="Times New Roman" w:hAnsi="Arial" w:cs="Arial"/>
                <w:color w:val="000000"/>
                <w:sz w:val="20"/>
                <w:szCs w:val="20"/>
                <w:lang w:val="nl-NL" w:eastAsia="nl-NL"/>
              </w:rPr>
            </w:pPr>
            <w:r w:rsidRPr="004755B9">
              <w:rPr>
                <w:rFonts w:ascii="Arial" w:eastAsia="Times New Roman" w:hAnsi="Arial" w:cs="Arial"/>
                <w:color w:val="000000"/>
                <w:sz w:val="20"/>
                <w:szCs w:val="20"/>
                <w:lang w:val="nl-NL" w:eastAsia="nl-NL"/>
              </w:rPr>
              <w:t>v</w:t>
            </w:r>
          </w:p>
        </w:tc>
      </w:tr>
    </w:tbl>
    <w:p w:rsidR="004755B9" w:rsidRPr="004755B9" w:rsidRDefault="004755B9" w:rsidP="004755B9">
      <w:pPr>
        <w:pStyle w:val="BodyText"/>
        <w:rPr>
          <w:rFonts w:ascii="Verdana" w:hAnsi="Verdana"/>
          <w:b/>
          <w:u w:val="single"/>
          <w:lang w:val="en-US"/>
        </w:rPr>
      </w:pPr>
    </w:p>
    <w:tbl>
      <w:tblPr>
        <w:tblW w:w="5000" w:type="pct"/>
        <w:tblCellMar>
          <w:left w:w="70" w:type="dxa"/>
          <w:right w:w="70" w:type="dxa"/>
        </w:tblCellMar>
        <w:tblLook w:val="04A0" w:firstRow="1" w:lastRow="0" w:firstColumn="1" w:lastColumn="0" w:noHBand="0" w:noVBand="1"/>
      </w:tblPr>
      <w:tblGrid>
        <w:gridCol w:w="1218"/>
        <w:gridCol w:w="314"/>
        <w:gridCol w:w="329"/>
        <w:gridCol w:w="314"/>
        <w:gridCol w:w="329"/>
        <w:gridCol w:w="314"/>
        <w:gridCol w:w="329"/>
        <w:gridCol w:w="314"/>
        <w:gridCol w:w="329"/>
        <w:gridCol w:w="314"/>
        <w:gridCol w:w="329"/>
        <w:gridCol w:w="314"/>
        <w:gridCol w:w="329"/>
        <w:gridCol w:w="314"/>
        <w:gridCol w:w="329"/>
        <w:gridCol w:w="314"/>
        <w:gridCol w:w="329"/>
        <w:gridCol w:w="314"/>
        <w:gridCol w:w="329"/>
        <w:gridCol w:w="314"/>
        <w:gridCol w:w="332"/>
        <w:gridCol w:w="314"/>
        <w:gridCol w:w="329"/>
        <w:gridCol w:w="314"/>
        <w:gridCol w:w="321"/>
      </w:tblGrid>
      <w:tr w:rsidR="004755B9" w:rsidRPr="004755B9" w:rsidTr="004755B9">
        <w:trPr>
          <w:trHeight w:val="255"/>
        </w:trPr>
        <w:tc>
          <w:tcPr>
            <w:tcW w:w="682" w:type="pct"/>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13</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14</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15</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16</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17</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18</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19</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20</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21</w:t>
            </w:r>
          </w:p>
        </w:tc>
        <w:tc>
          <w:tcPr>
            <w:tcW w:w="362"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22</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23</w:t>
            </w:r>
          </w:p>
        </w:tc>
        <w:tc>
          <w:tcPr>
            <w:tcW w:w="356"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24</w:t>
            </w:r>
          </w:p>
        </w:tc>
      </w:tr>
      <w:tr w:rsidR="004755B9" w:rsidRPr="004755B9" w:rsidTr="004755B9">
        <w:trPr>
          <w:trHeight w:val="270"/>
        </w:trPr>
        <w:tc>
          <w:tcPr>
            <w:tcW w:w="682" w:type="pct"/>
            <w:tcBorders>
              <w:bottom w:val="single" w:sz="8" w:space="0" w:color="FFFFFF" w:themeColor="background1"/>
            </w:tcBorders>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0"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176" w:type="pct"/>
            <w:tcBorders>
              <w:bottom w:val="single" w:sz="8" w:space="0" w:color="00B0F0"/>
            </w:tcBorders>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bl>
    <w:p w:rsidR="004755B9" w:rsidRPr="004755B9" w:rsidRDefault="004755B9" w:rsidP="004755B9">
      <w:pPr>
        <w:pStyle w:val="BodyText"/>
        <w:rPr>
          <w:rFonts w:ascii="Verdana" w:hAnsi="Verdana"/>
          <w:b/>
          <w:u w:val="single"/>
          <w:lang w:val="en-US"/>
        </w:rPr>
      </w:pPr>
    </w:p>
    <w:tbl>
      <w:tblPr>
        <w:tblW w:w="5000" w:type="pct"/>
        <w:tblCellMar>
          <w:left w:w="70" w:type="dxa"/>
          <w:right w:w="70" w:type="dxa"/>
        </w:tblCellMar>
        <w:tblLook w:val="04A0" w:firstRow="1" w:lastRow="0" w:firstColumn="1" w:lastColumn="0" w:noHBand="0" w:noVBand="1"/>
      </w:tblPr>
      <w:tblGrid>
        <w:gridCol w:w="1218"/>
        <w:gridCol w:w="314"/>
        <w:gridCol w:w="329"/>
        <w:gridCol w:w="314"/>
        <w:gridCol w:w="329"/>
        <w:gridCol w:w="314"/>
        <w:gridCol w:w="329"/>
        <w:gridCol w:w="314"/>
        <w:gridCol w:w="329"/>
        <w:gridCol w:w="314"/>
        <w:gridCol w:w="329"/>
        <w:gridCol w:w="314"/>
        <w:gridCol w:w="329"/>
        <w:gridCol w:w="314"/>
        <w:gridCol w:w="329"/>
        <w:gridCol w:w="314"/>
        <w:gridCol w:w="329"/>
        <w:gridCol w:w="314"/>
        <w:gridCol w:w="329"/>
        <w:gridCol w:w="314"/>
        <w:gridCol w:w="332"/>
        <w:gridCol w:w="314"/>
        <w:gridCol w:w="329"/>
        <w:gridCol w:w="314"/>
        <w:gridCol w:w="321"/>
      </w:tblGrid>
      <w:tr w:rsidR="004755B9" w:rsidRPr="004755B9" w:rsidTr="004755B9">
        <w:trPr>
          <w:trHeight w:val="255"/>
        </w:trPr>
        <w:tc>
          <w:tcPr>
            <w:tcW w:w="682" w:type="pct"/>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25</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26</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27</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28</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29</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30</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31</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32</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33</w:t>
            </w:r>
          </w:p>
        </w:tc>
        <w:tc>
          <w:tcPr>
            <w:tcW w:w="362"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34</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35</w:t>
            </w:r>
          </w:p>
        </w:tc>
        <w:tc>
          <w:tcPr>
            <w:tcW w:w="356"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36</w:t>
            </w:r>
          </w:p>
        </w:tc>
      </w:tr>
      <w:tr w:rsidR="004755B9" w:rsidRPr="004755B9" w:rsidTr="004755B9">
        <w:trPr>
          <w:trHeight w:val="270"/>
        </w:trPr>
        <w:tc>
          <w:tcPr>
            <w:tcW w:w="682" w:type="pct"/>
            <w:tcBorders>
              <w:bottom w:val="single" w:sz="8" w:space="0" w:color="FFFFFF" w:themeColor="background1"/>
            </w:tcBorders>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0"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r>
      <w:tr w:rsidR="00F740D4" w:rsidRPr="004755B9" w:rsidTr="004755B9">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4755B9">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4755B9">
        <w:trPr>
          <w:trHeight w:val="270"/>
        </w:trPr>
        <w:tc>
          <w:tcPr>
            <w:tcW w:w="682" w:type="pct"/>
            <w:tcBorders>
              <w:top w:val="single" w:sz="8" w:space="0" w:color="FFFFFF" w:themeColor="background1"/>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176" w:type="pct"/>
            <w:tcBorders>
              <w:bottom w:val="single" w:sz="8" w:space="0" w:color="00B0F0"/>
            </w:tcBorders>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bl>
    <w:p w:rsidR="004755B9" w:rsidRPr="004755B9" w:rsidRDefault="004755B9" w:rsidP="004755B9">
      <w:pPr>
        <w:pStyle w:val="BodyText"/>
        <w:rPr>
          <w:rFonts w:ascii="Verdana" w:hAnsi="Verdana"/>
          <w:b/>
          <w:u w:val="single"/>
          <w:lang w:val="en-US"/>
        </w:rPr>
      </w:pPr>
    </w:p>
    <w:tbl>
      <w:tblPr>
        <w:tblW w:w="5000" w:type="pct"/>
        <w:tblCellMar>
          <w:left w:w="70" w:type="dxa"/>
          <w:right w:w="70" w:type="dxa"/>
        </w:tblCellMar>
        <w:tblLook w:val="04A0" w:firstRow="1" w:lastRow="0" w:firstColumn="1" w:lastColumn="0" w:noHBand="0" w:noVBand="1"/>
      </w:tblPr>
      <w:tblGrid>
        <w:gridCol w:w="1218"/>
        <w:gridCol w:w="314"/>
        <w:gridCol w:w="329"/>
        <w:gridCol w:w="314"/>
        <w:gridCol w:w="329"/>
        <w:gridCol w:w="314"/>
        <w:gridCol w:w="329"/>
        <w:gridCol w:w="314"/>
        <w:gridCol w:w="329"/>
        <w:gridCol w:w="314"/>
        <w:gridCol w:w="329"/>
        <w:gridCol w:w="314"/>
        <w:gridCol w:w="329"/>
        <w:gridCol w:w="314"/>
        <w:gridCol w:w="329"/>
        <w:gridCol w:w="314"/>
        <w:gridCol w:w="329"/>
        <w:gridCol w:w="314"/>
        <w:gridCol w:w="329"/>
        <w:gridCol w:w="314"/>
        <w:gridCol w:w="332"/>
        <w:gridCol w:w="314"/>
        <w:gridCol w:w="329"/>
        <w:gridCol w:w="314"/>
        <w:gridCol w:w="321"/>
      </w:tblGrid>
      <w:tr w:rsidR="004755B9" w:rsidRPr="004755B9" w:rsidTr="004755B9">
        <w:trPr>
          <w:trHeight w:val="255"/>
        </w:trPr>
        <w:tc>
          <w:tcPr>
            <w:tcW w:w="682" w:type="pct"/>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37</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38</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39</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40</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41</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42</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43</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44</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45</w:t>
            </w:r>
          </w:p>
        </w:tc>
        <w:tc>
          <w:tcPr>
            <w:tcW w:w="362"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46</w:t>
            </w:r>
          </w:p>
        </w:tc>
        <w:tc>
          <w:tcPr>
            <w:tcW w:w="360"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47</w:t>
            </w:r>
          </w:p>
        </w:tc>
        <w:tc>
          <w:tcPr>
            <w:tcW w:w="356" w:type="pct"/>
            <w:gridSpan w:val="2"/>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48</w:t>
            </w:r>
          </w:p>
        </w:tc>
      </w:tr>
      <w:tr w:rsidR="004755B9" w:rsidRPr="004755B9" w:rsidTr="004755B9">
        <w:trPr>
          <w:trHeight w:val="270"/>
        </w:trPr>
        <w:tc>
          <w:tcPr>
            <w:tcW w:w="682" w:type="pct"/>
            <w:tcBorders>
              <w:bottom w:val="single" w:sz="8" w:space="0" w:color="FFFFFF" w:themeColor="background1"/>
            </w:tcBorders>
            <w:shd w:val="clear" w:color="auto" w:fill="00B0F0"/>
            <w:noWrap/>
            <w:vAlign w:val="bottom"/>
            <w:hideMark/>
          </w:tcPr>
          <w:p w:rsidR="004755B9" w:rsidRPr="004755B9" w:rsidRDefault="004755B9" w:rsidP="004755B9">
            <w:pPr>
              <w:spacing w:after="0" w:line="240" w:lineRule="auto"/>
              <w:rPr>
                <w:rFonts w:ascii="Arial" w:eastAsia="Times New Roman" w:hAnsi="Arial" w:cs="Arial"/>
                <w:color w:val="FFFFFF" w:themeColor="background1"/>
                <w:sz w:val="20"/>
                <w:szCs w:val="20"/>
                <w:lang w:val="nl-NL" w:eastAsia="nl-NL"/>
              </w:rPr>
            </w:pP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0" w:type="pct"/>
            <w:shd w:val="clear" w:color="auto" w:fill="00B0F0"/>
            <w:noWrap/>
            <w:vAlign w:val="bottom"/>
            <w:hideMark/>
          </w:tcPr>
          <w:p w:rsidR="004755B9" w:rsidRPr="004755B9" w:rsidRDefault="004755B9" w:rsidP="004755B9">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r>
      <w:tr w:rsidR="00F740D4" w:rsidRPr="004755B9" w:rsidTr="004755B9">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4755B9">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4755B9">
        <w:trPr>
          <w:trHeight w:val="270"/>
        </w:trPr>
        <w:tc>
          <w:tcPr>
            <w:tcW w:w="682" w:type="pct"/>
            <w:tcBorders>
              <w:top w:val="single" w:sz="8" w:space="0" w:color="FFFFFF" w:themeColor="background1"/>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176" w:type="pct"/>
            <w:tcBorders>
              <w:bottom w:val="single" w:sz="8" w:space="0" w:color="00B0F0"/>
            </w:tcBorders>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bl>
    <w:p w:rsidR="004755B9" w:rsidRDefault="004755B9" w:rsidP="004755B9">
      <w:pPr>
        <w:pStyle w:val="BodyText"/>
        <w:rPr>
          <w:rFonts w:ascii="Verdana" w:hAnsi="Verdana"/>
          <w:lang w:val="en-US"/>
        </w:rPr>
      </w:pPr>
    </w:p>
    <w:p w:rsidR="00155504" w:rsidRDefault="00155504" w:rsidP="004755B9">
      <w:pPr>
        <w:pStyle w:val="BodyText"/>
        <w:rPr>
          <w:rFonts w:ascii="Verdana" w:hAnsi="Verdana"/>
          <w:b/>
          <w:u w:val="single"/>
          <w:lang w:val="en-US"/>
        </w:rPr>
      </w:pPr>
      <w:r>
        <w:rPr>
          <w:rFonts w:ascii="Verdana" w:hAnsi="Verdana"/>
          <w:b/>
          <w:u w:val="single"/>
          <w:lang w:val="en-US"/>
        </w:rPr>
        <w:br/>
      </w:r>
    </w:p>
    <w:p w:rsidR="00155504" w:rsidRDefault="00155504">
      <w:pPr>
        <w:rPr>
          <w:rFonts w:ascii="Verdana" w:hAnsi="Verdana"/>
          <w:b/>
          <w:u w:val="single"/>
          <w:lang w:val="en-US"/>
        </w:rPr>
      </w:pPr>
      <w:r>
        <w:rPr>
          <w:rFonts w:ascii="Verdana" w:hAnsi="Verdana"/>
          <w:b/>
          <w:u w:val="single"/>
          <w:lang w:val="en-US"/>
        </w:rPr>
        <w:br w:type="page"/>
      </w:r>
    </w:p>
    <w:tbl>
      <w:tblPr>
        <w:tblW w:w="5000" w:type="pct"/>
        <w:tblCellMar>
          <w:left w:w="70" w:type="dxa"/>
          <w:right w:w="70" w:type="dxa"/>
        </w:tblCellMar>
        <w:tblLook w:val="04A0" w:firstRow="1" w:lastRow="0" w:firstColumn="1" w:lastColumn="0" w:noHBand="0" w:noVBand="1"/>
      </w:tblPr>
      <w:tblGrid>
        <w:gridCol w:w="1218"/>
        <w:gridCol w:w="314"/>
        <w:gridCol w:w="329"/>
        <w:gridCol w:w="314"/>
        <w:gridCol w:w="329"/>
        <w:gridCol w:w="314"/>
        <w:gridCol w:w="329"/>
        <w:gridCol w:w="314"/>
        <w:gridCol w:w="329"/>
        <w:gridCol w:w="314"/>
        <w:gridCol w:w="329"/>
        <w:gridCol w:w="314"/>
        <w:gridCol w:w="329"/>
        <w:gridCol w:w="314"/>
        <w:gridCol w:w="329"/>
        <w:gridCol w:w="314"/>
        <w:gridCol w:w="329"/>
        <w:gridCol w:w="314"/>
        <w:gridCol w:w="329"/>
        <w:gridCol w:w="314"/>
        <w:gridCol w:w="332"/>
        <w:gridCol w:w="314"/>
        <w:gridCol w:w="329"/>
        <w:gridCol w:w="314"/>
        <w:gridCol w:w="321"/>
      </w:tblGrid>
      <w:tr w:rsidR="00155504" w:rsidRPr="004755B9" w:rsidTr="004755B9">
        <w:trPr>
          <w:trHeight w:val="255"/>
        </w:trPr>
        <w:tc>
          <w:tcPr>
            <w:tcW w:w="682" w:type="pct"/>
            <w:shd w:val="clear" w:color="auto" w:fill="00B0F0"/>
            <w:noWrap/>
            <w:vAlign w:val="bottom"/>
            <w:hideMark/>
          </w:tcPr>
          <w:p w:rsidR="00155504" w:rsidRPr="00155504" w:rsidRDefault="00155504" w:rsidP="004755B9">
            <w:pPr>
              <w:spacing w:after="0" w:line="240" w:lineRule="auto"/>
              <w:rPr>
                <w:rFonts w:ascii="Arial" w:eastAsia="Times New Roman" w:hAnsi="Arial" w:cs="Arial"/>
                <w:color w:val="FFFFFF" w:themeColor="background1"/>
                <w:sz w:val="20"/>
                <w:szCs w:val="20"/>
                <w:lang w:val="nl-NL" w:eastAsia="nl-NL"/>
              </w:rPr>
            </w:pP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49</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50</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51</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52</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53</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54</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55</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56</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57</w:t>
            </w:r>
          </w:p>
        </w:tc>
        <w:tc>
          <w:tcPr>
            <w:tcW w:w="362"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58</w:t>
            </w:r>
          </w:p>
        </w:tc>
        <w:tc>
          <w:tcPr>
            <w:tcW w:w="360"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59</w:t>
            </w:r>
          </w:p>
        </w:tc>
        <w:tc>
          <w:tcPr>
            <w:tcW w:w="356" w:type="pct"/>
            <w:gridSpan w:val="2"/>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60</w:t>
            </w:r>
          </w:p>
        </w:tc>
      </w:tr>
      <w:tr w:rsidR="00155504" w:rsidRPr="004755B9" w:rsidTr="004755B9">
        <w:trPr>
          <w:trHeight w:val="270"/>
        </w:trPr>
        <w:tc>
          <w:tcPr>
            <w:tcW w:w="682" w:type="pct"/>
            <w:tcBorders>
              <w:bottom w:val="single" w:sz="8" w:space="0" w:color="FFFFFF" w:themeColor="background1"/>
            </w:tcBorders>
            <w:shd w:val="clear" w:color="auto" w:fill="00B0F0"/>
            <w:noWrap/>
            <w:vAlign w:val="bottom"/>
            <w:hideMark/>
          </w:tcPr>
          <w:p w:rsidR="00155504" w:rsidRPr="00155504" w:rsidRDefault="00155504" w:rsidP="004755B9">
            <w:pPr>
              <w:spacing w:after="0" w:line="240" w:lineRule="auto"/>
              <w:rPr>
                <w:rFonts w:ascii="Arial" w:eastAsia="Times New Roman" w:hAnsi="Arial" w:cs="Arial"/>
                <w:color w:val="FFFFFF" w:themeColor="background1"/>
                <w:sz w:val="20"/>
                <w:szCs w:val="20"/>
                <w:lang w:val="nl-NL" w:eastAsia="nl-NL"/>
              </w:rPr>
            </w:pP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4"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c>
          <w:tcPr>
            <w:tcW w:w="176"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A</w:t>
            </w:r>
          </w:p>
        </w:tc>
        <w:tc>
          <w:tcPr>
            <w:tcW w:w="180" w:type="pct"/>
            <w:shd w:val="clear" w:color="auto" w:fill="00B0F0"/>
            <w:noWrap/>
            <w:vAlign w:val="bottom"/>
            <w:hideMark/>
          </w:tcPr>
          <w:p w:rsidR="00155504" w:rsidRPr="004755B9"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R</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176" w:type="pct"/>
            <w:shd w:val="clear" w:color="auto" w:fill="EDACB7" w:themeFill="accent4" w:themeFillTint="99"/>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r>
      <w:tr w:rsidR="00F740D4" w:rsidRPr="004755B9" w:rsidTr="00FE6BFE">
        <w:trPr>
          <w:trHeight w:val="270"/>
        </w:trPr>
        <w:tc>
          <w:tcPr>
            <w:tcW w:w="682"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176"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6"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682"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176" w:type="pct"/>
            <w:tcBorders>
              <w:bottom w:val="single" w:sz="8" w:space="0" w:color="00B0F0"/>
            </w:tcBorders>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6"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76" w:type="pct"/>
            <w:tcBorders>
              <w:left w:val="single" w:sz="8" w:space="0" w:color="00B0F0"/>
              <w:bottom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184" w:type="pct"/>
            <w:tcBorders>
              <w:bottom w:val="single" w:sz="8" w:space="0" w:color="00B0F0"/>
              <w:right w:val="single" w:sz="8" w:space="0" w:color="00B0F0"/>
            </w:tcBorders>
            <w:shd w:val="clear" w:color="auto" w:fill="EC8277" w:themeFill="accent6"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76"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180"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bl>
    <w:p w:rsidR="004755B9" w:rsidRPr="004755B9" w:rsidRDefault="004755B9" w:rsidP="004755B9">
      <w:pPr>
        <w:pStyle w:val="BodyText"/>
        <w:rPr>
          <w:rFonts w:ascii="Verdana" w:hAnsi="Verdana"/>
          <w:b/>
          <w:u w:val="single"/>
          <w:lang w:val="en-US"/>
        </w:rPr>
      </w:pPr>
    </w:p>
    <w:tbl>
      <w:tblPr>
        <w:tblW w:w="2122" w:type="pct"/>
        <w:tblCellMar>
          <w:left w:w="70" w:type="dxa"/>
          <w:right w:w="70" w:type="dxa"/>
        </w:tblCellMar>
        <w:tblLook w:val="04A0" w:firstRow="1" w:lastRow="0" w:firstColumn="1" w:lastColumn="0" w:noHBand="0" w:noVBand="1"/>
      </w:tblPr>
      <w:tblGrid>
        <w:gridCol w:w="1217"/>
        <w:gridCol w:w="313"/>
        <w:gridCol w:w="330"/>
        <w:gridCol w:w="314"/>
        <w:gridCol w:w="330"/>
        <w:gridCol w:w="314"/>
        <w:gridCol w:w="330"/>
        <w:gridCol w:w="314"/>
        <w:gridCol w:w="327"/>
      </w:tblGrid>
      <w:tr w:rsidR="00155504" w:rsidRPr="004755B9" w:rsidTr="00F740D4">
        <w:trPr>
          <w:trHeight w:val="255"/>
        </w:trPr>
        <w:tc>
          <w:tcPr>
            <w:tcW w:w="1605" w:type="pct"/>
            <w:shd w:val="clear" w:color="auto" w:fill="00B0F0"/>
            <w:noWrap/>
            <w:vAlign w:val="bottom"/>
            <w:hideMark/>
          </w:tcPr>
          <w:p w:rsidR="00155504" w:rsidRPr="004755B9" w:rsidRDefault="00155504" w:rsidP="004755B9">
            <w:pPr>
              <w:spacing w:after="0" w:line="240" w:lineRule="auto"/>
              <w:rPr>
                <w:rFonts w:ascii="Arial" w:eastAsia="Times New Roman" w:hAnsi="Arial" w:cs="Arial"/>
                <w:color w:val="FFFFFF" w:themeColor="background1"/>
                <w:sz w:val="20"/>
                <w:szCs w:val="20"/>
                <w:lang w:val="nl-NL" w:eastAsia="nl-NL"/>
              </w:rPr>
            </w:pPr>
          </w:p>
        </w:tc>
        <w:tc>
          <w:tcPr>
            <w:tcW w:w="849" w:type="pct"/>
            <w:gridSpan w:val="2"/>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61</w:t>
            </w:r>
          </w:p>
        </w:tc>
        <w:tc>
          <w:tcPr>
            <w:tcW w:w="850" w:type="pct"/>
            <w:gridSpan w:val="2"/>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62</w:t>
            </w:r>
          </w:p>
        </w:tc>
        <w:tc>
          <w:tcPr>
            <w:tcW w:w="850" w:type="pct"/>
            <w:gridSpan w:val="2"/>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63</w:t>
            </w:r>
          </w:p>
        </w:tc>
        <w:tc>
          <w:tcPr>
            <w:tcW w:w="847" w:type="pct"/>
            <w:gridSpan w:val="2"/>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64</w:t>
            </w:r>
          </w:p>
        </w:tc>
      </w:tr>
      <w:tr w:rsidR="00155504" w:rsidRPr="004755B9" w:rsidTr="00F740D4">
        <w:trPr>
          <w:trHeight w:val="270"/>
        </w:trPr>
        <w:tc>
          <w:tcPr>
            <w:tcW w:w="1605" w:type="pct"/>
            <w:tcBorders>
              <w:bottom w:val="single" w:sz="8" w:space="0" w:color="FFFFFF" w:themeColor="background1"/>
            </w:tcBorders>
            <w:shd w:val="clear" w:color="auto" w:fill="00B0F0"/>
            <w:noWrap/>
            <w:vAlign w:val="bottom"/>
            <w:hideMark/>
          </w:tcPr>
          <w:p w:rsidR="00155504" w:rsidRPr="004755B9" w:rsidRDefault="00155504" w:rsidP="004755B9">
            <w:pPr>
              <w:spacing w:after="0" w:line="240" w:lineRule="auto"/>
              <w:rPr>
                <w:rFonts w:ascii="Arial" w:eastAsia="Times New Roman" w:hAnsi="Arial" w:cs="Arial"/>
                <w:color w:val="FFFFFF" w:themeColor="background1"/>
                <w:sz w:val="20"/>
                <w:szCs w:val="20"/>
                <w:lang w:val="nl-NL" w:eastAsia="nl-NL"/>
              </w:rPr>
            </w:pPr>
          </w:p>
        </w:tc>
        <w:tc>
          <w:tcPr>
            <w:tcW w:w="413"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A</w:t>
            </w:r>
          </w:p>
        </w:tc>
        <w:tc>
          <w:tcPr>
            <w:tcW w:w="435"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R</w:t>
            </w:r>
          </w:p>
        </w:tc>
        <w:tc>
          <w:tcPr>
            <w:tcW w:w="414"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A</w:t>
            </w:r>
          </w:p>
        </w:tc>
        <w:tc>
          <w:tcPr>
            <w:tcW w:w="435"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R</w:t>
            </w:r>
          </w:p>
        </w:tc>
        <w:tc>
          <w:tcPr>
            <w:tcW w:w="414"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A</w:t>
            </w:r>
          </w:p>
        </w:tc>
        <w:tc>
          <w:tcPr>
            <w:tcW w:w="435"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R</w:t>
            </w:r>
          </w:p>
        </w:tc>
        <w:tc>
          <w:tcPr>
            <w:tcW w:w="414"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A</w:t>
            </w:r>
          </w:p>
        </w:tc>
        <w:tc>
          <w:tcPr>
            <w:tcW w:w="433" w:type="pct"/>
            <w:shd w:val="clear" w:color="auto" w:fill="00B0F0"/>
            <w:noWrap/>
            <w:vAlign w:val="bottom"/>
            <w:hideMark/>
          </w:tcPr>
          <w:p w:rsidR="00155504" w:rsidRPr="00155504" w:rsidRDefault="00155504" w:rsidP="00F740D4">
            <w:pPr>
              <w:spacing w:after="0" w:line="240" w:lineRule="auto"/>
              <w:jc w:val="center"/>
              <w:rPr>
                <w:rFonts w:ascii="Arial" w:eastAsia="Times New Roman" w:hAnsi="Arial" w:cs="Arial"/>
                <w:color w:val="FFFFFF" w:themeColor="background1"/>
                <w:sz w:val="20"/>
                <w:szCs w:val="20"/>
                <w:lang w:val="nl-NL" w:eastAsia="nl-NL"/>
              </w:rPr>
            </w:pPr>
            <w:r w:rsidRPr="00155504">
              <w:rPr>
                <w:rFonts w:ascii="Arial" w:eastAsia="Times New Roman" w:hAnsi="Arial" w:cs="Arial"/>
                <w:color w:val="FFFFFF" w:themeColor="background1"/>
                <w:sz w:val="20"/>
                <w:szCs w:val="20"/>
                <w:lang w:val="nl-NL" w:eastAsia="nl-NL"/>
              </w:rPr>
              <w:t>R</w:t>
            </w:r>
          </w:p>
        </w:tc>
      </w:tr>
      <w:tr w:rsidR="00F740D4" w:rsidRPr="004755B9" w:rsidTr="00F740D4">
        <w:trPr>
          <w:trHeight w:val="270"/>
        </w:trPr>
        <w:tc>
          <w:tcPr>
            <w:tcW w:w="1605"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413"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740D4">
        <w:trPr>
          <w:trHeight w:val="270"/>
        </w:trPr>
        <w:tc>
          <w:tcPr>
            <w:tcW w:w="1605"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H1</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413"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740D4">
        <w:trPr>
          <w:trHeight w:val="270"/>
        </w:trPr>
        <w:tc>
          <w:tcPr>
            <w:tcW w:w="1605" w:type="pct"/>
            <w:tcBorders>
              <w:top w:val="single" w:sz="8" w:space="0" w:color="FFFFFF" w:themeColor="background1"/>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H1</w:t>
            </w:r>
          </w:p>
        </w:tc>
        <w:tc>
          <w:tcPr>
            <w:tcW w:w="413"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1605"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-2007</w:t>
            </w:r>
          </w:p>
        </w:tc>
        <w:tc>
          <w:tcPr>
            <w:tcW w:w="413" w:type="pct"/>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1605" w:type="pct"/>
            <w:tcBorders>
              <w:bottom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H2</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-2009</w:t>
            </w:r>
          </w:p>
        </w:tc>
        <w:tc>
          <w:tcPr>
            <w:tcW w:w="413" w:type="pct"/>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35" w:type="pct"/>
            <w:tcBorders>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14" w:type="pct"/>
            <w:tcBorders>
              <w:lef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r w:rsidR="00F740D4" w:rsidRPr="004755B9" w:rsidTr="00FE6BFE">
        <w:trPr>
          <w:trHeight w:val="270"/>
        </w:trPr>
        <w:tc>
          <w:tcPr>
            <w:tcW w:w="1605" w:type="pct"/>
            <w:tcBorders>
              <w:top w:val="single" w:sz="8" w:space="0" w:color="FFFFFF" w:themeColor="background1"/>
            </w:tcBorders>
            <w:shd w:val="clear" w:color="auto" w:fill="0070C0"/>
            <w:noWrap/>
            <w:vAlign w:val="bottom"/>
            <w:hideMark/>
          </w:tcPr>
          <w:p w:rsidR="00F740D4" w:rsidRPr="004755B9" w:rsidRDefault="00F740D4" w:rsidP="004755B9">
            <w:pPr>
              <w:spacing w:after="0" w:line="240" w:lineRule="auto"/>
              <w:rPr>
                <w:rFonts w:ascii="Arial" w:eastAsia="Times New Roman" w:hAnsi="Arial" w:cs="Arial"/>
                <w:color w:val="FFFFFF" w:themeColor="background1"/>
                <w:sz w:val="20"/>
                <w:szCs w:val="20"/>
                <w:lang w:val="nl-NL" w:eastAsia="nl-NL"/>
              </w:rPr>
            </w:pPr>
            <w:r w:rsidRPr="004755B9">
              <w:rPr>
                <w:rFonts w:ascii="Arial" w:eastAsia="Times New Roman" w:hAnsi="Arial" w:cs="Arial"/>
                <w:color w:val="FFFFFF" w:themeColor="background1"/>
                <w:sz w:val="20"/>
                <w:szCs w:val="20"/>
                <w:lang w:val="nl-NL" w:eastAsia="nl-NL"/>
              </w:rPr>
              <w:t>H3</w:t>
            </w:r>
            <w:r w:rsidR="00D6320E">
              <w:rPr>
                <w:rFonts w:ascii="Arial" w:eastAsia="Times New Roman" w:hAnsi="Arial" w:cs="Arial"/>
                <w:color w:val="FFFFFF" w:themeColor="background1"/>
                <w:sz w:val="20"/>
                <w:szCs w:val="20"/>
                <w:lang w:val="nl-NL" w:eastAsia="nl-NL"/>
              </w:rPr>
              <w:t>.0</w:t>
            </w:r>
            <w:r w:rsidRPr="004755B9">
              <w:rPr>
                <w:rFonts w:ascii="Arial" w:eastAsia="Times New Roman" w:hAnsi="Arial" w:cs="Arial"/>
                <w:color w:val="FFFFFF" w:themeColor="background1"/>
                <w:sz w:val="20"/>
                <w:szCs w:val="20"/>
                <w:lang w:val="nl-NL" w:eastAsia="nl-NL"/>
              </w:rPr>
              <w:t xml:space="preserve"> &gt; H2</w:t>
            </w:r>
          </w:p>
        </w:tc>
        <w:tc>
          <w:tcPr>
            <w:tcW w:w="413" w:type="pct"/>
            <w:tcBorders>
              <w:bottom w:val="single" w:sz="8" w:space="0" w:color="00B0F0"/>
            </w:tcBorders>
            <w:shd w:val="clear" w:color="auto" w:fill="auto"/>
            <w:noWrap/>
            <w:vAlign w:val="bottom"/>
            <w:hideMark/>
          </w:tcPr>
          <w:p w:rsidR="00F740D4" w:rsidRPr="00F740D4" w:rsidRDefault="00A72FFC"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35"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14"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5" w:type="pct"/>
            <w:tcBorders>
              <w:bottom w:val="single" w:sz="8" w:space="0" w:color="00B0F0"/>
              <w:right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14" w:type="pct"/>
            <w:tcBorders>
              <w:left w:val="single" w:sz="8" w:space="0" w:color="00B0F0"/>
              <w:bottom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c>
          <w:tcPr>
            <w:tcW w:w="435" w:type="pct"/>
            <w:tcBorders>
              <w:bottom w:val="single" w:sz="8" w:space="0" w:color="00B0F0"/>
              <w:right w:val="single" w:sz="8" w:space="0" w:color="00B0F0"/>
            </w:tcBorders>
            <w:shd w:val="clear" w:color="auto" w:fill="EDACB7" w:themeFill="accent4" w:themeFillTint="99"/>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14" w:type="pct"/>
            <w:tcBorders>
              <w:left w:val="single" w:sz="8" w:space="0" w:color="00B0F0"/>
              <w:bottom w:val="single" w:sz="8" w:space="0" w:color="00B0F0"/>
            </w:tcBorders>
            <w:shd w:val="clear" w:color="auto" w:fill="auto"/>
            <w:noWrap/>
            <w:vAlign w:val="bottom"/>
            <w:hideMark/>
          </w:tcPr>
          <w:p w:rsidR="00F740D4" w:rsidRPr="00F740D4" w:rsidRDefault="00F740D4"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 </w:t>
            </w:r>
          </w:p>
        </w:tc>
        <w:tc>
          <w:tcPr>
            <w:tcW w:w="433" w:type="pct"/>
            <w:tcBorders>
              <w:bottom w:val="single" w:sz="8" w:space="0" w:color="00B0F0"/>
              <w:right w:val="single" w:sz="8" w:space="0" w:color="00B0F0"/>
            </w:tcBorders>
            <w:shd w:val="clear" w:color="auto" w:fill="auto"/>
            <w:noWrap/>
            <w:vAlign w:val="bottom"/>
            <w:hideMark/>
          </w:tcPr>
          <w:p w:rsidR="00F740D4" w:rsidRPr="00F740D4" w:rsidRDefault="00EB57C1" w:rsidP="00F740D4">
            <w:pPr>
              <w:spacing w:after="0" w:line="240" w:lineRule="auto"/>
              <w:jc w:val="center"/>
              <w:rPr>
                <w:rFonts w:ascii="Arial" w:eastAsia="Times New Roman" w:hAnsi="Arial" w:cs="Arial"/>
                <w:color w:val="000000"/>
                <w:sz w:val="20"/>
                <w:szCs w:val="20"/>
                <w:lang w:val="nl-NL" w:eastAsia="nl-NL"/>
              </w:rPr>
            </w:pPr>
            <w:r w:rsidRPr="00F740D4">
              <w:rPr>
                <w:rFonts w:ascii="Arial" w:eastAsia="Times New Roman" w:hAnsi="Arial" w:cs="Arial"/>
                <w:color w:val="000000"/>
                <w:sz w:val="20"/>
                <w:szCs w:val="20"/>
                <w:lang w:val="nl-NL" w:eastAsia="nl-NL"/>
              </w:rPr>
              <w:t>V</w:t>
            </w:r>
          </w:p>
        </w:tc>
      </w:tr>
    </w:tbl>
    <w:p w:rsidR="00155504" w:rsidRPr="00AD7727" w:rsidRDefault="00155504" w:rsidP="00155504">
      <w:pPr>
        <w:pStyle w:val="BodyText"/>
        <w:rPr>
          <w:rFonts w:ascii="Verdana" w:hAnsi="Verdana"/>
          <w:sz w:val="16"/>
          <w:szCs w:val="16"/>
          <w:lang w:val="en-US"/>
        </w:rPr>
      </w:pPr>
      <w:r w:rsidRPr="00AD7727">
        <w:rPr>
          <w:rFonts w:ascii="Verdana" w:hAnsi="Verdana"/>
          <w:sz w:val="16"/>
          <w:szCs w:val="16"/>
          <w:lang w:val="en-US"/>
        </w:rPr>
        <w:t>A=Accepted, R=Rejected</w:t>
      </w:r>
    </w:p>
    <w:p w:rsidR="00155504" w:rsidRDefault="00155504" w:rsidP="00585016">
      <w:pPr>
        <w:pStyle w:val="BodyText"/>
        <w:rPr>
          <w:rFonts w:ascii="Verdana" w:hAnsi="Verdana"/>
          <w:b/>
          <w:u w:val="single"/>
          <w:lang w:val="en-US"/>
        </w:rPr>
      </w:pPr>
    </w:p>
    <w:p w:rsidR="00155504" w:rsidRDefault="00155504">
      <w:pPr>
        <w:rPr>
          <w:rFonts w:ascii="Verdana" w:hAnsi="Verdana"/>
          <w:b/>
          <w:u w:val="single"/>
          <w:lang w:val="en-US"/>
        </w:rPr>
      </w:pPr>
      <w:r>
        <w:rPr>
          <w:rFonts w:ascii="Verdana" w:hAnsi="Verdana"/>
          <w:b/>
          <w:u w:val="single"/>
          <w:lang w:val="en-US"/>
        </w:rPr>
        <w:br w:type="page"/>
      </w:r>
    </w:p>
    <w:p w:rsidR="00585016" w:rsidRDefault="001D640A" w:rsidP="0095030F">
      <w:pPr>
        <w:pStyle w:val="Heading3"/>
        <w:rPr>
          <w:lang w:val="en-US"/>
        </w:rPr>
      </w:pPr>
      <w:bookmarkStart w:id="68" w:name="_Toc359957170"/>
      <w:r>
        <w:rPr>
          <w:lang w:val="en-US"/>
        </w:rPr>
        <w:lastRenderedPageBreak/>
        <w:t xml:space="preserve">3. </w:t>
      </w:r>
      <w:r w:rsidR="00585016">
        <w:rPr>
          <w:lang w:val="en-US"/>
        </w:rPr>
        <w:t xml:space="preserve">Model as used by van the </w:t>
      </w:r>
      <w:proofErr w:type="spellStart"/>
      <w:r w:rsidR="00585016">
        <w:rPr>
          <w:lang w:val="en-US"/>
        </w:rPr>
        <w:t>Poel</w:t>
      </w:r>
      <w:proofErr w:type="spellEnd"/>
      <w:r w:rsidR="00585016">
        <w:rPr>
          <w:lang w:val="en-US"/>
        </w:rPr>
        <w:t xml:space="preserve"> et al. (2008):</w:t>
      </w:r>
      <w:bookmarkEnd w:id="68"/>
    </w:p>
    <w:p w:rsidR="00585016" w:rsidRDefault="00585016" w:rsidP="00585016">
      <w:pPr>
        <w:pStyle w:val="BodyText"/>
        <w:rPr>
          <w:rFonts w:ascii="Cambria Math" w:eastAsiaTheme="minorEastAsia" w:hAnsi="Cambria Math"/>
          <w:lang w:val="en-US"/>
        </w:rPr>
      </w:pPr>
      <w:r>
        <w:rPr>
          <w:rFonts w:ascii="Cambria Math" w:hAnsi="Cambria Math"/>
          <w:lang w:val="en-US"/>
        </w:rPr>
        <w:br/>
      </w:r>
      <m:oMathPara>
        <m:oMath>
          <m:sSub>
            <m:sSubPr>
              <m:ctrlPr>
                <w:rPr>
                  <w:rFonts w:ascii="Cambria Math" w:hAnsi="Cambria Math"/>
                  <w:i/>
                  <w:lang w:val="en-US"/>
                </w:rPr>
              </m:ctrlPr>
            </m:sSubPr>
            <m:e>
              <m:r>
                <w:rPr>
                  <w:rFonts w:ascii="Cambria Math" w:hAnsi="Cambria Math"/>
                  <w:lang w:val="en-US"/>
                </w:rPr>
                <m:t>IMP</m:t>
              </m:r>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1</m:t>
              </m:r>
              <m:ctrlPr>
                <w:rPr>
                  <w:rFonts w:ascii="Cambria Math" w:hAnsi="Cambria Math"/>
                  <w:i/>
                  <w:lang w:val="en-US"/>
                </w:rPr>
              </m:ctrlPr>
            </m:sub>
          </m:sSub>
          <m:sSub>
            <m:sSubPr>
              <m:ctrlPr>
                <w:rPr>
                  <w:rFonts w:ascii="Cambria Math" w:hAnsi="Cambria Math"/>
                  <w:i/>
                  <w:lang w:val="en-US"/>
                </w:rPr>
              </m:ctrlPr>
            </m:sSubPr>
            <m:e>
              <m:r>
                <w:rPr>
                  <w:rFonts w:ascii="Cambria Math" w:hAnsi="Cambria Math"/>
                  <w:lang w:val="en-US"/>
                </w:rPr>
                <m:t>GW</m:t>
              </m:r>
            </m:e>
            <m:sub>
              <m:r>
                <w:rPr>
                  <w:rFonts w:ascii="Cambria Math" w:hAnsi="Cambria Math"/>
                  <w:lang w:val="en-US"/>
                </w:rPr>
                <m:t>it-1</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2</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SIZE</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3</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∆indROA</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4</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SALES</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5</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∆CFO</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6</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BATH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m:rPr>
                  <m:sty m:val="p"/>
                </m:rPr>
                <w:rPr>
                  <w:rFonts w:ascii="Cambria Math" w:hAnsi="Cambria Math"/>
                  <w:lang w:val="en-US"/>
                </w:rPr>
                <m:t>7</m:t>
              </m:r>
            </m:sub>
          </m:sSub>
          <m:sSub>
            <m:sSubPr>
              <m:ctrlPr>
                <w:rPr>
                  <w:rFonts w:ascii="Cambria Math" w:hAnsi="Cambria Math"/>
                  <w:lang w:val="en-US"/>
                </w:rPr>
              </m:ctrlPr>
            </m:sSubPr>
            <m:e>
              <m:r>
                <w:rPr>
                  <w:rFonts w:ascii="Cambria Math" w:hAnsi="Cambria Math"/>
                  <w:lang w:val="en-US"/>
                </w:rPr>
                <m:t>SMOOTH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8</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BIG4</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9</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BATH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BIG4</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10</m:t>
              </m:r>
              <m:ctrlPr>
                <w:rPr>
                  <w:rFonts w:ascii="Cambria Math" w:hAnsi="Cambria Math"/>
                  <w:i/>
                  <w:lang w:val="en-US"/>
                </w:rPr>
              </m:ctrlPr>
            </m:sub>
          </m:sSub>
          <m:sSub>
            <m:sSubPr>
              <m:ctrlPr>
                <w:rPr>
                  <w:rFonts w:ascii="Cambria Math" w:hAnsi="Cambria Math"/>
                  <w:lang w:val="en-US"/>
                </w:rPr>
              </m:ctrlPr>
            </m:sSubPr>
            <m:e>
              <m:r>
                <w:rPr>
                  <w:rFonts w:ascii="Cambria Math" w:hAnsi="Cambria Math"/>
                  <w:lang w:val="en-US"/>
                </w:rPr>
                <m:t>SMOOTH</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BIG4</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r>
            <m:rPr>
              <m:sty m:val="p"/>
            </m:rPr>
            <w:rPr>
              <w:rFonts w:ascii="Cambria Math" w:hAnsi="Cambria Math"/>
              <w:lang w:val="en-US"/>
            </w:rPr>
            <m:t>+</m:t>
          </m:r>
          <m:nary>
            <m:naryPr>
              <m:chr m:val="∑"/>
              <m:limLoc m:val="undOvr"/>
              <m:subHide m:val="1"/>
              <m:supHide m:val="1"/>
              <m:ctrlPr>
                <w:rPr>
                  <w:rFonts w:ascii="Cambria Math" w:hAnsi="Cambria Math"/>
                  <w:lang w:val="en-US"/>
                </w:rPr>
              </m:ctrlPr>
            </m:naryPr>
            <m:sub/>
            <m:sup/>
            <m:e>
              <m:sSub>
                <m:sSubPr>
                  <m:ctrlPr>
                    <w:rPr>
                      <w:rFonts w:ascii="Cambria Math" w:hAnsi="Cambria Math"/>
                      <w:lang w:val="en-US"/>
                    </w:rPr>
                  </m:ctrlPr>
                </m:sSubPr>
                <m:e>
                  <m:r>
                    <w:rPr>
                      <w:rFonts w:ascii="Cambria Math" w:hAnsi="Cambria Math"/>
                      <w:lang w:val="en-US"/>
                    </w:rPr>
                    <m:t>α</m:t>
                  </m:r>
                  <m:ctrlPr>
                    <w:rPr>
                      <w:rFonts w:ascii="Cambria Math" w:hAnsi="Cambria Math"/>
                      <w:i/>
                      <w:lang w:val="en-US"/>
                    </w:rPr>
                  </m:ctrlPr>
                </m:e>
                <m:sub>
                  <m:r>
                    <w:rPr>
                      <w:rFonts w:ascii="Cambria Math" w:hAnsi="Cambria Math"/>
                      <w:lang w:val="en-US"/>
                    </w:rPr>
                    <m:t>j</m:t>
                  </m:r>
                  <m:ctrlPr>
                    <w:rPr>
                      <w:rFonts w:ascii="Cambria Math" w:hAnsi="Cambria Math"/>
                      <w:i/>
                      <w:lang w:val="en-US"/>
                    </w:rPr>
                  </m:ctrlPr>
                </m:sub>
              </m:sSub>
            </m:e>
          </m:nary>
          <m:sSub>
            <m:sSubPr>
              <m:ctrlPr>
                <w:rPr>
                  <w:rFonts w:ascii="Cambria Math" w:hAnsi="Cambria Math"/>
                  <w:lang w:val="en-US"/>
                </w:rPr>
              </m:ctrlPr>
            </m:sSubPr>
            <m:e>
              <m:r>
                <w:rPr>
                  <w:rFonts w:ascii="Cambria Math" w:hAnsi="Cambria Math"/>
                  <w:lang w:val="en-US"/>
                </w:rPr>
                <m:t>CONTROLS</m:t>
              </m:r>
              <m:ctrlPr>
                <w:rPr>
                  <w:rFonts w:ascii="Cambria Math" w:hAnsi="Cambria Math"/>
                  <w:i/>
                  <w:lang w:val="en-US"/>
                </w:rPr>
              </m:ctrlPr>
            </m:e>
            <m:sub>
              <m:r>
                <w:rPr>
                  <w:rFonts w:ascii="Cambria Math" w:hAnsi="Cambria Math"/>
                  <w:lang w:val="en-US"/>
                </w:rPr>
                <m:t>itj</m:t>
              </m:r>
              <m:ctrlPr>
                <w:rPr>
                  <w:rFonts w:ascii="Cambria Math" w:hAnsi="Cambria Math"/>
                  <w:i/>
                  <w:lang w:val="en-US"/>
                </w:rPr>
              </m:ctrlP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ε</m:t>
              </m:r>
              <m:ctrlPr>
                <w:rPr>
                  <w:rFonts w:ascii="Cambria Math" w:hAnsi="Cambria Math"/>
                  <w:i/>
                  <w:lang w:val="en-US"/>
                </w:rPr>
              </m:ctrlPr>
            </m:e>
            <m:sub>
              <m:r>
                <w:rPr>
                  <w:rFonts w:ascii="Cambria Math" w:hAnsi="Cambria Math"/>
                  <w:lang w:val="en-US"/>
                </w:rPr>
                <m:t>it</m:t>
              </m:r>
              <m:ctrlPr>
                <w:rPr>
                  <w:rFonts w:ascii="Cambria Math" w:hAnsi="Cambria Math"/>
                  <w:i/>
                  <w:lang w:val="en-US"/>
                </w:rPr>
              </m:ctrlPr>
            </m:sub>
          </m:sSub>
        </m:oMath>
      </m:oMathPara>
    </w:p>
    <w:p w:rsidR="00585016" w:rsidRDefault="00585016" w:rsidP="00585016">
      <w:pPr>
        <w:pStyle w:val="BodyText"/>
        <w:rPr>
          <w:rFonts w:ascii="Verdana" w:eastAsiaTheme="minorEastAsia" w:hAnsi="Verdana"/>
          <w:lang w:val="en-US"/>
        </w:rPr>
      </w:pPr>
    </w:p>
    <w:p w:rsidR="00585016" w:rsidRPr="009B687E" w:rsidRDefault="00585016" w:rsidP="00585016">
      <w:pPr>
        <w:pStyle w:val="BodyText"/>
        <w:rPr>
          <w:rFonts w:ascii="Verdana" w:hAnsi="Verdana"/>
          <w:lang w:val="en-US"/>
        </w:rPr>
      </w:pPr>
      <w:proofErr w:type="spellStart"/>
      <w:r w:rsidRPr="009B687E">
        <w:rPr>
          <w:rFonts w:ascii="Verdana" w:hAnsi="Verdana"/>
          <w:lang w:val="en-US"/>
        </w:rPr>
        <w:t>IMPit</w:t>
      </w:r>
      <w:proofErr w:type="spellEnd"/>
      <w:r w:rsidRPr="009B687E">
        <w:rPr>
          <w:rFonts w:ascii="Verdana" w:hAnsi="Verdana"/>
          <w:lang w:val="en-US"/>
        </w:rPr>
        <w:t xml:space="preserve"> = indicator variable (equal to one if impairment reported, else 0)</w:t>
      </w:r>
    </w:p>
    <w:p w:rsidR="00585016" w:rsidRPr="009B687E" w:rsidRDefault="00585016" w:rsidP="00585016">
      <w:pPr>
        <w:pStyle w:val="BodyText"/>
        <w:rPr>
          <w:rFonts w:ascii="Verdana" w:hAnsi="Verdana"/>
          <w:lang w:val="en-US"/>
        </w:rPr>
      </w:pPr>
      <w:r w:rsidRPr="009B687E">
        <w:rPr>
          <w:rFonts w:ascii="Verdana" w:hAnsi="Verdana"/>
          <w:lang w:val="en-US"/>
        </w:rPr>
        <w:t>GWit-1 = ratio of firm i’s opening balance of goodwill on total assets</w:t>
      </w:r>
    </w:p>
    <w:p w:rsidR="00585016" w:rsidRPr="009B687E" w:rsidRDefault="00585016" w:rsidP="00585016">
      <w:pPr>
        <w:pStyle w:val="BodyText"/>
        <w:rPr>
          <w:rFonts w:ascii="Verdana" w:hAnsi="Verdana"/>
          <w:lang w:val="en-US"/>
        </w:rPr>
      </w:pPr>
      <w:proofErr w:type="spellStart"/>
      <w:r w:rsidRPr="009B687E">
        <w:rPr>
          <w:rFonts w:ascii="Verdana" w:hAnsi="Verdana"/>
          <w:lang w:val="en-US"/>
        </w:rPr>
        <w:t>SIZEit</w:t>
      </w:r>
      <w:proofErr w:type="spellEnd"/>
      <w:r w:rsidRPr="009B687E">
        <w:rPr>
          <w:rFonts w:ascii="Verdana" w:hAnsi="Verdana"/>
          <w:lang w:val="en-US"/>
        </w:rPr>
        <w:t xml:space="preserve"> = natural logarithm of firm i's total assets</w:t>
      </w:r>
    </w:p>
    <w:p w:rsidR="00585016" w:rsidRPr="009B687E" w:rsidRDefault="00585016" w:rsidP="00585016">
      <w:pPr>
        <w:pStyle w:val="BodyText"/>
        <w:rPr>
          <w:rFonts w:ascii="Verdana" w:hAnsi="Verdana"/>
          <w:lang w:val="en-US"/>
        </w:rPr>
      </w:pPr>
      <w:r w:rsidRPr="009B687E">
        <w:rPr>
          <w:rFonts w:ascii="Verdana" w:hAnsi="Verdana"/>
          <w:lang w:val="nl-NL"/>
        </w:rPr>
        <w:t>Δ</w:t>
      </w:r>
      <w:proofErr w:type="spellStart"/>
      <w:r w:rsidRPr="009B687E">
        <w:rPr>
          <w:rFonts w:ascii="Verdana" w:hAnsi="Verdana"/>
          <w:lang w:val="en-US"/>
        </w:rPr>
        <w:t>indROAit</w:t>
      </w:r>
      <w:proofErr w:type="spellEnd"/>
      <w:r w:rsidRPr="009B687E">
        <w:rPr>
          <w:rFonts w:ascii="Verdana" w:hAnsi="Verdana"/>
          <w:lang w:val="en-US"/>
        </w:rPr>
        <w:t xml:space="preserve"> = the median change in firm i’s industry return on assets from period t-1 to t, where industry is defined on a 2-digit SIC level</w:t>
      </w:r>
    </w:p>
    <w:p w:rsidR="00585016" w:rsidRPr="009B687E" w:rsidRDefault="00585016" w:rsidP="00585016">
      <w:pPr>
        <w:pStyle w:val="BodyText"/>
        <w:rPr>
          <w:rFonts w:ascii="Verdana" w:hAnsi="Verdana"/>
          <w:lang w:val="en-US"/>
        </w:rPr>
      </w:pPr>
      <w:r w:rsidRPr="009B687E">
        <w:rPr>
          <w:rFonts w:ascii="Verdana" w:hAnsi="Verdana"/>
          <w:lang w:val="nl-NL"/>
        </w:rPr>
        <w:t>Δ</w:t>
      </w:r>
      <w:proofErr w:type="spellStart"/>
      <w:r w:rsidRPr="009B687E">
        <w:rPr>
          <w:rFonts w:ascii="Verdana" w:hAnsi="Verdana"/>
          <w:lang w:val="en-US"/>
        </w:rPr>
        <w:t>SALESit</w:t>
      </w:r>
      <w:proofErr w:type="spellEnd"/>
      <w:r w:rsidRPr="009B687E">
        <w:rPr>
          <w:rFonts w:ascii="Verdana" w:hAnsi="Verdana"/>
          <w:lang w:val="en-US"/>
        </w:rPr>
        <w:t xml:space="preserve"> = firm i’s change in sales from year t-1 to year t, divided by total assets at the end of year t-1</w:t>
      </w:r>
    </w:p>
    <w:p w:rsidR="00585016" w:rsidRPr="009B687E" w:rsidRDefault="00585016" w:rsidP="00585016">
      <w:pPr>
        <w:pStyle w:val="BodyText"/>
        <w:rPr>
          <w:rFonts w:ascii="Verdana" w:hAnsi="Verdana"/>
          <w:lang w:val="en-US"/>
        </w:rPr>
      </w:pPr>
      <w:r w:rsidRPr="009B687E">
        <w:rPr>
          <w:rFonts w:ascii="Verdana" w:hAnsi="Verdana"/>
          <w:lang w:val="nl-NL"/>
        </w:rPr>
        <w:t>Δ</w:t>
      </w:r>
      <w:proofErr w:type="spellStart"/>
      <w:r w:rsidRPr="009B687E">
        <w:rPr>
          <w:rFonts w:ascii="Verdana" w:hAnsi="Verdana"/>
          <w:lang w:val="en-US"/>
        </w:rPr>
        <w:t>CFOit</w:t>
      </w:r>
      <w:proofErr w:type="spellEnd"/>
      <w:r w:rsidRPr="009B687E">
        <w:rPr>
          <w:rFonts w:ascii="Verdana" w:hAnsi="Verdana"/>
          <w:lang w:val="en-US"/>
        </w:rPr>
        <w:t xml:space="preserve"> = firm i’s change in operating cash flows from year t-1 to year t, divided by total assets at the end of year t-1</w:t>
      </w:r>
    </w:p>
    <w:p w:rsidR="00585016" w:rsidRPr="009B687E" w:rsidRDefault="00585016" w:rsidP="00585016">
      <w:pPr>
        <w:pStyle w:val="BodyText"/>
        <w:rPr>
          <w:rFonts w:ascii="Verdana" w:hAnsi="Verdana"/>
          <w:lang w:val="en-US"/>
        </w:rPr>
      </w:pPr>
      <w:proofErr w:type="spellStart"/>
      <w:r w:rsidRPr="009B687E">
        <w:rPr>
          <w:rFonts w:ascii="Verdana" w:hAnsi="Verdana"/>
          <w:lang w:val="en-US"/>
        </w:rPr>
        <w:t>BATHit</w:t>
      </w:r>
      <w:proofErr w:type="spellEnd"/>
      <w:r w:rsidRPr="009B687E">
        <w:rPr>
          <w:rFonts w:ascii="Verdana" w:hAnsi="Verdana"/>
          <w:lang w:val="en-US"/>
        </w:rPr>
        <w:t xml:space="preserve"> = indicator variable to proxy for ‘big bath’ reporting (equal to one if the change in firm i’s pre-impaired earnings from year t-1 to t, divided by total assets at year t-1 is below the median of non-zero negative values, else 0)</w:t>
      </w:r>
    </w:p>
    <w:p w:rsidR="00585016" w:rsidRPr="009B687E" w:rsidRDefault="00585016" w:rsidP="00585016">
      <w:pPr>
        <w:pStyle w:val="BodyText"/>
        <w:rPr>
          <w:rFonts w:ascii="Verdana" w:hAnsi="Verdana"/>
          <w:lang w:val="en-US"/>
        </w:rPr>
      </w:pPr>
      <w:proofErr w:type="spellStart"/>
      <w:r w:rsidRPr="009B687E">
        <w:rPr>
          <w:rFonts w:ascii="Verdana" w:hAnsi="Verdana"/>
          <w:lang w:val="en-US"/>
        </w:rPr>
        <w:t>SMOOTHit</w:t>
      </w:r>
      <w:proofErr w:type="spellEnd"/>
      <w:r w:rsidRPr="009B687E">
        <w:rPr>
          <w:rFonts w:ascii="Verdana" w:hAnsi="Verdana"/>
          <w:lang w:val="en-US"/>
        </w:rPr>
        <w:t xml:space="preserve"> = indicator variable to proxy for ‘earnings smoothing’(equal to one if the change in firm i’s pre-impaired earnings from year t-1 to t, divided by total assets at year t-1 is above the median of non-zero positive values, else 0)</w:t>
      </w:r>
    </w:p>
    <w:p w:rsidR="00585016" w:rsidRDefault="00585016" w:rsidP="00585016">
      <w:pPr>
        <w:pStyle w:val="BodyText"/>
        <w:rPr>
          <w:rFonts w:ascii="Verdana" w:hAnsi="Verdana"/>
          <w:lang w:val="en-US"/>
        </w:rPr>
      </w:pPr>
      <w:r w:rsidRPr="009B687E">
        <w:rPr>
          <w:rFonts w:ascii="Verdana" w:hAnsi="Verdana"/>
          <w:lang w:val="en-US"/>
        </w:rPr>
        <w:t>BIG4it = indicator variable (equal to one in case of a Big 4 auditor, else</w:t>
      </w:r>
      <w:r>
        <w:rPr>
          <w:rFonts w:ascii="Verdana" w:hAnsi="Verdana"/>
          <w:lang w:val="en-US"/>
        </w:rPr>
        <w:t xml:space="preserve"> 0)</w:t>
      </w:r>
    </w:p>
    <w:p w:rsidR="00305835" w:rsidRDefault="00305835">
      <w:pPr>
        <w:rPr>
          <w:rFonts w:ascii="Verdana" w:hAnsi="Verdana"/>
          <w:lang w:val="en-US"/>
        </w:rPr>
      </w:pPr>
      <w:r>
        <w:rPr>
          <w:rFonts w:ascii="Verdana" w:hAnsi="Verdana"/>
          <w:lang w:val="en-US"/>
        </w:rPr>
        <w:br w:type="page"/>
      </w:r>
    </w:p>
    <w:p w:rsidR="00585016" w:rsidRDefault="001D640A" w:rsidP="00305835">
      <w:pPr>
        <w:pStyle w:val="Heading3"/>
        <w:rPr>
          <w:lang w:val="en-US"/>
        </w:rPr>
      </w:pPr>
      <w:bookmarkStart w:id="69" w:name="_Toc359957171"/>
      <w:r>
        <w:rPr>
          <w:lang w:val="en-US"/>
        </w:rPr>
        <w:lastRenderedPageBreak/>
        <w:t xml:space="preserve">4. </w:t>
      </w:r>
      <w:r w:rsidR="00305835" w:rsidRPr="00305835">
        <w:rPr>
          <w:lang w:val="en-US"/>
        </w:rPr>
        <w:t>Box</w:t>
      </w:r>
      <w:r w:rsidR="00367F09">
        <w:rPr>
          <w:lang w:val="en-US"/>
        </w:rPr>
        <w:t xml:space="preserve"> </w:t>
      </w:r>
      <w:r w:rsidR="00305835" w:rsidRPr="00305835">
        <w:rPr>
          <w:lang w:val="en-US"/>
        </w:rPr>
        <w:t>plot</w:t>
      </w:r>
      <w:r w:rsidR="00305835">
        <w:rPr>
          <w:lang w:val="en-US"/>
        </w:rPr>
        <w:t>s:</w:t>
      </w:r>
      <w:bookmarkEnd w:id="69"/>
    </w:p>
    <w:p w:rsidR="00305835" w:rsidRPr="004D0ABC" w:rsidRDefault="00305835" w:rsidP="00305835">
      <w:pPr>
        <w:pStyle w:val="BodyText"/>
        <w:rPr>
          <w:noProof/>
          <w:lang w:val="en-US" w:eastAsia="nl-NL"/>
        </w:rPr>
      </w:pPr>
      <w:r>
        <w:rPr>
          <w:lang w:val="en-US"/>
        </w:rPr>
        <w:br/>
        <w:t>2007 Sales</w:t>
      </w:r>
      <w:r w:rsidR="004D0ABC">
        <w:rPr>
          <w:lang w:val="en-US"/>
        </w:rPr>
        <w:t xml:space="preserve"> before and after removal of outliers</w:t>
      </w:r>
      <w:r>
        <w:rPr>
          <w:lang w:val="en-US"/>
        </w:rPr>
        <w:t>:</w:t>
      </w:r>
      <w:r w:rsidR="00367F09">
        <w:rPr>
          <w:lang w:val="en-US"/>
        </w:rPr>
        <w:br/>
      </w:r>
      <w:r>
        <w:rPr>
          <w:noProof/>
          <w:lang w:val="nl-NL" w:eastAsia="nl-NL"/>
        </w:rPr>
        <w:drawing>
          <wp:inline distT="0" distB="0" distL="0" distR="0" wp14:anchorId="65A2A12F" wp14:editId="2B0E668F">
            <wp:extent cx="2371725" cy="3912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cstate="print"/>
                    <a:stretch>
                      <a:fillRect/>
                    </a:stretch>
                  </pic:blipFill>
                  <pic:spPr>
                    <a:xfrm>
                      <a:off x="0" y="0"/>
                      <a:ext cx="2375938" cy="3919074"/>
                    </a:xfrm>
                    <a:prstGeom prst="rect">
                      <a:avLst/>
                    </a:prstGeom>
                  </pic:spPr>
                </pic:pic>
              </a:graphicData>
            </a:graphic>
          </wp:inline>
        </w:drawing>
      </w:r>
      <w:r w:rsidRPr="004D0ABC">
        <w:rPr>
          <w:noProof/>
          <w:lang w:val="en-US" w:eastAsia="nl-NL"/>
        </w:rPr>
        <w:t xml:space="preserve"> </w:t>
      </w:r>
      <w:r>
        <w:rPr>
          <w:noProof/>
          <w:lang w:val="nl-NL" w:eastAsia="nl-NL"/>
        </w:rPr>
        <w:drawing>
          <wp:inline distT="0" distB="0" distL="0" distR="0" wp14:anchorId="628157A9" wp14:editId="170CD4D3">
            <wp:extent cx="2364581" cy="391379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cstate="print"/>
                    <a:stretch>
                      <a:fillRect/>
                    </a:stretch>
                  </pic:blipFill>
                  <pic:spPr>
                    <a:xfrm>
                      <a:off x="0" y="0"/>
                      <a:ext cx="2370446" cy="3923498"/>
                    </a:xfrm>
                    <a:prstGeom prst="rect">
                      <a:avLst/>
                    </a:prstGeom>
                  </pic:spPr>
                </pic:pic>
              </a:graphicData>
            </a:graphic>
          </wp:inline>
        </w:drawing>
      </w:r>
    </w:p>
    <w:p w:rsidR="00A74FC0" w:rsidRDefault="00BB7754" w:rsidP="00367F09">
      <w:pPr>
        <w:rPr>
          <w:noProof/>
          <w:lang w:val="en-US" w:eastAsia="nl-NL"/>
        </w:rPr>
      </w:pPr>
      <w:r>
        <w:rPr>
          <w:noProof/>
          <w:lang w:val="en-US" w:eastAsia="nl-NL"/>
        </w:rPr>
        <w:t>Removed o</w:t>
      </w:r>
      <w:r w:rsidR="00A74FC0">
        <w:rPr>
          <w:noProof/>
          <w:lang w:val="en-US" w:eastAsia="nl-NL"/>
        </w:rPr>
        <w:t>utliers:</w:t>
      </w:r>
    </w:p>
    <w:tbl>
      <w:tblPr>
        <w:tblStyle w:val="DarkList2"/>
        <w:tblW w:w="6912" w:type="dxa"/>
        <w:tblLook w:val="04A0" w:firstRow="1" w:lastRow="0" w:firstColumn="1" w:lastColumn="0" w:noHBand="0" w:noVBand="1"/>
      </w:tblPr>
      <w:tblGrid>
        <w:gridCol w:w="3369"/>
        <w:gridCol w:w="2016"/>
        <w:gridCol w:w="1527"/>
      </w:tblGrid>
      <w:tr w:rsidR="00BB7754" w:rsidTr="00BB77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B0F0"/>
            <w:noWrap/>
            <w:hideMark/>
          </w:tcPr>
          <w:p w:rsidR="00BB7754" w:rsidRPr="00BB7754" w:rsidRDefault="00BB7754" w:rsidP="00BB7754">
            <w:pPr>
              <w:rPr>
                <w:color w:val="FFFFFF" w:themeColor="background1"/>
              </w:rPr>
            </w:pPr>
            <w:r w:rsidRPr="00BB7754">
              <w:rPr>
                <w:color w:val="FFFFFF" w:themeColor="background1"/>
              </w:rPr>
              <w:t>Entity Name:</w:t>
            </w:r>
          </w:p>
        </w:tc>
        <w:tc>
          <w:tcPr>
            <w:tcW w:w="2016"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Key:</w:t>
            </w:r>
          </w:p>
        </w:tc>
        <w:tc>
          <w:tcPr>
            <w:tcW w:w="1527"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Sales:</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hideMark/>
          </w:tcPr>
          <w:p w:rsidR="00BB7754" w:rsidRPr="00BB7754" w:rsidRDefault="00BB7754" w:rsidP="00BB7754">
            <w:pPr>
              <w:rPr>
                <w:color w:val="FFFFFF" w:themeColor="background1"/>
              </w:rPr>
            </w:pPr>
            <w:proofErr w:type="spellStart"/>
            <w:r w:rsidRPr="00BB7754">
              <w:rPr>
                <w:color w:val="FFFFFF" w:themeColor="background1"/>
              </w:rPr>
              <w:t>Heliocentris</w:t>
            </w:r>
            <w:proofErr w:type="spellEnd"/>
            <w:r w:rsidRPr="00BB7754">
              <w:rPr>
                <w:color w:val="FFFFFF" w:themeColor="background1"/>
              </w:rPr>
              <w:t xml:space="preserve"> Fuel Cells</w:t>
            </w:r>
          </w:p>
        </w:tc>
        <w:tc>
          <w:tcPr>
            <w:tcW w:w="2016" w:type="dxa"/>
            <w:shd w:val="clear" w:color="auto" w:fill="FFFFFF" w:themeFill="background1"/>
            <w:noWrap/>
            <w:hideMark/>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C900572985</w:t>
            </w:r>
          </w:p>
        </w:tc>
        <w:tc>
          <w:tcPr>
            <w:tcW w:w="1527" w:type="dxa"/>
            <w:shd w:val="clear" w:color="auto" w:fill="FFFFFF" w:themeFill="background1"/>
            <w:noWrap/>
            <w:hideMark/>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4.660</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hideMark/>
          </w:tcPr>
          <w:p w:rsidR="00BB7754" w:rsidRPr="00BB7754" w:rsidRDefault="00BB7754" w:rsidP="00BB7754">
            <w:pPr>
              <w:rPr>
                <w:color w:val="FFFFFF" w:themeColor="background1"/>
              </w:rPr>
            </w:pPr>
            <w:proofErr w:type="spellStart"/>
            <w:r w:rsidRPr="00BB7754">
              <w:rPr>
                <w:color w:val="FFFFFF" w:themeColor="background1"/>
              </w:rPr>
              <w:t>Optela</w:t>
            </w:r>
            <w:proofErr w:type="spellEnd"/>
            <w:r w:rsidRPr="00BB7754">
              <w:rPr>
                <w:color w:val="FFFFFF" w:themeColor="background1"/>
              </w:rPr>
              <w:t>-Laser Technologies AD</w:t>
            </w:r>
          </w:p>
        </w:tc>
        <w:tc>
          <w:tcPr>
            <w:tcW w:w="2016" w:type="dxa"/>
            <w:shd w:val="clear" w:color="auto" w:fill="FFFFFF" w:themeFill="background1"/>
            <w:noWrap/>
            <w:hideMark/>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rsidRPr="009B6966">
              <w:t>C000079196</w:t>
            </w:r>
          </w:p>
        </w:tc>
        <w:tc>
          <w:tcPr>
            <w:tcW w:w="1527" w:type="dxa"/>
            <w:shd w:val="clear" w:color="auto" w:fill="FFFFFF" w:themeFill="background1"/>
            <w:noWrap/>
            <w:hideMark/>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rsidRPr="009B6966">
              <w:t>1.974</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tcPr>
          <w:p w:rsidR="00BB7754" w:rsidRPr="00BB7754" w:rsidRDefault="00BB7754" w:rsidP="00BB7754">
            <w:pPr>
              <w:rPr>
                <w:color w:val="FFFFFF" w:themeColor="background1"/>
              </w:rPr>
            </w:pPr>
            <w:proofErr w:type="spellStart"/>
            <w:r w:rsidRPr="00BB7754">
              <w:rPr>
                <w:color w:val="FFFFFF" w:themeColor="background1"/>
              </w:rPr>
              <w:t>Payom</w:t>
            </w:r>
            <w:proofErr w:type="spellEnd"/>
            <w:r w:rsidRPr="00BB7754">
              <w:rPr>
                <w:color w:val="FFFFFF" w:themeColor="background1"/>
              </w:rPr>
              <w:t xml:space="preserve"> Solar AG</w:t>
            </w:r>
          </w:p>
        </w:tc>
        <w:tc>
          <w:tcPr>
            <w:tcW w:w="2016" w:type="dxa"/>
            <w:shd w:val="clear" w:color="auto" w:fill="FFFFFF" w:themeFill="background1"/>
            <w:noWrap/>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C901942144</w:t>
            </w:r>
          </w:p>
        </w:tc>
        <w:tc>
          <w:tcPr>
            <w:tcW w:w="1527" w:type="dxa"/>
            <w:shd w:val="clear" w:color="auto" w:fill="FFFFFF" w:themeFill="background1"/>
            <w:noWrap/>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1.316</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tcPr>
          <w:p w:rsidR="00BB7754" w:rsidRPr="00BB7754" w:rsidRDefault="00BB7754" w:rsidP="00BB7754">
            <w:pPr>
              <w:rPr>
                <w:color w:val="FFFFFF" w:themeColor="background1"/>
              </w:rPr>
            </w:pPr>
            <w:proofErr w:type="spellStart"/>
            <w:r w:rsidRPr="00BB7754">
              <w:rPr>
                <w:color w:val="FFFFFF" w:themeColor="background1"/>
              </w:rPr>
              <w:t>Alapis</w:t>
            </w:r>
            <w:proofErr w:type="spellEnd"/>
            <w:r w:rsidRPr="00BB7754">
              <w:rPr>
                <w:color w:val="FFFFFF" w:themeColor="background1"/>
              </w:rPr>
              <w:t xml:space="preserve"> SA</w:t>
            </w:r>
          </w:p>
        </w:tc>
        <w:tc>
          <w:tcPr>
            <w:tcW w:w="2016" w:type="dxa"/>
            <w:shd w:val="clear" w:color="auto" w:fill="FFFFFF" w:themeFill="background1"/>
            <w:noWrap/>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rsidRPr="009B6966">
              <w:t>C000063502</w:t>
            </w:r>
          </w:p>
        </w:tc>
        <w:tc>
          <w:tcPr>
            <w:tcW w:w="1527" w:type="dxa"/>
            <w:shd w:val="clear" w:color="auto" w:fill="FFFFFF" w:themeFill="background1"/>
            <w:noWrap/>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rsidRPr="009B6966">
              <w:t>995</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tcPr>
          <w:p w:rsidR="00BB7754" w:rsidRPr="00BB7754" w:rsidRDefault="00BB7754" w:rsidP="00BB7754">
            <w:pPr>
              <w:rPr>
                <w:color w:val="FFFFFF" w:themeColor="background1"/>
              </w:rPr>
            </w:pPr>
            <w:proofErr w:type="spellStart"/>
            <w:r w:rsidRPr="00BB7754">
              <w:rPr>
                <w:color w:val="FFFFFF" w:themeColor="background1"/>
              </w:rPr>
              <w:t>Acta</w:t>
            </w:r>
            <w:proofErr w:type="spellEnd"/>
            <w:r w:rsidRPr="00BB7754">
              <w:rPr>
                <w:color w:val="FFFFFF" w:themeColor="background1"/>
              </w:rPr>
              <w:t xml:space="preserve"> Spa</w:t>
            </w:r>
          </w:p>
        </w:tc>
        <w:tc>
          <w:tcPr>
            <w:tcW w:w="2016" w:type="dxa"/>
            <w:shd w:val="clear" w:color="auto" w:fill="FFFFFF" w:themeFill="background1"/>
            <w:noWrap/>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C901875275</w:t>
            </w:r>
          </w:p>
        </w:tc>
        <w:tc>
          <w:tcPr>
            <w:tcW w:w="1527" w:type="dxa"/>
            <w:shd w:val="clear" w:color="auto" w:fill="FFFFFF" w:themeFill="background1"/>
            <w:noWrap/>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rsidRPr="009B6966">
              <w:t>757</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tcPr>
          <w:p w:rsidR="00BB7754" w:rsidRPr="00BB7754" w:rsidRDefault="00BB7754" w:rsidP="00BB7754">
            <w:pPr>
              <w:rPr>
                <w:color w:val="FFFFFF" w:themeColor="background1"/>
              </w:rPr>
            </w:pPr>
            <w:proofErr w:type="spellStart"/>
            <w:r w:rsidRPr="00BB7754">
              <w:rPr>
                <w:color w:val="FFFFFF" w:themeColor="background1"/>
              </w:rPr>
              <w:t>Axlon</w:t>
            </w:r>
            <w:proofErr w:type="spellEnd"/>
            <w:r w:rsidRPr="00BB7754">
              <w:rPr>
                <w:color w:val="FFFFFF" w:themeColor="background1"/>
              </w:rPr>
              <w:t xml:space="preserve"> Group AB</w:t>
            </w:r>
          </w:p>
        </w:tc>
        <w:tc>
          <w:tcPr>
            <w:tcW w:w="2016" w:type="dxa"/>
            <w:shd w:val="clear" w:color="auto" w:fill="FFFFFF" w:themeFill="background1"/>
            <w:noWrap/>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rsidRPr="009B6966">
              <w:t>C901662872</w:t>
            </w:r>
          </w:p>
        </w:tc>
        <w:tc>
          <w:tcPr>
            <w:tcW w:w="1527" w:type="dxa"/>
            <w:shd w:val="clear" w:color="auto" w:fill="FFFFFF" w:themeFill="background1"/>
            <w:noWrap/>
          </w:tcPr>
          <w:p w:rsidR="00BB7754" w:rsidRDefault="00BB7754" w:rsidP="00BB7754">
            <w:pPr>
              <w:cnfStyle w:val="000000000000" w:firstRow="0" w:lastRow="0" w:firstColumn="0" w:lastColumn="0" w:oddVBand="0" w:evenVBand="0" w:oddHBand="0" w:evenHBand="0" w:firstRowFirstColumn="0" w:firstRowLastColumn="0" w:lastRowFirstColumn="0" w:lastRowLastColumn="0"/>
            </w:pPr>
            <w:r w:rsidRPr="009B6966">
              <w:t>460</w:t>
            </w:r>
          </w:p>
        </w:tc>
      </w:tr>
    </w:tbl>
    <w:p w:rsidR="00BB7754" w:rsidRDefault="00BB7754" w:rsidP="00367F09">
      <w:pPr>
        <w:rPr>
          <w:noProof/>
          <w:lang w:val="en-US" w:eastAsia="nl-NL"/>
        </w:rPr>
      </w:pPr>
    </w:p>
    <w:p w:rsidR="00BB7754" w:rsidRDefault="00BB7754">
      <w:pPr>
        <w:rPr>
          <w:noProof/>
          <w:lang w:val="en-US" w:eastAsia="nl-NL"/>
        </w:rPr>
      </w:pPr>
      <w:r>
        <w:rPr>
          <w:noProof/>
          <w:lang w:val="en-US" w:eastAsia="nl-NL"/>
        </w:rPr>
        <w:br w:type="page"/>
      </w:r>
    </w:p>
    <w:p w:rsidR="00367F09" w:rsidRPr="004D0ABC" w:rsidRDefault="00367F09" w:rsidP="00367F09">
      <w:pPr>
        <w:rPr>
          <w:noProof/>
          <w:lang w:val="en-US" w:eastAsia="nl-NL"/>
        </w:rPr>
      </w:pPr>
      <w:r w:rsidRPr="004D0ABC">
        <w:rPr>
          <w:noProof/>
          <w:lang w:val="en-US" w:eastAsia="nl-NL"/>
        </w:rPr>
        <w:lastRenderedPageBreak/>
        <w:t>2007 CFO</w:t>
      </w:r>
      <w:r w:rsidR="004D0ABC" w:rsidRPr="004D0ABC">
        <w:rPr>
          <w:lang w:val="en-US"/>
        </w:rPr>
        <w:t xml:space="preserve"> </w:t>
      </w:r>
      <w:r w:rsidR="004D0ABC">
        <w:rPr>
          <w:lang w:val="en-US"/>
        </w:rPr>
        <w:t>before and after removal of outliers</w:t>
      </w:r>
      <w:r w:rsidRPr="004D0ABC">
        <w:rPr>
          <w:noProof/>
          <w:lang w:val="en-US" w:eastAsia="nl-NL"/>
        </w:rPr>
        <w:t>:</w:t>
      </w:r>
      <w:r w:rsidRPr="004D0ABC">
        <w:rPr>
          <w:noProof/>
          <w:lang w:val="en-US" w:eastAsia="nl-NL"/>
        </w:rPr>
        <w:br/>
      </w:r>
      <w:r>
        <w:rPr>
          <w:noProof/>
          <w:lang w:val="nl-NL" w:eastAsia="nl-NL"/>
        </w:rPr>
        <w:drawing>
          <wp:inline distT="0" distB="0" distL="0" distR="0" wp14:anchorId="624D61BD" wp14:editId="4DAB8D9D">
            <wp:extent cx="2371725" cy="3920274"/>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376505" cy="3928175"/>
                    </a:xfrm>
                    <a:prstGeom prst="rect">
                      <a:avLst/>
                    </a:prstGeom>
                  </pic:spPr>
                </pic:pic>
              </a:graphicData>
            </a:graphic>
          </wp:inline>
        </w:drawing>
      </w:r>
      <w:r w:rsidRPr="004D0ABC">
        <w:rPr>
          <w:noProof/>
          <w:lang w:val="en-US" w:eastAsia="nl-NL"/>
        </w:rPr>
        <w:t xml:space="preserve"> </w:t>
      </w:r>
      <w:r>
        <w:rPr>
          <w:noProof/>
          <w:lang w:val="nl-NL" w:eastAsia="nl-NL"/>
        </w:rPr>
        <w:drawing>
          <wp:inline distT="0" distB="0" distL="0" distR="0" wp14:anchorId="4964A6D6" wp14:editId="356141AD">
            <wp:extent cx="2366001" cy="392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374912" cy="3939080"/>
                    </a:xfrm>
                    <a:prstGeom prst="rect">
                      <a:avLst/>
                    </a:prstGeom>
                  </pic:spPr>
                </pic:pic>
              </a:graphicData>
            </a:graphic>
          </wp:inline>
        </w:drawing>
      </w:r>
    </w:p>
    <w:p w:rsidR="00BB7754" w:rsidRDefault="00BB7754" w:rsidP="00BB7754">
      <w:pPr>
        <w:rPr>
          <w:noProof/>
          <w:lang w:val="en-US" w:eastAsia="nl-NL"/>
        </w:rPr>
      </w:pPr>
      <w:r>
        <w:rPr>
          <w:noProof/>
          <w:lang w:val="en-US" w:eastAsia="nl-NL"/>
        </w:rPr>
        <w:t>Removed outliers:</w:t>
      </w:r>
    </w:p>
    <w:tbl>
      <w:tblPr>
        <w:tblStyle w:val="DarkList2"/>
        <w:tblW w:w="5070" w:type="dxa"/>
        <w:tblLook w:val="04A0" w:firstRow="1" w:lastRow="0" w:firstColumn="1" w:lastColumn="0" w:noHBand="0" w:noVBand="1"/>
      </w:tblPr>
      <w:tblGrid>
        <w:gridCol w:w="1951"/>
        <w:gridCol w:w="1843"/>
        <w:gridCol w:w="1276"/>
      </w:tblGrid>
      <w:tr w:rsidR="00BB7754" w:rsidTr="00BB77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1" w:type="dxa"/>
            <w:shd w:val="clear" w:color="auto" w:fill="00B0F0"/>
            <w:noWrap/>
            <w:hideMark/>
          </w:tcPr>
          <w:p w:rsidR="00BB7754" w:rsidRPr="00BB7754" w:rsidRDefault="00BB7754" w:rsidP="00BB7754">
            <w:pPr>
              <w:rPr>
                <w:color w:val="FFFFFF" w:themeColor="background1"/>
              </w:rPr>
            </w:pPr>
            <w:r w:rsidRPr="00BB7754">
              <w:rPr>
                <w:color w:val="FFFFFF" w:themeColor="background1"/>
              </w:rPr>
              <w:t>Entity Name:</w:t>
            </w:r>
          </w:p>
        </w:tc>
        <w:tc>
          <w:tcPr>
            <w:tcW w:w="1843"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Key:</w:t>
            </w:r>
          </w:p>
        </w:tc>
        <w:tc>
          <w:tcPr>
            <w:tcW w:w="1276" w:type="dxa"/>
            <w:shd w:val="clear" w:color="auto" w:fill="00B0F0"/>
            <w:noWrap/>
            <w:hideMark/>
          </w:tcPr>
          <w:p w:rsidR="00BB7754" w:rsidRPr="00BB7754" w:rsidRDefault="00576B38"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CFO</w:t>
            </w:r>
            <w:r w:rsidR="00BB7754" w:rsidRPr="00BB7754">
              <w:rPr>
                <w:color w:val="FFFFFF" w:themeColor="background1"/>
              </w:rPr>
              <w:t>:</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1" w:type="dxa"/>
            <w:shd w:val="clear" w:color="auto" w:fill="0070C0"/>
            <w:noWrap/>
            <w:vAlign w:val="bottom"/>
            <w:hideMark/>
          </w:tcPr>
          <w:p w:rsidR="00BB7754" w:rsidRPr="00BB7754" w:rsidRDefault="00BB7754">
            <w:pPr>
              <w:rPr>
                <w:rFonts w:ascii="Arial" w:hAnsi="Arial" w:cs="Arial"/>
                <w:bCs/>
                <w:color w:val="FFFFFF" w:themeColor="background1"/>
                <w:sz w:val="20"/>
                <w:szCs w:val="20"/>
              </w:rPr>
            </w:pPr>
            <w:proofErr w:type="spellStart"/>
            <w:r w:rsidRPr="00BB7754">
              <w:rPr>
                <w:rFonts w:ascii="Arial" w:hAnsi="Arial" w:cs="Arial"/>
                <w:bCs/>
                <w:color w:val="FFFFFF" w:themeColor="background1"/>
                <w:sz w:val="20"/>
                <w:szCs w:val="20"/>
              </w:rPr>
              <w:t>Elica</w:t>
            </w:r>
            <w:proofErr w:type="spellEnd"/>
            <w:r w:rsidRPr="00BB7754">
              <w:rPr>
                <w:rFonts w:ascii="Arial" w:hAnsi="Arial" w:cs="Arial"/>
                <w:bCs/>
                <w:color w:val="FFFFFF" w:themeColor="background1"/>
                <w:sz w:val="20"/>
                <w:szCs w:val="20"/>
              </w:rPr>
              <w:t xml:space="preserve"> Spa</w:t>
            </w:r>
          </w:p>
        </w:tc>
        <w:tc>
          <w:tcPr>
            <w:tcW w:w="1843" w:type="dxa"/>
            <w:shd w:val="clear" w:color="auto" w:fill="FFFFFF" w:themeFill="background1"/>
            <w:noWrap/>
            <w:vAlign w:val="bottom"/>
            <w:hideMark/>
          </w:tcPr>
          <w:p w:rsidR="00BB7754" w:rsidRDefault="00BB775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C901024639</w:t>
            </w:r>
          </w:p>
        </w:tc>
        <w:tc>
          <w:tcPr>
            <w:tcW w:w="1276" w:type="dxa"/>
            <w:shd w:val="clear" w:color="auto" w:fill="FFFFFF" w:themeFill="background1"/>
            <w:noWrap/>
            <w:hideMark/>
          </w:tcPr>
          <w:p w:rsidR="00BB7754" w:rsidRPr="00D70008" w:rsidRDefault="00BB7754" w:rsidP="00BB7754">
            <w:pPr>
              <w:cnfStyle w:val="000000100000" w:firstRow="0" w:lastRow="0" w:firstColumn="0" w:lastColumn="0" w:oddVBand="0" w:evenVBand="0" w:oddHBand="1" w:evenHBand="0" w:firstRowFirstColumn="0" w:firstRowLastColumn="0" w:lastRowFirstColumn="0" w:lastRowLastColumn="0"/>
            </w:pPr>
            <w:r w:rsidRPr="00D70008">
              <w:t>1.047</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1951" w:type="dxa"/>
            <w:tcBorders>
              <w:top w:val="nil"/>
            </w:tcBorders>
            <w:shd w:val="clear" w:color="auto" w:fill="0070C0"/>
            <w:noWrap/>
            <w:vAlign w:val="bottom"/>
            <w:hideMark/>
          </w:tcPr>
          <w:p w:rsidR="00BB7754" w:rsidRPr="00BB7754" w:rsidRDefault="00BB7754">
            <w:pPr>
              <w:rPr>
                <w:rFonts w:ascii="Arial" w:hAnsi="Arial" w:cs="Arial"/>
                <w:bCs/>
                <w:color w:val="FFFFFF" w:themeColor="background1"/>
                <w:sz w:val="20"/>
                <w:szCs w:val="20"/>
              </w:rPr>
            </w:pPr>
            <w:proofErr w:type="spellStart"/>
            <w:r w:rsidRPr="00BB7754">
              <w:rPr>
                <w:rFonts w:ascii="Arial" w:hAnsi="Arial" w:cs="Arial"/>
                <w:bCs/>
                <w:color w:val="FFFFFF" w:themeColor="background1"/>
                <w:sz w:val="20"/>
                <w:szCs w:val="20"/>
              </w:rPr>
              <w:t>Metka</w:t>
            </w:r>
            <w:proofErr w:type="spellEnd"/>
            <w:r w:rsidRPr="00BB7754">
              <w:rPr>
                <w:rFonts w:ascii="Arial" w:hAnsi="Arial" w:cs="Arial"/>
                <w:bCs/>
                <w:color w:val="FFFFFF" w:themeColor="background1"/>
                <w:sz w:val="20"/>
                <w:szCs w:val="20"/>
              </w:rPr>
              <w:t xml:space="preserve"> SA</w:t>
            </w:r>
          </w:p>
        </w:tc>
        <w:tc>
          <w:tcPr>
            <w:tcW w:w="1843" w:type="dxa"/>
            <w:shd w:val="clear" w:color="auto" w:fill="FFFFFF" w:themeFill="background1"/>
            <w:noWrap/>
            <w:vAlign w:val="bottom"/>
            <w:hideMark/>
          </w:tcPr>
          <w:p w:rsidR="00BB7754" w:rsidRDefault="00BB775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C000008462</w:t>
            </w:r>
          </w:p>
        </w:tc>
        <w:tc>
          <w:tcPr>
            <w:tcW w:w="1276" w:type="dxa"/>
            <w:shd w:val="clear" w:color="auto" w:fill="FFFFFF" w:themeFill="background1"/>
            <w:noWrap/>
            <w:hideMark/>
          </w:tcPr>
          <w:p w:rsidR="00BB7754" w:rsidRPr="00D70008" w:rsidRDefault="00BB7754" w:rsidP="00BB7754">
            <w:pPr>
              <w:cnfStyle w:val="000000000000" w:firstRow="0" w:lastRow="0" w:firstColumn="0" w:lastColumn="0" w:oddVBand="0" w:evenVBand="0" w:oddHBand="0" w:evenHBand="0" w:firstRowFirstColumn="0" w:firstRowLastColumn="0" w:lastRowFirstColumn="0" w:lastRowLastColumn="0"/>
            </w:pPr>
            <w:r w:rsidRPr="00D70008">
              <w:t>94</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1" w:type="dxa"/>
            <w:shd w:val="clear" w:color="auto" w:fill="0070C0"/>
            <w:noWrap/>
            <w:vAlign w:val="bottom"/>
          </w:tcPr>
          <w:p w:rsidR="00BB7754" w:rsidRPr="00BB7754" w:rsidRDefault="00BB7754">
            <w:pPr>
              <w:rPr>
                <w:rFonts w:ascii="Arial" w:hAnsi="Arial" w:cs="Arial"/>
                <w:bCs/>
                <w:color w:val="FFFFFF" w:themeColor="background1"/>
                <w:sz w:val="20"/>
                <w:szCs w:val="20"/>
              </w:rPr>
            </w:pPr>
            <w:r w:rsidRPr="00BB7754">
              <w:rPr>
                <w:rFonts w:ascii="Arial" w:hAnsi="Arial" w:cs="Arial"/>
                <w:bCs/>
                <w:color w:val="FFFFFF" w:themeColor="background1"/>
                <w:sz w:val="20"/>
                <w:szCs w:val="20"/>
              </w:rPr>
              <w:t>Atari</w:t>
            </w:r>
          </w:p>
        </w:tc>
        <w:tc>
          <w:tcPr>
            <w:tcW w:w="1843" w:type="dxa"/>
            <w:shd w:val="clear" w:color="auto" w:fill="FFFFFF" w:themeFill="background1"/>
            <w:noWrap/>
            <w:vAlign w:val="bottom"/>
          </w:tcPr>
          <w:p w:rsidR="00BB7754" w:rsidRDefault="00BB775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C000087688</w:t>
            </w:r>
          </w:p>
        </w:tc>
        <w:tc>
          <w:tcPr>
            <w:tcW w:w="1276" w:type="dxa"/>
            <w:shd w:val="clear" w:color="auto" w:fill="FFFFFF" w:themeFill="background1"/>
            <w:noWrap/>
          </w:tcPr>
          <w:p w:rsidR="00BB7754" w:rsidRDefault="00BB7754" w:rsidP="00BB7754">
            <w:pPr>
              <w:cnfStyle w:val="000000100000" w:firstRow="0" w:lastRow="0" w:firstColumn="0" w:lastColumn="0" w:oddVBand="0" w:evenVBand="0" w:oddHBand="1" w:evenHBand="0" w:firstRowFirstColumn="0" w:firstRowLastColumn="0" w:lastRowFirstColumn="0" w:lastRowLastColumn="0"/>
            </w:pPr>
            <w:r w:rsidRPr="00D70008">
              <w:t>90</w:t>
            </w:r>
          </w:p>
        </w:tc>
      </w:tr>
    </w:tbl>
    <w:p w:rsidR="00BB7754" w:rsidRDefault="00BB7754" w:rsidP="00BB7754">
      <w:pPr>
        <w:rPr>
          <w:noProof/>
          <w:lang w:val="en-US" w:eastAsia="nl-NL"/>
        </w:rPr>
      </w:pPr>
    </w:p>
    <w:p w:rsidR="00BB7754" w:rsidRDefault="00BB7754">
      <w:pPr>
        <w:rPr>
          <w:lang w:val="en-US"/>
        </w:rPr>
      </w:pPr>
      <w:r>
        <w:rPr>
          <w:lang w:val="en-US"/>
        </w:rPr>
        <w:br w:type="page"/>
      </w:r>
    </w:p>
    <w:p w:rsidR="00367F09" w:rsidRDefault="00367F09" w:rsidP="00305835">
      <w:pPr>
        <w:pStyle w:val="BodyText"/>
        <w:rPr>
          <w:lang w:val="en-US"/>
        </w:rPr>
      </w:pPr>
      <w:r>
        <w:rPr>
          <w:lang w:val="en-US"/>
        </w:rPr>
        <w:lastRenderedPageBreak/>
        <w:t>2009 Sales</w:t>
      </w:r>
      <w:r w:rsidR="004D0ABC" w:rsidRPr="004D0ABC">
        <w:rPr>
          <w:lang w:val="en-US"/>
        </w:rPr>
        <w:t xml:space="preserve"> </w:t>
      </w:r>
      <w:r w:rsidR="004D0ABC">
        <w:rPr>
          <w:lang w:val="en-US"/>
        </w:rPr>
        <w:t>before and after removal of outliers</w:t>
      </w:r>
      <w:r>
        <w:rPr>
          <w:lang w:val="en-US"/>
        </w:rPr>
        <w:t>:</w:t>
      </w:r>
      <w:r>
        <w:rPr>
          <w:lang w:val="en-US"/>
        </w:rPr>
        <w:br/>
      </w:r>
      <w:r>
        <w:rPr>
          <w:noProof/>
          <w:lang w:val="nl-NL" w:eastAsia="nl-NL"/>
        </w:rPr>
        <w:drawing>
          <wp:inline distT="0" distB="0" distL="0" distR="0" wp14:anchorId="6F214CD5" wp14:editId="6B8D700D">
            <wp:extent cx="2466975" cy="40777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466975" cy="4077714"/>
                    </a:xfrm>
                    <a:prstGeom prst="rect">
                      <a:avLst/>
                    </a:prstGeom>
                  </pic:spPr>
                </pic:pic>
              </a:graphicData>
            </a:graphic>
          </wp:inline>
        </w:drawing>
      </w:r>
      <w:r>
        <w:rPr>
          <w:noProof/>
          <w:lang w:val="nl-NL" w:eastAsia="nl-NL"/>
        </w:rPr>
        <w:drawing>
          <wp:inline distT="0" distB="0" distL="0" distR="0" wp14:anchorId="2C10997C" wp14:editId="13DD0024">
            <wp:extent cx="2463688" cy="4072282"/>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466432" cy="4076817"/>
                    </a:xfrm>
                    <a:prstGeom prst="rect">
                      <a:avLst/>
                    </a:prstGeom>
                  </pic:spPr>
                </pic:pic>
              </a:graphicData>
            </a:graphic>
          </wp:inline>
        </w:drawing>
      </w:r>
    </w:p>
    <w:p w:rsidR="00BB7754" w:rsidRDefault="00BB7754" w:rsidP="00BB7754">
      <w:pPr>
        <w:rPr>
          <w:noProof/>
          <w:lang w:val="en-US" w:eastAsia="nl-NL"/>
        </w:rPr>
      </w:pPr>
      <w:r>
        <w:rPr>
          <w:noProof/>
          <w:lang w:val="en-US" w:eastAsia="nl-NL"/>
        </w:rPr>
        <w:t>Removed outliers:</w:t>
      </w:r>
    </w:p>
    <w:tbl>
      <w:tblPr>
        <w:tblStyle w:val="DarkList2"/>
        <w:tblW w:w="6912" w:type="dxa"/>
        <w:tblLook w:val="04A0" w:firstRow="1" w:lastRow="0" w:firstColumn="1" w:lastColumn="0" w:noHBand="0" w:noVBand="1"/>
      </w:tblPr>
      <w:tblGrid>
        <w:gridCol w:w="3369"/>
        <w:gridCol w:w="2016"/>
        <w:gridCol w:w="1527"/>
      </w:tblGrid>
      <w:tr w:rsidR="00BB7754" w:rsidTr="00BB77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B0F0"/>
            <w:noWrap/>
            <w:hideMark/>
          </w:tcPr>
          <w:p w:rsidR="00BB7754" w:rsidRPr="00BB7754" w:rsidRDefault="00BB7754" w:rsidP="00BB7754">
            <w:pPr>
              <w:rPr>
                <w:color w:val="FFFFFF" w:themeColor="background1"/>
              </w:rPr>
            </w:pPr>
            <w:r w:rsidRPr="00BB7754">
              <w:rPr>
                <w:color w:val="FFFFFF" w:themeColor="background1"/>
              </w:rPr>
              <w:t>Entity Name:</w:t>
            </w:r>
          </w:p>
        </w:tc>
        <w:tc>
          <w:tcPr>
            <w:tcW w:w="2016"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Key:</w:t>
            </w:r>
          </w:p>
        </w:tc>
        <w:tc>
          <w:tcPr>
            <w:tcW w:w="1527"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Sales:</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hideMark/>
          </w:tcPr>
          <w:p w:rsidR="00BB7754" w:rsidRPr="00BB7754" w:rsidRDefault="00BB7754" w:rsidP="00BB7754">
            <w:pPr>
              <w:rPr>
                <w:color w:val="FFFFFF" w:themeColor="background1"/>
              </w:rPr>
            </w:pPr>
            <w:r w:rsidRPr="00BB7754">
              <w:rPr>
                <w:color w:val="FFFFFF" w:themeColor="background1"/>
              </w:rPr>
              <w:t xml:space="preserve">Porsche </w:t>
            </w:r>
            <w:proofErr w:type="spellStart"/>
            <w:r w:rsidRPr="00BB7754">
              <w:rPr>
                <w:color w:val="FFFFFF" w:themeColor="background1"/>
              </w:rPr>
              <w:t>Automobil</w:t>
            </w:r>
            <w:proofErr w:type="spellEnd"/>
            <w:r w:rsidRPr="00BB7754">
              <w:rPr>
                <w:color w:val="FFFFFF" w:themeColor="background1"/>
              </w:rPr>
              <w:t xml:space="preserve"> Holding SE</w:t>
            </w:r>
          </w:p>
        </w:tc>
        <w:tc>
          <w:tcPr>
            <w:tcW w:w="2016" w:type="dxa"/>
            <w:shd w:val="clear" w:color="auto" w:fill="FFFFFF" w:themeFill="background1"/>
            <w:noWrap/>
            <w:hideMark/>
          </w:tcPr>
          <w:p w:rsidR="00BB7754" w:rsidRDefault="00BB7754" w:rsidP="00BB7754">
            <w:pPr>
              <w:cnfStyle w:val="000000100000" w:firstRow="0" w:lastRow="0" w:firstColumn="0" w:lastColumn="0" w:oddVBand="0" w:evenVBand="0" w:oddHBand="1" w:evenHBand="0" w:firstRowFirstColumn="0" w:firstRowLastColumn="0" w:lastRowFirstColumn="0" w:lastRowLastColumn="0"/>
            </w:pPr>
            <w:r w:rsidRPr="00640D0C">
              <w:t>C000087644</w:t>
            </w:r>
          </w:p>
        </w:tc>
        <w:tc>
          <w:tcPr>
            <w:tcW w:w="1527" w:type="dxa"/>
            <w:shd w:val="clear" w:color="auto" w:fill="FFFFFF" w:themeFill="background1"/>
            <w:noWrap/>
            <w:hideMark/>
          </w:tcPr>
          <w:p w:rsidR="00BB7754" w:rsidRPr="009B6966" w:rsidRDefault="00BB7754" w:rsidP="00BB7754">
            <w:pPr>
              <w:cnfStyle w:val="000000100000" w:firstRow="0" w:lastRow="0" w:firstColumn="0" w:lastColumn="0" w:oddVBand="0" w:evenVBand="0" w:oddHBand="1" w:evenHBand="0" w:firstRowFirstColumn="0" w:firstRowLastColumn="0" w:lastRowFirstColumn="0" w:lastRowLastColumn="0"/>
            </w:pPr>
            <w:r>
              <w:t>665</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hideMark/>
          </w:tcPr>
          <w:p w:rsidR="00BB7754" w:rsidRPr="00BB7754" w:rsidRDefault="00BB7754" w:rsidP="00BB7754">
            <w:pPr>
              <w:rPr>
                <w:color w:val="FFFFFF" w:themeColor="background1"/>
              </w:rPr>
            </w:pPr>
            <w:proofErr w:type="spellStart"/>
            <w:r w:rsidRPr="00BB7754">
              <w:rPr>
                <w:color w:val="FFFFFF" w:themeColor="background1"/>
              </w:rPr>
              <w:t>Cellpoint</w:t>
            </w:r>
            <w:proofErr w:type="spellEnd"/>
            <w:r w:rsidRPr="00BB7754">
              <w:rPr>
                <w:color w:val="FFFFFF" w:themeColor="background1"/>
              </w:rPr>
              <w:t xml:space="preserve"> Connect AB</w:t>
            </w:r>
          </w:p>
        </w:tc>
        <w:tc>
          <w:tcPr>
            <w:tcW w:w="2016" w:type="dxa"/>
            <w:shd w:val="clear" w:color="auto" w:fill="FFFFFF" w:themeFill="background1"/>
            <w:noWrap/>
            <w:hideMark/>
          </w:tcPr>
          <w:p w:rsidR="00BB7754" w:rsidRDefault="00BB7754" w:rsidP="00BB7754">
            <w:pPr>
              <w:cnfStyle w:val="000000000000" w:firstRow="0" w:lastRow="0" w:firstColumn="0" w:lastColumn="0" w:oddVBand="0" w:evenVBand="0" w:oddHBand="0" w:evenHBand="0" w:firstRowFirstColumn="0" w:firstRowLastColumn="0" w:lastRowFirstColumn="0" w:lastRowLastColumn="0"/>
            </w:pPr>
            <w:r w:rsidRPr="006C7E71">
              <w:t>C901687078</w:t>
            </w:r>
          </w:p>
        </w:tc>
        <w:tc>
          <w:tcPr>
            <w:tcW w:w="1527" w:type="dxa"/>
            <w:shd w:val="clear" w:color="auto" w:fill="FFFFFF" w:themeFill="background1"/>
            <w:noWrap/>
            <w:hideMark/>
          </w:tcPr>
          <w:p w:rsidR="00BB7754" w:rsidRPr="009B6966" w:rsidRDefault="00BB7754" w:rsidP="00BB7754">
            <w:pPr>
              <w:cnfStyle w:val="000000000000" w:firstRow="0" w:lastRow="0" w:firstColumn="0" w:lastColumn="0" w:oddVBand="0" w:evenVBand="0" w:oddHBand="0" w:evenHBand="0" w:firstRowFirstColumn="0" w:firstRowLastColumn="0" w:lastRowFirstColumn="0" w:lastRowLastColumn="0"/>
            </w:pPr>
            <w:r>
              <w:t>-100</w:t>
            </w:r>
          </w:p>
        </w:tc>
      </w:tr>
    </w:tbl>
    <w:p w:rsidR="00BB7754" w:rsidRDefault="00BB7754" w:rsidP="00BB7754">
      <w:pPr>
        <w:rPr>
          <w:noProof/>
          <w:lang w:val="en-US" w:eastAsia="nl-NL"/>
        </w:rPr>
      </w:pPr>
    </w:p>
    <w:p w:rsidR="00BB7754" w:rsidRDefault="00BB7754">
      <w:pPr>
        <w:rPr>
          <w:lang w:val="en-US"/>
        </w:rPr>
      </w:pPr>
      <w:r>
        <w:rPr>
          <w:lang w:val="en-US"/>
        </w:rPr>
        <w:br w:type="page"/>
      </w:r>
    </w:p>
    <w:p w:rsidR="00367F09" w:rsidRDefault="00367F09" w:rsidP="00305835">
      <w:pPr>
        <w:pStyle w:val="BodyText"/>
        <w:rPr>
          <w:lang w:val="en-US"/>
        </w:rPr>
      </w:pPr>
      <w:r>
        <w:rPr>
          <w:lang w:val="en-US"/>
        </w:rPr>
        <w:lastRenderedPageBreak/>
        <w:t>2009 CFO</w:t>
      </w:r>
      <w:r w:rsidR="004D0ABC" w:rsidRPr="004D0ABC">
        <w:rPr>
          <w:lang w:val="en-US"/>
        </w:rPr>
        <w:t xml:space="preserve"> </w:t>
      </w:r>
      <w:r w:rsidR="004D0ABC">
        <w:rPr>
          <w:lang w:val="en-US"/>
        </w:rPr>
        <w:t>before and after removal of outliers</w:t>
      </w:r>
      <w:r>
        <w:rPr>
          <w:lang w:val="en-US"/>
        </w:rPr>
        <w:t>:</w:t>
      </w:r>
      <w:r>
        <w:rPr>
          <w:lang w:val="en-US"/>
        </w:rPr>
        <w:br/>
      </w:r>
      <w:r w:rsidR="004D0ABC">
        <w:rPr>
          <w:noProof/>
          <w:lang w:val="nl-NL" w:eastAsia="nl-NL"/>
        </w:rPr>
        <w:drawing>
          <wp:inline distT="0" distB="0" distL="0" distR="0" wp14:anchorId="205B339B" wp14:editId="65D78292">
            <wp:extent cx="2466975" cy="40777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466975" cy="4077715"/>
                    </a:xfrm>
                    <a:prstGeom prst="rect">
                      <a:avLst/>
                    </a:prstGeom>
                  </pic:spPr>
                </pic:pic>
              </a:graphicData>
            </a:graphic>
          </wp:inline>
        </w:drawing>
      </w:r>
      <w:r w:rsidR="004D0ABC">
        <w:rPr>
          <w:noProof/>
          <w:lang w:val="nl-NL" w:eastAsia="nl-NL"/>
        </w:rPr>
        <w:drawing>
          <wp:inline distT="0" distB="0" distL="0" distR="0" wp14:anchorId="17B8FCE6" wp14:editId="2ECABF93">
            <wp:extent cx="2467805" cy="4073569"/>
            <wp:effectExtent l="0" t="0" r="889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469771" cy="4076814"/>
                    </a:xfrm>
                    <a:prstGeom prst="rect">
                      <a:avLst/>
                    </a:prstGeom>
                  </pic:spPr>
                </pic:pic>
              </a:graphicData>
            </a:graphic>
          </wp:inline>
        </w:drawing>
      </w:r>
    </w:p>
    <w:p w:rsidR="00BB7754" w:rsidRDefault="00BB7754" w:rsidP="00BB7754">
      <w:pPr>
        <w:rPr>
          <w:noProof/>
          <w:lang w:val="en-US" w:eastAsia="nl-NL"/>
        </w:rPr>
      </w:pPr>
      <w:r>
        <w:rPr>
          <w:noProof/>
          <w:lang w:val="en-US" w:eastAsia="nl-NL"/>
        </w:rPr>
        <w:t>Removed outliers:</w:t>
      </w:r>
    </w:p>
    <w:tbl>
      <w:tblPr>
        <w:tblStyle w:val="DarkList2"/>
        <w:tblW w:w="6912" w:type="dxa"/>
        <w:tblLook w:val="04A0" w:firstRow="1" w:lastRow="0" w:firstColumn="1" w:lastColumn="0" w:noHBand="0" w:noVBand="1"/>
      </w:tblPr>
      <w:tblGrid>
        <w:gridCol w:w="3369"/>
        <w:gridCol w:w="2016"/>
        <w:gridCol w:w="1527"/>
      </w:tblGrid>
      <w:tr w:rsidR="00BB7754" w:rsidTr="00BB77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B0F0"/>
            <w:noWrap/>
            <w:hideMark/>
          </w:tcPr>
          <w:p w:rsidR="00BB7754" w:rsidRPr="00BB7754" w:rsidRDefault="00BB7754" w:rsidP="00BB7754">
            <w:pPr>
              <w:rPr>
                <w:color w:val="FFFFFF" w:themeColor="background1"/>
              </w:rPr>
            </w:pPr>
            <w:r w:rsidRPr="00BB7754">
              <w:rPr>
                <w:color w:val="FFFFFF" w:themeColor="background1"/>
              </w:rPr>
              <w:t>Entity Name:</w:t>
            </w:r>
          </w:p>
        </w:tc>
        <w:tc>
          <w:tcPr>
            <w:tcW w:w="2016"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Key:</w:t>
            </w:r>
          </w:p>
        </w:tc>
        <w:tc>
          <w:tcPr>
            <w:tcW w:w="1527" w:type="dxa"/>
            <w:shd w:val="clear" w:color="auto" w:fill="00B0F0"/>
            <w:noWrap/>
            <w:hideMark/>
          </w:tcPr>
          <w:p w:rsidR="00BB7754" w:rsidRPr="00BB7754" w:rsidRDefault="00576B38"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CFO</w:t>
            </w:r>
            <w:r w:rsidR="00BB7754" w:rsidRPr="00BB7754">
              <w:rPr>
                <w:color w:val="FFFFFF" w:themeColor="background1"/>
              </w:rPr>
              <w:t>:</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hideMark/>
          </w:tcPr>
          <w:p w:rsidR="00BB7754" w:rsidRPr="00BB7754" w:rsidRDefault="00BB7754" w:rsidP="00BB7754">
            <w:pPr>
              <w:rPr>
                <w:color w:val="FFFFFF" w:themeColor="background1"/>
              </w:rPr>
            </w:pPr>
            <w:proofErr w:type="spellStart"/>
            <w:r w:rsidRPr="00BB7754">
              <w:rPr>
                <w:color w:val="FFFFFF" w:themeColor="background1"/>
              </w:rPr>
              <w:t>Braime</w:t>
            </w:r>
            <w:proofErr w:type="spellEnd"/>
            <w:r w:rsidRPr="00BB7754">
              <w:rPr>
                <w:color w:val="FFFFFF" w:themeColor="background1"/>
              </w:rPr>
              <w:t xml:space="preserve"> (TF &amp; JH) Holdings PLC</w:t>
            </w:r>
          </w:p>
        </w:tc>
        <w:tc>
          <w:tcPr>
            <w:tcW w:w="2016" w:type="dxa"/>
            <w:shd w:val="clear" w:color="auto" w:fill="FFFFFF" w:themeFill="background1"/>
            <w:noWrap/>
            <w:hideMark/>
          </w:tcPr>
          <w:p w:rsidR="00BB7754" w:rsidRPr="007837CE" w:rsidRDefault="00BB7754" w:rsidP="00BB7754">
            <w:pPr>
              <w:cnfStyle w:val="000000100000" w:firstRow="0" w:lastRow="0" w:firstColumn="0" w:lastColumn="0" w:oddVBand="0" w:evenVBand="0" w:oddHBand="1" w:evenHBand="0" w:firstRowFirstColumn="0" w:firstRowLastColumn="0" w:lastRowFirstColumn="0" w:lastRowLastColumn="0"/>
            </w:pPr>
            <w:r w:rsidRPr="007837CE">
              <w:t>C000054279</w:t>
            </w:r>
          </w:p>
        </w:tc>
        <w:tc>
          <w:tcPr>
            <w:tcW w:w="1527" w:type="dxa"/>
            <w:shd w:val="clear" w:color="auto" w:fill="FFFFFF" w:themeFill="background1"/>
            <w:noWrap/>
            <w:hideMark/>
          </w:tcPr>
          <w:p w:rsidR="00BB7754" w:rsidRPr="00DC724F" w:rsidRDefault="00BB7754" w:rsidP="00BB7754">
            <w:pPr>
              <w:cnfStyle w:val="000000100000" w:firstRow="0" w:lastRow="0" w:firstColumn="0" w:lastColumn="0" w:oddVBand="0" w:evenVBand="0" w:oddHBand="1" w:evenHBand="0" w:firstRowFirstColumn="0" w:firstRowLastColumn="0" w:lastRowFirstColumn="0" w:lastRowLastColumn="0"/>
            </w:pPr>
            <w:r w:rsidRPr="00DC724F">
              <w:t>252</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hideMark/>
          </w:tcPr>
          <w:p w:rsidR="00BB7754" w:rsidRPr="00BB7754" w:rsidRDefault="00BB7754" w:rsidP="00BB7754">
            <w:pPr>
              <w:rPr>
                <w:color w:val="FFFFFF" w:themeColor="background1"/>
              </w:rPr>
            </w:pPr>
            <w:r w:rsidRPr="00BB7754">
              <w:rPr>
                <w:color w:val="FFFFFF" w:themeColor="background1"/>
              </w:rPr>
              <w:t>Digital Identification Solutions AG</w:t>
            </w:r>
          </w:p>
        </w:tc>
        <w:tc>
          <w:tcPr>
            <w:tcW w:w="2016" w:type="dxa"/>
            <w:shd w:val="clear" w:color="auto" w:fill="FFFFFF" w:themeFill="background1"/>
            <w:noWrap/>
            <w:hideMark/>
          </w:tcPr>
          <w:p w:rsidR="00BB7754" w:rsidRPr="007837CE" w:rsidRDefault="00BB7754" w:rsidP="00BB7754">
            <w:pPr>
              <w:cnfStyle w:val="000000000000" w:firstRow="0" w:lastRow="0" w:firstColumn="0" w:lastColumn="0" w:oddVBand="0" w:evenVBand="0" w:oddHBand="0" w:evenHBand="0" w:firstRowFirstColumn="0" w:firstRowLastColumn="0" w:lastRowFirstColumn="0" w:lastRowLastColumn="0"/>
            </w:pPr>
            <w:r w:rsidRPr="007837CE">
              <w:t>C902228634</w:t>
            </w:r>
          </w:p>
        </w:tc>
        <w:tc>
          <w:tcPr>
            <w:tcW w:w="1527" w:type="dxa"/>
            <w:shd w:val="clear" w:color="auto" w:fill="FFFFFF" w:themeFill="background1"/>
            <w:noWrap/>
            <w:hideMark/>
          </w:tcPr>
          <w:p w:rsidR="00BB7754" w:rsidRPr="00DC724F" w:rsidRDefault="00BB7754" w:rsidP="00BB7754">
            <w:pPr>
              <w:cnfStyle w:val="000000000000" w:firstRow="0" w:lastRow="0" w:firstColumn="0" w:lastColumn="0" w:oddVBand="0" w:evenVBand="0" w:oddHBand="0" w:evenHBand="0" w:firstRowFirstColumn="0" w:firstRowLastColumn="0" w:lastRowFirstColumn="0" w:lastRowLastColumn="0"/>
            </w:pPr>
            <w:r w:rsidRPr="00DC724F">
              <w:t>65</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tcPr>
          <w:p w:rsidR="00BB7754" w:rsidRPr="00BB7754" w:rsidRDefault="00BB7754" w:rsidP="00BB7754">
            <w:pPr>
              <w:rPr>
                <w:color w:val="FFFFFF" w:themeColor="background1"/>
              </w:rPr>
            </w:pPr>
            <w:r w:rsidRPr="00BB7754">
              <w:rPr>
                <w:color w:val="FFFFFF" w:themeColor="background1"/>
              </w:rPr>
              <w:t>Oxford Instruments PLC</w:t>
            </w:r>
          </w:p>
        </w:tc>
        <w:tc>
          <w:tcPr>
            <w:tcW w:w="2016" w:type="dxa"/>
            <w:shd w:val="clear" w:color="auto" w:fill="FFFFFF" w:themeFill="background1"/>
            <w:noWrap/>
          </w:tcPr>
          <w:p w:rsidR="00BB7754" w:rsidRPr="007837CE" w:rsidRDefault="00BB7754" w:rsidP="00BB7754">
            <w:pPr>
              <w:cnfStyle w:val="000000100000" w:firstRow="0" w:lastRow="0" w:firstColumn="0" w:lastColumn="0" w:oddVBand="0" w:evenVBand="0" w:oddHBand="1" w:evenHBand="0" w:firstRowFirstColumn="0" w:firstRowLastColumn="0" w:lastRowFirstColumn="0" w:lastRowLastColumn="0"/>
            </w:pPr>
            <w:r w:rsidRPr="007837CE">
              <w:t>C000089195</w:t>
            </w:r>
          </w:p>
        </w:tc>
        <w:tc>
          <w:tcPr>
            <w:tcW w:w="1527" w:type="dxa"/>
            <w:shd w:val="clear" w:color="auto" w:fill="FFFFFF" w:themeFill="background1"/>
            <w:noWrap/>
          </w:tcPr>
          <w:p w:rsidR="00BB7754" w:rsidRPr="00DC724F" w:rsidRDefault="00BB7754" w:rsidP="00BB7754">
            <w:pPr>
              <w:cnfStyle w:val="000000100000" w:firstRow="0" w:lastRow="0" w:firstColumn="0" w:lastColumn="0" w:oddVBand="0" w:evenVBand="0" w:oddHBand="1" w:evenHBand="0" w:firstRowFirstColumn="0" w:firstRowLastColumn="0" w:lastRowFirstColumn="0" w:lastRowLastColumn="0"/>
            </w:pPr>
            <w:r w:rsidRPr="00DC724F">
              <w:t>61</w:t>
            </w:r>
          </w:p>
        </w:tc>
      </w:tr>
      <w:tr w:rsidR="00BB7754"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tcPr>
          <w:p w:rsidR="00BB7754" w:rsidRPr="00BB7754" w:rsidRDefault="00BB7754" w:rsidP="00BB7754">
            <w:pPr>
              <w:rPr>
                <w:color w:val="FFFFFF" w:themeColor="background1"/>
              </w:rPr>
            </w:pPr>
            <w:r w:rsidRPr="00BB7754">
              <w:rPr>
                <w:color w:val="FFFFFF" w:themeColor="background1"/>
              </w:rPr>
              <w:t>Peugeot SA</w:t>
            </w:r>
          </w:p>
        </w:tc>
        <w:tc>
          <w:tcPr>
            <w:tcW w:w="2016" w:type="dxa"/>
            <w:shd w:val="clear" w:color="auto" w:fill="FFFFFF" w:themeFill="background1"/>
            <w:noWrap/>
          </w:tcPr>
          <w:p w:rsidR="00BB7754" w:rsidRPr="007837CE" w:rsidRDefault="00BB7754" w:rsidP="00BB7754">
            <w:pPr>
              <w:cnfStyle w:val="000000000000" w:firstRow="0" w:lastRow="0" w:firstColumn="0" w:lastColumn="0" w:oddVBand="0" w:evenVBand="0" w:oddHBand="0" w:evenHBand="0" w:firstRowFirstColumn="0" w:firstRowLastColumn="0" w:lastRowFirstColumn="0" w:lastRowLastColumn="0"/>
            </w:pPr>
            <w:r w:rsidRPr="007837CE">
              <w:t>C000087703</w:t>
            </w:r>
          </w:p>
        </w:tc>
        <w:tc>
          <w:tcPr>
            <w:tcW w:w="1527" w:type="dxa"/>
            <w:shd w:val="clear" w:color="auto" w:fill="FFFFFF" w:themeFill="background1"/>
            <w:noWrap/>
          </w:tcPr>
          <w:p w:rsidR="00BB7754" w:rsidRPr="00DC724F" w:rsidRDefault="00BB7754" w:rsidP="00BB7754">
            <w:pPr>
              <w:cnfStyle w:val="000000000000" w:firstRow="0" w:lastRow="0" w:firstColumn="0" w:lastColumn="0" w:oddVBand="0" w:evenVBand="0" w:oddHBand="0" w:evenHBand="0" w:firstRowFirstColumn="0" w:firstRowLastColumn="0" w:lastRowFirstColumn="0" w:lastRowLastColumn="0"/>
            </w:pPr>
            <w:r w:rsidRPr="00DC724F">
              <w:t>56</w:t>
            </w:r>
          </w:p>
        </w:tc>
      </w:tr>
      <w:tr w:rsidR="00BB7754"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tcPr>
          <w:p w:rsidR="00BB7754" w:rsidRPr="00BB7754" w:rsidRDefault="00BB7754" w:rsidP="00BB7754">
            <w:pPr>
              <w:rPr>
                <w:color w:val="FFFFFF" w:themeColor="background1"/>
              </w:rPr>
            </w:pPr>
            <w:r w:rsidRPr="00BB7754">
              <w:rPr>
                <w:color w:val="FFFFFF" w:themeColor="background1"/>
              </w:rPr>
              <w:t>Easy Software AG</w:t>
            </w:r>
          </w:p>
        </w:tc>
        <w:tc>
          <w:tcPr>
            <w:tcW w:w="2016" w:type="dxa"/>
            <w:shd w:val="clear" w:color="auto" w:fill="FFFFFF" w:themeFill="background1"/>
            <w:noWrap/>
          </w:tcPr>
          <w:p w:rsidR="00BB7754" w:rsidRDefault="00BB7754" w:rsidP="00BB7754">
            <w:pPr>
              <w:cnfStyle w:val="000000100000" w:firstRow="0" w:lastRow="0" w:firstColumn="0" w:lastColumn="0" w:oddVBand="0" w:evenVBand="0" w:oddHBand="1" w:evenHBand="0" w:firstRowFirstColumn="0" w:firstRowLastColumn="0" w:lastRowFirstColumn="0" w:lastRowLastColumn="0"/>
            </w:pPr>
            <w:r w:rsidRPr="007837CE">
              <w:t>C000063628</w:t>
            </w:r>
          </w:p>
        </w:tc>
        <w:tc>
          <w:tcPr>
            <w:tcW w:w="1527" w:type="dxa"/>
            <w:shd w:val="clear" w:color="auto" w:fill="FFFFFF" w:themeFill="background1"/>
            <w:noWrap/>
          </w:tcPr>
          <w:p w:rsidR="00BB7754" w:rsidRDefault="00BB7754" w:rsidP="00BB7754">
            <w:pPr>
              <w:cnfStyle w:val="000000100000" w:firstRow="0" w:lastRow="0" w:firstColumn="0" w:lastColumn="0" w:oddVBand="0" w:evenVBand="0" w:oddHBand="1" w:evenHBand="0" w:firstRowFirstColumn="0" w:firstRowLastColumn="0" w:lastRowFirstColumn="0" w:lastRowLastColumn="0"/>
            </w:pPr>
            <w:r>
              <w:t>49</w:t>
            </w:r>
          </w:p>
        </w:tc>
      </w:tr>
      <w:tr w:rsidR="00576B38"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tcPr>
          <w:p w:rsidR="00576B38" w:rsidRPr="00576B38" w:rsidRDefault="00576B38" w:rsidP="00E72075">
            <w:pPr>
              <w:rPr>
                <w:color w:val="FFFFFF" w:themeColor="background1"/>
              </w:rPr>
            </w:pPr>
            <w:proofErr w:type="spellStart"/>
            <w:r w:rsidRPr="00576B38">
              <w:rPr>
                <w:color w:val="FFFFFF" w:themeColor="background1"/>
              </w:rPr>
              <w:t>Euromedis</w:t>
            </w:r>
            <w:proofErr w:type="spellEnd"/>
            <w:r w:rsidRPr="00576B38">
              <w:rPr>
                <w:color w:val="FFFFFF" w:themeColor="background1"/>
              </w:rPr>
              <w:t xml:space="preserve"> </w:t>
            </w:r>
            <w:proofErr w:type="spellStart"/>
            <w:r w:rsidRPr="00576B38">
              <w:rPr>
                <w:color w:val="FFFFFF" w:themeColor="background1"/>
              </w:rPr>
              <w:t>Groupe</w:t>
            </w:r>
            <w:proofErr w:type="spellEnd"/>
          </w:p>
        </w:tc>
        <w:tc>
          <w:tcPr>
            <w:tcW w:w="2016" w:type="dxa"/>
            <w:shd w:val="clear" w:color="auto" w:fill="FFFFFF" w:themeFill="background1"/>
            <w:noWrap/>
          </w:tcPr>
          <w:p w:rsidR="00576B38" w:rsidRDefault="00576B38" w:rsidP="00E72075">
            <w:pPr>
              <w:cnfStyle w:val="000000000000" w:firstRow="0" w:lastRow="0" w:firstColumn="0" w:lastColumn="0" w:oddVBand="0" w:evenVBand="0" w:oddHBand="0" w:evenHBand="0" w:firstRowFirstColumn="0" w:firstRowLastColumn="0" w:lastRowFirstColumn="0" w:lastRowLastColumn="0"/>
            </w:pPr>
            <w:r w:rsidRPr="00781985">
              <w:t>C000070585</w:t>
            </w:r>
          </w:p>
        </w:tc>
        <w:tc>
          <w:tcPr>
            <w:tcW w:w="1527" w:type="dxa"/>
            <w:shd w:val="clear" w:color="auto" w:fill="FFFFFF" w:themeFill="background1"/>
            <w:noWrap/>
          </w:tcPr>
          <w:p w:rsidR="00576B38" w:rsidRPr="00DC724F" w:rsidRDefault="00576B38" w:rsidP="00BB7754">
            <w:pPr>
              <w:cnfStyle w:val="000000000000" w:firstRow="0" w:lastRow="0" w:firstColumn="0" w:lastColumn="0" w:oddVBand="0" w:evenVBand="0" w:oddHBand="0" w:evenHBand="0" w:firstRowFirstColumn="0" w:firstRowLastColumn="0" w:lastRowFirstColumn="0" w:lastRowLastColumn="0"/>
            </w:pPr>
            <w:r>
              <w:t>-46</w:t>
            </w:r>
          </w:p>
        </w:tc>
      </w:tr>
    </w:tbl>
    <w:p w:rsidR="00BB7754" w:rsidRDefault="00BB7754" w:rsidP="00BB7754">
      <w:pPr>
        <w:rPr>
          <w:noProof/>
          <w:lang w:val="en-US" w:eastAsia="nl-NL"/>
        </w:rPr>
      </w:pPr>
    </w:p>
    <w:p w:rsidR="00BB7754" w:rsidRDefault="00BB7754">
      <w:pPr>
        <w:rPr>
          <w:lang w:val="en-US"/>
        </w:rPr>
      </w:pPr>
      <w:r>
        <w:rPr>
          <w:lang w:val="en-US"/>
        </w:rPr>
        <w:br w:type="page"/>
      </w:r>
    </w:p>
    <w:p w:rsidR="004D0ABC" w:rsidRDefault="004D0ABC" w:rsidP="00305835">
      <w:pPr>
        <w:pStyle w:val="BodyText"/>
        <w:rPr>
          <w:lang w:val="en-US"/>
        </w:rPr>
      </w:pPr>
      <w:r>
        <w:rPr>
          <w:lang w:val="en-US"/>
        </w:rPr>
        <w:lastRenderedPageBreak/>
        <w:t>2009 ROA</w:t>
      </w:r>
      <w:r w:rsidRPr="004D0ABC">
        <w:rPr>
          <w:lang w:val="en-US"/>
        </w:rPr>
        <w:t xml:space="preserve"> </w:t>
      </w:r>
      <w:r>
        <w:rPr>
          <w:lang w:val="en-US"/>
        </w:rPr>
        <w:t>before and after removal of outliers:</w:t>
      </w:r>
      <w:r>
        <w:rPr>
          <w:lang w:val="en-US"/>
        </w:rPr>
        <w:br/>
      </w:r>
      <w:r>
        <w:rPr>
          <w:noProof/>
          <w:lang w:val="nl-NL" w:eastAsia="nl-NL"/>
        </w:rPr>
        <w:drawing>
          <wp:inline distT="0" distB="0" distL="0" distR="0" wp14:anchorId="332430D6" wp14:editId="0E7251B2">
            <wp:extent cx="2477962" cy="4090336"/>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481182" cy="4095651"/>
                    </a:xfrm>
                    <a:prstGeom prst="rect">
                      <a:avLst/>
                    </a:prstGeom>
                  </pic:spPr>
                </pic:pic>
              </a:graphicData>
            </a:graphic>
          </wp:inline>
        </w:drawing>
      </w:r>
      <w:r>
        <w:rPr>
          <w:noProof/>
          <w:lang w:val="nl-NL" w:eastAsia="nl-NL"/>
        </w:rPr>
        <w:drawing>
          <wp:inline distT="0" distB="0" distL="0" distR="0" wp14:anchorId="52B4C5DF" wp14:editId="7C17DC4B">
            <wp:extent cx="2477962" cy="4090334"/>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479941" cy="4093601"/>
                    </a:xfrm>
                    <a:prstGeom prst="rect">
                      <a:avLst/>
                    </a:prstGeom>
                  </pic:spPr>
                </pic:pic>
              </a:graphicData>
            </a:graphic>
          </wp:inline>
        </w:drawing>
      </w:r>
    </w:p>
    <w:p w:rsidR="00BB7754" w:rsidRDefault="00BB7754" w:rsidP="00BB7754">
      <w:pPr>
        <w:rPr>
          <w:noProof/>
          <w:lang w:val="en-US" w:eastAsia="nl-NL"/>
        </w:rPr>
      </w:pPr>
      <w:r>
        <w:rPr>
          <w:noProof/>
          <w:lang w:val="en-US" w:eastAsia="nl-NL"/>
        </w:rPr>
        <w:t>Removed outliers:</w:t>
      </w:r>
    </w:p>
    <w:tbl>
      <w:tblPr>
        <w:tblStyle w:val="DarkList2"/>
        <w:tblW w:w="6912" w:type="dxa"/>
        <w:tblLook w:val="04A0" w:firstRow="1" w:lastRow="0" w:firstColumn="1" w:lastColumn="0" w:noHBand="0" w:noVBand="1"/>
      </w:tblPr>
      <w:tblGrid>
        <w:gridCol w:w="3369"/>
        <w:gridCol w:w="2016"/>
        <w:gridCol w:w="1527"/>
      </w:tblGrid>
      <w:tr w:rsidR="00BB7754" w:rsidTr="00BB77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B0F0"/>
            <w:noWrap/>
            <w:hideMark/>
          </w:tcPr>
          <w:p w:rsidR="00BB7754" w:rsidRPr="00BB7754" w:rsidRDefault="00BB7754" w:rsidP="00BB7754">
            <w:pPr>
              <w:rPr>
                <w:color w:val="FFFFFF" w:themeColor="background1"/>
              </w:rPr>
            </w:pPr>
            <w:r w:rsidRPr="00BB7754">
              <w:rPr>
                <w:color w:val="FFFFFF" w:themeColor="background1"/>
              </w:rPr>
              <w:t>Entity Name:</w:t>
            </w:r>
          </w:p>
        </w:tc>
        <w:tc>
          <w:tcPr>
            <w:tcW w:w="2016" w:type="dxa"/>
            <w:shd w:val="clear" w:color="auto" w:fill="00B0F0"/>
            <w:noWrap/>
            <w:hideMark/>
          </w:tcPr>
          <w:p w:rsidR="00BB7754" w:rsidRPr="00BB7754" w:rsidRDefault="00BB7754"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54">
              <w:rPr>
                <w:color w:val="FFFFFF" w:themeColor="background1"/>
              </w:rPr>
              <w:t>Key:</w:t>
            </w:r>
          </w:p>
        </w:tc>
        <w:tc>
          <w:tcPr>
            <w:tcW w:w="1527" w:type="dxa"/>
            <w:shd w:val="clear" w:color="auto" w:fill="00B0F0"/>
            <w:noWrap/>
            <w:hideMark/>
          </w:tcPr>
          <w:p w:rsidR="00BB7754" w:rsidRPr="00BB7754" w:rsidRDefault="00576B38" w:rsidP="00BB7754">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ROA</w:t>
            </w:r>
            <w:r w:rsidR="00BB7754" w:rsidRPr="00BB7754">
              <w:rPr>
                <w:color w:val="FFFFFF" w:themeColor="background1"/>
              </w:rPr>
              <w:t>:</w:t>
            </w:r>
          </w:p>
        </w:tc>
      </w:tr>
      <w:tr w:rsidR="00576B38" w:rsidRPr="006A33EB" w:rsidTr="00BB77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69" w:type="dxa"/>
            <w:shd w:val="clear" w:color="auto" w:fill="0070C0"/>
            <w:noWrap/>
            <w:hideMark/>
          </w:tcPr>
          <w:p w:rsidR="00576B38" w:rsidRPr="00576B38" w:rsidRDefault="00576B38" w:rsidP="003D48DD">
            <w:pPr>
              <w:rPr>
                <w:color w:val="FFFFFF" w:themeColor="background1"/>
              </w:rPr>
            </w:pPr>
            <w:proofErr w:type="spellStart"/>
            <w:r w:rsidRPr="00576B38">
              <w:rPr>
                <w:color w:val="FFFFFF" w:themeColor="background1"/>
              </w:rPr>
              <w:t>Shieldtech</w:t>
            </w:r>
            <w:proofErr w:type="spellEnd"/>
            <w:r w:rsidRPr="00576B38">
              <w:rPr>
                <w:color w:val="FFFFFF" w:themeColor="background1"/>
              </w:rPr>
              <w:t xml:space="preserve"> PLC</w:t>
            </w:r>
          </w:p>
        </w:tc>
        <w:tc>
          <w:tcPr>
            <w:tcW w:w="2016" w:type="dxa"/>
            <w:shd w:val="clear" w:color="auto" w:fill="FFFFFF" w:themeFill="background1"/>
            <w:noWrap/>
            <w:hideMark/>
          </w:tcPr>
          <w:p w:rsidR="00576B38" w:rsidRPr="007628CF" w:rsidRDefault="00576B38" w:rsidP="003D48DD">
            <w:pPr>
              <w:cnfStyle w:val="000000100000" w:firstRow="0" w:lastRow="0" w:firstColumn="0" w:lastColumn="0" w:oddVBand="0" w:evenVBand="0" w:oddHBand="1" w:evenHBand="0" w:firstRowFirstColumn="0" w:firstRowLastColumn="0" w:lastRowFirstColumn="0" w:lastRowLastColumn="0"/>
            </w:pPr>
            <w:r w:rsidRPr="007628CF">
              <w:t>C902759539</w:t>
            </w:r>
          </w:p>
        </w:tc>
        <w:tc>
          <w:tcPr>
            <w:tcW w:w="1527" w:type="dxa"/>
            <w:shd w:val="clear" w:color="auto" w:fill="FFFFFF" w:themeFill="background1"/>
            <w:noWrap/>
            <w:hideMark/>
          </w:tcPr>
          <w:p w:rsidR="00576B38" w:rsidRPr="00EE6459" w:rsidRDefault="00576B38" w:rsidP="002A1441">
            <w:pPr>
              <w:cnfStyle w:val="000000100000" w:firstRow="0" w:lastRow="0" w:firstColumn="0" w:lastColumn="0" w:oddVBand="0" w:evenVBand="0" w:oddHBand="1" w:evenHBand="0" w:firstRowFirstColumn="0" w:firstRowLastColumn="0" w:lastRowFirstColumn="0" w:lastRowLastColumn="0"/>
            </w:pPr>
            <w:r w:rsidRPr="00EE6459">
              <w:t>33</w:t>
            </w:r>
            <w:r>
              <w:t>1</w:t>
            </w:r>
          </w:p>
        </w:tc>
      </w:tr>
      <w:tr w:rsidR="00576B38" w:rsidRPr="006A33EB" w:rsidTr="00BB7754">
        <w:trPr>
          <w:trHeight w:val="255"/>
        </w:trPr>
        <w:tc>
          <w:tcPr>
            <w:cnfStyle w:val="001000000000" w:firstRow="0" w:lastRow="0" w:firstColumn="1" w:lastColumn="0" w:oddVBand="0" w:evenVBand="0" w:oddHBand="0" w:evenHBand="0" w:firstRowFirstColumn="0" w:firstRowLastColumn="0" w:lastRowFirstColumn="0" w:lastRowLastColumn="0"/>
            <w:tcW w:w="3369" w:type="dxa"/>
            <w:tcBorders>
              <w:top w:val="nil"/>
            </w:tcBorders>
            <w:shd w:val="clear" w:color="auto" w:fill="0070C0"/>
            <w:noWrap/>
            <w:hideMark/>
          </w:tcPr>
          <w:p w:rsidR="00576B38" w:rsidRPr="00576B38" w:rsidRDefault="00576B38" w:rsidP="003D48DD">
            <w:pPr>
              <w:rPr>
                <w:color w:val="FFFFFF" w:themeColor="background1"/>
              </w:rPr>
            </w:pPr>
            <w:proofErr w:type="spellStart"/>
            <w:r w:rsidRPr="00576B38">
              <w:rPr>
                <w:color w:val="FFFFFF" w:themeColor="background1"/>
              </w:rPr>
              <w:t>Cellpoint</w:t>
            </w:r>
            <w:proofErr w:type="spellEnd"/>
            <w:r w:rsidRPr="00576B38">
              <w:rPr>
                <w:color w:val="FFFFFF" w:themeColor="background1"/>
              </w:rPr>
              <w:t xml:space="preserve"> Connect AB</w:t>
            </w:r>
          </w:p>
        </w:tc>
        <w:tc>
          <w:tcPr>
            <w:tcW w:w="2016" w:type="dxa"/>
            <w:shd w:val="clear" w:color="auto" w:fill="FFFFFF" w:themeFill="background1"/>
            <w:noWrap/>
            <w:hideMark/>
          </w:tcPr>
          <w:p w:rsidR="00576B38" w:rsidRDefault="00576B38" w:rsidP="003D48DD">
            <w:pPr>
              <w:cnfStyle w:val="000000000000" w:firstRow="0" w:lastRow="0" w:firstColumn="0" w:lastColumn="0" w:oddVBand="0" w:evenVBand="0" w:oddHBand="0" w:evenHBand="0" w:firstRowFirstColumn="0" w:firstRowLastColumn="0" w:lastRowFirstColumn="0" w:lastRowLastColumn="0"/>
            </w:pPr>
            <w:r w:rsidRPr="007628CF">
              <w:t>C901687078</w:t>
            </w:r>
          </w:p>
        </w:tc>
        <w:tc>
          <w:tcPr>
            <w:tcW w:w="1527" w:type="dxa"/>
            <w:shd w:val="clear" w:color="auto" w:fill="FFFFFF" w:themeFill="background1"/>
            <w:noWrap/>
            <w:hideMark/>
          </w:tcPr>
          <w:p w:rsidR="00576B38" w:rsidRDefault="00576B38" w:rsidP="002A1441">
            <w:pPr>
              <w:cnfStyle w:val="000000000000" w:firstRow="0" w:lastRow="0" w:firstColumn="0" w:lastColumn="0" w:oddVBand="0" w:evenVBand="0" w:oddHBand="0" w:evenHBand="0" w:firstRowFirstColumn="0" w:firstRowLastColumn="0" w:lastRowFirstColumn="0" w:lastRowLastColumn="0"/>
            </w:pPr>
            <w:r w:rsidRPr="00EE6459">
              <w:t>28</w:t>
            </w:r>
            <w:r>
              <w:t>8</w:t>
            </w:r>
          </w:p>
        </w:tc>
      </w:tr>
    </w:tbl>
    <w:p w:rsidR="00BB7754" w:rsidRDefault="00BB7754" w:rsidP="00BB7754">
      <w:pPr>
        <w:rPr>
          <w:noProof/>
          <w:lang w:val="en-US" w:eastAsia="nl-NL"/>
        </w:rPr>
      </w:pPr>
    </w:p>
    <w:p w:rsidR="003B59D5" w:rsidRDefault="003B59D5">
      <w:pPr>
        <w:rPr>
          <w:lang w:val="en-US"/>
        </w:rPr>
      </w:pPr>
      <w:r>
        <w:rPr>
          <w:lang w:val="en-US"/>
        </w:rPr>
        <w:br w:type="page"/>
      </w:r>
    </w:p>
    <w:p w:rsidR="003B59D5" w:rsidRDefault="007B5E7B" w:rsidP="003B59D5">
      <w:pPr>
        <w:pStyle w:val="Heading3"/>
        <w:rPr>
          <w:lang w:val="en-US"/>
        </w:rPr>
      </w:pPr>
      <w:bookmarkStart w:id="70" w:name="_Toc359957172"/>
      <w:r>
        <w:rPr>
          <w:lang w:val="en-US"/>
        </w:rPr>
        <w:lastRenderedPageBreak/>
        <w:t>5</w:t>
      </w:r>
      <w:r w:rsidR="003B59D5">
        <w:rPr>
          <w:lang w:val="en-US"/>
        </w:rPr>
        <w:t xml:space="preserve">. </w:t>
      </w:r>
      <w:r w:rsidR="003B59D5">
        <w:rPr>
          <w:lang w:val="en-US"/>
        </w:rPr>
        <w:t>Used Data:</w:t>
      </w:r>
      <w:bookmarkEnd w:id="70"/>
    </w:p>
    <w:p w:rsidR="00BB7754" w:rsidRPr="00305835" w:rsidRDefault="00BB7754" w:rsidP="00305835">
      <w:pPr>
        <w:pStyle w:val="BodyText"/>
        <w:rPr>
          <w:lang w:val="en-US"/>
        </w:rPr>
      </w:pPr>
    </w:p>
    <w:sectPr w:rsidR="00BB7754" w:rsidRPr="00305835" w:rsidSect="008566F6">
      <w:footerReference w:type="default" r:id="rId29"/>
      <w:pgSz w:w="11906" w:h="16838" w:code="9"/>
      <w:pgMar w:top="1474" w:right="1416" w:bottom="1474" w:left="1701" w:header="567" w:footer="56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DC" w:rsidRDefault="003A40DC">
      <w:pPr>
        <w:spacing w:after="0" w:line="240" w:lineRule="auto"/>
      </w:pPr>
      <w:r>
        <w:separator/>
      </w:r>
    </w:p>
  </w:endnote>
  <w:endnote w:type="continuationSeparator" w:id="0">
    <w:p w:rsidR="003A40DC" w:rsidRDefault="003A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wC_Logo">
    <w:panose1 w:val="05000400000000000000"/>
    <w:charset w:val="02"/>
    <w:family w:val="auto"/>
    <w:pitch w:val="variable"/>
    <w:sig w:usb0="00000000" w:usb1="10000000" w:usb2="00000000" w:usb3="00000000" w:csb0="80000000" w:csb1="00000000"/>
  </w:font>
  <w:font w:name="SwiftLTPro-ExtraBold">
    <w:panose1 w:val="00000000000000000000"/>
    <w:charset w:val="00"/>
    <w:family w:val="auto"/>
    <w:notTrueType/>
    <w:pitch w:val="default"/>
    <w:sig w:usb0="00000003" w:usb1="00000000" w:usb2="00000000" w:usb3="00000000" w:csb0="00000001" w:csb1="00000000"/>
  </w:font>
  <w:font w:name="SwiftETT,Bol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91288"/>
      <w:docPartObj>
        <w:docPartGallery w:val="Page Numbers (Bottom of Page)"/>
        <w:docPartUnique/>
      </w:docPartObj>
    </w:sdtPr>
    <w:sdtContent>
      <w:p w:rsidR="00BB7754" w:rsidRDefault="00BB7754">
        <w:pPr>
          <w:pStyle w:val="Footer"/>
          <w:jc w:val="center"/>
        </w:pPr>
        <w:r>
          <w:fldChar w:fldCharType="begin"/>
        </w:r>
        <w:r>
          <w:instrText>PAGE   \* MERGEFORMAT</w:instrText>
        </w:r>
        <w:r>
          <w:fldChar w:fldCharType="separate"/>
        </w:r>
        <w:r w:rsidR="007B5E7B" w:rsidRPr="007B5E7B">
          <w:rPr>
            <w:noProof/>
            <w:lang w:val="nl-NL"/>
          </w:rPr>
          <w:t>2</w:t>
        </w:r>
        <w:r>
          <w:rPr>
            <w:noProof/>
            <w:lang w:val="nl-NL"/>
          </w:rPr>
          <w:fldChar w:fldCharType="end"/>
        </w:r>
      </w:p>
    </w:sdtContent>
  </w:sdt>
  <w:p w:rsidR="00BB7754" w:rsidRDefault="00BB7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DC" w:rsidRDefault="003A40DC">
      <w:pPr>
        <w:spacing w:after="0" w:line="240" w:lineRule="auto"/>
      </w:pPr>
      <w:r>
        <w:separator/>
      </w:r>
    </w:p>
  </w:footnote>
  <w:footnote w:type="continuationSeparator" w:id="0">
    <w:p w:rsidR="003A40DC" w:rsidRDefault="003A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0DFA5EF4"/>
    <w:multiLevelType w:val="hybridMultilevel"/>
    <w:tmpl w:val="94D070D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nsid w:val="10C100A9"/>
    <w:multiLevelType w:val="multilevel"/>
    <w:tmpl w:val="DEBC745E"/>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3">
    <w:nsid w:val="166849C4"/>
    <w:multiLevelType w:val="multilevel"/>
    <w:tmpl w:val="CD4C98AE"/>
    <w:name w:val="PwCListBullets12"/>
    <w:numStyleLink w:val="PwCListBullets1"/>
  </w:abstractNum>
  <w:abstractNum w:abstractNumId="14">
    <w:nsid w:val="1BFF32FC"/>
    <w:multiLevelType w:val="hybridMultilevel"/>
    <w:tmpl w:val="37AE876C"/>
    <w:lvl w:ilvl="0" w:tplc="60527FF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E0849F5"/>
    <w:multiLevelType w:val="multilevel"/>
    <w:tmpl w:val="EE3860A0"/>
    <w:name w:val="PwCListNumbers12"/>
    <w:numStyleLink w:val="PwCListNumbers1"/>
  </w:abstractNum>
  <w:abstractNum w:abstractNumId="16">
    <w:nsid w:val="1E7A6C50"/>
    <w:multiLevelType w:val="hybridMultilevel"/>
    <w:tmpl w:val="14CAD8C2"/>
    <w:lvl w:ilvl="0" w:tplc="2368D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6C10095"/>
    <w:multiLevelType w:val="multilevel"/>
    <w:tmpl w:val="DEBC745E"/>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8">
    <w:nsid w:val="2873732E"/>
    <w:multiLevelType w:val="hybridMultilevel"/>
    <w:tmpl w:val="159669D0"/>
    <w:lvl w:ilvl="0" w:tplc="C62E7BE8">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9137A89"/>
    <w:multiLevelType w:val="hybridMultilevel"/>
    <w:tmpl w:val="06DEB3E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nsid w:val="3A57486E"/>
    <w:multiLevelType w:val="multilevel"/>
    <w:tmpl w:val="EE3860A0"/>
    <w:name w:val="PwCListNumbers13"/>
    <w:numStyleLink w:val="PwCListNumbers1"/>
  </w:abstractNum>
  <w:abstractNum w:abstractNumId="21">
    <w:nsid w:val="6138741C"/>
    <w:multiLevelType w:val="hybridMultilevel"/>
    <w:tmpl w:val="AAF05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DB92D8F"/>
    <w:multiLevelType w:val="hybridMultilevel"/>
    <w:tmpl w:val="8D94CF0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4">
    <w:nsid w:val="746A4B76"/>
    <w:multiLevelType w:val="hybridMultilevel"/>
    <w:tmpl w:val="4B6CF74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5">
    <w:nsid w:val="76E50AF4"/>
    <w:multiLevelType w:val="hybridMultilevel"/>
    <w:tmpl w:val="94D070D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6">
    <w:nsid w:val="7A5A1CB4"/>
    <w:multiLevelType w:val="hybridMultilevel"/>
    <w:tmpl w:val="39F6F9D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7">
    <w:nsid w:val="7F8E2F04"/>
    <w:multiLevelType w:val="hybridMultilevel"/>
    <w:tmpl w:val="17C89F76"/>
    <w:lvl w:ilvl="0" w:tplc="D1982A74">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13"/>
  </w:num>
  <w:num w:numId="14">
    <w:abstractNumId w:val="1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 w:numId="29">
    <w:abstractNumId w:val="12"/>
  </w:num>
  <w:num w:numId="30">
    <w:abstractNumId w:val="18"/>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72"/>
    <w:rsid w:val="000031DB"/>
    <w:rsid w:val="00003E0B"/>
    <w:rsid w:val="00007452"/>
    <w:rsid w:val="00012358"/>
    <w:rsid w:val="00022D52"/>
    <w:rsid w:val="00025FC9"/>
    <w:rsid w:val="0002789A"/>
    <w:rsid w:val="00032377"/>
    <w:rsid w:val="00037A1A"/>
    <w:rsid w:val="00037C69"/>
    <w:rsid w:val="00052F89"/>
    <w:rsid w:val="00055E08"/>
    <w:rsid w:val="000562B9"/>
    <w:rsid w:val="00056F28"/>
    <w:rsid w:val="00071E16"/>
    <w:rsid w:val="00072816"/>
    <w:rsid w:val="00073097"/>
    <w:rsid w:val="0007551C"/>
    <w:rsid w:val="0007567D"/>
    <w:rsid w:val="00090DF9"/>
    <w:rsid w:val="0009131E"/>
    <w:rsid w:val="000957AB"/>
    <w:rsid w:val="000A1597"/>
    <w:rsid w:val="000A66DE"/>
    <w:rsid w:val="000B5EF9"/>
    <w:rsid w:val="000C61BB"/>
    <w:rsid w:val="000F505F"/>
    <w:rsid w:val="000F597C"/>
    <w:rsid w:val="00105359"/>
    <w:rsid w:val="00105B91"/>
    <w:rsid w:val="001115D1"/>
    <w:rsid w:val="00117D57"/>
    <w:rsid w:val="00122A4D"/>
    <w:rsid w:val="00133857"/>
    <w:rsid w:val="00137970"/>
    <w:rsid w:val="001502F1"/>
    <w:rsid w:val="0015441D"/>
    <w:rsid w:val="00155504"/>
    <w:rsid w:val="00157FFB"/>
    <w:rsid w:val="0016376C"/>
    <w:rsid w:val="001652D0"/>
    <w:rsid w:val="00194112"/>
    <w:rsid w:val="001A66FC"/>
    <w:rsid w:val="001A6D77"/>
    <w:rsid w:val="001B228A"/>
    <w:rsid w:val="001B44C7"/>
    <w:rsid w:val="001C2E92"/>
    <w:rsid w:val="001C76A9"/>
    <w:rsid w:val="001D3DA2"/>
    <w:rsid w:val="001D640A"/>
    <w:rsid w:val="001E7677"/>
    <w:rsid w:val="001F7B58"/>
    <w:rsid w:val="002019AB"/>
    <w:rsid w:val="00205826"/>
    <w:rsid w:val="00214E4E"/>
    <w:rsid w:val="00223EA3"/>
    <w:rsid w:val="00236155"/>
    <w:rsid w:val="00247B1D"/>
    <w:rsid w:val="00250004"/>
    <w:rsid w:val="00263F09"/>
    <w:rsid w:val="00274A72"/>
    <w:rsid w:val="00277561"/>
    <w:rsid w:val="002946C3"/>
    <w:rsid w:val="002A1EA4"/>
    <w:rsid w:val="002B06B6"/>
    <w:rsid w:val="002D73E7"/>
    <w:rsid w:val="002F61B3"/>
    <w:rsid w:val="00305835"/>
    <w:rsid w:val="00334D21"/>
    <w:rsid w:val="003359F3"/>
    <w:rsid w:val="00350C53"/>
    <w:rsid w:val="00361EC8"/>
    <w:rsid w:val="003649AB"/>
    <w:rsid w:val="00367F09"/>
    <w:rsid w:val="0039271D"/>
    <w:rsid w:val="0039322B"/>
    <w:rsid w:val="00393475"/>
    <w:rsid w:val="00397CB1"/>
    <w:rsid w:val="003A0319"/>
    <w:rsid w:val="003A17B6"/>
    <w:rsid w:val="003A40DC"/>
    <w:rsid w:val="003B09BA"/>
    <w:rsid w:val="003B59D5"/>
    <w:rsid w:val="003C2D90"/>
    <w:rsid w:val="003C4423"/>
    <w:rsid w:val="003C65C6"/>
    <w:rsid w:val="003C6D55"/>
    <w:rsid w:val="003D264E"/>
    <w:rsid w:val="003E1750"/>
    <w:rsid w:val="003E4540"/>
    <w:rsid w:val="003F2DBC"/>
    <w:rsid w:val="003F585F"/>
    <w:rsid w:val="004034DB"/>
    <w:rsid w:val="004040F0"/>
    <w:rsid w:val="00406266"/>
    <w:rsid w:val="004076F0"/>
    <w:rsid w:val="00410D77"/>
    <w:rsid w:val="0043184D"/>
    <w:rsid w:val="00442606"/>
    <w:rsid w:val="0044763B"/>
    <w:rsid w:val="0045340F"/>
    <w:rsid w:val="0046445D"/>
    <w:rsid w:val="004755B9"/>
    <w:rsid w:val="00477AF5"/>
    <w:rsid w:val="00482245"/>
    <w:rsid w:val="0048281C"/>
    <w:rsid w:val="00484ECC"/>
    <w:rsid w:val="0049548B"/>
    <w:rsid w:val="0049763A"/>
    <w:rsid w:val="004A7562"/>
    <w:rsid w:val="004B49F5"/>
    <w:rsid w:val="004B6661"/>
    <w:rsid w:val="004C041B"/>
    <w:rsid w:val="004D0ABC"/>
    <w:rsid w:val="004D143F"/>
    <w:rsid w:val="004F63B4"/>
    <w:rsid w:val="00502FDD"/>
    <w:rsid w:val="005044DE"/>
    <w:rsid w:val="00510BEC"/>
    <w:rsid w:val="005370FF"/>
    <w:rsid w:val="005446A3"/>
    <w:rsid w:val="005479F0"/>
    <w:rsid w:val="0055495C"/>
    <w:rsid w:val="005574AE"/>
    <w:rsid w:val="00566041"/>
    <w:rsid w:val="00576B38"/>
    <w:rsid w:val="0057756A"/>
    <w:rsid w:val="00585016"/>
    <w:rsid w:val="005A138E"/>
    <w:rsid w:val="005A6636"/>
    <w:rsid w:val="005B2CB6"/>
    <w:rsid w:val="005B2DEF"/>
    <w:rsid w:val="005C58A0"/>
    <w:rsid w:val="005C6CF8"/>
    <w:rsid w:val="005E525B"/>
    <w:rsid w:val="005F3E71"/>
    <w:rsid w:val="0060015A"/>
    <w:rsid w:val="0060579C"/>
    <w:rsid w:val="0060656A"/>
    <w:rsid w:val="00610311"/>
    <w:rsid w:val="00612A58"/>
    <w:rsid w:val="00633095"/>
    <w:rsid w:val="00643AA3"/>
    <w:rsid w:val="0065245F"/>
    <w:rsid w:val="00665C1D"/>
    <w:rsid w:val="00666C5D"/>
    <w:rsid w:val="006A33EB"/>
    <w:rsid w:val="006A5A37"/>
    <w:rsid w:val="006A628F"/>
    <w:rsid w:val="006B536C"/>
    <w:rsid w:val="006B7FA6"/>
    <w:rsid w:val="006C1151"/>
    <w:rsid w:val="007058D3"/>
    <w:rsid w:val="007103BB"/>
    <w:rsid w:val="007116D5"/>
    <w:rsid w:val="00720E62"/>
    <w:rsid w:val="00721BF1"/>
    <w:rsid w:val="00725CA4"/>
    <w:rsid w:val="007344F4"/>
    <w:rsid w:val="00743F7A"/>
    <w:rsid w:val="00744189"/>
    <w:rsid w:val="00753B30"/>
    <w:rsid w:val="00754845"/>
    <w:rsid w:val="007559E2"/>
    <w:rsid w:val="00774202"/>
    <w:rsid w:val="00780E83"/>
    <w:rsid w:val="00783D26"/>
    <w:rsid w:val="007A0B11"/>
    <w:rsid w:val="007B5E7B"/>
    <w:rsid w:val="007C2AA7"/>
    <w:rsid w:val="007C5A55"/>
    <w:rsid w:val="007E3CF6"/>
    <w:rsid w:val="007F0738"/>
    <w:rsid w:val="00802734"/>
    <w:rsid w:val="00805208"/>
    <w:rsid w:val="00807AA5"/>
    <w:rsid w:val="008148C8"/>
    <w:rsid w:val="00815E7F"/>
    <w:rsid w:val="00822CDD"/>
    <w:rsid w:val="00831419"/>
    <w:rsid w:val="00831FA9"/>
    <w:rsid w:val="008340A6"/>
    <w:rsid w:val="00836882"/>
    <w:rsid w:val="008404DB"/>
    <w:rsid w:val="008566F6"/>
    <w:rsid w:val="00856F25"/>
    <w:rsid w:val="00863A92"/>
    <w:rsid w:val="0088305B"/>
    <w:rsid w:val="00886A6F"/>
    <w:rsid w:val="0089011E"/>
    <w:rsid w:val="008917AF"/>
    <w:rsid w:val="00894A62"/>
    <w:rsid w:val="008979AA"/>
    <w:rsid w:val="008A1452"/>
    <w:rsid w:val="008A1591"/>
    <w:rsid w:val="008A237F"/>
    <w:rsid w:val="008B1F7A"/>
    <w:rsid w:val="008C1520"/>
    <w:rsid w:val="008C7327"/>
    <w:rsid w:val="008D10C1"/>
    <w:rsid w:val="00900C3E"/>
    <w:rsid w:val="009273E1"/>
    <w:rsid w:val="00940CF6"/>
    <w:rsid w:val="00944DFB"/>
    <w:rsid w:val="0095030F"/>
    <w:rsid w:val="0097339B"/>
    <w:rsid w:val="009820A3"/>
    <w:rsid w:val="009873F5"/>
    <w:rsid w:val="009A2259"/>
    <w:rsid w:val="009A47F1"/>
    <w:rsid w:val="009B220C"/>
    <w:rsid w:val="009B687E"/>
    <w:rsid w:val="009B7C3F"/>
    <w:rsid w:val="009C0828"/>
    <w:rsid w:val="009C0AF5"/>
    <w:rsid w:val="009C3743"/>
    <w:rsid w:val="009C40B9"/>
    <w:rsid w:val="009D5A18"/>
    <w:rsid w:val="009E3941"/>
    <w:rsid w:val="009F021A"/>
    <w:rsid w:val="00A0467A"/>
    <w:rsid w:val="00A113F0"/>
    <w:rsid w:val="00A14320"/>
    <w:rsid w:val="00A24CCC"/>
    <w:rsid w:val="00A3746F"/>
    <w:rsid w:val="00A40472"/>
    <w:rsid w:val="00A52827"/>
    <w:rsid w:val="00A60ADA"/>
    <w:rsid w:val="00A6362D"/>
    <w:rsid w:val="00A722D7"/>
    <w:rsid w:val="00A72FFC"/>
    <w:rsid w:val="00A74FC0"/>
    <w:rsid w:val="00A90BF3"/>
    <w:rsid w:val="00A911F0"/>
    <w:rsid w:val="00A93D4E"/>
    <w:rsid w:val="00A94F3B"/>
    <w:rsid w:val="00A97004"/>
    <w:rsid w:val="00AA1049"/>
    <w:rsid w:val="00AA4948"/>
    <w:rsid w:val="00AB07D1"/>
    <w:rsid w:val="00AB0A83"/>
    <w:rsid w:val="00AD7727"/>
    <w:rsid w:val="00AE1FAB"/>
    <w:rsid w:val="00AE7828"/>
    <w:rsid w:val="00AF660A"/>
    <w:rsid w:val="00B21D11"/>
    <w:rsid w:val="00B23403"/>
    <w:rsid w:val="00B25BB2"/>
    <w:rsid w:val="00B315D3"/>
    <w:rsid w:val="00B50D3C"/>
    <w:rsid w:val="00B5379A"/>
    <w:rsid w:val="00B560B3"/>
    <w:rsid w:val="00B562CE"/>
    <w:rsid w:val="00B63B66"/>
    <w:rsid w:val="00B63C2F"/>
    <w:rsid w:val="00B72248"/>
    <w:rsid w:val="00B72BE4"/>
    <w:rsid w:val="00B81124"/>
    <w:rsid w:val="00BA77DB"/>
    <w:rsid w:val="00BA7D7D"/>
    <w:rsid w:val="00BB1525"/>
    <w:rsid w:val="00BB5AC3"/>
    <w:rsid w:val="00BB7754"/>
    <w:rsid w:val="00BC5B60"/>
    <w:rsid w:val="00BC62C4"/>
    <w:rsid w:val="00BD0A7B"/>
    <w:rsid w:val="00BD4E96"/>
    <w:rsid w:val="00BD7786"/>
    <w:rsid w:val="00BF6E2F"/>
    <w:rsid w:val="00C01079"/>
    <w:rsid w:val="00C04ADB"/>
    <w:rsid w:val="00C11587"/>
    <w:rsid w:val="00C2447D"/>
    <w:rsid w:val="00C269FD"/>
    <w:rsid w:val="00C339D5"/>
    <w:rsid w:val="00C33C83"/>
    <w:rsid w:val="00C4129B"/>
    <w:rsid w:val="00C41347"/>
    <w:rsid w:val="00C6201A"/>
    <w:rsid w:val="00C86762"/>
    <w:rsid w:val="00C950D7"/>
    <w:rsid w:val="00C95D33"/>
    <w:rsid w:val="00CA4D86"/>
    <w:rsid w:val="00CA6BC3"/>
    <w:rsid w:val="00CB2514"/>
    <w:rsid w:val="00CC0D25"/>
    <w:rsid w:val="00CC4062"/>
    <w:rsid w:val="00CC46EF"/>
    <w:rsid w:val="00CD2C64"/>
    <w:rsid w:val="00CD7610"/>
    <w:rsid w:val="00CE189C"/>
    <w:rsid w:val="00CE5B33"/>
    <w:rsid w:val="00CE6ECD"/>
    <w:rsid w:val="00CF4BC1"/>
    <w:rsid w:val="00D37696"/>
    <w:rsid w:val="00D40EE9"/>
    <w:rsid w:val="00D6320E"/>
    <w:rsid w:val="00D729EF"/>
    <w:rsid w:val="00D748A9"/>
    <w:rsid w:val="00D74F8B"/>
    <w:rsid w:val="00D80CC4"/>
    <w:rsid w:val="00D8280E"/>
    <w:rsid w:val="00D839DC"/>
    <w:rsid w:val="00D850EF"/>
    <w:rsid w:val="00D9755D"/>
    <w:rsid w:val="00D975AF"/>
    <w:rsid w:val="00DC1C3A"/>
    <w:rsid w:val="00DC1E35"/>
    <w:rsid w:val="00DC471B"/>
    <w:rsid w:val="00DD2C03"/>
    <w:rsid w:val="00DD6742"/>
    <w:rsid w:val="00DD72ED"/>
    <w:rsid w:val="00DF18C9"/>
    <w:rsid w:val="00DF4091"/>
    <w:rsid w:val="00E0672E"/>
    <w:rsid w:val="00E07C9E"/>
    <w:rsid w:val="00E1051E"/>
    <w:rsid w:val="00E12614"/>
    <w:rsid w:val="00E25158"/>
    <w:rsid w:val="00E26150"/>
    <w:rsid w:val="00E26F3A"/>
    <w:rsid w:val="00E30BAA"/>
    <w:rsid w:val="00E31D22"/>
    <w:rsid w:val="00E47B34"/>
    <w:rsid w:val="00E506B8"/>
    <w:rsid w:val="00E61589"/>
    <w:rsid w:val="00E715FD"/>
    <w:rsid w:val="00E80609"/>
    <w:rsid w:val="00E80CDD"/>
    <w:rsid w:val="00E90071"/>
    <w:rsid w:val="00E91008"/>
    <w:rsid w:val="00E96B37"/>
    <w:rsid w:val="00EB158D"/>
    <w:rsid w:val="00EB57C1"/>
    <w:rsid w:val="00EC76A8"/>
    <w:rsid w:val="00EF5569"/>
    <w:rsid w:val="00F13D7E"/>
    <w:rsid w:val="00F16DDC"/>
    <w:rsid w:val="00F214B3"/>
    <w:rsid w:val="00F2298F"/>
    <w:rsid w:val="00F254F5"/>
    <w:rsid w:val="00F316D0"/>
    <w:rsid w:val="00F32B48"/>
    <w:rsid w:val="00F3320A"/>
    <w:rsid w:val="00F34453"/>
    <w:rsid w:val="00F41DE6"/>
    <w:rsid w:val="00F63C13"/>
    <w:rsid w:val="00F675A7"/>
    <w:rsid w:val="00F70FA7"/>
    <w:rsid w:val="00F740D4"/>
    <w:rsid w:val="00FA1A58"/>
    <w:rsid w:val="00FA34EF"/>
    <w:rsid w:val="00FA5DCF"/>
    <w:rsid w:val="00FB27BE"/>
    <w:rsid w:val="00FC747D"/>
    <w:rsid w:val="00FD03E4"/>
    <w:rsid w:val="00FD1240"/>
    <w:rsid w:val="00FE4038"/>
    <w:rsid w:val="00FE6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4"/>
    <w:lsdException w:name="List Bullet" w:uiPriority="14" w:qFormat="1"/>
    <w:lsdException w:name="List Number" w:uiPriority="14" w:qFormat="1"/>
    <w:lsdException w:name="List 2" w:uiPriority="14"/>
    <w:lsdException w:name="List 3" w:uiPriority="14"/>
    <w:lsdException w:name="List 4" w:uiPriority="14"/>
    <w:lsdException w:name="List 5" w:uiPriority="14"/>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34"/>
    <w:qFormat/>
    <w:rsid w:val="00585016"/>
    <w:rPr>
      <w:rFonts w:asciiTheme="minorHAnsi" w:hAnsiTheme="minorHAnsi"/>
      <w:color w:val="000000" w:themeColor="text1"/>
      <w:sz w:val="21"/>
      <w:szCs w:val="21"/>
    </w:rPr>
  </w:style>
  <w:style w:type="paragraph" w:styleId="Heading1">
    <w:name w:val="heading 1"/>
    <w:basedOn w:val="Normal"/>
    <w:next w:val="BodyText"/>
    <w:link w:val="Heading1Char"/>
    <w:uiPriority w:val="9"/>
    <w:qFormat/>
    <w:rsid w:val="00003E0B"/>
    <w:pPr>
      <w:keepNext/>
      <w:keepLines/>
      <w:spacing w:after="40" w:line="240" w:lineRule="auto"/>
      <w:outlineLvl w:val="0"/>
    </w:pPr>
    <w:rPr>
      <w:rFonts w:asciiTheme="majorHAnsi" w:eastAsiaTheme="majorEastAsia" w:hAnsiTheme="majorHAnsi" w:cstheme="majorBidi"/>
      <w:b/>
      <w:bCs/>
      <w:i/>
      <w:sz w:val="36"/>
      <w:szCs w:val="28"/>
    </w:rPr>
  </w:style>
  <w:style w:type="paragraph" w:styleId="Heading2">
    <w:name w:val="heading 2"/>
    <w:basedOn w:val="Normal"/>
    <w:next w:val="BodyText"/>
    <w:link w:val="Heading2Char"/>
    <w:uiPriority w:val="9"/>
    <w:unhideWhenUsed/>
    <w:qFormat/>
    <w:rsid w:val="00003E0B"/>
    <w:pPr>
      <w:keepNext/>
      <w:keepLines/>
      <w:spacing w:after="4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BodyText"/>
    <w:link w:val="Heading3Char"/>
    <w:uiPriority w:val="9"/>
    <w:unhideWhenUsed/>
    <w:qFormat/>
    <w:rsid w:val="00003E0B"/>
    <w:pPr>
      <w:keepNext/>
      <w:keepLines/>
      <w:spacing w:after="40" w:line="240" w:lineRule="auto"/>
      <w:outlineLvl w:val="2"/>
    </w:pPr>
    <w:rPr>
      <w:rFonts w:asciiTheme="majorHAnsi" w:eastAsiaTheme="majorEastAsia" w:hAnsiTheme="majorHAnsi" w:cstheme="majorBidi"/>
      <w:b/>
      <w:bCs/>
      <w:i/>
      <w:sz w:val="24"/>
    </w:rPr>
  </w:style>
  <w:style w:type="paragraph" w:styleId="Heading4">
    <w:name w:val="heading 4"/>
    <w:basedOn w:val="Normal"/>
    <w:next w:val="BodyText"/>
    <w:link w:val="Heading4Char"/>
    <w:uiPriority w:val="9"/>
    <w:unhideWhenUsed/>
    <w:qFormat/>
    <w:rsid w:val="00003E0B"/>
    <w:pPr>
      <w:keepNext/>
      <w:keepLines/>
      <w:spacing w:after="40" w:line="240" w:lineRule="auto"/>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unhideWhenUsed/>
    <w:qFormat/>
    <w:rsid w:val="00003E0B"/>
    <w:pPr>
      <w:keepNext/>
      <w:keepLines/>
      <w:spacing w:after="40" w:line="240" w:lineRule="auto"/>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003E0B"/>
    <w:pPr>
      <w:keepNext/>
      <w:keepLines/>
      <w:spacing w:after="40" w:line="240" w:lineRule="auto"/>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03E0B"/>
    <w:pPr>
      <w:keepNext/>
      <w:keepLines/>
      <w:spacing w:after="4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3E0B"/>
    <w:pPr>
      <w:keepNext/>
      <w:keepLines/>
      <w:spacing w:after="40" w:line="240" w:lineRule="auto"/>
      <w:outlineLvl w:val="7"/>
    </w:pPr>
    <w:rPr>
      <w:rFonts w:asciiTheme="majorHAnsi" w:eastAsiaTheme="majorEastAsia" w:hAnsiTheme="majorHAnsi" w:cstheme="majorBidi"/>
      <w:i/>
    </w:rPr>
  </w:style>
  <w:style w:type="paragraph" w:styleId="Heading9">
    <w:name w:val="heading 9"/>
    <w:basedOn w:val="Normal"/>
    <w:next w:val="Normal"/>
    <w:link w:val="Heading9Char"/>
    <w:uiPriority w:val="9"/>
    <w:semiHidden/>
    <w:unhideWhenUsed/>
    <w:qFormat/>
    <w:rsid w:val="00003E0B"/>
    <w:pPr>
      <w:keepNext/>
      <w:keepLines/>
      <w:spacing w:after="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03E0B"/>
  </w:style>
  <w:style w:type="character" w:customStyle="1" w:styleId="BodyTextChar">
    <w:name w:val="Body Text Char"/>
    <w:basedOn w:val="DefaultParagraphFont"/>
    <w:link w:val="BodyText"/>
    <w:rsid w:val="00003E0B"/>
  </w:style>
  <w:style w:type="paragraph" w:customStyle="1" w:styleId="BodySingle">
    <w:name w:val="Body Single"/>
    <w:basedOn w:val="BodyText"/>
    <w:link w:val="BodySingleChar"/>
    <w:uiPriority w:val="1"/>
    <w:qFormat/>
    <w:rsid w:val="00003E0B"/>
    <w:pPr>
      <w:spacing w:after="0"/>
    </w:pPr>
  </w:style>
  <w:style w:type="paragraph" w:styleId="Header">
    <w:name w:val="header"/>
    <w:basedOn w:val="Normal"/>
    <w:link w:val="HeaderChar"/>
    <w:uiPriority w:val="99"/>
    <w:unhideWhenUsed/>
    <w:rsid w:val="00003E0B"/>
    <w:pPr>
      <w:tabs>
        <w:tab w:val="center" w:pos="4536"/>
        <w:tab w:val="right" w:pos="9866"/>
      </w:tabs>
      <w:spacing w:after="0" w:line="240" w:lineRule="auto"/>
    </w:pPr>
    <w:rPr>
      <w:sz w:val="18"/>
    </w:rPr>
  </w:style>
  <w:style w:type="character" w:customStyle="1" w:styleId="BodySingleChar">
    <w:name w:val="Body Single Char"/>
    <w:basedOn w:val="BodyTextChar"/>
    <w:link w:val="BodySingle"/>
    <w:uiPriority w:val="1"/>
    <w:rsid w:val="00003E0B"/>
  </w:style>
  <w:style w:type="character" w:customStyle="1" w:styleId="HeaderChar">
    <w:name w:val="Header Char"/>
    <w:basedOn w:val="DefaultParagraphFont"/>
    <w:link w:val="Header"/>
    <w:uiPriority w:val="99"/>
    <w:rsid w:val="00003E0B"/>
    <w:rPr>
      <w:rFonts w:asciiTheme="minorHAnsi" w:hAnsiTheme="minorHAnsi"/>
      <w:sz w:val="18"/>
    </w:rPr>
  </w:style>
  <w:style w:type="paragraph" w:styleId="Footer">
    <w:name w:val="footer"/>
    <w:basedOn w:val="Normal"/>
    <w:link w:val="FooterChar"/>
    <w:uiPriority w:val="99"/>
    <w:unhideWhenUsed/>
    <w:rsid w:val="00003E0B"/>
    <w:pPr>
      <w:tabs>
        <w:tab w:val="center" w:pos="4536"/>
        <w:tab w:val="right" w:pos="9866"/>
      </w:tabs>
      <w:spacing w:after="0" w:line="240" w:lineRule="auto"/>
    </w:pPr>
    <w:rPr>
      <w:sz w:val="18"/>
    </w:rPr>
  </w:style>
  <w:style w:type="character" w:customStyle="1" w:styleId="FooterChar">
    <w:name w:val="Footer Char"/>
    <w:basedOn w:val="DefaultParagraphFont"/>
    <w:link w:val="Footer"/>
    <w:uiPriority w:val="99"/>
    <w:rsid w:val="00003E0B"/>
    <w:rPr>
      <w:rFonts w:asciiTheme="minorHAnsi" w:hAnsiTheme="minorHAnsi"/>
      <w:sz w:val="18"/>
    </w:rPr>
  </w:style>
  <w:style w:type="character" w:customStyle="1" w:styleId="Heading1Char">
    <w:name w:val="Heading 1 Char"/>
    <w:basedOn w:val="DefaultParagraphFont"/>
    <w:link w:val="Heading1"/>
    <w:uiPriority w:val="9"/>
    <w:rsid w:val="00003E0B"/>
    <w:rPr>
      <w:rFonts w:asciiTheme="majorHAnsi" w:eastAsiaTheme="majorEastAsia" w:hAnsiTheme="majorHAnsi" w:cstheme="majorBidi"/>
      <w:b/>
      <w:bCs/>
      <w:i/>
      <w:sz w:val="36"/>
      <w:szCs w:val="28"/>
    </w:rPr>
  </w:style>
  <w:style w:type="character" w:customStyle="1" w:styleId="Heading2Char">
    <w:name w:val="Heading 2 Char"/>
    <w:basedOn w:val="DefaultParagraphFont"/>
    <w:link w:val="Heading2"/>
    <w:uiPriority w:val="9"/>
    <w:rsid w:val="00003E0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003E0B"/>
    <w:rPr>
      <w:rFonts w:asciiTheme="majorHAnsi" w:eastAsiaTheme="majorEastAsia" w:hAnsiTheme="majorHAnsi" w:cstheme="majorBidi"/>
      <w:b/>
      <w:bCs/>
      <w:i/>
      <w:sz w:val="24"/>
    </w:rPr>
  </w:style>
  <w:style w:type="character" w:customStyle="1" w:styleId="Heading4Char">
    <w:name w:val="Heading 4 Char"/>
    <w:basedOn w:val="DefaultParagraphFont"/>
    <w:link w:val="Heading4"/>
    <w:uiPriority w:val="9"/>
    <w:rsid w:val="00003E0B"/>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003E0B"/>
    <w:rPr>
      <w:rFonts w:asciiTheme="majorHAnsi" w:eastAsiaTheme="majorEastAsia" w:hAnsiTheme="majorHAnsi" w:cstheme="majorBidi"/>
      <w:i/>
    </w:rPr>
  </w:style>
  <w:style w:type="paragraph" w:styleId="Title">
    <w:name w:val="Title"/>
    <w:basedOn w:val="Normal"/>
    <w:next w:val="Subtitle"/>
    <w:link w:val="TitleChar"/>
    <w:uiPriority w:val="10"/>
    <w:qFormat/>
    <w:rsid w:val="00003E0B"/>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003E0B"/>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003E0B"/>
    <w:pPr>
      <w:spacing w:before="480"/>
      <w:outlineLvl w:val="9"/>
    </w:pPr>
    <w:rPr>
      <w:lang w:val="en-US"/>
    </w:rPr>
  </w:style>
  <w:style w:type="paragraph" w:styleId="Subtitle">
    <w:name w:val="Subtitle"/>
    <w:basedOn w:val="Normal"/>
    <w:next w:val="BodyText"/>
    <w:link w:val="SubtitleChar"/>
    <w:uiPriority w:val="11"/>
    <w:qFormat/>
    <w:rsid w:val="00003E0B"/>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003E0B"/>
    <w:rPr>
      <w:rFonts w:asciiTheme="majorHAnsi" w:eastAsiaTheme="majorEastAsia" w:hAnsiTheme="majorHAnsi" w:cstheme="majorBidi"/>
      <w:iCs/>
      <w:spacing w:val="15"/>
      <w:sz w:val="40"/>
      <w:szCs w:val="24"/>
    </w:rPr>
  </w:style>
  <w:style w:type="paragraph" w:styleId="TOC1">
    <w:name w:val="toc 1"/>
    <w:basedOn w:val="Heading3"/>
    <w:next w:val="Normal"/>
    <w:autoRedefine/>
    <w:uiPriority w:val="39"/>
    <w:unhideWhenUsed/>
    <w:qFormat/>
    <w:rsid w:val="00003E0B"/>
    <w:pPr>
      <w:spacing w:after="100"/>
    </w:pPr>
  </w:style>
  <w:style w:type="paragraph" w:styleId="TOC2">
    <w:name w:val="toc 2"/>
    <w:basedOn w:val="Heading3"/>
    <w:next w:val="Normal"/>
    <w:autoRedefine/>
    <w:uiPriority w:val="39"/>
    <w:unhideWhenUsed/>
    <w:qFormat/>
    <w:rsid w:val="00073097"/>
    <w:pPr>
      <w:tabs>
        <w:tab w:val="right" w:leader="dot" w:pos="8779"/>
      </w:tabs>
      <w:spacing w:after="100"/>
      <w:ind w:left="200"/>
    </w:pPr>
    <w:rPr>
      <w:b w:val="0"/>
      <w:i w:val="0"/>
      <w:noProof/>
      <w:lang w:val="en-US"/>
    </w:rPr>
  </w:style>
  <w:style w:type="paragraph" w:styleId="TOC3">
    <w:name w:val="toc 3"/>
    <w:basedOn w:val="Heading9"/>
    <w:next w:val="Normal"/>
    <w:autoRedefine/>
    <w:uiPriority w:val="39"/>
    <w:unhideWhenUsed/>
    <w:qFormat/>
    <w:rsid w:val="00073097"/>
    <w:pPr>
      <w:spacing w:after="100"/>
      <w:ind w:left="400"/>
    </w:pPr>
    <w:rPr>
      <w:i w:val="0"/>
    </w:rPr>
  </w:style>
  <w:style w:type="character" w:styleId="Hyperlink">
    <w:name w:val="Hyperlink"/>
    <w:basedOn w:val="DefaultParagraphFont"/>
    <w:uiPriority w:val="99"/>
    <w:unhideWhenUsed/>
    <w:rsid w:val="00003E0B"/>
    <w:rPr>
      <w:color w:val="0000FF" w:themeColor="hyperlink"/>
      <w:u w:val="single"/>
    </w:rPr>
  </w:style>
  <w:style w:type="paragraph" w:styleId="BalloonText">
    <w:name w:val="Balloon Text"/>
    <w:basedOn w:val="Normal"/>
    <w:link w:val="BalloonTextChar"/>
    <w:uiPriority w:val="99"/>
    <w:semiHidden/>
    <w:unhideWhenUsed/>
    <w:rsid w:val="0000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0B"/>
    <w:rPr>
      <w:rFonts w:ascii="Tahoma" w:hAnsi="Tahoma" w:cs="Tahoma"/>
      <w:sz w:val="16"/>
      <w:szCs w:val="16"/>
    </w:rPr>
  </w:style>
  <w:style w:type="paragraph" w:styleId="ListBullet">
    <w:name w:val="List Bullet"/>
    <w:basedOn w:val="Normal"/>
    <w:uiPriority w:val="14"/>
    <w:unhideWhenUsed/>
    <w:qFormat/>
    <w:rsid w:val="00003E0B"/>
    <w:pPr>
      <w:numPr>
        <w:numId w:val="11"/>
      </w:numPr>
      <w:contextualSpacing/>
    </w:pPr>
  </w:style>
  <w:style w:type="numbering" w:customStyle="1" w:styleId="PwCListBullets1">
    <w:name w:val="PwC List Bullets 1"/>
    <w:uiPriority w:val="99"/>
    <w:rsid w:val="00003E0B"/>
    <w:pPr>
      <w:numPr>
        <w:numId w:val="11"/>
      </w:numPr>
    </w:pPr>
  </w:style>
  <w:style w:type="numbering" w:customStyle="1" w:styleId="PwCListNumbers1">
    <w:name w:val="PwC List Numbers 1"/>
    <w:uiPriority w:val="99"/>
    <w:rsid w:val="00003E0B"/>
    <w:pPr>
      <w:numPr>
        <w:numId w:val="12"/>
      </w:numPr>
    </w:pPr>
  </w:style>
  <w:style w:type="paragraph" w:styleId="ListNumber">
    <w:name w:val="List Number"/>
    <w:basedOn w:val="Normal"/>
    <w:uiPriority w:val="14"/>
    <w:unhideWhenUsed/>
    <w:qFormat/>
    <w:rsid w:val="00003E0B"/>
    <w:pPr>
      <w:numPr>
        <w:numId w:val="16"/>
      </w:numPr>
      <w:contextualSpacing/>
    </w:pPr>
  </w:style>
  <w:style w:type="paragraph" w:styleId="ListBullet2">
    <w:name w:val="List Bullet 2"/>
    <w:basedOn w:val="Normal"/>
    <w:uiPriority w:val="14"/>
    <w:unhideWhenUsed/>
    <w:qFormat/>
    <w:rsid w:val="00003E0B"/>
    <w:pPr>
      <w:numPr>
        <w:ilvl w:val="1"/>
        <w:numId w:val="11"/>
      </w:numPr>
      <w:contextualSpacing/>
    </w:pPr>
  </w:style>
  <w:style w:type="paragraph" w:styleId="ListBullet3">
    <w:name w:val="List Bullet 3"/>
    <w:basedOn w:val="Normal"/>
    <w:uiPriority w:val="14"/>
    <w:unhideWhenUsed/>
    <w:qFormat/>
    <w:rsid w:val="00003E0B"/>
    <w:pPr>
      <w:numPr>
        <w:ilvl w:val="2"/>
        <w:numId w:val="11"/>
      </w:numPr>
      <w:contextualSpacing/>
    </w:pPr>
  </w:style>
  <w:style w:type="paragraph" w:styleId="ListBullet4">
    <w:name w:val="List Bullet 4"/>
    <w:basedOn w:val="Normal"/>
    <w:uiPriority w:val="14"/>
    <w:semiHidden/>
    <w:unhideWhenUsed/>
    <w:rsid w:val="00003E0B"/>
    <w:pPr>
      <w:numPr>
        <w:ilvl w:val="3"/>
        <w:numId w:val="11"/>
      </w:numPr>
      <w:contextualSpacing/>
    </w:pPr>
  </w:style>
  <w:style w:type="paragraph" w:styleId="ListBullet5">
    <w:name w:val="List Bullet 5"/>
    <w:basedOn w:val="Normal"/>
    <w:uiPriority w:val="14"/>
    <w:semiHidden/>
    <w:unhideWhenUsed/>
    <w:rsid w:val="00003E0B"/>
    <w:pPr>
      <w:numPr>
        <w:ilvl w:val="4"/>
        <w:numId w:val="11"/>
      </w:numPr>
      <w:contextualSpacing/>
    </w:pPr>
  </w:style>
  <w:style w:type="paragraph" w:styleId="ListNumber2">
    <w:name w:val="List Number 2"/>
    <w:basedOn w:val="Normal"/>
    <w:uiPriority w:val="14"/>
    <w:unhideWhenUsed/>
    <w:qFormat/>
    <w:rsid w:val="00003E0B"/>
    <w:pPr>
      <w:numPr>
        <w:ilvl w:val="1"/>
        <w:numId w:val="16"/>
      </w:numPr>
      <w:contextualSpacing/>
    </w:pPr>
  </w:style>
  <w:style w:type="paragraph" w:styleId="ListNumber3">
    <w:name w:val="List Number 3"/>
    <w:basedOn w:val="Normal"/>
    <w:uiPriority w:val="14"/>
    <w:unhideWhenUsed/>
    <w:qFormat/>
    <w:rsid w:val="00003E0B"/>
    <w:pPr>
      <w:numPr>
        <w:ilvl w:val="2"/>
        <w:numId w:val="16"/>
      </w:numPr>
      <w:contextualSpacing/>
    </w:pPr>
  </w:style>
  <w:style w:type="paragraph" w:styleId="ListNumber4">
    <w:name w:val="List Number 4"/>
    <w:basedOn w:val="Normal"/>
    <w:uiPriority w:val="14"/>
    <w:semiHidden/>
    <w:unhideWhenUsed/>
    <w:rsid w:val="00003E0B"/>
    <w:pPr>
      <w:numPr>
        <w:ilvl w:val="3"/>
        <w:numId w:val="16"/>
      </w:numPr>
      <w:contextualSpacing/>
    </w:pPr>
  </w:style>
  <w:style w:type="paragraph" w:styleId="ListNumber5">
    <w:name w:val="List Number 5"/>
    <w:basedOn w:val="Normal"/>
    <w:uiPriority w:val="14"/>
    <w:semiHidden/>
    <w:unhideWhenUsed/>
    <w:rsid w:val="00003E0B"/>
    <w:pPr>
      <w:numPr>
        <w:ilvl w:val="4"/>
        <w:numId w:val="16"/>
      </w:numPr>
      <w:contextualSpacing/>
    </w:pPr>
  </w:style>
  <w:style w:type="paragraph" w:styleId="List">
    <w:name w:val="List"/>
    <w:basedOn w:val="Normal"/>
    <w:uiPriority w:val="14"/>
    <w:semiHidden/>
    <w:unhideWhenUsed/>
    <w:rsid w:val="00003E0B"/>
    <w:pPr>
      <w:ind w:left="567" w:hanging="567"/>
      <w:contextualSpacing/>
    </w:pPr>
  </w:style>
  <w:style w:type="paragraph" w:styleId="List2">
    <w:name w:val="List 2"/>
    <w:basedOn w:val="Normal"/>
    <w:uiPriority w:val="14"/>
    <w:semiHidden/>
    <w:unhideWhenUsed/>
    <w:rsid w:val="00003E0B"/>
    <w:pPr>
      <w:ind w:left="1134" w:hanging="567"/>
      <w:contextualSpacing/>
    </w:pPr>
  </w:style>
  <w:style w:type="paragraph" w:styleId="ListContinue">
    <w:name w:val="List Continue"/>
    <w:basedOn w:val="Normal"/>
    <w:uiPriority w:val="14"/>
    <w:unhideWhenUsed/>
    <w:qFormat/>
    <w:rsid w:val="00003E0B"/>
    <w:pPr>
      <w:spacing w:after="120"/>
      <w:ind w:left="567"/>
      <w:contextualSpacing/>
    </w:pPr>
  </w:style>
  <w:style w:type="paragraph" w:styleId="ListContinue2">
    <w:name w:val="List Continue 2"/>
    <w:basedOn w:val="Normal"/>
    <w:uiPriority w:val="14"/>
    <w:unhideWhenUsed/>
    <w:qFormat/>
    <w:rsid w:val="00003E0B"/>
    <w:pPr>
      <w:spacing w:after="120"/>
      <w:ind w:left="1134"/>
      <w:contextualSpacing/>
    </w:pPr>
  </w:style>
  <w:style w:type="paragraph" w:styleId="ListContinue3">
    <w:name w:val="List Continue 3"/>
    <w:basedOn w:val="Normal"/>
    <w:uiPriority w:val="14"/>
    <w:unhideWhenUsed/>
    <w:qFormat/>
    <w:rsid w:val="00003E0B"/>
    <w:pPr>
      <w:spacing w:after="120"/>
      <w:ind w:left="1701"/>
      <w:contextualSpacing/>
    </w:pPr>
  </w:style>
  <w:style w:type="paragraph" w:styleId="ListContinue4">
    <w:name w:val="List Continue 4"/>
    <w:basedOn w:val="Normal"/>
    <w:uiPriority w:val="14"/>
    <w:semiHidden/>
    <w:unhideWhenUsed/>
    <w:rsid w:val="00003E0B"/>
    <w:pPr>
      <w:spacing w:after="120"/>
      <w:ind w:left="2268"/>
      <w:contextualSpacing/>
    </w:pPr>
  </w:style>
  <w:style w:type="paragraph" w:styleId="ListContinue5">
    <w:name w:val="List Continue 5"/>
    <w:basedOn w:val="Normal"/>
    <w:uiPriority w:val="14"/>
    <w:semiHidden/>
    <w:unhideWhenUsed/>
    <w:rsid w:val="00003E0B"/>
    <w:pPr>
      <w:spacing w:after="120"/>
      <w:ind w:left="2835"/>
      <w:contextualSpacing/>
    </w:pPr>
  </w:style>
  <w:style w:type="paragraph" w:styleId="List3">
    <w:name w:val="List 3"/>
    <w:basedOn w:val="Normal"/>
    <w:uiPriority w:val="14"/>
    <w:semiHidden/>
    <w:unhideWhenUsed/>
    <w:rsid w:val="00003E0B"/>
    <w:pPr>
      <w:ind w:left="1701" w:hanging="567"/>
      <w:contextualSpacing/>
    </w:pPr>
  </w:style>
  <w:style w:type="paragraph" w:styleId="List4">
    <w:name w:val="List 4"/>
    <w:basedOn w:val="Normal"/>
    <w:uiPriority w:val="14"/>
    <w:semiHidden/>
    <w:unhideWhenUsed/>
    <w:rsid w:val="00003E0B"/>
    <w:pPr>
      <w:ind w:left="2268" w:hanging="567"/>
      <w:contextualSpacing/>
    </w:pPr>
  </w:style>
  <w:style w:type="paragraph" w:styleId="List5">
    <w:name w:val="List 5"/>
    <w:basedOn w:val="Normal"/>
    <w:uiPriority w:val="14"/>
    <w:semiHidden/>
    <w:unhideWhenUsed/>
    <w:rsid w:val="00003E0B"/>
    <w:pPr>
      <w:ind w:left="2835" w:hanging="567"/>
      <w:contextualSpacing/>
    </w:pPr>
  </w:style>
  <w:style w:type="table" w:styleId="TableGrid">
    <w:name w:val="Table Grid"/>
    <w:basedOn w:val="TableNormal"/>
    <w:uiPriority w:val="59"/>
    <w:rsid w:val="00003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003E0B"/>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003E0B"/>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003E0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3E0B"/>
    <w:rPr>
      <w:rFonts w:asciiTheme="majorHAnsi" w:eastAsiaTheme="majorEastAsia" w:hAnsiTheme="majorHAnsi" w:cstheme="majorBidi"/>
      <w:i/>
    </w:rPr>
  </w:style>
  <w:style w:type="character" w:customStyle="1" w:styleId="Heading9Char">
    <w:name w:val="Heading 9 Char"/>
    <w:basedOn w:val="DefaultParagraphFont"/>
    <w:link w:val="Heading9"/>
    <w:uiPriority w:val="9"/>
    <w:semiHidden/>
    <w:rsid w:val="00003E0B"/>
    <w:rPr>
      <w:rFonts w:asciiTheme="majorHAnsi" w:eastAsiaTheme="majorEastAsia" w:hAnsiTheme="majorHAnsi" w:cstheme="majorBidi"/>
      <w:i/>
      <w:iCs/>
    </w:rPr>
  </w:style>
  <w:style w:type="table" w:styleId="MediumShading2-Accent3">
    <w:name w:val="Medium Shading 2 Accent 3"/>
    <w:basedOn w:val="TableNormal"/>
    <w:uiPriority w:val="64"/>
    <w:rsid w:val="00003E0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003E0B"/>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character" w:styleId="FollowedHyperlink">
    <w:name w:val="FollowedHyperlink"/>
    <w:basedOn w:val="DefaultParagraphFont"/>
    <w:uiPriority w:val="99"/>
    <w:semiHidden/>
    <w:unhideWhenUsed/>
    <w:rsid w:val="00585016"/>
    <w:rPr>
      <w:color w:val="0000FF" w:themeColor="followedHyperlink"/>
      <w:u w:val="single"/>
    </w:rPr>
  </w:style>
  <w:style w:type="paragraph" w:styleId="Caption">
    <w:name w:val="caption"/>
    <w:basedOn w:val="Normal"/>
    <w:next w:val="Normal"/>
    <w:uiPriority w:val="35"/>
    <w:semiHidden/>
    <w:unhideWhenUsed/>
    <w:qFormat/>
    <w:rsid w:val="00585016"/>
    <w:pPr>
      <w:spacing w:after="0"/>
    </w:pPr>
    <w:rPr>
      <w:b/>
      <w:bCs/>
      <w:sz w:val="18"/>
      <w:szCs w:val="18"/>
    </w:rPr>
  </w:style>
  <w:style w:type="paragraph" w:styleId="BlockText">
    <w:name w:val="Block Text"/>
    <w:basedOn w:val="Normal"/>
    <w:uiPriority w:val="99"/>
    <w:semiHidden/>
    <w:unhideWhenUsed/>
    <w:rsid w:val="00585016"/>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paragraph" w:styleId="ListParagraph">
    <w:name w:val="List Paragraph"/>
    <w:basedOn w:val="Normal"/>
    <w:uiPriority w:val="34"/>
    <w:qFormat/>
    <w:rsid w:val="00585016"/>
    <w:pPr>
      <w:ind w:left="720"/>
      <w:contextualSpacing/>
    </w:pPr>
  </w:style>
  <w:style w:type="paragraph" w:styleId="IntenseQuote">
    <w:name w:val="Intense Quote"/>
    <w:basedOn w:val="Normal"/>
    <w:next w:val="Normal"/>
    <w:link w:val="IntenseQuoteChar"/>
    <w:uiPriority w:val="30"/>
    <w:qFormat/>
    <w:rsid w:val="00585016"/>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rsid w:val="00585016"/>
    <w:rPr>
      <w:rFonts w:asciiTheme="minorHAnsi" w:hAnsiTheme="minorHAnsi"/>
      <w:b/>
      <w:bCs/>
      <w:i/>
      <w:iCs/>
      <w:color w:val="000000" w:themeColor="text1"/>
      <w:sz w:val="22"/>
      <w:szCs w:val="22"/>
    </w:rPr>
  </w:style>
  <w:style w:type="paragraph" w:customStyle="1" w:styleId="SectionHeading">
    <w:name w:val="Section Heading"/>
    <w:basedOn w:val="Heading1"/>
    <w:next w:val="BodyText"/>
    <w:uiPriority w:val="12"/>
    <w:qFormat/>
    <w:rsid w:val="00585016"/>
    <w:pPr>
      <w:pageBreakBefore/>
      <w:framePr w:w="10478" w:wrap="notBeside" w:vAnchor="page" w:hAnchor="margin" w:y="1135"/>
      <w:spacing w:after="120" w:line="720" w:lineRule="exact"/>
    </w:pPr>
    <w:rPr>
      <w:b w:val="0"/>
      <w:i w:val="0"/>
      <w:color w:val="968C6D" w:themeColor="text2"/>
      <w:sz w:val="72"/>
    </w:rPr>
  </w:style>
  <w:style w:type="paragraph" w:customStyle="1" w:styleId="Logo">
    <w:name w:val="Logo"/>
    <w:basedOn w:val="Normal"/>
    <w:next w:val="BodyText"/>
    <w:uiPriority w:val="15"/>
    <w:qFormat/>
    <w:rsid w:val="00585016"/>
    <w:pPr>
      <w:spacing w:after="0" w:line="204" w:lineRule="auto"/>
      <w:jc w:val="right"/>
    </w:pPr>
    <w:rPr>
      <w:rFonts w:ascii="PwC_Logo" w:hAnsi="PwC_Logo"/>
      <w:color w:val="968C6D" w:themeColor="text2"/>
      <w:sz w:val="48"/>
      <w:szCs w:val="48"/>
    </w:rPr>
  </w:style>
  <w:style w:type="paragraph" w:customStyle="1" w:styleId="Default">
    <w:name w:val="Default"/>
    <w:rsid w:val="00585016"/>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PlaceholderText">
    <w:name w:val="Placeholder Text"/>
    <w:basedOn w:val="DefaultParagraphFont"/>
    <w:uiPriority w:val="99"/>
    <w:semiHidden/>
    <w:rsid w:val="00585016"/>
    <w:rPr>
      <w:color w:val="808080"/>
    </w:rPr>
  </w:style>
  <w:style w:type="character" w:styleId="SubtleEmphasis">
    <w:name w:val="Subtle Emphasis"/>
    <w:basedOn w:val="DefaultParagraphFont"/>
    <w:uiPriority w:val="19"/>
    <w:qFormat/>
    <w:rsid w:val="00585016"/>
    <w:rPr>
      <w:b w:val="0"/>
      <w:bCs w:val="0"/>
      <w:i/>
      <w:iCs/>
      <w:strike w:val="0"/>
      <w:dstrike w:val="0"/>
      <w:color w:val="auto"/>
      <w:u w:val="none"/>
      <w:effect w:val="none"/>
    </w:rPr>
  </w:style>
  <w:style w:type="character" w:styleId="IntenseEmphasis">
    <w:name w:val="Intense Emphasis"/>
    <w:basedOn w:val="DefaultParagraphFont"/>
    <w:uiPriority w:val="21"/>
    <w:qFormat/>
    <w:rsid w:val="00585016"/>
    <w:rPr>
      <w:b/>
      <w:bCs/>
      <w:i/>
      <w:iCs/>
      <w:strike w:val="0"/>
      <w:dstrike w:val="0"/>
      <w:color w:val="auto"/>
      <w:u w:val="none"/>
      <w:effect w:val="none"/>
    </w:rPr>
  </w:style>
  <w:style w:type="character" w:styleId="SubtleReference">
    <w:name w:val="Subtle Reference"/>
    <w:basedOn w:val="DefaultParagraphFont"/>
    <w:uiPriority w:val="31"/>
    <w:qFormat/>
    <w:rsid w:val="00585016"/>
    <w:rPr>
      <w:b w:val="0"/>
      <w:bCs w:val="0"/>
      <w:i w:val="0"/>
      <w:iCs w:val="0"/>
      <w:smallCaps/>
      <w:color w:val="auto"/>
      <w:u w:val="single"/>
    </w:rPr>
  </w:style>
  <w:style w:type="character" w:styleId="IntenseReference">
    <w:name w:val="Intense Reference"/>
    <w:basedOn w:val="DefaultParagraphFont"/>
    <w:uiPriority w:val="32"/>
    <w:qFormat/>
    <w:rsid w:val="00585016"/>
    <w:rPr>
      <w:b/>
      <w:bCs/>
      <w:i w:val="0"/>
      <w:iCs w:val="0"/>
      <w:smallCaps/>
      <w:strike w:val="0"/>
      <w:dstrike w:val="0"/>
      <w:color w:val="auto"/>
      <w:spacing w:val="5"/>
      <w:u w:val="none"/>
      <w:effect w:val="none"/>
    </w:rPr>
  </w:style>
  <w:style w:type="table" w:styleId="LightShading-Accent2">
    <w:name w:val="Light Shading Accent 2"/>
    <w:basedOn w:val="TableNormal"/>
    <w:uiPriority w:val="60"/>
    <w:rsid w:val="00585016"/>
    <w:pPr>
      <w:spacing w:after="0" w:line="240" w:lineRule="auto"/>
    </w:pPr>
    <w:rPr>
      <w:color w:val="A9A189" w:themeColor="accent2" w:themeShade="BF"/>
      <w:sz w:val="21"/>
      <w:szCs w:val="21"/>
    </w:rPr>
    <w:tblPr>
      <w:tblStyleRowBandSize w:val="1"/>
      <w:tblStyleColBandSize w:val="1"/>
      <w:tblInd w:w="0" w:type="dxa"/>
      <w:tblBorders>
        <w:top w:val="single" w:sz="8" w:space="0" w:color="D5D1C5" w:themeColor="accent2"/>
        <w:bottom w:val="single" w:sz="8" w:space="0" w:color="D5D1C5"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D5D1C5" w:themeColor="accent2"/>
          <w:left w:val="nil"/>
          <w:bottom w:val="single" w:sz="8" w:space="0" w:color="D5D1C5"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D5D1C5" w:themeColor="accent2"/>
          <w:left w:val="nil"/>
          <w:bottom w:val="single" w:sz="8" w:space="0" w:color="D5D1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2" w:themeFillTint="3F"/>
      </w:tcPr>
    </w:tblStylePr>
    <w:tblStylePr w:type="band1Horz">
      <w:tblPr/>
      <w:tcPr>
        <w:tcBorders>
          <w:left w:val="nil"/>
          <w:right w:val="nil"/>
          <w:insideH w:val="nil"/>
          <w:insideV w:val="nil"/>
        </w:tcBorders>
        <w:shd w:val="clear" w:color="auto" w:fill="F4F3F0" w:themeFill="accent2" w:themeFillTint="3F"/>
      </w:tcPr>
    </w:tblStylePr>
  </w:style>
  <w:style w:type="table" w:styleId="ColorfulList-Accent3">
    <w:name w:val="Colorful List Accent 3"/>
    <w:basedOn w:val="TableNormal"/>
    <w:uiPriority w:val="72"/>
    <w:rsid w:val="00585016"/>
    <w:pPr>
      <w:spacing w:after="0" w:line="240" w:lineRule="auto"/>
    </w:pPr>
    <w:rPr>
      <w:color w:val="000000" w:themeColor="text1"/>
      <w:sz w:val="21"/>
      <w:szCs w:val="21"/>
    </w:rPr>
    <w:tblPr>
      <w:tblStyleRowBandSize w:val="1"/>
      <w:tblStyleColBandSize w:val="1"/>
      <w:tblInd w:w="0" w:type="dxa"/>
      <w:tblCellMar>
        <w:top w:w="0" w:type="dxa"/>
        <w:left w:w="108" w:type="dxa"/>
        <w:bottom w:w="0" w:type="dxa"/>
        <w:right w:w="108" w:type="dxa"/>
      </w:tblCellMar>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D63C56" w:themeFill="accent4" w:themeFillShade="CC"/>
      </w:tcPr>
    </w:tblStylePr>
    <w:tblStylePr w:type="lastRow">
      <w:rPr>
        <w:b/>
        <w:bCs/>
        <w:color w:val="D63C5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table" w:styleId="MediumShading1-Accent4">
    <w:name w:val="Medium Shading 1 Accent 4"/>
    <w:basedOn w:val="TableNormal"/>
    <w:uiPriority w:val="63"/>
    <w:rsid w:val="00585016"/>
    <w:pPr>
      <w:spacing w:after="0" w:line="240" w:lineRule="auto"/>
    </w:pPr>
    <w:rPr>
      <w:color w:val="000000" w:themeColor="text1"/>
      <w:sz w:val="21"/>
      <w:szCs w:val="21"/>
    </w:rPr>
    <w:tblPr>
      <w:tblStyleRowBandSize w:val="1"/>
      <w:tblStyleColBandSize w:val="1"/>
      <w:tblInd w:w="0" w:type="dxa"/>
      <w:tbl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single" w:sz="8" w:space="0" w:color="E997A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shd w:val="clear" w:color="auto" w:fill="E27588" w:themeFill="accent4"/>
      </w:tcPr>
    </w:tblStylePr>
    <w:tblStylePr w:type="lastRow">
      <w:pPr>
        <w:spacing w:beforeLines="0" w:beforeAutospacing="0" w:afterLines="0" w:afterAutospacing="0" w:line="240" w:lineRule="auto"/>
      </w:pPr>
      <w:rPr>
        <w:b/>
        <w:bCs/>
      </w:rPr>
      <w:tblPr/>
      <w:tcPr>
        <w:tcBorders>
          <w:top w:val="double" w:sz="6"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CE1" w:themeFill="accent4" w:themeFillTint="3F"/>
      </w:tcPr>
    </w:tblStylePr>
    <w:tblStylePr w:type="band1Horz">
      <w:tblPr/>
      <w:tcPr>
        <w:tcBorders>
          <w:insideH w:val="nil"/>
          <w:insideV w:val="nil"/>
        </w:tcBorders>
        <w:shd w:val="clear" w:color="auto" w:fill="F7DCE1"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585016"/>
    <w:pPr>
      <w:spacing w:after="0" w:line="240" w:lineRule="auto"/>
    </w:pPr>
    <w:rPr>
      <w:color w:val="000000" w:themeColor="text1"/>
      <w:sz w:val="16"/>
      <w:szCs w:val="21"/>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85016"/>
    <w:pPr>
      <w:spacing w:after="0" w:line="240" w:lineRule="auto"/>
    </w:pPr>
    <w:rPr>
      <w:color w:val="000000" w:themeColor="text1"/>
      <w:sz w:val="21"/>
      <w:szCs w:val="21"/>
    </w:rPr>
    <w:tblPr>
      <w:tblStyleRowBandSize w:val="1"/>
      <w:tblStyleColBandSize w:val="1"/>
      <w:tblInd w:w="0" w:type="dxa"/>
      <w:tblBorders>
        <w:top w:val="single" w:sz="8"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single" w:sz="8" w:space="0" w:color="B0A891"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nil"/>
          <w:insideV w:val="nil"/>
        </w:tcBorders>
        <w:shd w:val="clear" w:color="auto" w:fill="968C6D" w:themeFill="accent1"/>
      </w:tcPr>
    </w:tblStylePr>
    <w:tblStylePr w:type="lastRow">
      <w:pPr>
        <w:spacing w:beforeLines="0" w:beforeAutospacing="0" w:afterLines="0" w:afterAutospacing="0" w:line="240" w:lineRule="auto"/>
      </w:pPr>
      <w:rPr>
        <w:b/>
        <w:bCs/>
      </w:rPr>
      <w:tblPr/>
      <w:tcPr>
        <w:tcBorders>
          <w:top w:val="double" w:sz="6"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2DA" w:themeFill="accent1" w:themeFillTint="3F"/>
      </w:tcPr>
    </w:tblStylePr>
    <w:tblStylePr w:type="band1Horz">
      <w:tblPr/>
      <w:tcPr>
        <w:tcBorders>
          <w:insideH w:val="nil"/>
          <w:insideV w:val="nil"/>
        </w:tcBorders>
        <w:shd w:val="clear" w:color="auto" w:fill="E5E2DA"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585016"/>
    <w:pPr>
      <w:spacing w:after="0" w:line="240" w:lineRule="auto"/>
    </w:pPr>
    <w:rPr>
      <w:color w:val="000000" w:themeColor="text1"/>
      <w:sz w:val="21"/>
      <w:szCs w:val="2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585016"/>
    <w:pPr>
      <w:spacing w:after="0" w:line="240" w:lineRule="auto"/>
    </w:pPr>
    <w:rPr>
      <w:color w:val="000000" w:themeColor="text1"/>
      <w:sz w:val="21"/>
      <w:szCs w:val="21"/>
    </w:rPr>
    <w:tblPr>
      <w:tblStyleRowBandSize w:val="1"/>
      <w:tblStyleColBandSize w:val="1"/>
      <w:tblInd w:w="0" w:type="dxa"/>
      <w:tblBorders>
        <w:top w:val="single" w:sz="8" w:space="0" w:color="968C6D" w:themeColor="accent1"/>
        <w:left w:val="single" w:sz="8" w:space="0" w:color="968C6D" w:themeColor="accent1"/>
        <w:bottom w:val="single" w:sz="8" w:space="0" w:color="968C6D" w:themeColor="accent1"/>
        <w:right w:val="single" w:sz="8" w:space="0" w:color="968C6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68C6D" w:themeFill="accent1"/>
      </w:tcPr>
    </w:tblStylePr>
    <w:tblStylePr w:type="lastRow">
      <w:pPr>
        <w:spacing w:beforeLines="0" w:beforeAutospacing="0" w:afterLines="0" w:afterAutospacing="0" w:line="240" w:lineRule="auto"/>
      </w:pPr>
      <w:rPr>
        <w:b/>
        <w:bCs/>
      </w:rPr>
      <w:tblPr/>
      <w:tcPr>
        <w:tcBorders>
          <w:top w:val="double" w:sz="6" w:space="0" w:color="968C6D" w:themeColor="accent1"/>
          <w:left w:val="single" w:sz="8" w:space="0" w:color="968C6D" w:themeColor="accent1"/>
          <w:bottom w:val="single" w:sz="8" w:space="0" w:color="968C6D" w:themeColor="accent1"/>
          <w:right w:val="single" w:sz="8" w:space="0" w:color="968C6D" w:themeColor="accent1"/>
        </w:tcBorders>
      </w:tcPr>
    </w:tblStylePr>
    <w:tblStylePr w:type="firstCol">
      <w:rPr>
        <w:b/>
        <w:bCs/>
      </w:rPr>
    </w:tblStylePr>
    <w:tblStylePr w:type="lastCol">
      <w:rPr>
        <w:b/>
        <w:bCs/>
      </w:rPr>
    </w:tblStylePr>
    <w:tblStylePr w:type="band1Vert">
      <w:tblPr/>
      <w:tcPr>
        <w:tcBorders>
          <w:top w:val="single" w:sz="8" w:space="0" w:color="968C6D" w:themeColor="accent1"/>
          <w:left w:val="single" w:sz="8" w:space="0" w:color="968C6D" w:themeColor="accent1"/>
          <w:bottom w:val="single" w:sz="8" w:space="0" w:color="968C6D" w:themeColor="accent1"/>
          <w:right w:val="single" w:sz="8" w:space="0" w:color="968C6D" w:themeColor="accent1"/>
        </w:tcBorders>
      </w:tcPr>
    </w:tblStylePr>
    <w:tblStylePr w:type="band1Horz">
      <w:tblPr/>
      <w:tcPr>
        <w:tcBorders>
          <w:top w:val="single" w:sz="8" w:space="0" w:color="968C6D" w:themeColor="accent1"/>
          <w:left w:val="single" w:sz="8" w:space="0" w:color="968C6D" w:themeColor="accent1"/>
          <w:bottom w:val="single" w:sz="8" w:space="0" w:color="968C6D" w:themeColor="accent1"/>
          <w:right w:val="single" w:sz="8" w:space="0" w:color="968C6D" w:themeColor="accent1"/>
        </w:tcBorders>
      </w:tcPr>
    </w:tblStylePr>
  </w:style>
  <w:style w:type="table" w:customStyle="1" w:styleId="PwCTable1">
    <w:name w:val="PwC Table 1"/>
    <w:basedOn w:val="TableNormal"/>
    <w:uiPriority w:val="99"/>
    <w:qFormat/>
    <w:rsid w:val="00585016"/>
    <w:pPr>
      <w:spacing w:after="0" w:line="240" w:lineRule="auto"/>
    </w:pPr>
    <w:rPr>
      <w:color w:val="000000" w:themeColor="text1"/>
      <w:sz w:val="18"/>
    </w:rPr>
    <w:tblPr>
      <w:tblStyleRowBandSize w:val="1"/>
      <w:tblInd w:w="0" w:type="dxa"/>
      <w:tblBorders>
        <w:bottom w:val="single" w:sz="4" w:space="0" w:color="968C6D" w:themeColor="accent1"/>
        <w:insideH w:val="single" w:sz="4" w:space="0" w:color="968C6D" w:themeColor="accent1"/>
      </w:tblBorders>
      <w:tblCellMar>
        <w:top w:w="57" w:type="dxa"/>
        <w:left w:w="0" w:type="dxa"/>
        <w:bottom w:w="57" w:type="dxa"/>
        <w:right w:w="0" w:type="dxa"/>
      </w:tblCellMar>
    </w:tblPr>
    <w:tblStylePr w:type="firstRow">
      <w:pPr>
        <w:wordWrap/>
        <w:spacing w:line="210" w:lineRule="atLeast"/>
      </w:pPr>
      <w:rPr>
        <w:rFonts w:asciiTheme="majorHAnsi" w:hAnsiTheme="majorHAnsi" w:hint="default"/>
        <w:b/>
        <w:color w:val="968C6D" w:themeColor="accent1"/>
        <w:sz w:val="18"/>
        <w:szCs w:val="18"/>
      </w:rPr>
      <w:tblPr/>
      <w:tcPr>
        <w:tcBorders>
          <w:top w:val="nil"/>
          <w:left w:val="nil"/>
          <w:bottom w:val="single" w:sz="8" w:space="0" w:color="968C6D" w:themeColor="text2"/>
          <w:right w:val="nil"/>
          <w:insideH w:val="nil"/>
          <w:insideV w:val="nil"/>
          <w:tl2br w:val="nil"/>
          <w:tr2bl w:val="nil"/>
        </w:tcBorders>
      </w:tcPr>
    </w:tblStylePr>
    <w:tblStylePr w:type="lastRow">
      <w:tblPr/>
      <w:tcPr>
        <w:tcBorders>
          <w:top w:val="nil"/>
          <w:left w:val="nil"/>
          <w:bottom w:val="single" w:sz="4" w:space="0" w:color="968C6D" w:themeColor="accent1"/>
          <w:right w:val="nil"/>
          <w:insideH w:val="nil"/>
          <w:insideV w:val="nil"/>
          <w:tl2br w:val="nil"/>
          <w:tr2bl w:val="nil"/>
        </w:tcBorders>
      </w:tcPr>
    </w:tblStylePr>
    <w:tblStylePr w:type="band1Horz">
      <w:pPr>
        <w:wordWrap/>
        <w:spacing w:line="210" w:lineRule="atLeast"/>
      </w:pPr>
    </w:tblStylePr>
    <w:tblStylePr w:type="band2Horz">
      <w:pPr>
        <w:wordWrap/>
        <w:spacing w:line="210" w:lineRule="atLeast"/>
      </w:pPr>
    </w:tblStylePr>
  </w:style>
  <w:style w:type="table" w:customStyle="1" w:styleId="DarkList1">
    <w:name w:val="Dark List1"/>
    <w:basedOn w:val="TableNormal"/>
    <w:uiPriority w:val="70"/>
    <w:rsid w:val="00585016"/>
    <w:pPr>
      <w:spacing w:after="0" w:line="240" w:lineRule="auto"/>
    </w:pPr>
    <w:rPr>
      <w:color w:val="FFFFFF" w:themeColor="background1"/>
      <w:sz w:val="21"/>
      <w:szCs w:val="2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2">
    <w:name w:val="Dark List2"/>
    <w:basedOn w:val="TableNormal"/>
    <w:uiPriority w:val="70"/>
    <w:rsid w:val="00585016"/>
    <w:pPr>
      <w:spacing w:after="0" w:line="240" w:lineRule="auto"/>
    </w:pPr>
    <w:rPr>
      <w:color w:val="FFFFFF" w:themeColor="background1"/>
      <w:sz w:val="21"/>
      <w:szCs w:val="2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FootnoteText">
    <w:name w:val="footnote text"/>
    <w:basedOn w:val="Normal"/>
    <w:link w:val="FootnoteTextChar"/>
    <w:uiPriority w:val="99"/>
    <w:semiHidden/>
    <w:unhideWhenUsed/>
    <w:rsid w:val="00944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DFB"/>
    <w:rPr>
      <w:rFonts w:asciiTheme="minorHAnsi" w:hAnsiTheme="minorHAnsi"/>
      <w:color w:val="000000" w:themeColor="text1"/>
    </w:rPr>
  </w:style>
  <w:style w:type="character" w:styleId="FootnoteReference">
    <w:name w:val="footnote reference"/>
    <w:basedOn w:val="DefaultParagraphFont"/>
    <w:uiPriority w:val="99"/>
    <w:semiHidden/>
    <w:unhideWhenUsed/>
    <w:rsid w:val="00944DFB"/>
    <w:rPr>
      <w:vertAlign w:val="superscript"/>
    </w:rPr>
  </w:style>
  <w:style w:type="paragraph" w:styleId="Bibliography">
    <w:name w:val="Bibliography"/>
    <w:basedOn w:val="Normal"/>
    <w:next w:val="Normal"/>
    <w:uiPriority w:val="37"/>
    <w:unhideWhenUsed/>
    <w:rsid w:val="00944DFB"/>
  </w:style>
  <w:style w:type="character" w:styleId="CommentReference">
    <w:name w:val="annotation reference"/>
    <w:basedOn w:val="DefaultParagraphFont"/>
    <w:uiPriority w:val="99"/>
    <w:semiHidden/>
    <w:unhideWhenUsed/>
    <w:rsid w:val="00A72FFC"/>
    <w:rPr>
      <w:sz w:val="16"/>
      <w:szCs w:val="16"/>
    </w:rPr>
  </w:style>
  <w:style w:type="paragraph" w:styleId="CommentText">
    <w:name w:val="annotation text"/>
    <w:basedOn w:val="Normal"/>
    <w:link w:val="CommentTextChar"/>
    <w:uiPriority w:val="99"/>
    <w:semiHidden/>
    <w:unhideWhenUsed/>
    <w:rsid w:val="00A72FFC"/>
    <w:pPr>
      <w:spacing w:line="240" w:lineRule="auto"/>
    </w:pPr>
    <w:rPr>
      <w:sz w:val="20"/>
      <w:szCs w:val="20"/>
    </w:rPr>
  </w:style>
  <w:style w:type="character" w:customStyle="1" w:styleId="CommentTextChar">
    <w:name w:val="Comment Text Char"/>
    <w:basedOn w:val="DefaultParagraphFont"/>
    <w:link w:val="CommentText"/>
    <w:uiPriority w:val="99"/>
    <w:semiHidden/>
    <w:rsid w:val="00A72FFC"/>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72FFC"/>
    <w:rPr>
      <w:b/>
      <w:bCs/>
    </w:rPr>
  </w:style>
  <w:style w:type="character" w:customStyle="1" w:styleId="CommentSubjectChar">
    <w:name w:val="Comment Subject Char"/>
    <w:basedOn w:val="CommentTextChar"/>
    <w:link w:val="CommentSubject"/>
    <w:uiPriority w:val="99"/>
    <w:semiHidden/>
    <w:rsid w:val="00A72FFC"/>
    <w:rPr>
      <w:rFonts w:asciiTheme="minorHAnsi" w:hAnsiTheme="minorHAns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4"/>
    <w:lsdException w:name="List Bullet" w:uiPriority="14" w:qFormat="1"/>
    <w:lsdException w:name="List Number" w:uiPriority="14" w:qFormat="1"/>
    <w:lsdException w:name="List 2" w:uiPriority="14"/>
    <w:lsdException w:name="List 3" w:uiPriority="14"/>
    <w:lsdException w:name="List 4" w:uiPriority="14"/>
    <w:lsdException w:name="List 5" w:uiPriority="14"/>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34"/>
    <w:qFormat/>
    <w:rsid w:val="00585016"/>
    <w:rPr>
      <w:rFonts w:asciiTheme="minorHAnsi" w:hAnsiTheme="minorHAnsi"/>
      <w:color w:val="000000" w:themeColor="text1"/>
      <w:sz w:val="21"/>
      <w:szCs w:val="21"/>
    </w:rPr>
  </w:style>
  <w:style w:type="paragraph" w:styleId="Heading1">
    <w:name w:val="heading 1"/>
    <w:basedOn w:val="Normal"/>
    <w:next w:val="BodyText"/>
    <w:link w:val="Heading1Char"/>
    <w:uiPriority w:val="9"/>
    <w:qFormat/>
    <w:rsid w:val="00003E0B"/>
    <w:pPr>
      <w:keepNext/>
      <w:keepLines/>
      <w:spacing w:after="40" w:line="240" w:lineRule="auto"/>
      <w:outlineLvl w:val="0"/>
    </w:pPr>
    <w:rPr>
      <w:rFonts w:asciiTheme="majorHAnsi" w:eastAsiaTheme="majorEastAsia" w:hAnsiTheme="majorHAnsi" w:cstheme="majorBidi"/>
      <w:b/>
      <w:bCs/>
      <w:i/>
      <w:sz w:val="36"/>
      <w:szCs w:val="28"/>
    </w:rPr>
  </w:style>
  <w:style w:type="paragraph" w:styleId="Heading2">
    <w:name w:val="heading 2"/>
    <w:basedOn w:val="Normal"/>
    <w:next w:val="BodyText"/>
    <w:link w:val="Heading2Char"/>
    <w:uiPriority w:val="9"/>
    <w:unhideWhenUsed/>
    <w:qFormat/>
    <w:rsid w:val="00003E0B"/>
    <w:pPr>
      <w:keepNext/>
      <w:keepLines/>
      <w:spacing w:after="4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BodyText"/>
    <w:link w:val="Heading3Char"/>
    <w:uiPriority w:val="9"/>
    <w:unhideWhenUsed/>
    <w:qFormat/>
    <w:rsid w:val="00003E0B"/>
    <w:pPr>
      <w:keepNext/>
      <w:keepLines/>
      <w:spacing w:after="40" w:line="240" w:lineRule="auto"/>
      <w:outlineLvl w:val="2"/>
    </w:pPr>
    <w:rPr>
      <w:rFonts w:asciiTheme="majorHAnsi" w:eastAsiaTheme="majorEastAsia" w:hAnsiTheme="majorHAnsi" w:cstheme="majorBidi"/>
      <w:b/>
      <w:bCs/>
      <w:i/>
      <w:sz w:val="24"/>
    </w:rPr>
  </w:style>
  <w:style w:type="paragraph" w:styleId="Heading4">
    <w:name w:val="heading 4"/>
    <w:basedOn w:val="Normal"/>
    <w:next w:val="BodyText"/>
    <w:link w:val="Heading4Char"/>
    <w:uiPriority w:val="9"/>
    <w:unhideWhenUsed/>
    <w:qFormat/>
    <w:rsid w:val="00003E0B"/>
    <w:pPr>
      <w:keepNext/>
      <w:keepLines/>
      <w:spacing w:after="40" w:line="240" w:lineRule="auto"/>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unhideWhenUsed/>
    <w:qFormat/>
    <w:rsid w:val="00003E0B"/>
    <w:pPr>
      <w:keepNext/>
      <w:keepLines/>
      <w:spacing w:after="40" w:line="240" w:lineRule="auto"/>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003E0B"/>
    <w:pPr>
      <w:keepNext/>
      <w:keepLines/>
      <w:spacing w:after="40" w:line="240" w:lineRule="auto"/>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03E0B"/>
    <w:pPr>
      <w:keepNext/>
      <w:keepLines/>
      <w:spacing w:after="4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3E0B"/>
    <w:pPr>
      <w:keepNext/>
      <w:keepLines/>
      <w:spacing w:after="40" w:line="240" w:lineRule="auto"/>
      <w:outlineLvl w:val="7"/>
    </w:pPr>
    <w:rPr>
      <w:rFonts w:asciiTheme="majorHAnsi" w:eastAsiaTheme="majorEastAsia" w:hAnsiTheme="majorHAnsi" w:cstheme="majorBidi"/>
      <w:i/>
    </w:rPr>
  </w:style>
  <w:style w:type="paragraph" w:styleId="Heading9">
    <w:name w:val="heading 9"/>
    <w:basedOn w:val="Normal"/>
    <w:next w:val="Normal"/>
    <w:link w:val="Heading9Char"/>
    <w:uiPriority w:val="9"/>
    <w:semiHidden/>
    <w:unhideWhenUsed/>
    <w:qFormat/>
    <w:rsid w:val="00003E0B"/>
    <w:pPr>
      <w:keepNext/>
      <w:keepLines/>
      <w:spacing w:after="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03E0B"/>
  </w:style>
  <w:style w:type="character" w:customStyle="1" w:styleId="BodyTextChar">
    <w:name w:val="Body Text Char"/>
    <w:basedOn w:val="DefaultParagraphFont"/>
    <w:link w:val="BodyText"/>
    <w:rsid w:val="00003E0B"/>
  </w:style>
  <w:style w:type="paragraph" w:customStyle="1" w:styleId="BodySingle">
    <w:name w:val="Body Single"/>
    <w:basedOn w:val="BodyText"/>
    <w:link w:val="BodySingleChar"/>
    <w:uiPriority w:val="1"/>
    <w:qFormat/>
    <w:rsid w:val="00003E0B"/>
    <w:pPr>
      <w:spacing w:after="0"/>
    </w:pPr>
  </w:style>
  <w:style w:type="paragraph" w:styleId="Header">
    <w:name w:val="header"/>
    <w:basedOn w:val="Normal"/>
    <w:link w:val="HeaderChar"/>
    <w:uiPriority w:val="99"/>
    <w:unhideWhenUsed/>
    <w:rsid w:val="00003E0B"/>
    <w:pPr>
      <w:tabs>
        <w:tab w:val="center" w:pos="4536"/>
        <w:tab w:val="right" w:pos="9866"/>
      </w:tabs>
      <w:spacing w:after="0" w:line="240" w:lineRule="auto"/>
    </w:pPr>
    <w:rPr>
      <w:sz w:val="18"/>
    </w:rPr>
  </w:style>
  <w:style w:type="character" w:customStyle="1" w:styleId="BodySingleChar">
    <w:name w:val="Body Single Char"/>
    <w:basedOn w:val="BodyTextChar"/>
    <w:link w:val="BodySingle"/>
    <w:uiPriority w:val="1"/>
    <w:rsid w:val="00003E0B"/>
  </w:style>
  <w:style w:type="character" w:customStyle="1" w:styleId="HeaderChar">
    <w:name w:val="Header Char"/>
    <w:basedOn w:val="DefaultParagraphFont"/>
    <w:link w:val="Header"/>
    <w:uiPriority w:val="99"/>
    <w:rsid w:val="00003E0B"/>
    <w:rPr>
      <w:rFonts w:asciiTheme="minorHAnsi" w:hAnsiTheme="minorHAnsi"/>
      <w:sz w:val="18"/>
    </w:rPr>
  </w:style>
  <w:style w:type="paragraph" w:styleId="Footer">
    <w:name w:val="footer"/>
    <w:basedOn w:val="Normal"/>
    <w:link w:val="FooterChar"/>
    <w:uiPriority w:val="99"/>
    <w:unhideWhenUsed/>
    <w:rsid w:val="00003E0B"/>
    <w:pPr>
      <w:tabs>
        <w:tab w:val="center" w:pos="4536"/>
        <w:tab w:val="right" w:pos="9866"/>
      </w:tabs>
      <w:spacing w:after="0" w:line="240" w:lineRule="auto"/>
    </w:pPr>
    <w:rPr>
      <w:sz w:val="18"/>
    </w:rPr>
  </w:style>
  <w:style w:type="character" w:customStyle="1" w:styleId="FooterChar">
    <w:name w:val="Footer Char"/>
    <w:basedOn w:val="DefaultParagraphFont"/>
    <w:link w:val="Footer"/>
    <w:uiPriority w:val="99"/>
    <w:rsid w:val="00003E0B"/>
    <w:rPr>
      <w:rFonts w:asciiTheme="minorHAnsi" w:hAnsiTheme="minorHAnsi"/>
      <w:sz w:val="18"/>
    </w:rPr>
  </w:style>
  <w:style w:type="character" w:customStyle="1" w:styleId="Heading1Char">
    <w:name w:val="Heading 1 Char"/>
    <w:basedOn w:val="DefaultParagraphFont"/>
    <w:link w:val="Heading1"/>
    <w:uiPriority w:val="9"/>
    <w:rsid w:val="00003E0B"/>
    <w:rPr>
      <w:rFonts w:asciiTheme="majorHAnsi" w:eastAsiaTheme="majorEastAsia" w:hAnsiTheme="majorHAnsi" w:cstheme="majorBidi"/>
      <w:b/>
      <w:bCs/>
      <w:i/>
      <w:sz w:val="36"/>
      <w:szCs w:val="28"/>
    </w:rPr>
  </w:style>
  <w:style w:type="character" w:customStyle="1" w:styleId="Heading2Char">
    <w:name w:val="Heading 2 Char"/>
    <w:basedOn w:val="DefaultParagraphFont"/>
    <w:link w:val="Heading2"/>
    <w:uiPriority w:val="9"/>
    <w:rsid w:val="00003E0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003E0B"/>
    <w:rPr>
      <w:rFonts w:asciiTheme="majorHAnsi" w:eastAsiaTheme="majorEastAsia" w:hAnsiTheme="majorHAnsi" w:cstheme="majorBidi"/>
      <w:b/>
      <w:bCs/>
      <w:i/>
      <w:sz w:val="24"/>
    </w:rPr>
  </w:style>
  <w:style w:type="character" w:customStyle="1" w:styleId="Heading4Char">
    <w:name w:val="Heading 4 Char"/>
    <w:basedOn w:val="DefaultParagraphFont"/>
    <w:link w:val="Heading4"/>
    <w:uiPriority w:val="9"/>
    <w:rsid w:val="00003E0B"/>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003E0B"/>
    <w:rPr>
      <w:rFonts w:asciiTheme="majorHAnsi" w:eastAsiaTheme="majorEastAsia" w:hAnsiTheme="majorHAnsi" w:cstheme="majorBidi"/>
      <w:i/>
    </w:rPr>
  </w:style>
  <w:style w:type="paragraph" w:styleId="Title">
    <w:name w:val="Title"/>
    <w:basedOn w:val="Normal"/>
    <w:next w:val="Subtitle"/>
    <w:link w:val="TitleChar"/>
    <w:uiPriority w:val="10"/>
    <w:qFormat/>
    <w:rsid w:val="00003E0B"/>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003E0B"/>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003E0B"/>
    <w:pPr>
      <w:spacing w:before="480"/>
      <w:outlineLvl w:val="9"/>
    </w:pPr>
    <w:rPr>
      <w:lang w:val="en-US"/>
    </w:rPr>
  </w:style>
  <w:style w:type="paragraph" w:styleId="Subtitle">
    <w:name w:val="Subtitle"/>
    <w:basedOn w:val="Normal"/>
    <w:next w:val="BodyText"/>
    <w:link w:val="SubtitleChar"/>
    <w:uiPriority w:val="11"/>
    <w:qFormat/>
    <w:rsid w:val="00003E0B"/>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003E0B"/>
    <w:rPr>
      <w:rFonts w:asciiTheme="majorHAnsi" w:eastAsiaTheme="majorEastAsia" w:hAnsiTheme="majorHAnsi" w:cstheme="majorBidi"/>
      <w:iCs/>
      <w:spacing w:val="15"/>
      <w:sz w:val="40"/>
      <w:szCs w:val="24"/>
    </w:rPr>
  </w:style>
  <w:style w:type="paragraph" w:styleId="TOC1">
    <w:name w:val="toc 1"/>
    <w:basedOn w:val="Heading3"/>
    <w:next w:val="Normal"/>
    <w:autoRedefine/>
    <w:uiPriority w:val="39"/>
    <w:unhideWhenUsed/>
    <w:qFormat/>
    <w:rsid w:val="00003E0B"/>
    <w:pPr>
      <w:spacing w:after="100"/>
    </w:pPr>
  </w:style>
  <w:style w:type="paragraph" w:styleId="TOC2">
    <w:name w:val="toc 2"/>
    <w:basedOn w:val="Heading3"/>
    <w:next w:val="Normal"/>
    <w:autoRedefine/>
    <w:uiPriority w:val="39"/>
    <w:unhideWhenUsed/>
    <w:qFormat/>
    <w:rsid w:val="00073097"/>
    <w:pPr>
      <w:tabs>
        <w:tab w:val="right" w:leader="dot" w:pos="8779"/>
      </w:tabs>
      <w:spacing w:after="100"/>
      <w:ind w:left="200"/>
    </w:pPr>
    <w:rPr>
      <w:b w:val="0"/>
      <w:i w:val="0"/>
      <w:noProof/>
      <w:lang w:val="en-US"/>
    </w:rPr>
  </w:style>
  <w:style w:type="paragraph" w:styleId="TOC3">
    <w:name w:val="toc 3"/>
    <w:basedOn w:val="Heading9"/>
    <w:next w:val="Normal"/>
    <w:autoRedefine/>
    <w:uiPriority w:val="39"/>
    <w:unhideWhenUsed/>
    <w:qFormat/>
    <w:rsid w:val="00073097"/>
    <w:pPr>
      <w:spacing w:after="100"/>
      <w:ind w:left="400"/>
    </w:pPr>
    <w:rPr>
      <w:i w:val="0"/>
    </w:rPr>
  </w:style>
  <w:style w:type="character" w:styleId="Hyperlink">
    <w:name w:val="Hyperlink"/>
    <w:basedOn w:val="DefaultParagraphFont"/>
    <w:uiPriority w:val="99"/>
    <w:unhideWhenUsed/>
    <w:rsid w:val="00003E0B"/>
    <w:rPr>
      <w:color w:val="0000FF" w:themeColor="hyperlink"/>
      <w:u w:val="single"/>
    </w:rPr>
  </w:style>
  <w:style w:type="paragraph" w:styleId="BalloonText">
    <w:name w:val="Balloon Text"/>
    <w:basedOn w:val="Normal"/>
    <w:link w:val="BalloonTextChar"/>
    <w:uiPriority w:val="99"/>
    <w:semiHidden/>
    <w:unhideWhenUsed/>
    <w:rsid w:val="0000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0B"/>
    <w:rPr>
      <w:rFonts w:ascii="Tahoma" w:hAnsi="Tahoma" w:cs="Tahoma"/>
      <w:sz w:val="16"/>
      <w:szCs w:val="16"/>
    </w:rPr>
  </w:style>
  <w:style w:type="paragraph" w:styleId="ListBullet">
    <w:name w:val="List Bullet"/>
    <w:basedOn w:val="Normal"/>
    <w:uiPriority w:val="14"/>
    <w:unhideWhenUsed/>
    <w:qFormat/>
    <w:rsid w:val="00003E0B"/>
    <w:pPr>
      <w:numPr>
        <w:numId w:val="11"/>
      </w:numPr>
      <w:contextualSpacing/>
    </w:pPr>
  </w:style>
  <w:style w:type="numbering" w:customStyle="1" w:styleId="PwCListBullets1">
    <w:name w:val="PwC List Bullets 1"/>
    <w:uiPriority w:val="99"/>
    <w:rsid w:val="00003E0B"/>
    <w:pPr>
      <w:numPr>
        <w:numId w:val="11"/>
      </w:numPr>
    </w:pPr>
  </w:style>
  <w:style w:type="numbering" w:customStyle="1" w:styleId="PwCListNumbers1">
    <w:name w:val="PwC List Numbers 1"/>
    <w:uiPriority w:val="99"/>
    <w:rsid w:val="00003E0B"/>
    <w:pPr>
      <w:numPr>
        <w:numId w:val="12"/>
      </w:numPr>
    </w:pPr>
  </w:style>
  <w:style w:type="paragraph" w:styleId="ListNumber">
    <w:name w:val="List Number"/>
    <w:basedOn w:val="Normal"/>
    <w:uiPriority w:val="14"/>
    <w:unhideWhenUsed/>
    <w:qFormat/>
    <w:rsid w:val="00003E0B"/>
    <w:pPr>
      <w:numPr>
        <w:numId w:val="16"/>
      </w:numPr>
      <w:contextualSpacing/>
    </w:pPr>
  </w:style>
  <w:style w:type="paragraph" w:styleId="ListBullet2">
    <w:name w:val="List Bullet 2"/>
    <w:basedOn w:val="Normal"/>
    <w:uiPriority w:val="14"/>
    <w:unhideWhenUsed/>
    <w:qFormat/>
    <w:rsid w:val="00003E0B"/>
    <w:pPr>
      <w:numPr>
        <w:ilvl w:val="1"/>
        <w:numId w:val="11"/>
      </w:numPr>
      <w:contextualSpacing/>
    </w:pPr>
  </w:style>
  <w:style w:type="paragraph" w:styleId="ListBullet3">
    <w:name w:val="List Bullet 3"/>
    <w:basedOn w:val="Normal"/>
    <w:uiPriority w:val="14"/>
    <w:unhideWhenUsed/>
    <w:qFormat/>
    <w:rsid w:val="00003E0B"/>
    <w:pPr>
      <w:numPr>
        <w:ilvl w:val="2"/>
        <w:numId w:val="11"/>
      </w:numPr>
      <w:contextualSpacing/>
    </w:pPr>
  </w:style>
  <w:style w:type="paragraph" w:styleId="ListBullet4">
    <w:name w:val="List Bullet 4"/>
    <w:basedOn w:val="Normal"/>
    <w:uiPriority w:val="14"/>
    <w:semiHidden/>
    <w:unhideWhenUsed/>
    <w:rsid w:val="00003E0B"/>
    <w:pPr>
      <w:numPr>
        <w:ilvl w:val="3"/>
        <w:numId w:val="11"/>
      </w:numPr>
      <w:contextualSpacing/>
    </w:pPr>
  </w:style>
  <w:style w:type="paragraph" w:styleId="ListBullet5">
    <w:name w:val="List Bullet 5"/>
    <w:basedOn w:val="Normal"/>
    <w:uiPriority w:val="14"/>
    <w:semiHidden/>
    <w:unhideWhenUsed/>
    <w:rsid w:val="00003E0B"/>
    <w:pPr>
      <w:numPr>
        <w:ilvl w:val="4"/>
        <w:numId w:val="11"/>
      </w:numPr>
      <w:contextualSpacing/>
    </w:pPr>
  </w:style>
  <w:style w:type="paragraph" w:styleId="ListNumber2">
    <w:name w:val="List Number 2"/>
    <w:basedOn w:val="Normal"/>
    <w:uiPriority w:val="14"/>
    <w:unhideWhenUsed/>
    <w:qFormat/>
    <w:rsid w:val="00003E0B"/>
    <w:pPr>
      <w:numPr>
        <w:ilvl w:val="1"/>
        <w:numId w:val="16"/>
      </w:numPr>
      <w:contextualSpacing/>
    </w:pPr>
  </w:style>
  <w:style w:type="paragraph" w:styleId="ListNumber3">
    <w:name w:val="List Number 3"/>
    <w:basedOn w:val="Normal"/>
    <w:uiPriority w:val="14"/>
    <w:unhideWhenUsed/>
    <w:qFormat/>
    <w:rsid w:val="00003E0B"/>
    <w:pPr>
      <w:numPr>
        <w:ilvl w:val="2"/>
        <w:numId w:val="16"/>
      </w:numPr>
      <w:contextualSpacing/>
    </w:pPr>
  </w:style>
  <w:style w:type="paragraph" w:styleId="ListNumber4">
    <w:name w:val="List Number 4"/>
    <w:basedOn w:val="Normal"/>
    <w:uiPriority w:val="14"/>
    <w:semiHidden/>
    <w:unhideWhenUsed/>
    <w:rsid w:val="00003E0B"/>
    <w:pPr>
      <w:numPr>
        <w:ilvl w:val="3"/>
        <w:numId w:val="16"/>
      </w:numPr>
      <w:contextualSpacing/>
    </w:pPr>
  </w:style>
  <w:style w:type="paragraph" w:styleId="ListNumber5">
    <w:name w:val="List Number 5"/>
    <w:basedOn w:val="Normal"/>
    <w:uiPriority w:val="14"/>
    <w:semiHidden/>
    <w:unhideWhenUsed/>
    <w:rsid w:val="00003E0B"/>
    <w:pPr>
      <w:numPr>
        <w:ilvl w:val="4"/>
        <w:numId w:val="16"/>
      </w:numPr>
      <w:contextualSpacing/>
    </w:pPr>
  </w:style>
  <w:style w:type="paragraph" w:styleId="List">
    <w:name w:val="List"/>
    <w:basedOn w:val="Normal"/>
    <w:uiPriority w:val="14"/>
    <w:semiHidden/>
    <w:unhideWhenUsed/>
    <w:rsid w:val="00003E0B"/>
    <w:pPr>
      <w:ind w:left="567" w:hanging="567"/>
      <w:contextualSpacing/>
    </w:pPr>
  </w:style>
  <w:style w:type="paragraph" w:styleId="List2">
    <w:name w:val="List 2"/>
    <w:basedOn w:val="Normal"/>
    <w:uiPriority w:val="14"/>
    <w:semiHidden/>
    <w:unhideWhenUsed/>
    <w:rsid w:val="00003E0B"/>
    <w:pPr>
      <w:ind w:left="1134" w:hanging="567"/>
      <w:contextualSpacing/>
    </w:pPr>
  </w:style>
  <w:style w:type="paragraph" w:styleId="ListContinue">
    <w:name w:val="List Continue"/>
    <w:basedOn w:val="Normal"/>
    <w:uiPriority w:val="14"/>
    <w:unhideWhenUsed/>
    <w:qFormat/>
    <w:rsid w:val="00003E0B"/>
    <w:pPr>
      <w:spacing w:after="120"/>
      <w:ind w:left="567"/>
      <w:contextualSpacing/>
    </w:pPr>
  </w:style>
  <w:style w:type="paragraph" w:styleId="ListContinue2">
    <w:name w:val="List Continue 2"/>
    <w:basedOn w:val="Normal"/>
    <w:uiPriority w:val="14"/>
    <w:unhideWhenUsed/>
    <w:qFormat/>
    <w:rsid w:val="00003E0B"/>
    <w:pPr>
      <w:spacing w:after="120"/>
      <w:ind w:left="1134"/>
      <w:contextualSpacing/>
    </w:pPr>
  </w:style>
  <w:style w:type="paragraph" w:styleId="ListContinue3">
    <w:name w:val="List Continue 3"/>
    <w:basedOn w:val="Normal"/>
    <w:uiPriority w:val="14"/>
    <w:unhideWhenUsed/>
    <w:qFormat/>
    <w:rsid w:val="00003E0B"/>
    <w:pPr>
      <w:spacing w:after="120"/>
      <w:ind w:left="1701"/>
      <w:contextualSpacing/>
    </w:pPr>
  </w:style>
  <w:style w:type="paragraph" w:styleId="ListContinue4">
    <w:name w:val="List Continue 4"/>
    <w:basedOn w:val="Normal"/>
    <w:uiPriority w:val="14"/>
    <w:semiHidden/>
    <w:unhideWhenUsed/>
    <w:rsid w:val="00003E0B"/>
    <w:pPr>
      <w:spacing w:after="120"/>
      <w:ind w:left="2268"/>
      <w:contextualSpacing/>
    </w:pPr>
  </w:style>
  <w:style w:type="paragraph" w:styleId="ListContinue5">
    <w:name w:val="List Continue 5"/>
    <w:basedOn w:val="Normal"/>
    <w:uiPriority w:val="14"/>
    <w:semiHidden/>
    <w:unhideWhenUsed/>
    <w:rsid w:val="00003E0B"/>
    <w:pPr>
      <w:spacing w:after="120"/>
      <w:ind w:left="2835"/>
      <w:contextualSpacing/>
    </w:pPr>
  </w:style>
  <w:style w:type="paragraph" w:styleId="List3">
    <w:name w:val="List 3"/>
    <w:basedOn w:val="Normal"/>
    <w:uiPriority w:val="14"/>
    <w:semiHidden/>
    <w:unhideWhenUsed/>
    <w:rsid w:val="00003E0B"/>
    <w:pPr>
      <w:ind w:left="1701" w:hanging="567"/>
      <w:contextualSpacing/>
    </w:pPr>
  </w:style>
  <w:style w:type="paragraph" w:styleId="List4">
    <w:name w:val="List 4"/>
    <w:basedOn w:val="Normal"/>
    <w:uiPriority w:val="14"/>
    <w:semiHidden/>
    <w:unhideWhenUsed/>
    <w:rsid w:val="00003E0B"/>
    <w:pPr>
      <w:ind w:left="2268" w:hanging="567"/>
      <w:contextualSpacing/>
    </w:pPr>
  </w:style>
  <w:style w:type="paragraph" w:styleId="List5">
    <w:name w:val="List 5"/>
    <w:basedOn w:val="Normal"/>
    <w:uiPriority w:val="14"/>
    <w:semiHidden/>
    <w:unhideWhenUsed/>
    <w:rsid w:val="00003E0B"/>
    <w:pPr>
      <w:ind w:left="2835" w:hanging="567"/>
      <w:contextualSpacing/>
    </w:pPr>
  </w:style>
  <w:style w:type="table" w:styleId="TableGrid">
    <w:name w:val="Table Grid"/>
    <w:basedOn w:val="TableNormal"/>
    <w:uiPriority w:val="59"/>
    <w:rsid w:val="00003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003E0B"/>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003E0B"/>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003E0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3E0B"/>
    <w:rPr>
      <w:rFonts w:asciiTheme="majorHAnsi" w:eastAsiaTheme="majorEastAsia" w:hAnsiTheme="majorHAnsi" w:cstheme="majorBidi"/>
      <w:i/>
    </w:rPr>
  </w:style>
  <w:style w:type="character" w:customStyle="1" w:styleId="Heading9Char">
    <w:name w:val="Heading 9 Char"/>
    <w:basedOn w:val="DefaultParagraphFont"/>
    <w:link w:val="Heading9"/>
    <w:uiPriority w:val="9"/>
    <w:semiHidden/>
    <w:rsid w:val="00003E0B"/>
    <w:rPr>
      <w:rFonts w:asciiTheme="majorHAnsi" w:eastAsiaTheme="majorEastAsia" w:hAnsiTheme="majorHAnsi" w:cstheme="majorBidi"/>
      <w:i/>
      <w:iCs/>
    </w:rPr>
  </w:style>
  <w:style w:type="table" w:styleId="MediumShading2-Accent3">
    <w:name w:val="Medium Shading 2 Accent 3"/>
    <w:basedOn w:val="TableNormal"/>
    <w:uiPriority w:val="64"/>
    <w:rsid w:val="00003E0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003E0B"/>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character" w:styleId="FollowedHyperlink">
    <w:name w:val="FollowedHyperlink"/>
    <w:basedOn w:val="DefaultParagraphFont"/>
    <w:uiPriority w:val="99"/>
    <w:semiHidden/>
    <w:unhideWhenUsed/>
    <w:rsid w:val="00585016"/>
    <w:rPr>
      <w:color w:val="0000FF" w:themeColor="followedHyperlink"/>
      <w:u w:val="single"/>
    </w:rPr>
  </w:style>
  <w:style w:type="paragraph" w:styleId="Caption">
    <w:name w:val="caption"/>
    <w:basedOn w:val="Normal"/>
    <w:next w:val="Normal"/>
    <w:uiPriority w:val="35"/>
    <w:semiHidden/>
    <w:unhideWhenUsed/>
    <w:qFormat/>
    <w:rsid w:val="00585016"/>
    <w:pPr>
      <w:spacing w:after="0"/>
    </w:pPr>
    <w:rPr>
      <w:b/>
      <w:bCs/>
      <w:sz w:val="18"/>
      <w:szCs w:val="18"/>
    </w:rPr>
  </w:style>
  <w:style w:type="paragraph" w:styleId="BlockText">
    <w:name w:val="Block Text"/>
    <w:basedOn w:val="Normal"/>
    <w:uiPriority w:val="99"/>
    <w:semiHidden/>
    <w:unhideWhenUsed/>
    <w:rsid w:val="00585016"/>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paragraph" w:styleId="ListParagraph">
    <w:name w:val="List Paragraph"/>
    <w:basedOn w:val="Normal"/>
    <w:uiPriority w:val="34"/>
    <w:qFormat/>
    <w:rsid w:val="00585016"/>
    <w:pPr>
      <w:ind w:left="720"/>
      <w:contextualSpacing/>
    </w:pPr>
  </w:style>
  <w:style w:type="paragraph" w:styleId="IntenseQuote">
    <w:name w:val="Intense Quote"/>
    <w:basedOn w:val="Normal"/>
    <w:next w:val="Normal"/>
    <w:link w:val="IntenseQuoteChar"/>
    <w:uiPriority w:val="30"/>
    <w:qFormat/>
    <w:rsid w:val="00585016"/>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rsid w:val="00585016"/>
    <w:rPr>
      <w:rFonts w:asciiTheme="minorHAnsi" w:hAnsiTheme="minorHAnsi"/>
      <w:b/>
      <w:bCs/>
      <w:i/>
      <w:iCs/>
      <w:color w:val="000000" w:themeColor="text1"/>
      <w:sz w:val="22"/>
      <w:szCs w:val="22"/>
    </w:rPr>
  </w:style>
  <w:style w:type="paragraph" w:customStyle="1" w:styleId="SectionHeading">
    <w:name w:val="Section Heading"/>
    <w:basedOn w:val="Heading1"/>
    <w:next w:val="BodyText"/>
    <w:uiPriority w:val="12"/>
    <w:qFormat/>
    <w:rsid w:val="00585016"/>
    <w:pPr>
      <w:pageBreakBefore/>
      <w:framePr w:w="10478" w:wrap="notBeside" w:vAnchor="page" w:hAnchor="margin" w:y="1135"/>
      <w:spacing w:after="120" w:line="720" w:lineRule="exact"/>
    </w:pPr>
    <w:rPr>
      <w:b w:val="0"/>
      <w:i w:val="0"/>
      <w:color w:val="968C6D" w:themeColor="text2"/>
      <w:sz w:val="72"/>
    </w:rPr>
  </w:style>
  <w:style w:type="paragraph" w:customStyle="1" w:styleId="Logo">
    <w:name w:val="Logo"/>
    <w:basedOn w:val="Normal"/>
    <w:next w:val="BodyText"/>
    <w:uiPriority w:val="15"/>
    <w:qFormat/>
    <w:rsid w:val="00585016"/>
    <w:pPr>
      <w:spacing w:after="0" w:line="204" w:lineRule="auto"/>
      <w:jc w:val="right"/>
    </w:pPr>
    <w:rPr>
      <w:rFonts w:ascii="PwC_Logo" w:hAnsi="PwC_Logo"/>
      <w:color w:val="968C6D" w:themeColor="text2"/>
      <w:sz w:val="48"/>
      <w:szCs w:val="48"/>
    </w:rPr>
  </w:style>
  <w:style w:type="paragraph" w:customStyle="1" w:styleId="Default">
    <w:name w:val="Default"/>
    <w:rsid w:val="00585016"/>
    <w:pPr>
      <w:autoSpaceDE w:val="0"/>
      <w:autoSpaceDN w:val="0"/>
      <w:adjustRightInd w:val="0"/>
      <w:spacing w:after="0" w:line="240" w:lineRule="auto"/>
    </w:pPr>
    <w:rPr>
      <w:rFonts w:ascii="Times New Roman" w:hAnsi="Times New Roman" w:cs="Times New Roman"/>
      <w:color w:val="000000"/>
      <w:sz w:val="24"/>
      <w:szCs w:val="24"/>
      <w:lang w:val="nl-NL"/>
    </w:rPr>
  </w:style>
  <w:style w:type="character" w:styleId="PlaceholderText">
    <w:name w:val="Placeholder Text"/>
    <w:basedOn w:val="DefaultParagraphFont"/>
    <w:uiPriority w:val="99"/>
    <w:semiHidden/>
    <w:rsid w:val="00585016"/>
    <w:rPr>
      <w:color w:val="808080"/>
    </w:rPr>
  </w:style>
  <w:style w:type="character" w:styleId="SubtleEmphasis">
    <w:name w:val="Subtle Emphasis"/>
    <w:basedOn w:val="DefaultParagraphFont"/>
    <w:uiPriority w:val="19"/>
    <w:qFormat/>
    <w:rsid w:val="00585016"/>
    <w:rPr>
      <w:b w:val="0"/>
      <w:bCs w:val="0"/>
      <w:i/>
      <w:iCs/>
      <w:strike w:val="0"/>
      <w:dstrike w:val="0"/>
      <w:color w:val="auto"/>
      <w:u w:val="none"/>
      <w:effect w:val="none"/>
    </w:rPr>
  </w:style>
  <w:style w:type="character" w:styleId="IntenseEmphasis">
    <w:name w:val="Intense Emphasis"/>
    <w:basedOn w:val="DefaultParagraphFont"/>
    <w:uiPriority w:val="21"/>
    <w:qFormat/>
    <w:rsid w:val="00585016"/>
    <w:rPr>
      <w:b/>
      <w:bCs/>
      <w:i/>
      <w:iCs/>
      <w:strike w:val="0"/>
      <w:dstrike w:val="0"/>
      <w:color w:val="auto"/>
      <w:u w:val="none"/>
      <w:effect w:val="none"/>
    </w:rPr>
  </w:style>
  <w:style w:type="character" w:styleId="SubtleReference">
    <w:name w:val="Subtle Reference"/>
    <w:basedOn w:val="DefaultParagraphFont"/>
    <w:uiPriority w:val="31"/>
    <w:qFormat/>
    <w:rsid w:val="00585016"/>
    <w:rPr>
      <w:b w:val="0"/>
      <w:bCs w:val="0"/>
      <w:i w:val="0"/>
      <w:iCs w:val="0"/>
      <w:smallCaps/>
      <w:color w:val="auto"/>
      <w:u w:val="single"/>
    </w:rPr>
  </w:style>
  <w:style w:type="character" w:styleId="IntenseReference">
    <w:name w:val="Intense Reference"/>
    <w:basedOn w:val="DefaultParagraphFont"/>
    <w:uiPriority w:val="32"/>
    <w:qFormat/>
    <w:rsid w:val="00585016"/>
    <w:rPr>
      <w:b/>
      <w:bCs/>
      <w:i w:val="0"/>
      <w:iCs w:val="0"/>
      <w:smallCaps/>
      <w:strike w:val="0"/>
      <w:dstrike w:val="0"/>
      <w:color w:val="auto"/>
      <w:spacing w:val="5"/>
      <w:u w:val="none"/>
      <w:effect w:val="none"/>
    </w:rPr>
  </w:style>
  <w:style w:type="table" w:styleId="LightShading-Accent2">
    <w:name w:val="Light Shading Accent 2"/>
    <w:basedOn w:val="TableNormal"/>
    <w:uiPriority w:val="60"/>
    <w:rsid w:val="00585016"/>
    <w:pPr>
      <w:spacing w:after="0" w:line="240" w:lineRule="auto"/>
    </w:pPr>
    <w:rPr>
      <w:color w:val="A9A189" w:themeColor="accent2" w:themeShade="BF"/>
      <w:sz w:val="21"/>
      <w:szCs w:val="21"/>
    </w:rPr>
    <w:tblPr>
      <w:tblStyleRowBandSize w:val="1"/>
      <w:tblStyleColBandSize w:val="1"/>
      <w:tblInd w:w="0" w:type="dxa"/>
      <w:tblBorders>
        <w:top w:val="single" w:sz="8" w:space="0" w:color="D5D1C5" w:themeColor="accent2"/>
        <w:bottom w:val="single" w:sz="8" w:space="0" w:color="D5D1C5"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D5D1C5" w:themeColor="accent2"/>
          <w:left w:val="nil"/>
          <w:bottom w:val="single" w:sz="8" w:space="0" w:color="D5D1C5"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D5D1C5" w:themeColor="accent2"/>
          <w:left w:val="nil"/>
          <w:bottom w:val="single" w:sz="8" w:space="0" w:color="D5D1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2" w:themeFillTint="3F"/>
      </w:tcPr>
    </w:tblStylePr>
    <w:tblStylePr w:type="band1Horz">
      <w:tblPr/>
      <w:tcPr>
        <w:tcBorders>
          <w:left w:val="nil"/>
          <w:right w:val="nil"/>
          <w:insideH w:val="nil"/>
          <w:insideV w:val="nil"/>
        </w:tcBorders>
        <w:shd w:val="clear" w:color="auto" w:fill="F4F3F0" w:themeFill="accent2" w:themeFillTint="3F"/>
      </w:tcPr>
    </w:tblStylePr>
  </w:style>
  <w:style w:type="table" w:styleId="ColorfulList-Accent3">
    <w:name w:val="Colorful List Accent 3"/>
    <w:basedOn w:val="TableNormal"/>
    <w:uiPriority w:val="72"/>
    <w:rsid w:val="00585016"/>
    <w:pPr>
      <w:spacing w:after="0" w:line="240" w:lineRule="auto"/>
    </w:pPr>
    <w:rPr>
      <w:color w:val="000000" w:themeColor="text1"/>
      <w:sz w:val="21"/>
      <w:szCs w:val="21"/>
    </w:rPr>
    <w:tblPr>
      <w:tblStyleRowBandSize w:val="1"/>
      <w:tblStyleColBandSize w:val="1"/>
      <w:tblInd w:w="0" w:type="dxa"/>
      <w:tblCellMar>
        <w:top w:w="0" w:type="dxa"/>
        <w:left w:w="108" w:type="dxa"/>
        <w:bottom w:w="0" w:type="dxa"/>
        <w:right w:w="108" w:type="dxa"/>
      </w:tblCellMar>
    </w:tblPr>
    <w:tcPr>
      <w:shd w:val="clear" w:color="auto" w:fill="F5E3E2" w:themeFill="accent3" w:themeFillTint="19"/>
    </w:tcPr>
    <w:tblStylePr w:type="firstRow">
      <w:rPr>
        <w:b/>
        <w:bCs/>
        <w:color w:val="FFFFFF" w:themeColor="background1"/>
      </w:rPr>
      <w:tblPr/>
      <w:tcPr>
        <w:tcBorders>
          <w:bottom w:val="single" w:sz="12" w:space="0" w:color="FFFFFF" w:themeColor="background1"/>
        </w:tcBorders>
        <w:shd w:val="clear" w:color="auto" w:fill="D63C56" w:themeFill="accent4" w:themeFillShade="CC"/>
      </w:tcPr>
    </w:tblStylePr>
    <w:tblStylePr w:type="lastRow">
      <w:rPr>
        <w:b/>
        <w:bCs/>
        <w:color w:val="D63C5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AB8" w:themeFill="accent3" w:themeFillTint="3F"/>
      </w:tcPr>
    </w:tblStylePr>
    <w:tblStylePr w:type="band1Horz">
      <w:tblPr/>
      <w:tcPr>
        <w:shd w:val="clear" w:color="auto" w:fill="EBC7C5" w:themeFill="accent3" w:themeFillTint="33"/>
      </w:tcPr>
    </w:tblStylePr>
  </w:style>
  <w:style w:type="table" w:styleId="MediumShading1-Accent4">
    <w:name w:val="Medium Shading 1 Accent 4"/>
    <w:basedOn w:val="TableNormal"/>
    <w:uiPriority w:val="63"/>
    <w:rsid w:val="00585016"/>
    <w:pPr>
      <w:spacing w:after="0" w:line="240" w:lineRule="auto"/>
    </w:pPr>
    <w:rPr>
      <w:color w:val="000000" w:themeColor="text1"/>
      <w:sz w:val="21"/>
      <w:szCs w:val="21"/>
    </w:rPr>
    <w:tblPr>
      <w:tblStyleRowBandSize w:val="1"/>
      <w:tblStyleColBandSize w:val="1"/>
      <w:tblInd w:w="0" w:type="dxa"/>
      <w:tbl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single" w:sz="8" w:space="0" w:color="E997A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shd w:val="clear" w:color="auto" w:fill="E27588" w:themeFill="accent4"/>
      </w:tcPr>
    </w:tblStylePr>
    <w:tblStylePr w:type="lastRow">
      <w:pPr>
        <w:spacing w:beforeLines="0" w:beforeAutospacing="0" w:afterLines="0" w:afterAutospacing="0" w:line="240" w:lineRule="auto"/>
      </w:pPr>
      <w:rPr>
        <w:b/>
        <w:bCs/>
      </w:rPr>
      <w:tblPr/>
      <w:tcPr>
        <w:tcBorders>
          <w:top w:val="double" w:sz="6" w:space="0" w:color="E997A5" w:themeColor="accent4" w:themeTint="BF"/>
          <w:left w:val="single" w:sz="8" w:space="0" w:color="E997A5" w:themeColor="accent4" w:themeTint="BF"/>
          <w:bottom w:val="single" w:sz="8" w:space="0" w:color="E997A5" w:themeColor="accent4" w:themeTint="BF"/>
          <w:right w:val="single" w:sz="8" w:space="0" w:color="E9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CE1" w:themeFill="accent4" w:themeFillTint="3F"/>
      </w:tcPr>
    </w:tblStylePr>
    <w:tblStylePr w:type="band1Horz">
      <w:tblPr/>
      <w:tcPr>
        <w:tcBorders>
          <w:insideH w:val="nil"/>
          <w:insideV w:val="nil"/>
        </w:tcBorders>
        <w:shd w:val="clear" w:color="auto" w:fill="F7DCE1"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585016"/>
    <w:pPr>
      <w:spacing w:after="0" w:line="240" w:lineRule="auto"/>
    </w:pPr>
    <w:rPr>
      <w:color w:val="000000" w:themeColor="text1"/>
      <w:sz w:val="16"/>
      <w:szCs w:val="21"/>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85016"/>
    <w:pPr>
      <w:spacing w:after="0" w:line="240" w:lineRule="auto"/>
    </w:pPr>
    <w:rPr>
      <w:color w:val="000000" w:themeColor="text1"/>
      <w:sz w:val="21"/>
      <w:szCs w:val="21"/>
    </w:rPr>
    <w:tblPr>
      <w:tblStyleRowBandSize w:val="1"/>
      <w:tblStyleColBandSize w:val="1"/>
      <w:tblInd w:w="0" w:type="dxa"/>
      <w:tblBorders>
        <w:top w:val="single" w:sz="8"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single" w:sz="8" w:space="0" w:color="B0A891"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nil"/>
          <w:insideV w:val="nil"/>
        </w:tcBorders>
        <w:shd w:val="clear" w:color="auto" w:fill="968C6D" w:themeFill="accent1"/>
      </w:tcPr>
    </w:tblStylePr>
    <w:tblStylePr w:type="lastRow">
      <w:pPr>
        <w:spacing w:beforeLines="0" w:beforeAutospacing="0" w:afterLines="0" w:afterAutospacing="0" w:line="240" w:lineRule="auto"/>
      </w:pPr>
      <w:rPr>
        <w:b/>
        <w:bCs/>
      </w:rPr>
      <w:tblPr/>
      <w:tcPr>
        <w:tcBorders>
          <w:top w:val="double" w:sz="6" w:space="0" w:color="B0A891" w:themeColor="accent1" w:themeTint="BF"/>
          <w:left w:val="single" w:sz="8" w:space="0" w:color="B0A891" w:themeColor="accent1" w:themeTint="BF"/>
          <w:bottom w:val="single" w:sz="8" w:space="0" w:color="B0A891" w:themeColor="accent1" w:themeTint="BF"/>
          <w:right w:val="single" w:sz="8" w:space="0" w:color="B0A89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2DA" w:themeFill="accent1" w:themeFillTint="3F"/>
      </w:tcPr>
    </w:tblStylePr>
    <w:tblStylePr w:type="band1Horz">
      <w:tblPr/>
      <w:tcPr>
        <w:tcBorders>
          <w:insideH w:val="nil"/>
          <w:insideV w:val="nil"/>
        </w:tcBorders>
        <w:shd w:val="clear" w:color="auto" w:fill="E5E2DA"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585016"/>
    <w:pPr>
      <w:spacing w:after="0" w:line="240" w:lineRule="auto"/>
    </w:pPr>
    <w:rPr>
      <w:color w:val="000000" w:themeColor="text1"/>
      <w:sz w:val="21"/>
      <w:szCs w:val="2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585016"/>
    <w:pPr>
      <w:spacing w:after="0" w:line="240" w:lineRule="auto"/>
    </w:pPr>
    <w:rPr>
      <w:color w:val="000000" w:themeColor="text1"/>
      <w:sz w:val="21"/>
      <w:szCs w:val="21"/>
    </w:rPr>
    <w:tblPr>
      <w:tblStyleRowBandSize w:val="1"/>
      <w:tblStyleColBandSize w:val="1"/>
      <w:tblInd w:w="0" w:type="dxa"/>
      <w:tblBorders>
        <w:top w:val="single" w:sz="8" w:space="0" w:color="968C6D" w:themeColor="accent1"/>
        <w:left w:val="single" w:sz="8" w:space="0" w:color="968C6D" w:themeColor="accent1"/>
        <w:bottom w:val="single" w:sz="8" w:space="0" w:color="968C6D" w:themeColor="accent1"/>
        <w:right w:val="single" w:sz="8" w:space="0" w:color="968C6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68C6D" w:themeFill="accent1"/>
      </w:tcPr>
    </w:tblStylePr>
    <w:tblStylePr w:type="lastRow">
      <w:pPr>
        <w:spacing w:beforeLines="0" w:beforeAutospacing="0" w:afterLines="0" w:afterAutospacing="0" w:line="240" w:lineRule="auto"/>
      </w:pPr>
      <w:rPr>
        <w:b/>
        <w:bCs/>
      </w:rPr>
      <w:tblPr/>
      <w:tcPr>
        <w:tcBorders>
          <w:top w:val="double" w:sz="6" w:space="0" w:color="968C6D" w:themeColor="accent1"/>
          <w:left w:val="single" w:sz="8" w:space="0" w:color="968C6D" w:themeColor="accent1"/>
          <w:bottom w:val="single" w:sz="8" w:space="0" w:color="968C6D" w:themeColor="accent1"/>
          <w:right w:val="single" w:sz="8" w:space="0" w:color="968C6D" w:themeColor="accent1"/>
        </w:tcBorders>
      </w:tcPr>
    </w:tblStylePr>
    <w:tblStylePr w:type="firstCol">
      <w:rPr>
        <w:b/>
        <w:bCs/>
      </w:rPr>
    </w:tblStylePr>
    <w:tblStylePr w:type="lastCol">
      <w:rPr>
        <w:b/>
        <w:bCs/>
      </w:rPr>
    </w:tblStylePr>
    <w:tblStylePr w:type="band1Vert">
      <w:tblPr/>
      <w:tcPr>
        <w:tcBorders>
          <w:top w:val="single" w:sz="8" w:space="0" w:color="968C6D" w:themeColor="accent1"/>
          <w:left w:val="single" w:sz="8" w:space="0" w:color="968C6D" w:themeColor="accent1"/>
          <w:bottom w:val="single" w:sz="8" w:space="0" w:color="968C6D" w:themeColor="accent1"/>
          <w:right w:val="single" w:sz="8" w:space="0" w:color="968C6D" w:themeColor="accent1"/>
        </w:tcBorders>
      </w:tcPr>
    </w:tblStylePr>
    <w:tblStylePr w:type="band1Horz">
      <w:tblPr/>
      <w:tcPr>
        <w:tcBorders>
          <w:top w:val="single" w:sz="8" w:space="0" w:color="968C6D" w:themeColor="accent1"/>
          <w:left w:val="single" w:sz="8" w:space="0" w:color="968C6D" w:themeColor="accent1"/>
          <w:bottom w:val="single" w:sz="8" w:space="0" w:color="968C6D" w:themeColor="accent1"/>
          <w:right w:val="single" w:sz="8" w:space="0" w:color="968C6D" w:themeColor="accent1"/>
        </w:tcBorders>
      </w:tcPr>
    </w:tblStylePr>
  </w:style>
  <w:style w:type="table" w:customStyle="1" w:styleId="PwCTable1">
    <w:name w:val="PwC Table 1"/>
    <w:basedOn w:val="TableNormal"/>
    <w:uiPriority w:val="99"/>
    <w:qFormat/>
    <w:rsid w:val="00585016"/>
    <w:pPr>
      <w:spacing w:after="0" w:line="240" w:lineRule="auto"/>
    </w:pPr>
    <w:rPr>
      <w:color w:val="000000" w:themeColor="text1"/>
      <w:sz w:val="18"/>
    </w:rPr>
    <w:tblPr>
      <w:tblStyleRowBandSize w:val="1"/>
      <w:tblInd w:w="0" w:type="dxa"/>
      <w:tblBorders>
        <w:bottom w:val="single" w:sz="4" w:space="0" w:color="968C6D" w:themeColor="accent1"/>
        <w:insideH w:val="single" w:sz="4" w:space="0" w:color="968C6D" w:themeColor="accent1"/>
      </w:tblBorders>
      <w:tblCellMar>
        <w:top w:w="57" w:type="dxa"/>
        <w:left w:w="0" w:type="dxa"/>
        <w:bottom w:w="57" w:type="dxa"/>
        <w:right w:w="0" w:type="dxa"/>
      </w:tblCellMar>
    </w:tblPr>
    <w:tblStylePr w:type="firstRow">
      <w:pPr>
        <w:wordWrap/>
        <w:spacing w:line="210" w:lineRule="atLeast"/>
      </w:pPr>
      <w:rPr>
        <w:rFonts w:asciiTheme="majorHAnsi" w:hAnsiTheme="majorHAnsi" w:hint="default"/>
        <w:b/>
        <w:color w:val="968C6D" w:themeColor="accent1"/>
        <w:sz w:val="18"/>
        <w:szCs w:val="18"/>
      </w:rPr>
      <w:tblPr/>
      <w:tcPr>
        <w:tcBorders>
          <w:top w:val="nil"/>
          <w:left w:val="nil"/>
          <w:bottom w:val="single" w:sz="8" w:space="0" w:color="968C6D" w:themeColor="text2"/>
          <w:right w:val="nil"/>
          <w:insideH w:val="nil"/>
          <w:insideV w:val="nil"/>
          <w:tl2br w:val="nil"/>
          <w:tr2bl w:val="nil"/>
        </w:tcBorders>
      </w:tcPr>
    </w:tblStylePr>
    <w:tblStylePr w:type="lastRow">
      <w:tblPr/>
      <w:tcPr>
        <w:tcBorders>
          <w:top w:val="nil"/>
          <w:left w:val="nil"/>
          <w:bottom w:val="single" w:sz="4" w:space="0" w:color="968C6D" w:themeColor="accent1"/>
          <w:right w:val="nil"/>
          <w:insideH w:val="nil"/>
          <w:insideV w:val="nil"/>
          <w:tl2br w:val="nil"/>
          <w:tr2bl w:val="nil"/>
        </w:tcBorders>
      </w:tcPr>
    </w:tblStylePr>
    <w:tblStylePr w:type="band1Horz">
      <w:pPr>
        <w:wordWrap/>
        <w:spacing w:line="210" w:lineRule="atLeast"/>
      </w:pPr>
    </w:tblStylePr>
    <w:tblStylePr w:type="band2Horz">
      <w:pPr>
        <w:wordWrap/>
        <w:spacing w:line="210" w:lineRule="atLeast"/>
      </w:pPr>
    </w:tblStylePr>
  </w:style>
  <w:style w:type="table" w:customStyle="1" w:styleId="DarkList1">
    <w:name w:val="Dark List1"/>
    <w:basedOn w:val="TableNormal"/>
    <w:uiPriority w:val="70"/>
    <w:rsid w:val="00585016"/>
    <w:pPr>
      <w:spacing w:after="0" w:line="240" w:lineRule="auto"/>
    </w:pPr>
    <w:rPr>
      <w:color w:val="FFFFFF" w:themeColor="background1"/>
      <w:sz w:val="21"/>
      <w:szCs w:val="2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2">
    <w:name w:val="Dark List2"/>
    <w:basedOn w:val="TableNormal"/>
    <w:uiPriority w:val="70"/>
    <w:rsid w:val="00585016"/>
    <w:pPr>
      <w:spacing w:after="0" w:line="240" w:lineRule="auto"/>
    </w:pPr>
    <w:rPr>
      <w:color w:val="FFFFFF" w:themeColor="background1"/>
      <w:sz w:val="21"/>
      <w:szCs w:val="2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FootnoteText">
    <w:name w:val="footnote text"/>
    <w:basedOn w:val="Normal"/>
    <w:link w:val="FootnoteTextChar"/>
    <w:uiPriority w:val="99"/>
    <w:semiHidden/>
    <w:unhideWhenUsed/>
    <w:rsid w:val="00944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DFB"/>
    <w:rPr>
      <w:rFonts w:asciiTheme="minorHAnsi" w:hAnsiTheme="minorHAnsi"/>
      <w:color w:val="000000" w:themeColor="text1"/>
    </w:rPr>
  </w:style>
  <w:style w:type="character" w:styleId="FootnoteReference">
    <w:name w:val="footnote reference"/>
    <w:basedOn w:val="DefaultParagraphFont"/>
    <w:uiPriority w:val="99"/>
    <w:semiHidden/>
    <w:unhideWhenUsed/>
    <w:rsid w:val="00944DFB"/>
    <w:rPr>
      <w:vertAlign w:val="superscript"/>
    </w:rPr>
  </w:style>
  <w:style w:type="paragraph" w:styleId="Bibliography">
    <w:name w:val="Bibliography"/>
    <w:basedOn w:val="Normal"/>
    <w:next w:val="Normal"/>
    <w:uiPriority w:val="37"/>
    <w:unhideWhenUsed/>
    <w:rsid w:val="00944DFB"/>
  </w:style>
  <w:style w:type="character" w:styleId="CommentReference">
    <w:name w:val="annotation reference"/>
    <w:basedOn w:val="DefaultParagraphFont"/>
    <w:uiPriority w:val="99"/>
    <w:semiHidden/>
    <w:unhideWhenUsed/>
    <w:rsid w:val="00A72FFC"/>
    <w:rPr>
      <w:sz w:val="16"/>
      <w:szCs w:val="16"/>
    </w:rPr>
  </w:style>
  <w:style w:type="paragraph" w:styleId="CommentText">
    <w:name w:val="annotation text"/>
    <w:basedOn w:val="Normal"/>
    <w:link w:val="CommentTextChar"/>
    <w:uiPriority w:val="99"/>
    <w:semiHidden/>
    <w:unhideWhenUsed/>
    <w:rsid w:val="00A72FFC"/>
    <w:pPr>
      <w:spacing w:line="240" w:lineRule="auto"/>
    </w:pPr>
    <w:rPr>
      <w:sz w:val="20"/>
      <w:szCs w:val="20"/>
    </w:rPr>
  </w:style>
  <w:style w:type="character" w:customStyle="1" w:styleId="CommentTextChar">
    <w:name w:val="Comment Text Char"/>
    <w:basedOn w:val="DefaultParagraphFont"/>
    <w:link w:val="CommentText"/>
    <w:uiPriority w:val="99"/>
    <w:semiHidden/>
    <w:rsid w:val="00A72FFC"/>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72FFC"/>
    <w:rPr>
      <w:b/>
      <w:bCs/>
    </w:rPr>
  </w:style>
  <w:style w:type="character" w:customStyle="1" w:styleId="CommentSubjectChar">
    <w:name w:val="Comment Subject Char"/>
    <w:basedOn w:val="CommentTextChar"/>
    <w:link w:val="CommentSubject"/>
    <w:uiPriority w:val="99"/>
    <w:semiHidden/>
    <w:rsid w:val="00A72FFC"/>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8639">
      <w:bodyDiv w:val="1"/>
      <w:marLeft w:val="0"/>
      <w:marRight w:val="0"/>
      <w:marTop w:val="0"/>
      <w:marBottom w:val="0"/>
      <w:divBdr>
        <w:top w:val="none" w:sz="0" w:space="0" w:color="auto"/>
        <w:left w:val="none" w:sz="0" w:space="0" w:color="auto"/>
        <w:bottom w:val="none" w:sz="0" w:space="0" w:color="auto"/>
        <w:right w:val="none" w:sz="0" w:space="0" w:color="auto"/>
      </w:divBdr>
    </w:div>
    <w:div w:id="262618253">
      <w:bodyDiv w:val="1"/>
      <w:marLeft w:val="0"/>
      <w:marRight w:val="0"/>
      <w:marTop w:val="0"/>
      <w:marBottom w:val="0"/>
      <w:divBdr>
        <w:top w:val="none" w:sz="0" w:space="0" w:color="auto"/>
        <w:left w:val="none" w:sz="0" w:space="0" w:color="auto"/>
        <w:bottom w:val="none" w:sz="0" w:space="0" w:color="auto"/>
        <w:right w:val="none" w:sz="0" w:space="0" w:color="auto"/>
      </w:divBdr>
    </w:div>
    <w:div w:id="270940932">
      <w:bodyDiv w:val="1"/>
      <w:marLeft w:val="0"/>
      <w:marRight w:val="0"/>
      <w:marTop w:val="0"/>
      <w:marBottom w:val="0"/>
      <w:divBdr>
        <w:top w:val="none" w:sz="0" w:space="0" w:color="auto"/>
        <w:left w:val="none" w:sz="0" w:space="0" w:color="auto"/>
        <w:bottom w:val="none" w:sz="0" w:space="0" w:color="auto"/>
        <w:right w:val="none" w:sz="0" w:space="0" w:color="auto"/>
      </w:divBdr>
    </w:div>
    <w:div w:id="357850604">
      <w:bodyDiv w:val="1"/>
      <w:marLeft w:val="0"/>
      <w:marRight w:val="0"/>
      <w:marTop w:val="0"/>
      <w:marBottom w:val="0"/>
      <w:divBdr>
        <w:top w:val="none" w:sz="0" w:space="0" w:color="auto"/>
        <w:left w:val="none" w:sz="0" w:space="0" w:color="auto"/>
        <w:bottom w:val="none" w:sz="0" w:space="0" w:color="auto"/>
        <w:right w:val="none" w:sz="0" w:space="0" w:color="auto"/>
      </w:divBdr>
    </w:div>
    <w:div w:id="370108658">
      <w:bodyDiv w:val="1"/>
      <w:marLeft w:val="0"/>
      <w:marRight w:val="0"/>
      <w:marTop w:val="0"/>
      <w:marBottom w:val="0"/>
      <w:divBdr>
        <w:top w:val="none" w:sz="0" w:space="0" w:color="auto"/>
        <w:left w:val="none" w:sz="0" w:space="0" w:color="auto"/>
        <w:bottom w:val="none" w:sz="0" w:space="0" w:color="auto"/>
        <w:right w:val="none" w:sz="0" w:space="0" w:color="auto"/>
      </w:divBdr>
    </w:div>
    <w:div w:id="414206060">
      <w:bodyDiv w:val="1"/>
      <w:marLeft w:val="0"/>
      <w:marRight w:val="0"/>
      <w:marTop w:val="0"/>
      <w:marBottom w:val="0"/>
      <w:divBdr>
        <w:top w:val="none" w:sz="0" w:space="0" w:color="auto"/>
        <w:left w:val="none" w:sz="0" w:space="0" w:color="auto"/>
        <w:bottom w:val="none" w:sz="0" w:space="0" w:color="auto"/>
        <w:right w:val="none" w:sz="0" w:space="0" w:color="auto"/>
      </w:divBdr>
    </w:div>
    <w:div w:id="451479233">
      <w:bodyDiv w:val="1"/>
      <w:marLeft w:val="0"/>
      <w:marRight w:val="0"/>
      <w:marTop w:val="0"/>
      <w:marBottom w:val="0"/>
      <w:divBdr>
        <w:top w:val="none" w:sz="0" w:space="0" w:color="auto"/>
        <w:left w:val="none" w:sz="0" w:space="0" w:color="auto"/>
        <w:bottom w:val="none" w:sz="0" w:space="0" w:color="auto"/>
        <w:right w:val="none" w:sz="0" w:space="0" w:color="auto"/>
      </w:divBdr>
    </w:div>
    <w:div w:id="501892346">
      <w:bodyDiv w:val="1"/>
      <w:marLeft w:val="0"/>
      <w:marRight w:val="0"/>
      <w:marTop w:val="0"/>
      <w:marBottom w:val="0"/>
      <w:divBdr>
        <w:top w:val="none" w:sz="0" w:space="0" w:color="auto"/>
        <w:left w:val="none" w:sz="0" w:space="0" w:color="auto"/>
        <w:bottom w:val="none" w:sz="0" w:space="0" w:color="auto"/>
        <w:right w:val="none" w:sz="0" w:space="0" w:color="auto"/>
      </w:divBdr>
    </w:div>
    <w:div w:id="586036204">
      <w:bodyDiv w:val="1"/>
      <w:marLeft w:val="0"/>
      <w:marRight w:val="0"/>
      <w:marTop w:val="0"/>
      <w:marBottom w:val="0"/>
      <w:divBdr>
        <w:top w:val="none" w:sz="0" w:space="0" w:color="auto"/>
        <w:left w:val="none" w:sz="0" w:space="0" w:color="auto"/>
        <w:bottom w:val="none" w:sz="0" w:space="0" w:color="auto"/>
        <w:right w:val="none" w:sz="0" w:space="0" w:color="auto"/>
      </w:divBdr>
    </w:div>
    <w:div w:id="587426755">
      <w:bodyDiv w:val="1"/>
      <w:marLeft w:val="0"/>
      <w:marRight w:val="0"/>
      <w:marTop w:val="0"/>
      <w:marBottom w:val="0"/>
      <w:divBdr>
        <w:top w:val="none" w:sz="0" w:space="0" w:color="auto"/>
        <w:left w:val="none" w:sz="0" w:space="0" w:color="auto"/>
        <w:bottom w:val="none" w:sz="0" w:space="0" w:color="auto"/>
        <w:right w:val="none" w:sz="0" w:space="0" w:color="auto"/>
      </w:divBdr>
    </w:div>
    <w:div w:id="704065355">
      <w:bodyDiv w:val="1"/>
      <w:marLeft w:val="0"/>
      <w:marRight w:val="0"/>
      <w:marTop w:val="0"/>
      <w:marBottom w:val="0"/>
      <w:divBdr>
        <w:top w:val="none" w:sz="0" w:space="0" w:color="auto"/>
        <w:left w:val="none" w:sz="0" w:space="0" w:color="auto"/>
        <w:bottom w:val="none" w:sz="0" w:space="0" w:color="auto"/>
        <w:right w:val="none" w:sz="0" w:space="0" w:color="auto"/>
      </w:divBdr>
    </w:div>
    <w:div w:id="730881533">
      <w:bodyDiv w:val="1"/>
      <w:marLeft w:val="0"/>
      <w:marRight w:val="0"/>
      <w:marTop w:val="0"/>
      <w:marBottom w:val="0"/>
      <w:divBdr>
        <w:top w:val="none" w:sz="0" w:space="0" w:color="auto"/>
        <w:left w:val="none" w:sz="0" w:space="0" w:color="auto"/>
        <w:bottom w:val="none" w:sz="0" w:space="0" w:color="auto"/>
        <w:right w:val="none" w:sz="0" w:space="0" w:color="auto"/>
      </w:divBdr>
    </w:div>
    <w:div w:id="749304985">
      <w:bodyDiv w:val="1"/>
      <w:marLeft w:val="0"/>
      <w:marRight w:val="0"/>
      <w:marTop w:val="0"/>
      <w:marBottom w:val="0"/>
      <w:divBdr>
        <w:top w:val="none" w:sz="0" w:space="0" w:color="auto"/>
        <w:left w:val="none" w:sz="0" w:space="0" w:color="auto"/>
        <w:bottom w:val="none" w:sz="0" w:space="0" w:color="auto"/>
        <w:right w:val="none" w:sz="0" w:space="0" w:color="auto"/>
      </w:divBdr>
    </w:div>
    <w:div w:id="915362963">
      <w:bodyDiv w:val="1"/>
      <w:marLeft w:val="0"/>
      <w:marRight w:val="0"/>
      <w:marTop w:val="0"/>
      <w:marBottom w:val="0"/>
      <w:divBdr>
        <w:top w:val="none" w:sz="0" w:space="0" w:color="auto"/>
        <w:left w:val="none" w:sz="0" w:space="0" w:color="auto"/>
        <w:bottom w:val="none" w:sz="0" w:space="0" w:color="auto"/>
        <w:right w:val="none" w:sz="0" w:space="0" w:color="auto"/>
      </w:divBdr>
    </w:div>
    <w:div w:id="972977773">
      <w:bodyDiv w:val="1"/>
      <w:marLeft w:val="0"/>
      <w:marRight w:val="0"/>
      <w:marTop w:val="0"/>
      <w:marBottom w:val="0"/>
      <w:divBdr>
        <w:top w:val="none" w:sz="0" w:space="0" w:color="auto"/>
        <w:left w:val="none" w:sz="0" w:space="0" w:color="auto"/>
        <w:bottom w:val="none" w:sz="0" w:space="0" w:color="auto"/>
        <w:right w:val="none" w:sz="0" w:space="0" w:color="auto"/>
      </w:divBdr>
    </w:div>
    <w:div w:id="1043863921">
      <w:bodyDiv w:val="1"/>
      <w:marLeft w:val="0"/>
      <w:marRight w:val="0"/>
      <w:marTop w:val="0"/>
      <w:marBottom w:val="0"/>
      <w:divBdr>
        <w:top w:val="none" w:sz="0" w:space="0" w:color="auto"/>
        <w:left w:val="none" w:sz="0" w:space="0" w:color="auto"/>
        <w:bottom w:val="none" w:sz="0" w:space="0" w:color="auto"/>
        <w:right w:val="none" w:sz="0" w:space="0" w:color="auto"/>
      </w:divBdr>
    </w:div>
    <w:div w:id="1067606845">
      <w:bodyDiv w:val="1"/>
      <w:marLeft w:val="0"/>
      <w:marRight w:val="0"/>
      <w:marTop w:val="0"/>
      <w:marBottom w:val="0"/>
      <w:divBdr>
        <w:top w:val="none" w:sz="0" w:space="0" w:color="auto"/>
        <w:left w:val="none" w:sz="0" w:space="0" w:color="auto"/>
        <w:bottom w:val="none" w:sz="0" w:space="0" w:color="auto"/>
        <w:right w:val="none" w:sz="0" w:space="0" w:color="auto"/>
      </w:divBdr>
    </w:div>
    <w:div w:id="1144353556">
      <w:bodyDiv w:val="1"/>
      <w:marLeft w:val="0"/>
      <w:marRight w:val="0"/>
      <w:marTop w:val="0"/>
      <w:marBottom w:val="0"/>
      <w:divBdr>
        <w:top w:val="none" w:sz="0" w:space="0" w:color="auto"/>
        <w:left w:val="none" w:sz="0" w:space="0" w:color="auto"/>
        <w:bottom w:val="none" w:sz="0" w:space="0" w:color="auto"/>
        <w:right w:val="none" w:sz="0" w:space="0" w:color="auto"/>
      </w:divBdr>
    </w:div>
    <w:div w:id="1175800890">
      <w:bodyDiv w:val="1"/>
      <w:marLeft w:val="0"/>
      <w:marRight w:val="0"/>
      <w:marTop w:val="0"/>
      <w:marBottom w:val="0"/>
      <w:divBdr>
        <w:top w:val="none" w:sz="0" w:space="0" w:color="auto"/>
        <w:left w:val="none" w:sz="0" w:space="0" w:color="auto"/>
        <w:bottom w:val="none" w:sz="0" w:space="0" w:color="auto"/>
        <w:right w:val="none" w:sz="0" w:space="0" w:color="auto"/>
      </w:divBdr>
    </w:div>
    <w:div w:id="1267159128">
      <w:bodyDiv w:val="1"/>
      <w:marLeft w:val="0"/>
      <w:marRight w:val="0"/>
      <w:marTop w:val="0"/>
      <w:marBottom w:val="0"/>
      <w:divBdr>
        <w:top w:val="none" w:sz="0" w:space="0" w:color="auto"/>
        <w:left w:val="none" w:sz="0" w:space="0" w:color="auto"/>
        <w:bottom w:val="none" w:sz="0" w:space="0" w:color="auto"/>
        <w:right w:val="none" w:sz="0" w:space="0" w:color="auto"/>
      </w:divBdr>
    </w:div>
    <w:div w:id="1276596454">
      <w:bodyDiv w:val="1"/>
      <w:marLeft w:val="0"/>
      <w:marRight w:val="0"/>
      <w:marTop w:val="0"/>
      <w:marBottom w:val="0"/>
      <w:divBdr>
        <w:top w:val="none" w:sz="0" w:space="0" w:color="auto"/>
        <w:left w:val="none" w:sz="0" w:space="0" w:color="auto"/>
        <w:bottom w:val="none" w:sz="0" w:space="0" w:color="auto"/>
        <w:right w:val="none" w:sz="0" w:space="0" w:color="auto"/>
      </w:divBdr>
    </w:div>
    <w:div w:id="1459184170">
      <w:bodyDiv w:val="1"/>
      <w:marLeft w:val="0"/>
      <w:marRight w:val="0"/>
      <w:marTop w:val="0"/>
      <w:marBottom w:val="0"/>
      <w:divBdr>
        <w:top w:val="none" w:sz="0" w:space="0" w:color="auto"/>
        <w:left w:val="none" w:sz="0" w:space="0" w:color="auto"/>
        <w:bottom w:val="none" w:sz="0" w:space="0" w:color="auto"/>
        <w:right w:val="none" w:sz="0" w:space="0" w:color="auto"/>
      </w:divBdr>
    </w:div>
    <w:div w:id="1461873403">
      <w:bodyDiv w:val="1"/>
      <w:marLeft w:val="0"/>
      <w:marRight w:val="0"/>
      <w:marTop w:val="0"/>
      <w:marBottom w:val="0"/>
      <w:divBdr>
        <w:top w:val="none" w:sz="0" w:space="0" w:color="auto"/>
        <w:left w:val="none" w:sz="0" w:space="0" w:color="auto"/>
        <w:bottom w:val="none" w:sz="0" w:space="0" w:color="auto"/>
        <w:right w:val="none" w:sz="0" w:space="0" w:color="auto"/>
      </w:divBdr>
    </w:div>
    <w:div w:id="1526014517">
      <w:bodyDiv w:val="1"/>
      <w:marLeft w:val="0"/>
      <w:marRight w:val="0"/>
      <w:marTop w:val="0"/>
      <w:marBottom w:val="0"/>
      <w:divBdr>
        <w:top w:val="none" w:sz="0" w:space="0" w:color="auto"/>
        <w:left w:val="none" w:sz="0" w:space="0" w:color="auto"/>
        <w:bottom w:val="none" w:sz="0" w:space="0" w:color="auto"/>
        <w:right w:val="none" w:sz="0" w:space="0" w:color="auto"/>
      </w:divBdr>
    </w:div>
    <w:div w:id="1528522420">
      <w:bodyDiv w:val="1"/>
      <w:marLeft w:val="0"/>
      <w:marRight w:val="0"/>
      <w:marTop w:val="0"/>
      <w:marBottom w:val="0"/>
      <w:divBdr>
        <w:top w:val="none" w:sz="0" w:space="0" w:color="auto"/>
        <w:left w:val="none" w:sz="0" w:space="0" w:color="auto"/>
        <w:bottom w:val="none" w:sz="0" w:space="0" w:color="auto"/>
        <w:right w:val="none" w:sz="0" w:space="0" w:color="auto"/>
      </w:divBdr>
    </w:div>
    <w:div w:id="1583293974">
      <w:bodyDiv w:val="1"/>
      <w:marLeft w:val="0"/>
      <w:marRight w:val="0"/>
      <w:marTop w:val="0"/>
      <w:marBottom w:val="0"/>
      <w:divBdr>
        <w:top w:val="none" w:sz="0" w:space="0" w:color="auto"/>
        <w:left w:val="none" w:sz="0" w:space="0" w:color="auto"/>
        <w:bottom w:val="none" w:sz="0" w:space="0" w:color="auto"/>
        <w:right w:val="none" w:sz="0" w:space="0" w:color="auto"/>
      </w:divBdr>
    </w:div>
    <w:div w:id="1717124043">
      <w:bodyDiv w:val="1"/>
      <w:marLeft w:val="0"/>
      <w:marRight w:val="0"/>
      <w:marTop w:val="0"/>
      <w:marBottom w:val="0"/>
      <w:divBdr>
        <w:top w:val="none" w:sz="0" w:space="0" w:color="auto"/>
        <w:left w:val="none" w:sz="0" w:space="0" w:color="auto"/>
        <w:bottom w:val="none" w:sz="0" w:space="0" w:color="auto"/>
        <w:right w:val="none" w:sz="0" w:space="0" w:color="auto"/>
      </w:divBdr>
    </w:div>
    <w:div w:id="1889679640">
      <w:bodyDiv w:val="1"/>
      <w:marLeft w:val="0"/>
      <w:marRight w:val="0"/>
      <w:marTop w:val="0"/>
      <w:marBottom w:val="0"/>
      <w:divBdr>
        <w:top w:val="none" w:sz="0" w:space="0" w:color="auto"/>
        <w:left w:val="none" w:sz="0" w:space="0" w:color="auto"/>
        <w:bottom w:val="none" w:sz="0" w:space="0" w:color="auto"/>
        <w:right w:val="none" w:sz="0" w:space="0" w:color="auto"/>
      </w:divBdr>
    </w:div>
    <w:div w:id="1952930950">
      <w:bodyDiv w:val="1"/>
      <w:marLeft w:val="0"/>
      <w:marRight w:val="0"/>
      <w:marTop w:val="0"/>
      <w:marBottom w:val="0"/>
      <w:divBdr>
        <w:top w:val="none" w:sz="0" w:space="0" w:color="auto"/>
        <w:left w:val="none" w:sz="0" w:space="0" w:color="auto"/>
        <w:bottom w:val="none" w:sz="0" w:space="0" w:color="auto"/>
        <w:right w:val="none" w:sz="0" w:space="0" w:color="auto"/>
      </w:divBdr>
    </w:div>
    <w:div w:id="19799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4.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diagramLayout" Target="diagrams/layout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visser011\Desktop\Scriptie\model\Research%20table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nl-NL"/>
              <a:t>2007 Pre-impaired earnings</a:t>
            </a:r>
          </a:p>
        </c:rich>
      </c:tx>
      <c:layout>
        <c:manualLayout>
          <c:xMode val="edge"/>
          <c:yMode val="edge"/>
          <c:x val="0.48421805371156651"/>
          <c:y val="2.3054755043227664E-2"/>
        </c:manualLayout>
      </c:layout>
      <c:overlay val="0"/>
    </c:title>
    <c:autoTitleDeleted val="0"/>
    <c:plotArea>
      <c:layout>
        <c:manualLayout>
          <c:layoutTarget val="inner"/>
          <c:xMode val="edge"/>
          <c:yMode val="edge"/>
          <c:x val="2.5530389669571801E-2"/>
          <c:y val="9.8751200768492614E-2"/>
          <c:w val="0.51719670200235557"/>
          <c:h val="0.84361191162344218"/>
        </c:manualLayout>
      </c:layout>
      <c:doughnutChart>
        <c:varyColors val="1"/>
        <c:ser>
          <c:idx val="0"/>
          <c:order val="0"/>
          <c:dPt>
            <c:idx val="0"/>
            <c:bubble3D val="0"/>
            <c:explosion val="10"/>
            <c:spPr>
              <a:gradFill>
                <a:gsLst>
                  <a:gs pos="0">
                    <a:srgbClr val="03D4A8"/>
                  </a:gs>
                  <a:gs pos="25000">
                    <a:srgbClr val="21D6E0"/>
                  </a:gs>
                  <a:gs pos="75000">
                    <a:srgbClr val="0087E6"/>
                  </a:gs>
                  <a:gs pos="100000">
                    <a:srgbClr val="005CBF"/>
                  </a:gs>
                </a:gsLst>
                <a:lin ang="3600000" scaled="0"/>
              </a:gradFill>
              <a:scene3d>
                <a:camera prst="orthographicFront"/>
                <a:lightRig rig="threePt" dir="t">
                  <a:rot lat="0" lon="0" rev="1200000"/>
                </a:lightRig>
              </a:scene3d>
              <a:sp3d>
                <a:bevelT w="63500" h="25400"/>
              </a:sp3d>
            </c:spPr>
          </c:dPt>
          <c:dPt>
            <c:idx val="1"/>
            <c:bubble3D val="0"/>
            <c:spPr>
              <a:gradFill>
                <a:gsLst>
                  <a:gs pos="0">
                    <a:srgbClr val="03D4A8"/>
                  </a:gs>
                  <a:gs pos="25000">
                    <a:srgbClr val="21D6E0"/>
                  </a:gs>
                  <a:gs pos="75000">
                    <a:srgbClr val="0087E6"/>
                  </a:gs>
                  <a:gs pos="100000">
                    <a:srgbClr val="005CBF"/>
                  </a:gs>
                </a:gsLst>
                <a:lin ang="3600000" scaled="0"/>
              </a:gradFill>
              <a:scene3d>
                <a:camera prst="orthographicFront"/>
                <a:lightRig rig="threePt" dir="t">
                  <a:rot lat="0" lon="0" rev="1200000"/>
                </a:lightRig>
              </a:scene3d>
              <a:sp3d prstMaterial="translucentPowder">
                <a:bevelT w="63500" h="25400"/>
              </a:sp3d>
            </c:spPr>
          </c:dPt>
          <c:dPt>
            <c:idx val="2"/>
            <c:bubble3D val="0"/>
            <c:spPr>
              <a:gradFill>
                <a:gsLst>
                  <a:gs pos="0">
                    <a:srgbClr val="FFFF00"/>
                  </a:gs>
                  <a:gs pos="7000">
                    <a:srgbClr val="F8CC10"/>
                  </a:gs>
                  <a:gs pos="70000">
                    <a:srgbClr val="DC6900"/>
                  </a:gs>
                  <a:gs pos="100000">
                    <a:srgbClr val="DC6900"/>
                  </a:gs>
                </a:gsLst>
                <a:lin ang="4200000" scaled="0"/>
              </a:gradFill>
              <a:scene3d>
                <a:camera prst="orthographicFront"/>
                <a:lightRig rig="threePt" dir="t">
                  <a:rot lat="0" lon="0" rev="1200000"/>
                </a:lightRig>
              </a:scene3d>
              <a:sp3d prstMaterial="translucentPowder">
                <a:bevelT w="63500" h="25400"/>
              </a:sp3d>
            </c:spPr>
          </c:dPt>
          <c:dLbls>
            <c:delete val="1"/>
          </c:dLbls>
          <c:cat>
            <c:strRef>
              <c:f>'results 07 vs 09'!$A$10:$A$12</c:f>
              <c:strCache>
                <c:ptCount val="3"/>
                <c:pt idx="0">
                  <c:v>Positive pre-impaired earnings above branch average</c:v>
                </c:pt>
                <c:pt idx="1">
                  <c:v>Positive pre-impaired earnings below branch average</c:v>
                </c:pt>
                <c:pt idx="2">
                  <c:v>Negative pre-impaired earnings</c:v>
                </c:pt>
              </c:strCache>
            </c:strRef>
          </c:cat>
          <c:val>
            <c:numRef>
              <c:f>'results 07 vs 09'!$B$10:$B$12</c:f>
              <c:numCache>
                <c:formatCode>General</c:formatCode>
                <c:ptCount val="3"/>
                <c:pt idx="0">
                  <c:v>343</c:v>
                </c:pt>
                <c:pt idx="1">
                  <c:v>336</c:v>
                </c:pt>
                <c:pt idx="2">
                  <c:v>99</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4999435650748452"/>
          <c:y val="0.2528296621150205"/>
          <c:w val="0.43862907921492761"/>
          <c:h val="0.66142928336489604"/>
        </c:manualLayout>
      </c:layout>
      <c:overlay val="0"/>
      <c:spPr>
        <a:solidFill>
          <a:sysClr val="window" lastClr="FFFFFF"/>
        </a:solidFill>
      </c:spPr>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8E7ED1-C58A-4203-A5A5-C9147AA0B95B}" type="doc">
      <dgm:prSet loTypeId="urn:microsoft.com/office/officeart/2005/8/layout/hierarchy4" loCatId="list" qsTypeId="urn:microsoft.com/office/officeart/2005/8/quickstyle/simple1" qsCatId="simple" csTypeId="urn:microsoft.com/office/officeart/2005/8/colors/accent6_1" csCatId="accent6" phldr="1"/>
      <dgm:spPr/>
      <dgm:t>
        <a:bodyPr/>
        <a:lstStyle/>
        <a:p>
          <a:endParaRPr lang="nl-NL"/>
        </a:p>
      </dgm:t>
    </dgm:pt>
    <dgm:pt modelId="{FC0E3069-E9CC-4C44-8C3E-29CC9AA4668C}">
      <dgm:prSet phldrT="[Text]" custT="1"/>
      <dgm:spPr>
        <a:ln>
          <a:solidFill>
            <a:srgbClr val="00B0F0"/>
          </a:solidFill>
        </a:ln>
      </dgm:spPr>
      <dgm:t>
        <a:bodyPr/>
        <a:lstStyle/>
        <a:p>
          <a:r>
            <a:rPr lang="nl-NL" sz="2400"/>
            <a:t>Cost of business combination</a:t>
          </a:r>
        </a:p>
      </dgm:t>
    </dgm:pt>
    <dgm:pt modelId="{56E42EBC-D7CA-48A0-8D1B-E83D3B0D2E4C}" type="parTrans" cxnId="{03D3BD7A-C99A-4C20-BB1F-8D4CEAEDF93D}">
      <dgm:prSet/>
      <dgm:spPr/>
      <dgm:t>
        <a:bodyPr/>
        <a:lstStyle/>
        <a:p>
          <a:endParaRPr lang="nl-NL"/>
        </a:p>
      </dgm:t>
    </dgm:pt>
    <dgm:pt modelId="{B8F3CD55-1ADA-4C18-B595-CB53A252FD35}" type="sibTrans" cxnId="{03D3BD7A-C99A-4C20-BB1F-8D4CEAEDF93D}">
      <dgm:prSet/>
      <dgm:spPr/>
      <dgm:t>
        <a:bodyPr/>
        <a:lstStyle/>
        <a:p>
          <a:endParaRPr lang="nl-NL"/>
        </a:p>
      </dgm:t>
    </dgm:pt>
    <dgm:pt modelId="{99D66B86-65F0-4302-AFA0-141C30007C88}">
      <dgm:prSet phldrT="[Text]" custT="1"/>
      <dgm:spPr>
        <a:ln>
          <a:solidFill>
            <a:srgbClr val="00B0F0"/>
          </a:solidFill>
        </a:ln>
      </dgm:spPr>
      <dgm:t>
        <a:bodyPr/>
        <a:lstStyle/>
        <a:p>
          <a:r>
            <a:rPr lang="nl-NL" sz="2000"/>
            <a:t>Goodwill</a:t>
          </a:r>
        </a:p>
      </dgm:t>
    </dgm:pt>
    <dgm:pt modelId="{BB45BC85-DF37-4288-9BA0-66E6703C4E02}" type="parTrans" cxnId="{E1047EC4-4A5F-43E3-BE5D-461FEB5FBB72}">
      <dgm:prSet/>
      <dgm:spPr/>
      <dgm:t>
        <a:bodyPr/>
        <a:lstStyle/>
        <a:p>
          <a:endParaRPr lang="nl-NL"/>
        </a:p>
      </dgm:t>
    </dgm:pt>
    <dgm:pt modelId="{29420099-CDDB-4F32-B2EA-9E1B30721500}" type="sibTrans" cxnId="{E1047EC4-4A5F-43E3-BE5D-461FEB5FBB72}">
      <dgm:prSet/>
      <dgm:spPr/>
      <dgm:t>
        <a:bodyPr/>
        <a:lstStyle/>
        <a:p>
          <a:endParaRPr lang="nl-NL"/>
        </a:p>
      </dgm:t>
    </dgm:pt>
    <dgm:pt modelId="{62D3367C-2963-48D5-8C65-D9E5DB39A735}">
      <dgm:prSet phldrT="[Text]" custT="1"/>
      <dgm:spPr>
        <a:ln>
          <a:solidFill>
            <a:srgbClr val="00B0F0"/>
          </a:solidFill>
        </a:ln>
      </dgm:spPr>
      <dgm:t>
        <a:bodyPr/>
        <a:lstStyle/>
        <a:p>
          <a:r>
            <a:rPr lang="nl-NL" sz="1600"/>
            <a:t>New equity after purchase price allocation</a:t>
          </a:r>
        </a:p>
      </dgm:t>
    </dgm:pt>
    <dgm:pt modelId="{9B83ED96-FFA4-4366-99E4-19872436A88F}" type="parTrans" cxnId="{F9EEA1CB-9197-401C-AE19-B308A0537E55}">
      <dgm:prSet/>
      <dgm:spPr/>
      <dgm:t>
        <a:bodyPr/>
        <a:lstStyle/>
        <a:p>
          <a:endParaRPr lang="nl-NL"/>
        </a:p>
      </dgm:t>
    </dgm:pt>
    <dgm:pt modelId="{F9953E9C-7F9A-418C-A1F8-28317D136438}" type="sibTrans" cxnId="{F9EEA1CB-9197-401C-AE19-B308A0537E55}">
      <dgm:prSet/>
      <dgm:spPr/>
      <dgm:t>
        <a:bodyPr/>
        <a:lstStyle/>
        <a:p>
          <a:endParaRPr lang="nl-NL"/>
        </a:p>
      </dgm:t>
    </dgm:pt>
    <dgm:pt modelId="{AE5EE9E5-E9CE-4EFC-829D-4D480BE2020D}">
      <dgm:prSet phldrT="[Text]" custT="1"/>
      <dgm:spPr>
        <a:ln>
          <a:solidFill>
            <a:srgbClr val="00B0F0"/>
          </a:solidFill>
        </a:ln>
      </dgm:spPr>
      <dgm:t>
        <a:bodyPr/>
        <a:lstStyle/>
        <a:p>
          <a:r>
            <a:rPr lang="nl-NL" sz="1200" b="1"/>
            <a:t>1. </a:t>
          </a:r>
        </a:p>
        <a:p>
          <a:r>
            <a:rPr lang="nl-NL" sz="1200" b="1"/>
            <a:t>Write-up goodwill</a:t>
          </a:r>
          <a:br>
            <a:rPr lang="nl-NL" sz="1200" b="1"/>
          </a:br>
          <a:endParaRPr lang="nl-NL" sz="1200" b="1"/>
        </a:p>
      </dgm:t>
    </dgm:pt>
    <dgm:pt modelId="{201DD53A-41FE-43F2-8382-311EABAE9CA5}" type="parTrans" cxnId="{D7549E94-5884-441A-B372-304B037A6783}">
      <dgm:prSet/>
      <dgm:spPr/>
      <dgm:t>
        <a:bodyPr/>
        <a:lstStyle/>
        <a:p>
          <a:endParaRPr lang="nl-NL"/>
        </a:p>
      </dgm:t>
    </dgm:pt>
    <dgm:pt modelId="{958C67E9-5D5D-4F19-96D2-1F745C630D82}" type="sibTrans" cxnId="{D7549E94-5884-441A-B372-304B037A6783}">
      <dgm:prSet/>
      <dgm:spPr/>
      <dgm:t>
        <a:bodyPr/>
        <a:lstStyle/>
        <a:p>
          <a:endParaRPr lang="nl-NL"/>
        </a:p>
      </dgm:t>
    </dgm:pt>
    <dgm:pt modelId="{B6E28D7D-F839-4E7D-BF03-D1B15CAC4327}">
      <dgm:prSet phldrT="[Text]" custT="1"/>
      <dgm:spPr>
        <a:ln>
          <a:solidFill>
            <a:srgbClr val="00B0F0"/>
          </a:solidFill>
        </a:ln>
      </dgm:spPr>
      <dgm:t>
        <a:bodyPr/>
        <a:lstStyle/>
        <a:p>
          <a:r>
            <a:rPr lang="nl-NL" sz="1200" b="1"/>
            <a:t>4. </a:t>
          </a:r>
        </a:p>
        <a:p>
          <a:r>
            <a:rPr lang="nl-NL" sz="1200" b="1"/>
            <a:t>Residual goodwill</a:t>
          </a:r>
          <a:r>
            <a:rPr lang="nl-NL" sz="1200"/>
            <a:t/>
          </a:r>
          <a:br>
            <a:rPr lang="nl-NL" sz="1200"/>
          </a:br>
          <a:endParaRPr lang="nl-NL" sz="1200"/>
        </a:p>
      </dgm:t>
    </dgm:pt>
    <dgm:pt modelId="{7C8C607B-1360-432B-8551-8B905C34C1F6}" type="parTrans" cxnId="{2C889A49-9AA8-47F5-9C8D-696CBE009842}">
      <dgm:prSet/>
      <dgm:spPr/>
      <dgm:t>
        <a:bodyPr/>
        <a:lstStyle/>
        <a:p>
          <a:endParaRPr lang="nl-NL"/>
        </a:p>
      </dgm:t>
    </dgm:pt>
    <dgm:pt modelId="{7CE898AB-EBBB-44DD-9573-0B7030937FDA}" type="sibTrans" cxnId="{2C889A49-9AA8-47F5-9C8D-696CBE009842}">
      <dgm:prSet/>
      <dgm:spPr/>
      <dgm:t>
        <a:bodyPr/>
        <a:lstStyle/>
        <a:p>
          <a:endParaRPr lang="nl-NL"/>
        </a:p>
      </dgm:t>
    </dgm:pt>
    <dgm:pt modelId="{0CA0AAFD-6EF7-45EC-9329-2CD5F210D398}">
      <dgm:prSet phldrT="[Text]" custT="1"/>
      <dgm:spPr>
        <a:ln>
          <a:solidFill>
            <a:srgbClr val="00B0F0"/>
          </a:solidFill>
        </a:ln>
      </dgm:spPr>
      <dgm:t>
        <a:bodyPr/>
        <a:lstStyle/>
        <a:p>
          <a:r>
            <a:rPr lang="nl-NL" sz="1200" b="1"/>
            <a:t>3. </a:t>
          </a:r>
        </a:p>
        <a:p>
          <a:r>
            <a:rPr lang="nl-NL" sz="1200" b="1"/>
            <a:t>Synergy goodwill</a:t>
          </a:r>
          <a:r>
            <a:rPr lang="nl-NL" sz="1200"/>
            <a:t/>
          </a:r>
          <a:br>
            <a:rPr lang="nl-NL" sz="1200"/>
          </a:br>
          <a:endParaRPr lang="nl-NL" sz="1200"/>
        </a:p>
      </dgm:t>
    </dgm:pt>
    <dgm:pt modelId="{844FB339-3C9D-4F0B-AB73-BC962EA29D67}" type="parTrans" cxnId="{BC5ED640-BEF5-4BE0-BAA7-EECAB37A2013}">
      <dgm:prSet/>
      <dgm:spPr/>
      <dgm:t>
        <a:bodyPr/>
        <a:lstStyle/>
        <a:p>
          <a:endParaRPr lang="nl-NL"/>
        </a:p>
      </dgm:t>
    </dgm:pt>
    <dgm:pt modelId="{B520E04A-E9C7-4C34-9BAD-4C6FCE0F3DD6}" type="sibTrans" cxnId="{BC5ED640-BEF5-4BE0-BAA7-EECAB37A2013}">
      <dgm:prSet/>
      <dgm:spPr/>
      <dgm:t>
        <a:bodyPr/>
        <a:lstStyle/>
        <a:p>
          <a:endParaRPr lang="nl-NL"/>
        </a:p>
      </dgm:t>
    </dgm:pt>
    <dgm:pt modelId="{32B6FA17-5F26-45E5-8E0A-A62C79597346}">
      <dgm:prSet phldrT="[Text]" custT="1"/>
      <dgm:spPr>
        <a:ln>
          <a:solidFill>
            <a:srgbClr val="00B0F0"/>
          </a:solidFill>
        </a:ln>
      </dgm:spPr>
      <dgm:t>
        <a:bodyPr/>
        <a:lstStyle/>
        <a:p>
          <a:r>
            <a:rPr lang="nl-NL" sz="1200" b="1"/>
            <a:t>2. </a:t>
          </a:r>
        </a:p>
        <a:p>
          <a:r>
            <a:rPr lang="nl-NL" sz="1200" b="1"/>
            <a:t>Going- concern goodwill</a:t>
          </a:r>
        </a:p>
      </dgm:t>
    </dgm:pt>
    <dgm:pt modelId="{6E665178-1F36-46EC-AD94-16234184AD13}" type="parTrans" cxnId="{FE07FFD6-213C-48B5-8191-4ADF8307ADBF}">
      <dgm:prSet/>
      <dgm:spPr/>
      <dgm:t>
        <a:bodyPr/>
        <a:lstStyle/>
        <a:p>
          <a:endParaRPr lang="nl-NL"/>
        </a:p>
      </dgm:t>
    </dgm:pt>
    <dgm:pt modelId="{EA74B083-FB93-4252-B6E7-40B116666F0F}" type="sibTrans" cxnId="{FE07FFD6-213C-48B5-8191-4ADF8307ADBF}">
      <dgm:prSet/>
      <dgm:spPr/>
      <dgm:t>
        <a:bodyPr/>
        <a:lstStyle/>
        <a:p>
          <a:endParaRPr lang="nl-NL"/>
        </a:p>
      </dgm:t>
    </dgm:pt>
    <dgm:pt modelId="{53AE6208-F9D7-4C50-9EEF-FDB45EC82ADB}">
      <dgm:prSet phldrT="[Text]" custT="1"/>
      <dgm:spPr>
        <a:ln>
          <a:solidFill>
            <a:srgbClr val="00B0F0"/>
          </a:solidFill>
        </a:ln>
      </dgm:spPr>
      <dgm:t>
        <a:bodyPr/>
        <a:lstStyle/>
        <a:p>
          <a:r>
            <a:rPr lang="nl-NL" sz="1050"/>
            <a:t>Book </a:t>
          </a:r>
          <a:r>
            <a:rPr lang="nl-NL" sz="1200"/>
            <a:t>value</a:t>
          </a:r>
          <a:r>
            <a:rPr lang="nl-NL" sz="1050"/>
            <a:t> of equity</a:t>
          </a:r>
        </a:p>
      </dgm:t>
    </dgm:pt>
    <dgm:pt modelId="{A8022B10-483B-4F91-8406-F7AD7A32B005}" type="parTrans" cxnId="{4E14F3E0-194D-4C5D-AB0C-E7BFBDBFE044}">
      <dgm:prSet/>
      <dgm:spPr/>
      <dgm:t>
        <a:bodyPr/>
        <a:lstStyle/>
        <a:p>
          <a:endParaRPr lang="nl-NL"/>
        </a:p>
      </dgm:t>
    </dgm:pt>
    <dgm:pt modelId="{7D9829D3-1145-4175-A92B-F4D56F8D5B7D}" type="sibTrans" cxnId="{4E14F3E0-194D-4C5D-AB0C-E7BFBDBFE044}">
      <dgm:prSet/>
      <dgm:spPr/>
      <dgm:t>
        <a:bodyPr/>
        <a:lstStyle/>
        <a:p>
          <a:endParaRPr lang="nl-NL"/>
        </a:p>
      </dgm:t>
    </dgm:pt>
    <dgm:pt modelId="{D00D242D-7593-4DC9-B823-4E4272F72A3E}" type="pres">
      <dgm:prSet presAssocID="{0B8E7ED1-C58A-4203-A5A5-C9147AA0B95B}" presName="Name0" presStyleCnt="0">
        <dgm:presLayoutVars>
          <dgm:chPref val="1"/>
          <dgm:dir/>
          <dgm:animOne val="branch"/>
          <dgm:animLvl val="lvl"/>
          <dgm:resizeHandles/>
        </dgm:presLayoutVars>
      </dgm:prSet>
      <dgm:spPr/>
      <dgm:t>
        <a:bodyPr/>
        <a:lstStyle/>
        <a:p>
          <a:endParaRPr lang="nl-NL"/>
        </a:p>
      </dgm:t>
    </dgm:pt>
    <dgm:pt modelId="{F1BA2CCC-BFB2-48C8-A9CF-B8C347C0EDBB}" type="pres">
      <dgm:prSet presAssocID="{FC0E3069-E9CC-4C44-8C3E-29CC9AA4668C}" presName="vertOne" presStyleCnt="0"/>
      <dgm:spPr/>
    </dgm:pt>
    <dgm:pt modelId="{9FEDEE85-A38F-4A48-99C2-1FD0F9E4FB90}" type="pres">
      <dgm:prSet presAssocID="{FC0E3069-E9CC-4C44-8C3E-29CC9AA4668C}" presName="txOne" presStyleLbl="node0" presStyleIdx="0" presStyleCnt="1">
        <dgm:presLayoutVars>
          <dgm:chPref val="3"/>
        </dgm:presLayoutVars>
      </dgm:prSet>
      <dgm:spPr/>
      <dgm:t>
        <a:bodyPr/>
        <a:lstStyle/>
        <a:p>
          <a:endParaRPr lang="nl-NL"/>
        </a:p>
      </dgm:t>
    </dgm:pt>
    <dgm:pt modelId="{AB671E44-49EC-4142-A9CF-4D4E49F70A96}" type="pres">
      <dgm:prSet presAssocID="{FC0E3069-E9CC-4C44-8C3E-29CC9AA4668C}" presName="parTransOne" presStyleCnt="0"/>
      <dgm:spPr/>
    </dgm:pt>
    <dgm:pt modelId="{6F67021C-2081-4551-AFDB-654F6F9F46DA}" type="pres">
      <dgm:prSet presAssocID="{FC0E3069-E9CC-4C44-8C3E-29CC9AA4668C}" presName="horzOne" presStyleCnt="0"/>
      <dgm:spPr/>
    </dgm:pt>
    <dgm:pt modelId="{7299E1EC-873A-4746-B240-FEC92E5002A9}" type="pres">
      <dgm:prSet presAssocID="{62D3367C-2963-48D5-8C65-D9E5DB39A735}" presName="vertTwo" presStyleCnt="0"/>
      <dgm:spPr/>
    </dgm:pt>
    <dgm:pt modelId="{DE37E27A-961F-43E2-8989-5E99BC925CDD}" type="pres">
      <dgm:prSet presAssocID="{62D3367C-2963-48D5-8C65-D9E5DB39A735}" presName="txTwo" presStyleLbl="node2" presStyleIdx="0" presStyleCnt="2">
        <dgm:presLayoutVars>
          <dgm:chPref val="3"/>
        </dgm:presLayoutVars>
      </dgm:prSet>
      <dgm:spPr/>
      <dgm:t>
        <a:bodyPr/>
        <a:lstStyle/>
        <a:p>
          <a:endParaRPr lang="nl-NL"/>
        </a:p>
      </dgm:t>
    </dgm:pt>
    <dgm:pt modelId="{3E8DD597-F8BC-496C-A607-C04374E277DD}" type="pres">
      <dgm:prSet presAssocID="{62D3367C-2963-48D5-8C65-D9E5DB39A735}" presName="parTransTwo" presStyleCnt="0"/>
      <dgm:spPr/>
    </dgm:pt>
    <dgm:pt modelId="{4264CFE7-417B-4A93-B630-C8C4F3EEC746}" type="pres">
      <dgm:prSet presAssocID="{62D3367C-2963-48D5-8C65-D9E5DB39A735}" presName="horzTwo" presStyleCnt="0"/>
      <dgm:spPr/>
    </dgm:pt>
    <dgm:pt modelId="{89EF238C-73A9-4FEA-97C1-67500927D5D2}" type="pres">
      <dgm:prSet presAssocID="{53AE6208-F9D7-4C50-9EEF-FDB45EC82ADB}" presName="vertThree" presStyleCnt="0"/>
      <dgm:spPr/>
    </dgm:pt>
    <dgm:pt modelId="{1864735B-BBFD-4061-B64A-18022BBBF6AA}" type="pres">
      <dgm:prSet presAssocID="{53AE6208-F9D7-4C50-9EEF-FDB45EC82ADB}" presName="txThree" presStyleLbl="node3" presStyleIdx="0" presStyleCnt="5">
        <dgm:presLayoutVars>
          <dgm:chPref val="3"/>
        </dgm:presLayoutVars>
      </dgm:prSet>
      <dgm:spPr/>
      <dgm:t>
        <a:bodyPr/>
        <a:lstStyle/>
        <a:p>
          <a:endParaRPr lang="nl-NL"/>
        </a:p>
      </dgm:t>
    </dgm:pt>
    <dgm:pt modelId="{402AA596-C8EC-41C2-A488-854B816B801A}" type="pres">
      <dgm:prSet presAssocID="{53AE6208-F9D7-4C50-9EEF-FDB45EC82ADB}" presName="horzThree" presStyleCnt="0"/>
      <dgm:spPr/>
    </dgm:pt>
    <dgm:pt modelId="{F9390F47-96A6-4A81-BB7C-3FD85D5D4884}" type="pres">
      <dgm:prSet presAssocID="{7D9829D3-1145-4175-A92B-F4D56F8D5B7D}" presName="sibSpaceThree" presStyleCnt="0"/>
      <dgm:spPr/>
    </dgm:pt>
    <dgm:pt modelId="{11A687CF-9924-4585-8606-E97E30EE1D3F}" type="pres">
      <dgm:prSet presAssocID="{AE5EE9E5-E9CE-4EFC-829D-4D480BE2020D}" presName="vertThree" presStyleCnt="0"/>
      <dgm:spPr/>
    </dgm:pt>
    <dgm:pt modelId="{FF8EB543-27F5-4C78-B926-A50CC59A1EC1}" type="pres">
      <dgm:prSet presAssocID="{AE5EE9E5-E9CE-4EFC-829D-4D480BE2020D}" presName="txThree" presStyleLbl="node3" presStyleIdx="1" presStyleCnt="5">
        <dgm:presLayoutVars>
          <dgm:chPref val="3"/>
        </dgm:presLayoutVars>
      </dgm:prSet>
      <dgm:spPr/>
      <dgm:t>
        <a:bodyPr/>
        <a:lstStyle/>
        <a:p>
          <a:endParaRPr lang="nl-NL"/>
        </a:p>
      </dgm:t>
    </dgm:pt>
    <dgm:pt modelId="{C2EC6642-B0C7-47FE-8F8F-256FBC719491}" type="pres">
      <dgm:prSet presAssocID="{AE5EE9E5-E9CE-4EFC-829D-4D480BE2020D}" presName="horzThree" presStyleCnt="0"/>
      <dgm:spPr/>
    </dgm:pt>
    <dgm:pt modelId="{E12E7974-63A5-4A03-AA9C-27CDFE25D921}" type="pres">
      <dgm:prSet presAssocID="{F9953E9C-7F9A-418C-A1F8-28317D136438}" presName="sibSpaceTwo" presStyleCnt="0"/>
      <dgm:spPr/>
    </dgm:pt>
    <dgm:pt modelId="{DC550C61-AF56-4270-B5E5-0C919C567A1D}" type="pres">
      <dgm:prSet presAssocID="{99D66B86-65F0-4302-AFA0-141C30007C88}" presName="vertTwo" presStyleCnt="0"/>
      <dgm:spPr/>
    </dgm:pt>
    <dgm:pt modelId="{589E1630-825D-4B93-B4FA-7BDEC585A3D3}" type="pres">
      <dgm:prSet presAssocID="{99D66B86-65F0-4302-AFA0-141C30007C88}" presName="txTwo" presStyleLbl="node2" presStyleIdx="1" presStyleCnt="2">
        <dgm:presLayoutVars>
          <dgm:chPref val="3"/>
        </dgm:presLayoutVars>
      </dgm:prSet>
      <dgm:spPr/>
      <dgm:t>
        <a:bodyPr/>
        <a:lstStyle/>
        <a:p>
          <a:endParaRPr lang="nl-NL"/>
        </a:p>
      </dgm:t>
    </dgm:pt>
    <dgm:pt modelId="{70DEA7B9-73BE-451A-97CE-7B8E62F50A65}" type="pres">
      <dgm:prSet presAssocID="{99D66B86-65F0-4302-AFA0-141C30007C88}" presName="parTransTwo" presStyleCnt="0"/>
      <dgm:spPr/>
    </dgm:pt>
    <dgm:pt modelId="{60D3B50D-B104-4727-B90C-25F599E24B8F}" type="pres">
      <dgm:prSet presAssocID="{99D66B86-65F0-4302-AFA0-141C30007C88}" presName="horzTwo" presStyleCnt="0"/>
      <dgm:spPr/>
    </dgm:pt>
    <dgm:pt modelId="{A27FABBB-4BEF-4127-ACC8-F630FC29880C}" type="pres">
      <dgm:prSet presAssocID="{32B6FA17-5F26-45E5-8E0A-A62C79597346}" presName="vertThree" presStyleCnt="0"/>
      <dgm:spPr/>
    </dgm:pt>
    <dgm:pt modelId="{6618F952-4CBA-4F11-AFE0-183B355FECF5}" type="pres">
      <dgm:prSet presAssocID="{32B6FA17-5F26-45E5-8E0A-A62C79597346}" presName="txThree" presStyleLbl="node3" presStyleIdx="2" presStyleCnt="5">
        <dgm:presLayoutVars>
          <dgm:chPref val="3"/>
        </dgm:presLayoutVars>
      </dgm:prSet>
      <dgm:spPr/>
      <dgm:t>
        <a:bodyPr/>
        <a:lstStyle/>
        <a:p>
          <a:endParaRPr lang="nl-NL"/>
        </a:p>
      </dgm:t>
    </dgm:pt>
    <dgm:pt modelId="{3356E7C0-4C23-465D-81CE-1F48CEBDC213}" type="pres">
      <dgm:prSet presAssocID="{32B6FA17-5F26-45E5-8E0A-A62C79597346}" presName="horzThree" presStyleCnt="0"/>
      <dgm:spPr/>
    </dgm:pt>
    <dgm:pt modelId="{1B621C9D-B370-44C9-811D-71E9E03E583E}" type="pres">
      <dgm:prSet presAssocID="{EA74B083-FB93-4252-B6E7-40B116666F0F}" presName="sibSpaceThree" presStyleCnt="0"/>
      <dgm:spPr/>
    </dgm:pt>
    <dgm:pt modelId="{8CBDCF25-B650-4A67-92E4-9E67CF9166EB}" type="pres">
      <dgm:prSet presAssocID="{0CA0AAFD-6EF7-45EC-9329-2CD5F210D398}" presName="vertThree" presStyleCnt="0"/>
      <dgm:spPr/>
    </dgm:pt>
    <dgm:pt modelId="{3A36CEF5-3B34-408C-9746-941E23B5ED7A}" type="pres">
      <dgm:prSet presAssocID="{0CA0AAFD-6EF7-45EC-9329-2CD5F210D398}" presName="txThree" presStyleLbl="node3" presStyleIdx="3" presStyleCnt="5">
        <dgm:presLayoutVars>
          <dgm:chPref val="3"/>
        </dgm:presLayoutVars>
      </dgm:prSet>
      <dgm:spPr/>
      <dgm:t>
        <a:bodyPr/>
        <a:lstStyle/>
        <a:p>
          <a:endParaRPr lang="nl-NL"/>
        </a:p>
      </dgm:t>
    </dgm:pt>
    <dgm:pt modelId="{A8ECDC1E-A93D-45FA-B9C2-F8075018E0FC}" type="pres">
      <dgm:prSet presAssocID="{0CA0AAFD-6EF7-45EC-9329-2CD5F210D398}" presName="horzThree" presStyleCnt="0"/>
      <dgm:spPr/>
    </dgm:pt>
    <dgm:pt modelId="{0EF97F99-6383-4FF4-AC01-420DE9105DEA}" type="pres">
      <dgm:prSet presAssocID="{B520E04A-E9C7-4C34-9BAD-4C6FCE0F3DD6}" presName="sibSpaceThree" presStyleCnt="0"/>
      <dgm:spPr/>
    </dgm:pt>
    <dgm:pt modelId="{0B896CE3-2DB0-4A2D-A290-ADA67638FBF1}" type="pres">
      <dgm:prSet presAssocID="{B6E28D7D-F839-4E7D-BF03-D1B15CAC4327}" presName="vertThree" presStyleCnt="0"/>
      <dgm:spPr/>
    </dgm:pt>
    <dgm:pt modelId="{3991C1D6-1CF6-483A-A5F8-BAB86F7DB830}" type="pres">
      <dgm:prSet presAssocID="{B6E28D7D-F839-4E7D-BF03-D1B15CAC4327}" presName="txThree" presStyleLbl="node3" presStyleIdx="4" presStyleCnt="5" custLinFactNeighborX="60" custLinFactNeighborY="151">
        <dgm:presLayoutVars>
          <dgm:chPref val="3"/>
        </dgm:presLayoutVars>
      </dgm:prSet>
      <dgm:spPr/>
      <dgm:t>
        <a:bodyPr/>
        <a:lstStyle/>
        <a:p>
          <a:endParaRPr lang="nl-NL"/>
        </a:p>
      </dgm:t>
    </dgm:pt>
    <dgm:pt modelId="{85829A51-1272-43CD-B02F-861735FA0EE0}" type="pres">
      <dgm:prSet presAssocID="{B6E28D7D-F839-4E7D-BF03-D1B15CAC4327}" presName="horzThree" presStyleCnt="0"/>
      <dgm:spPr/>
    </dgm:pt>
  </dgm:ptLst>
  <dgm:cxnLst>
    <dgm:cxn modelId="{3AA7FDA6-F12E-4719-8AA8-4878C1CF6E9F}" type="presOf" srcId="{FC0E3069-E9CC-4C44-8C3E-29CC9AA4668C}" destId="{9FEDEE85-A38F-4A48-99C2-1FD0F9E4FB90}" srcOrd="0" destOrd="0" presId="urn:microsoft.com/office/officeart/2005/8/layout/hierarchy4"/>
    <dgm:cxn modelId="{E1047EC4-4A5F-43E3-BE5D-461FEB5FBB72}" srcId="{FC0E3069-E9CC-4C44-8C3E-29CC9AA4668C}" destId="{99D66B86-65F0-4302-AFA0-141C30007C88}" srcOrd="1" destOrd="0" parTransId="{BB45BC85-DF37-4288-9BA0-66E6703C4E02}" sibTransId="{29420099-CDDB-4F32-B2EA-9E1B30721500}"/>
    <dgm:cxn modelId="{BC5ED640-BEF5-4BE0-BAA7-EECAB37A2013}" srcId="{99D66B86-65F0-4302-AFA0-141C30007C88}" destId="{0CA0AAFD-6EF7-45EC-9329-2CD5F210D398}" srcOrd="1" destOrd="0" parTransId="{844FB339-3C9D-4F0B-AB73-BC962EA29D67}" sibTransId="{B520E04A-E9C7-4C34-9BAD-4C6FCE0F3DD6}"/>
    <dgm:cxn modelId="{7C2511D0-349C-468A-851C-DC55FA13F4B5}" type="presOf" srcId="{B6E28D7D-F839-4E7D-BF03-D1B15CAC4327}" destId="{3991C1D6-1CF6-483A-A5F8-BAB86F7DB830}" srcOrd="0" destOrd="0" presId="urn:microsoft.com/office/officeart/2005/8/layout/hierarchy4"/>
    <dgm:cxn modelId="{A658147D-CB1E-4BC4-8630-4DA79775621C}" type="presOf" srcId="{AE5EE9E5-E9CE-4EFC-829D-4D480BE2020D}" destId="{FF8EB543-27F5-4C78-B926-A50CC59A1EC1}" srcOrd="0" destOrd="0" presId="urn:microsoft.com/office/officeart/2005/8/layout/hierarchy4"/>
    <dgm:cxn modelId="{5B74F101-E87B-4502-966A-CED0980A4032}" type="presOf" srcId="{32B6FA17-5F26-45E5-8E0A-A62C79597346}" destId="{6618F952-4CBA-4F11-AFE0-183B355FECF5}" srcOrd="0" destOrd="0" presId="urn:microsoft.com/office/officeart/2005/8/layout/hierarchy4"/>
    <dgm:cxn modelId="{FE07FFD6-213C-48B5-8191-4ADF8307ADBF}" srcId="{99D66B86-65F0-4302-AFA0-141C30007C88}" destId="{32B6FA17-5F26-45E5-8E0A-A62C79597346}" srcOrd="0" destOrd="0" parTransId="{6E665178-1F36-46EC-AD94-16234184AD13}" sibTransId="{EA74B083-FB93-4252-B6E7-40B116666F0F}"/>
    <dgm:cxn modelId="{C8BC0E20-7098-4FB3-92CC-F82DF3A4CB74}" type="presOf" srcId="{62D3367C-2963-48D5-8C65-D9E5DB39A735}" destId="{DE37E27A-961F-43E2-8989-5E99BC925CDD}" srcOrd="0" destOrd="0" presId="urn:microsoft.com/office/officeart/2005/8/layout/hierarchy4"/>
    <dgm:cxn modelId="{5520B971-8931-41E5-A8F2-992A64161D85}" type="presOf" srcId="{0CA0AAFD-6EF7-45EC-9329-2CD5F210D398}" destId="{3A36CEF5-3B34-408C-9746-941E23B5ED7A}" srcOrd="0" destOrd="0" presId="urn:microsoft.com/office/officeart/2005/8/layout/hierarchy4"/>
    <dgm:cxn modelId="{03D3BD7A-C99A-4C20-BB1F-8D4CEAEDF93D}" srcId="{0B8E7ED1-C58A-4203-A5A5-C9147AA0B95B}" destId="{FC0E3069-E9CC-4C44-8C3E-29CC9AA4668C}" srcOrd="0" destOrd="0" parTransId="{56E42EBC-D7CA-48A0-8D1B-E83D3B0D2E4C}" sibTransId="{B8F3CD55-1ADA-4C18-B595-CB53A252FD35}"/>
    <dgm:cxn modelId="{AA7693C5-2A92-44EA-A8D9-6044D61C3D08}" type="presOf" srcId="{99D66B86-65F0-4302-AFA0-141C30007C88}" destId="{589E1630-825D-4B93-B4FA-7BDEC585A3D3}" srcOrd="0" destOrd="0" presId="urn:microsoft.com/office/officeart/2005/8/layout/hierarchy4"/>
    <dgm:cxn modelId="{C76394A3-7EDA-4127-9EB7-8E93DF01C848}" type="presOf" srcId="{0B8E7ED1-C58A-4203-A5A5-C9147AA0B95B}" destId="{D00D242D-7593-4DC9-B823-4E4272F72A3E}" srcOrd="0" destOrd="0" presId="urn:microsoft.com/office/officeart/2005/8/layout/hierarchy4"/>
    <dgm:cxn modelId="{F9EEA1CB-9197-401C-AE19-B308A0537E55}" srcId="{FC0E3069-E9CC-4C44-8C3E-29CC9AA4668C}" destId="{62D3367C-2963-48D5-8C65-D9E5DB39A735}" srcOrd="0" destOrd="0" parTransId="{9B83ED96-FFA4-4366-99E4-19872436A88F}" sibTransId="{F9953E9C-7F9A-418C-A1F8-28317D136438}"/>
    <dgm:cxn modelId="{4E14F3E0-194D-4C5D-AB0C-E7BFBDBFE044}" srcId="{62D3367C-2963-48D5-8C65-D9E5DB39A735}" destId="{53AE6208-F9D7-4C50-9EEF-FDB45EC82ADB}" srcOrd="0" destOrd="0" parTransId="{A8022B10-483B-4F91-8406-F7AD7A32B005}" sibTransId="{7D9829D3-1145-4175-A92B-F4D56F8D5B7D}"/>
    <dgm:cxn modelId="{40FD1DF1-D0F1-478C-8E5F-D8DC98D1CD14}" type="presOf" srcId="{53AE6208-F9D7-4C50-9EEF-FDB45EC82ADB}" destId="{1864735B-BBFD-4061-B64A-18022BBBF6AA}" srcOrd="0" destOrd="0" presId="urn:microsoft.com/office/officeart/2005/8/layout/hierarchy4"/>
    <dgm:cxn modelId="{D7549E94-5884-441A-B372-304B037A6783}" srcId="{62D3367C-2963-48D5-8C65-D9E5DB39A735}" destId="{AE5EE9E5-E9CE-4EFC-829D-4D480BE2020D}" srcOrd="1" destOrd="0" parTransId="{201DD53A-41FE-43F2-8382-311EABAE9CA5}" sibTransId="{958C67E9-5D5D-4F19-96D2-1F745C630D82}"/>
    <dgm:cxn modelId="{2C889A49-9AA8-47F5-9C8D-696CBE009842}" srcId="{99D66B86-65F0-4302-AFA0-141C30007C88}" destId="{B6E28D7D-F839-4E7D-BF03-D1B15CAC4327}" srcOrd="2" destOrd="0" parTransId="{7C8C607B-1360-432B-8551-8B905C34C1F6}" sibTransId="{7CE898AB-EBBB-44DD-9573-0B7030937FDA}"/>
    <dgm:cxn modelId="{1A7E97F9-F443-4502-AA8D-49C6487686F1}" type="presParOf" srcId="{D00D242D-7593-4DC9-B823-4E4272F72A3E}" destId="{F1BA2CCC-BFB2-48C8-A9CF-B8C347C0EDBB}" srcOrd="0" destOrd="0" presId="urn:microsoft.com/office/officeart/2005/8/layout/hierarchy4"/>
    <dgm:cxn modelId="{70713DB8-4A9A-4357-A94B-D3FFBFF6B2E9}" type="presParOf" srcId="{F1BA2CCC-BFB2-48C8-A9CF-B8C347C0EDBB}" destId="{9FEDEE85-A38F-4A48-99C2-1FD0F9E4FB90}" srcOrd="0" destOrd="0" presId="urn:microsoft.com/office/officeart/2005/8/layout/hierarchy4"/>
    <dgm:cxn modelId="{4B621C72-0F1B-48BA-9590-A7CAAD9B4B0C}" type="presParOf" srcId="{F1BA2CCC-BFB2-48C8-A9CF-B8C347C0EDBB}" destId="{AB671E44-49EC-4142-A9CF-4D4E49F70A96}" srcOrd="1" destOrd="0" presId="urn:microsoft.com/office/officeart/2005/8/layout/hierarchy4"/>
    <dgm:cxn modelId="{B4D5A893-7158-46AB-B55C-0C25CC301F75}" type="presParOf" srcId="{F1BA2CCC-BFB2-48C8-A9CF-B8C347C0EDBB}" destId="{6F67021C-2081-4551-AFDB-654F6F9F46DA}" srcOrd="2" destOrd="0" presId="urn:microsoft.com/office/officeart/2005/8/layout/hierarchy4"/>
    <dgm:cxn modelId="{4D6CA32A-B6C0-4492-BD49-26B7CD739BB8}" type="presParOf" srcId="{6F67021C-2081-4551-AFDB-654F6F9F46DA}" destId="{7299E1EC-873A-4746-B240-FEC92E5002A9}" srcOrd="0" destOrd="0" presId="urn:microsoft.com/office/officeart/2005/8/layout/hierarchy4"/>
    <dgm:cxn modelId="{72D4CCAE-5AE8-485F-821D-2F41462CD06D}" type="presParOf" srcId="{7299E1EC-873A-4746-B240-FEC92E5002A9}" destId="{DE37E27A-961F-43E2-8989-5E99BC925CDD}" srcOrd="0" destOrd="0" presId="urn:microsoft.com/office/officeart/2005/8/layout/hierarchy4"/>
    <dgm:cxn modelId="{D93CB80F-5C61-4607-AF9F-432979593D63}" type="presParOf" srcId="{7299E1EC-873A-4746-B240-FEC92E5002A9}" destId="{3E8DD597-F8BC-496C-A607-C04374E277DD}" srcOrd="1" destOrd="0" presId="urn:microsoft.com/office/officeart/2005/8/layout/hierarchy4"/>
    <dgm:cxn modelId="{F574E6B3-A15F-4A0A-88CB-BAF17B00D6FE}" type="presParOf" srcId="{7299E1EC-873A-4746-B240-FEC92E5002A9}" destId="{4264CFE7-417B-4A93-B630-C8C4F3EEC746}" srcOrd="2" destOrd="0" presId="urn:microsoft.com/office/officeart/2005/8/layout/hierarchy4"/>
    <dgm:cxn modelId="{EA53105E-42F9-4DB7-BA5F-22215006D08F}" type="presParOf" srcId="{4264CFE7-417B-4A93-B630-C8C4F3EEC746}" destId="{89EF238C-73A9-4FEA-97C1-67500927D5D2}" srcOrd="0" destOrd="0" presId="urn:microsoft.com/office/officeart/2005/8/layout/hierarchy4"/>
    <dgm:cxn modelId="{EF2C388E-B40A-45CB-B6C2-3DC5F3BE6912}" type="presParOf" srcId="{89EF238C-73A9-4FEA-97C1-67500927D5D2}" destId="{1864735B-BBFD-4061-B64A-18022BBBF6AA}" srcOrd="0" destOrd="0" presId="urn:microsoft.com/office/officeart/2005/8/layout/hierarchy4"/>
    <dgm:cxn modelId="{0B5B3E0D-B874-4D36-98EB-45E2136A62BC}" type="presParOf" srcId="{89EF238C-73A9-4FEA-97C1-67500927D5D2}" destId="{402AA596-C8EC-41C2-A488-854B816B801A}" srcOrd="1" destOrd="0" presId="urn:microsoft.com/office/officeart/2005/8/layout/hierarchy4"/>
    <dgm:cxn modelId="{01B6F704-F55B-43DE-915D-101EA4F48E34}" type="presParOf" srcId="{4264CFE7-417B-4A93-B630-C8C4F3EEC746}" destId="{F9390F47-96A6-4A81-BB7C-3FD85D5D4884}" srcOrd="1" destOrd="0" presId="urn:microsoft.com/office/officeart/2005/8/layout/hierarchy4"/>
    <dgm:cxn modelId="{CF2B8150-43CC-45CB-9C10-39DAECD6646F}" type="presParOf" srcId="{4264CFE7-417B-4A93-B630-C8C4F3EEC746}" destId="{11A687CF-9924-4585-8606-E97E30EE1D3F}" srcOrd="2" destOrd="0" presId="urn:microsoft.com/office/officeart/2005/8/layout/hierarchy4"/>
    <dgm:cxn modelId="{D7F99741-8A5E-49C1-8230-1284F4BF8770}" type="presParOf" srcId="{11A687CF-9924-4585-8606-E97E30EE1D3F}" destId="{FF8EB543-27F5-4C78-B926-A50CC59A1EC1}" srcOrd="0" destOrd="0" presId="urn:microsoft.com/office/officeart/2005/8/layout/hierarchy4"/>
    <dgm:cxn modelId="{F9B5E900-F2F1-4027-9F51-39069C89ED67}" type="presParOf" srcId="{11A687CF-9924-4585-8606-E97E30EE1D3F}" destId="{C2EC6642-B0C7-47FE-8F8F-256FBC719491}" srcOrd="1" destOrd="0" presId="urn:microsoft.com/office/officeart/2005/8/layout/hierarchy4"/>
    <dgm:cxn modelId="{C0439F3E-B7B8-4305-817F-7CF90D127AE1}" type="presParOf" srcId="{6F67021C-2081-4551-AFDB-654F6F9F46DA}" destId="{E12E7974-63A5-4A03-AA9C-27CDFE25D921}" srcOrd="1" destOrd="0" presId="urn:microsoft.com/office/officeart/2005/8/layout/hierarchy4"/>
    <dgm:cxn modelId="{D7E0FD2D-4564-43A1-8503-FFB2A5C1E675}" type="presParOf" srcId="{6F67021C-2081-4551-AFDB-654F6F9F46DA}" destId="{DC550C61-AF56-4270-B5E5-0C919C567A1D}" srcOrd="2" destOrd="0" presId="urn:microsoft.com/office/officeart/2005/8/layout/hierarchy4"/>
    <dgm:cxn modelId="{CA12A160-7762-476A-997C-E3DA60DFA6A7}" type="presParOf" srcId="{DC550C61-AF56-4270-B5E5-0C919C567A1D}" destId="{589E1630-825D-4B93-B4FA-7BDEC585A3D3}" srcOrd="0" destOrd="0" presId="urn:microsoft.com/office/officeart/2005/8/layout/hierarchy4"/>
    <dgm:cxn modelId="{31A46077-A559-4CA2-93C1-4D40D40E3EA0}" type="presParOf" srcId="{DC550C61-AF56-4270-B5E5-0C919C567A1D}" destId="{70DEA7B9-73BE-451A-97CE-7B8E62F50A65}" srcOrd="1" destOrd="0" presId="urn:microsoft.com/office/officeart/2005/8/layout/hierarchy4"/>
    <dgm:cxn modelId="{5FBDD577-6E45-4C48-BC7C-CBF95922A029}" type="presParOf" srcId="{DC550C61-AF56-4270-B5E5-0C919C567A1D}" destId="{60D3B50D-B104-4727-B90C-25F599E24B8F}" srcOrd="2" destOrd="0" presId="urn:microsoft.com/office/officeart/2005/8/layout/hierarchy4"/>
    <dgm:cxn modelId="{CABE31CD-AECB-4D97-A61E-DBF4EFC91243}" type="presParOf" srcId="{60D3B50D-B104-4727-B90C-25F599E24B8F}" destId="{A27FABBB-4BEF-4127-ACC8-F630FC29880C}" srcOrd="0" destOrd="0" presId="urn:microsoft.com/office/officeart/2005/8/layout/hierarchy4"/>
    <dgm:cxn modelId="{3B0B11A0-73E5-4900-8C95-7639AC1ACD50}" type="presParOf" srcId="{A27FABBB-4BEF-4127-ACC8-F630FC29880C}" destId="{6618F952-4CBA-4F11-AFE0-183B355FECF5}" srcOrd="0" destOrd="0" presId="urn:microsoft.com/office/officeart/2005/8/layout/hierarchy4"/>
    <dgm:cxn modelId="{DB47524D-047F-4608-AB52-05CE1E2C358B}" type="presParOf" srcId="{A27FABBB-4BEF-4127-ACC8-F630FC29880C}" destId="{3356E7C0-4C23-465D-81CE-1F48CEBDC213}" srcOrd="1" destOrd="0" presId="urn:microsoft.com/office/officeart/2005/8/layout/hierarchy4"/>
    <dgm:cxn modelId="{2B1936FB-1604-4F46-8406-B313BFE71B3A}" type="presParOf" srcId="{60D3B50D-B104-4727-B90C-25F599E24B8F}" destId="{1B621C9D-B370-44C9-811D-71E9E03E583E}" srcOrd="1" destOrd="0" presId="urn:microsoft.com/office/officeart/2005/8/layout/hierarchy4"/>
    <dgm:cxn modelId="{6D7E38AB-D3C1-453B-B868-8B84F731C94F}" type="presParOf" srcId="{60D3B50D-B104-4727-B90C-25F599E24B8F}" destId="{8CBDCF25-B650-4A67-92E4-9E67CF9166EB}" srcOrd="2" destOrd="0" presId="urn:microsoft.com/office/officeart/2005/8/layout/hierarchy4"/>
    <dgm:cxn modelId="{A7DE8FB0-EB52-4711-90F1-4A43EEA0785F}" type="presParOf" srcId="{8CBDCF25-B650-4A67-92E4-9E67CF9166EB}" destId="{3A36CEF5-3B34-408C-9746-941E23B5ED7A}" srcOrd="0" destOrd="0" presId="urn:microsoft.com/office/officeart/2005/8/layout/hierarchy4"/>
    <dgm:cxn modelId="{31012EF1-3BC1-4775-AAA8-3F656AC96C6E}" type="presParOf" srcId="{8CBDCF25-B650-4A67-92E4-9E67CF9166EB}" destId="{A8ECDC1E-A93D-45FA-B9C2-F8075018E0FC}" srcOrd="1" destOrd="0" presId="urn:microsoft.com/office/officeart/2005/8/layout/hierarchy4"/>
    <dgm:cxn modelId="{30A5F258-78EF-4130-BF40-8919934568D6}" type="presParOf" srcId="{60D3B50D-B104-4727-B90C-25F599E24B8F}" destId="{0EF97F99-6383-4FF4-AC01-420DE9105DEA}" srcOrd="3" destOrd="0" presId="urn:microsoft.com/office/officeart/2005/8/layout/hierarchy4"/>
    <dgm:cxn modelId="{79DD61E3-1945-4AC4-AC5A-65514012099E}" type="presParOf" srcId="{60D3B50D-B104-4727-B90C-25F599E24B8F}" destId="{0B896CE3-2DB0-4A2D-A290-ADA67638FBF1}" srcOrd="4" destOrd="0" presId="urn:microsoft.com/office/officeart/2005/8/layout/hierarchy4"/>
    <dgm:cxn modelId="{036C43C0-6D0B-46E9-9E5F-AE46BB713F01}" type="presParOf" srcId="{0B896CE3-2DB0-4A2D-A290-ADA67638FBF1}" destId="{3991C1D6-1CF6-483A-A5F8-BAB86F7DB830}" srcOrd="0" destOrd="0" presId="urn:microsoft.com/office/officeart/2005/8/layout/hierarchy4"/>
    <dgm:cxn modelId="{B95DAF04-38D5-4288-A759-7514357D62D1}" type="presParOf" srcId="{0B896CE3-2DB0-4A2D-A290-ADA67638FBF1}" destId="{85829A51-1272-43CD-B02F-861735FA0EE0}"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EDEE85-A38F-4A48-99C2-1FD0F9E4FB90}">
      <dsp:nvSpPr>
        <dsp:cNvPr id="0" name=""/>
        <dsp:cNvSpPr/>
      </dsp:nvSpPr>
      <dsp:spPr>
        <a:xfrm>
          <a:off x="629" y="1506"/>
          <a:ext cx="548514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nl-NL" sz="2400" kern="1200"/>
            <a:t>Cost of business combination</a:t>
          </a:r>
        </a:p>
      </dsp:txBody>
      <dsp:txXfrm>
        <a:off x="29967" y="30844"/>
        <a:ext cx="5426464" cy="943011"/>
      </dsp:txXfrm>
    </dsp:sp>
    <dsp:sp modelId="{DE37E27A-961F-43E2-8989-5E99BC925CDD}">
      <dsp:nvSpPr>
        <dsp:cNvPr id="0" name=""/>
        <dsp:cNvSpPr/>
      </dsp:nvSpPr>
      <dsp:spPr>
        <a:xfrm>
          <a:off x="629" y="1099356"/>
          <a:ext cx="2149838"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nl-NL" sz="1600" kern="1200"/>
            <a:t>New equity after purchase price allocation</a:t>
          </a:r>
        </a:p>
      </dsp:txBody>
      <dsp:txXfrm>
        <a:off x="29967" y="1128694"/>
        <a:ext cx="2091162" cy="943011"/>
      </dsp:txXfrm>
    </dsp:sp>
    <dsp:sp modelId="{1864735B-BBFD-4061-B64A-18022BBBF6AA}">
      <dsp:nvSpPr>
        <dsp:cNvPr id="0" name=""/>
        <dsp:cNvSpPr/>
      </dsp:nvSpPr>
      <dsp:spPr>
        <a:xfrm>
          <a:off x="629" y="2197205"/>
          <a:ext cx="105281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nl-NL" sz="1050" kern="1200"/>
            <a:t>Book </a:t>
          </a:r>
          <a:r>
            <a:rPr lang="nl-NL" sz="1200" kern="1200"/>
            <a:t>value</a:t>
          </a:r>
          <a:r>
            <a:rPr lang="nl-NL" sz="1050" kern="1200"/>
            <a:t> of equity</a:t>
          </a:r>
        </a:p>
      </dsp:txBody>
      <dsp:txXfrm>
        <a:off x="29967" y="2226543"/>
        <a:ext cx="994134" cy="943011"/>
      </dsp:txXfrm>
    </dsp:sp>
    <dsp:sp modelId="{FF8EB543-27F5-4C78-B926-A50CC59A1EC1}">
      <dsp:nvSpPr>
        <dsp:cNvPr id="0" name=""/>
        <dsp:cNvSpPr/>
      </dsp:nvSpPr>
      <dsp:spPr>
        <a:xfrm>
          <a:off x="1097657" y="2197205"/>
          <a:ext cx="105281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kern="1200"/>
            <a:t>1. </a:t>
          </a:r>
        </a:p>
        <a:p>
          <a:pPr lvl="0" algn="ctr" defTabSz="533400">
            <a:lnSpc>
              <a:spcPct val="90000"/>
            </a:lnSpc>
            <a:spcBef>
              <a:spcPct val="0"/>
            </a:spcBef>
            <a:spcAft>
              <a:spcPct val="35000"/>
            </a:spcAft>
          </a:pPr>
          <a:r>
            <a:rPr lang="nl-NL" sz="1200" b="1" kern="1200"/>
            <a:t>Write-up goodwill</a:t>
          </a:r>
          <a:br>
            <a:rPr lang="nl-NL" sz="1200" b="1" kern="1200"/>
          </a:br>
          <a:endParaRPr lang="nl-NL" sz="1200" b="1" kern="1200"/>
        </a:p>
      </dsp:txBody>
      <dsp:txXfrm>
        <a:off x="1126995" y="2226543"/>
        <a:ext cx="994134" cy="943011"/>
      </dsp:txXfrm>
    </dsp:sp>
    <dsp:sp modelId="{589E1630-825D-4B93-B4FA-7BDEC585A3D3}">
      <dsp:nvSpPr>
        <dsp:cNvPr id="0" name=""/>
        <dsp:cNvSpPr/>
      </dsp:nvSpPr>
      <dsp:spPr>
        <a:xfrm>
          <a:off x="2238903" y="1099356"/>
          <a:ext cx="3246866"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nl-NL" sz="2000" kern="1200"/>
            <a:t>Goodwill</a:t>
          </a:r>
        </a:p>
      </dsp:txBody>
      <dsp:txXfrm>
        <a:off x="2268241" y="1128694"/>
        <a:ext cx="3188190" cy="943011"/>
      </dsp:txXfrm>
    </dsp:sp>
    <dsp:sp modelId="{6618F952-4CBA-4F11-AFE0-183B355FECF5}">
      <dsp:nvSpPr>
        <dsp:cNvPr id="0" name=""/>
        <dsp:cNvSpPr/>
      </dsp:nvSpPr>
      <dsp:spPr>
        <a:xfrm>
          <a:off x="2238903" y="2197205"/>
          <a:ext cx="105281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kern="1200"/>
            <a:t>2. </a:t>
          </a:r>
        </a:p>
        <a:p>
          <a:pPr lvl="0" algn="ctr" defTabSz="533400">
            <a:lnSpc>
              <a:spcPct val="90000"/>
            </a:lnSpc>
            <a:spcBef>
              <a:spcPct val="0"/>
            </a:spcBef>
            <a:spcAft>
              <a:spcPct val="35000"/>
            </a:spcAft>
          </a:pPr>
          <a:r>
            <a:rPr lang="nl-NL" sz="1200" b="1" kern="1200"/>
            <a:t>Going- concern goodwill</a:t>
          </a:r>
        </a:p>
      </dsp:txBody>
      <dsp:txXfrm>
        <a:off x="2268241" y="2226543"/>
        <a:ext cx="994134" cy="943011"/>
      </dsp:txXfrm>
    </dsp:sp>
    <dsp:sp modelId="{3A36CEF5-3B34-408C-9746-941E23B5ED7A}">
      <dsp:nvSpPr>
        <dsp:cNvPr id="0" name=""/>
        <dsp:cNvSpPr/>
      </dsp:nvSpPr>
      <dsp:spPr>
        <a:xfrm>
          <a:off x="3335932" y="2197205"/>
          <a:ext cx="105281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kern="1200"/>
            <a:t>3. </a:t>
          </a:r>
        </a:p>
        <a:p>
          <a:pPr lvl="0" algn="ctr" defTabSz="533400">
            <a:lnSpc>
              <a:spcPct val="90000"/>
            </a:lnSpc>
            <a:spcBef>
              <a:spcPct val="0"/>
            </a:spcBef>
            <a:spcAft>
              <a:spcPct val="35000"/>
            </a:spcAft>
          </a:pPr>
          <a:r>
            <a:rPr lang="nl-NL" sz="1200" b="1" kern="1200"/>
            <a:t>Synergy goodwill</a:t>
          </a:r>
          <a:r>
            <a:rPr lang="nl-NL" sz="1200" kern="1200"/>
            <a:t/>
          </a:r>
          <a:br>
            <a:rPr lang="nl-NL" sz="1200" kern="1200"/>
          </a:br>
          <a:endParaRPr lang="nl-NL" sz="1200" kern="1200"/>
        </a:p>
      </dsp:txBody>
      <dsp:txXfrm>
        <a:off x="3365270" y="2226543"/>
        <a:ext cx="994134" cy="943011"/>
      </dsp:txXfrm>
    </dsp:sp>
    <dsp:sp modelId="{3991C1D6-1CF6-483A-A5F8-BAB86F7DB830}">
      <dsp:nvSpPr>
        <dsp:cNvPr id="0" name=""/>
        <dsp:cNvSpPr/>
      </dsp:nvSpPr>
      <dsp:spPr>
        <a:xfrm>
          <a:off x="4433589" y="2198712"/>
          <a:ext cx="1052810" cy="1001687"/>
        </a:xfrm>
        <a:prstGeom prst="roundRect">
          <a:avLst>
            <a:gd name="adj" fmla="val 10000"/>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kern="1200"/>
            <a:t>4. </a:t>
          </a:r>
        </a:p>
        <a:p>
          <a:pPr lvl="0" algn="ctr" defTabSz="533400">
            <a:lnSpc>
              <a:spcPct val="90000"/>
            </a:lnSpc>
            <a:spcBef>
              <a:spcPct val="0"/>
            </a:spcBef>
            <a:spcAft>
              <a:spcPct val="35000"/>
            </a:spcAft>
          </a:pPr>
          <a:r>
            <a:rPr lang="nl-NL" sz="1200" b="1" kern="1200"/>
            <a:t>Residual goodwill</a:t>
          </a:r>
          <a:r>
            <a:rPr lang="nl-NL" sz="1200" kern="1200"/>
            <a:t/>
          </a:r>
          <a:br>
            <a:rPr lang="nl-NL" sz="1200" kern="1200"/>
          </a:br>
          <a:endParaRPr lang="nl-NL" sz="1200" kern="1200"/>
        </a:p>
      </dsp:txBody>
      <dsp:txXfrm>
        <a:off x="4462927" y="2228050"/>
        <a:ext cx="994134" cy="9430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Alc98</b:Tag>
    <b:SourceType>Book</b:SourceType>
    <b:Guid>{C8C68DBD-D258-4565-B846-412E9EA8F744}</b:Guid>
    <b:Author>
      <b:Author>
        <b:NameList>
          <b:Person>
            <b:Last>Alciatore</b:Last>
            <b:First>M.,</b:First>
            <b:Middle>Dee, C.C., Easton, P., Spear, N.,</b:Middle>
          </b:Person>
        </b:NameList>
      </b:Author>
    </b:Author>
    <b:Title>Asset write-downs: A decade of research</b:Title>
    <b:Year>1998</b:Year>
    <b:Edition>Journal of Accounting Literature, Vol. 17, pp. 1-39.</b:Edition>
    <b:RefOrder>1</b:RefOrder>
  </b:Source>
</b:Sources>
</file>

<file path=customXml/itemProps1.xml><?xml version="1.0" encoding="utf-8"?>
<ds:datastoreItem xmlns:ds="http://schemas.openxmlformats.org/officeDocument/2006/customXml" ds:itemID="{6261D55B-B98F-447F-B008-CCE3388C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62</Pages>
  <Words>18829</Words>
  <Characters>103562</Characters>
  <Application>Microsoft Office Word</Application>
  <DocSecurity>0</DocSecurity>
  <Lines>863</Lines>
  <Paragraphs>244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Samuël Visser</cp:lastModifiedBy>
  <cp:revision>6</cp:revision>
  <cp:lastPrinted>2013-05-05T12:56:00Z</cp:lastPrinted>
  <dcterms:created xsi:type="dcterms:W3CDTF">2013-06-25T17:37:00Z</dcterms:created>
  <dcterms:modified xsi:type="dcterms:W3CDTF">2013-06-25T18:59:00Z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