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word/charts/chart10.xml" ContentType="application/vnd.openxmlformats-officedocument.drawingml.chart+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word/charts/chart9.xml" ContentType="application/vnd.openxmlformats-officedocument.drawingml.chart+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caps/>
        </w:rPr>
        <w:id w:val="-1767683387"/>
        <w:docPartObj>
          <w:docPartGallery w:val="Cover Pages"/>
          <w:docPartUnique/>
        </w:docPartObj>
      </w:sdtPr>
      <w:sdtEndPr>
        <w:rPr>
          <w:rFonts w:asciiTheme="minorHAnsi" w:eastAsiaTheme="minorHAnsi" w:hAnsiTheme="minorHAnsi" w:cstheme="minorBidi"/>
          <w:caps w:val="0"/>
        </w:rPr>
      </w:sdtEndPr>
      <w:sdtContent>
        <w:tbl>
          <w:tblPr>
            <w:tblW w:w="5000" w:type="pct"/>
            <w:jc w:val="center"/>
            <w:tblLook w:val="04A0"/>
          </w:tblPr>
          <w:tblGrid>
            <w:gridCol w:w="9288"/>
          </w:tblGrid>
          <w:tr w:rsidR="00B52148">
            <w:trPr>
              <w:trHeight w:val="2880"/>
              <w:jc w:val="center"/>
            </w:trPr>
            <w:tc>
              <w:tcPr>
                <w:tcW w:w="5000" w:type="pct"/>
              </w:tcPr>
              <w:p w:rsidR="00B52148" w:rsidRDefault="00B52148" w:rsidP="00074DD7">
                <w:pPr>
                  <w:pStyle w:val="NoSpacing"/>
                  <w:jc w:val="center"/>
                  <w:rPr>
                    <w:rFonts w:asciiTheme="majorHAnsi" w:eastAsiaTheme="majorEastAsia" w:hAnsiTheme="majorHAnsi" w:cstheme="majorBidi"/>
                    <w:caps/>
                  </w:rPr>
                </w:pPr>
              </w:p>
            </w:tc>
          </w:tr>
          <w:tr w:rsidR="00B52148">
            <w:trPr>
              <w:trHeight w:val="1440"/>
              <w:jc w:val="center"/>
            </w:trPr>
            <w:sdt>
              <w:sdtPr>
                <w:rPr>
                  <w:rFonts w:asciiTheme="majorHAnsi" w:eastAsiaTheme="majorEastAsia" w:hAnsiTheme="majorHAnsi" w:cstheme="majorBidi"/>
                  <w:sz w:val="80"/>
                  <w:szCs w:val="80"/>
                </w:rPr>
                <w:alias w:val="Titel"/>
                <w:id w:val="15524250"/>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B52148" w:rsidRDefault="008E48C4" w:rsidP="001C0EDB">
                    <w:pPr>
                      <w:pStyle w:val="NoSpacing"/>
                      <w:jc w:val="center"/>
                      <w:rPr>
                        <w:rFonts w:asciiTheme="majorHAnsi" w:eastAsiaTheme="majorEastAsia" w:hAnsiTheme="majorHAnsi" w:cstheme="majorBidi"/>
                        <w:sz w:val="80"/>
                        <w:szCs w:val="80"/>
                      </w:rPr>
                    </w:pPr>
                    <w:r>
                      <w:rPr>
                        <w:rFonts w:asciiTheme="majorHAnsi" w:eastAsiaTheme="majorEastAsia" w:hAnsiTheme="majorHAnsi" w:cstheme="majorBidi"/>
                        <w:sz w:val="80"/>
                        <w:szCs w:val="80"/>
                      </w:rPr>
                      <w:t xml:space="preserve">Positie van de </w:t>
                    </w:r>
                    <w:r w:rsidR="001C0EDB">
                      <w:rPr>
                        <w:rFonts w:asciiTheme="majorHAnsi" w:eastAsiaTheme="majorEastAsia" w:hAnsiTheme="majorHAnsi" w:cstheme="majorBidi"/>
                        <w:sz w:val="80"/>
                        <w:szCs w:val="80"/>
                      </w:rPr>
                      <w:t>Zeeuwse havens: een gelopen race?</w:t>
                    </w:r>
                  </w:p>
                </w:tc>
              </w:sdtContent>
            </w:sdt>
          </w:tr>
          <w:tr w:rsidR="00B52148">
            <w:trPr>
              <w:trHeight w:val="720"/>
              <w:jc w:val="center"/>
            </w:trPr>
            <w:sdt>
              <w:sdtPr>
                <w:rPr>
                  <w:rFonts w:asciiTheme="majorHAnsi" w:eastAsiaTheme="majorEastAsia" w:hAnsiTheme="majorHAnsi" w:cstheme="majorBidi"/>
                  <w:sz w:val="44"/>
                  <w:szCs w:val="44"/>
                </w:rPr>
                <w:alias w:val="Ondertitel"/>
                <w:id w:val="15524255"/>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rsidR="00B52148" w:rsidRDefault="001C0EDB" w:rsidP="001C0EDB">
                    <w:pPr>
                      <w:pStyle w:val="NoSpacing"/>
                      <w:jc w:val="center"/>
                      <w:rPr>
                        <w:rFonts w:asciiTheme="majorHAnsi" w:eastAsiaTheme="majorEastAsia" w:hAnsiTheme="majorHAnsi" w:cstheme="majorBidi"/>
                        <w:sz w:val="44"/>
                        <w:szCs w:val="44"/>
                      </w:rPr>
                    </w:pPr>
                    <w:r>
                      <w:rPr>
                        <w:rFonts w:asciiTheme="majorHAnsi" w:eastAsiaTheme="majorEastAsia" w:hAnsiTheme="majorHAnsi" w:cstheme="majorBidi"/>
                        <w:sz w:val="44"/>
                        <w:szCs w:val="44"/>
                      </w:rPr>
                      <w:t>Een analyse van de strategische positie van de Zeeuwse havens</w:t>
                    </w:r>
                  </w:p>
                </w:tc>
              </w:sdtContent>
            </w:sdt>
          </w:tr>
          <w:tr w:rsidR="00B52148">
            <w:trPr>
              <w:trHeight w:val="360"/>
              <w:jc w:val="center"/>
            </w:trPr>
            <w:tc>
              <w:tcPr>
                <w:tcW w:w="5000" w:type="pct"/>
                <w:vAlign w:val="center"/>
              </w:tcPr>
              <w:p w:rsidR="00B52148" w:rsidRDefault="00B52148">
                <w:pPr>
                  <w:pStyle w:val="NoSpacing"/>
                  <w:jc w:val="center"/>
                </w:pPr>
              </w:p>
            </w:tc>
          </w:tr>
          <w:tr w:rsidR="00B52148">
            <w:trPr>
              <w:trHeight w:val="360"/>
              <w:jc w:val="center"/>
            </w:trPr>
            <w:tc>
              <w:tcPr>
                <w:tcW w:w="5000" w:type="pct"/>
                <w:vAlign w:val="center"/>
              </w:tcPr>
              <w:p w:rsidR="00B52148" w:rsidRDefault="00B52148">
                <w:pPr>
                  <w:pStyle w:val="NoSpacing"/>
                  <w:jc w:val="center"/>
                  <w:rPr>
                    <w:b/>
                    <w:bCs/>
                  </w:rPr>
                </w:pPr>
              </w:p>
            </w:tc>
          </w:tr>
          <w:tr w:rsidR="00B52148">
            <w:trPr>
              <w:trHeight w:val="360"/>
              <w:jc w:val="center"/>
            </w:trPr>
            <w:tc>
              <w:tcPr>
                <w:tcW w:w="5000" w:type="pct"/>
                <w:vAlign w:val="center"/>
              </w:tcPr>
              <w:p w:rsidR="00B52148" w:rsidRDefault="00B52148">
                <w:pPr>
                  <w:pStyle w:val="NoSpacing"/>
                  <w:jc w:val="center"/>
                  <w:rPr>
                    <w:b/>
                    <w:bCs/>
                  </w:rPr>
                </w:pPr>
              </w:p>
            </w:tc>
          </w:tr>
        </w:tbl>
        <w:p w:rsidR="00B52148" w:rsidRDefault="00B52148"/>
        <w:p w:rsidR="00B52148" w:rsidRDefault="00B52148"/>
        <w:p w:rsidR="00B52148" w:rsidRDefault="00B52148"/>
        <w:p w:rsidR="001C0EDB" w:rsidRDefault="001C0EDB" w:rsidP="001C0EDB">
          <w:pPr>
            <w:pStyle w:val="NoSpacing"/>
          </w:pPr>
        </w:p>
        <w:p w:rsidR="001C0EDB" w:rsidRDefault="001C0EDB" w:rsidP="001C0EDB">
          <w:pPr>
            <w:pStyle w:val="NoSpacing"/>
          </w:pPr>
        </w:p>
        <w:p w:rsidR="001C0EDB" w:rsidRDefault="001C0EDB" w:rsidP="001C0EDB">
          <w:pPr>
            <w:pStyle w:val="NoSpacing"/>
          </w:pPr>
        </w:p>
        <w:p w:rsidR="001C0EDB" w:rsidRDefault="001C0EDB" w:rsidP="001C0EDB">
          <w:pPr>
            <w:pStyle w:val="NoSpacing"/>
          </w:pPr>
        </w:p>
        <w:p w:rsidR="001C0EDB" w:rsidRDefault="001C0EDB" w:rsidP="001C0EDB">
          <w:pPr>
            <w:pStyle w:val="NoSpacing"/>
          </w:pPr>
        </w:p>
        <w:p w:rsidR="001C0EDB" w:rsidRDefault="001C0EDB" w:rsidP="001C0EDB">
          <w:pPr>
            <w:pStyle w:val="NoSpacing"/>
          </w:pPr>
        </w:p>
        <w:p w:rsidR="001C0EDB" w:rsidRDefault="001C0EDB" w:rsidP="001C0EDB">
          <w:pPr>
            <w:pStyle w:val="NoSpacing"/>
          </w:pPr>
        </w:p>
        <w:p w:rsidR="001C0EDB" w:rsidRDefault="001C0EDB" w:rsidP="001C0EDB">
          <w:pPr>
            <w:pStyle w:val="NoSpacing"/>
          </w:pPr>
        </w:p>
        <w:p w:rsidR="001C0EDB" w:rsidRDefault="001C0EDB" w:rsidP="001C0EDB">
          <w:pPr>
            <w:pStyle w:val="NoSpacing"/>
          </w:pPr>
        </w:p>
        <w:p w:rsidR="008E48C4" w:rsidRPr="00991C40" w:rsidRDefault="008E48C4" w:rsidP="001C0EDB">
          <w:pPr>
            <w:pStyle w:val="NoSpacing"/>
          </w:pPr>
        </w:p>
        <w:p w:rsidR="008E48C4" w:rsidRPr="00991C40" w:rsidRDefault="008E48C4" w:rsidP="001C0EDB">
          <w:pPr>
            <w:pStyle w:val="NoSpacing"/>
          </w:pPr>
        </w:p>
        <w:p w:rsidR="008E48C4" w:rsidRPr="00074DD7" w:rsidRDefault="008E48C4" w:rsidP="001C0EDB">
          <w:pPr>
            <w:pStyle w:val="NoSpacing"/>
            <w:rPr>
              <w:rFonts w:asciiTheme="majorHAnsi" w:hAnsiTheme="majorHAnsi"/>
              <w:lang w:val="en-GB"/>
            </w:rPr>
          </w:pPr>
          <w:r w:rsidRPr="00074DD7">
            <w:rPr>
              <w:rFonts w:asciiTheme="majorHAnsi" w:hAnsiTheme="majorHAnsi"/>
              <w:lang w:val="en-GB"/>
            </w:rPr>
            <w:t>Urban, Port and Transport Economics</w:t>
          </w:r>
        </w:p>
        <w:p w:rsidR="008E48C4" w:rsidRPr="00074DD7" w:rsidRDefault="008E48C4" w:rsidP="001C0EDB">
          <w:pPr>
            <w:pStyle w:val="NoSpacing"/>
            <w:rPr>
              <w:rFonts w:asciiTheme="majorHAnsi" w:hAnsiTheme="majorHAnsi"/>
              <w:lang w:val="en-GB"/>
            </w:rPr>
          </w:pPr>
          <w:r w:rsidRPr="00074DD7">
            <w:rPr>
              <w:rFonts w:asciiTheme="majorHAnsi" w:hAnsiTheme="majorHAnsi"/>
              <w:lang w:val="en-GB"/>
            </w:rPr>
            <w:t>Erasmus School of Economics</w:t>
          </w:r>
        </w:p>
        <w:p w:rsidR="008E48C4" w:rsidRPr="00991C40" w:rsidRDefault="008E48C4" w:rsidP="001C0EDB">
          <w:pPr>
            <w:pStyle w:val="NoSpacing"/>
            <w:rPr>
              <w:rFonts w:asciiTheme="majorHAnsi" w:hAnsiTheme="majorHAnsi"/>
            </w:rPr>
          </w:pPr>
          <w:r w:rsidRPr="00991C40">
            <w:rPr>
              <w:rFonts w:asciiTheme="majorHAnsi" w:hAnsiTheme="majorHAnsi"/>
            </w:rPr>
            <w:t>Erasmus University Rotterdam</w:t>
          </w:r>
        </w:p>
        <w:p w:rsidR="008E48C4" w:rsidRPr="00991C40" w:rsidRDefault="008E48C4" w:rsidP="001C0EDB">
          <w:pPr>
            <w:pStyle w:val="NoSpacing"/>
            <w:rPr>
              <w:rFonts w:asciiTheme="majorHAnsi" w:hAnsiTheme="majorHAnsi"/>
            </w:rPr>
          </w:pPr>
        </w:p>
        <w:p w:rsidR="008E48C4" w:rsidRPr="00074DD7" w:rsidRDefault="008E48C4" w:rsidP="001C0EDB">
          <w:pPr>
            <w:pStyle w:val="NoSpacing"/>
            <w:rPr>
              <w:rFonts w:asciiTheme="majorHAnsi" w:hAnsiTheme="majorHAnsi"/>
            </w:rPr>
          </w:pPr>
          <w:r w:rsidRPr="00074DD7">
            <w:rPr>
              <w:rFonts w:asciiTheme="majorHAnsi" w:hAnsiTheme="majorHAnsi"/>
            </w:rPr>
            <w:t>Auteur: Yannick Mol</w:t>
          </w:r>
        </w:p>
        <w:p w:rsidR="008E48C4" w:rsidRPr="00074DD7" w:rsidRDefault="008E48C4" w:rsidP="001C0EDB">
          <w:pPr>
            <w:pStyle w:val="NoSpacing"/>
            <w:rPr>
              <w:rFonts w:asciiTheme="majorHAnsi" w:hAnsiTheme="majorHAnsi"/>
            </w:rPr>
          </w:pPr>
          <w:r w:rsidRPr="00074DD7">
            <w:rPr>
              <w:rFonts w:asciiTheme="majorHAnsi" w:hAnsiTheme="majorHAnsi"/>
            </w:rPr>
            <w:t>Studentnummer: 359418</w:t>
          </w:r>
        </w:p>
        <w:p w:rsidR="00074DD7" w:rsidRPr="00074DD7" w:rsidRDefault="00074DD7" w:rsidP="001C0EDB">
          <w:pPr>
            <w:pStyle w:val="NoSpacing"/>
            <w:rPr>
              <w:rFonts w:asciiTheme="majorHAnsi" w:hAnsiTheme="majorHAnsi"/>
            </w:rPr>
          </w:pPr>
          <w:r w:rsidRPr="00074DD7">
            <w:rPr>
              <w:rFonts w:asciiTheme="majorHAnsi" w:hAnsiTheme="majorHAnsi"/>
            </w:rPr>
            <w:t>Datum: juli 2014</w:t>
          </w:r>
        </w:p>
        <w:p w:rsidR="00074DD7" w:rsidRPr="00074DD7" w:rsidRDefault="00074DD7" w:rsidP="001C0EDB">
          <w:pPr>
            <w:pStyle w:val="NoSpacing"/>
            <w:rPr>
              <w:rFonts w:asciiTheme="majorHAnsi" w:hAnsiTheme="majorHAnsi"/>
            </w:rPr>
          </w:pPr>
        </w:p>
        <w:p w:rsidR="00B52148" w:rsidRDefault="008E48C4" w:rsidP="001C0EDB">
          <w:pPr>
            <w:pStyle w:val="NoSpacing"/>
          </w:pPr>
          <w:r w:rsidRPr="00074DD7">
            <w:rPr>
              <w:rFonts w:asciiTheme="majorHAnsi" w:hAnsiTheme="majorHAnsi"/>
            </w:rPr>
            <w:t>Begeleider: O. J. M. de Jong</w:t>
          </w:r>
          <w:r w:rsidR="00B52148" w:rsidRPr="008E48C4">
            <w:br w:type="page"/>
          </w:r>
        </w:p>
      </w:sdtContent>
    </w:sdt>
    <w:p w:rsidR="005612B6" w:rsidRDefault="005612B6">
      <w:pPr>
        <w:rPr>
          <w:color w:val="595959" w:themeColor="text1" w:themeTint="A6"/>
        </w:rPr>
        <w:sectPr w:rsidR="005612B6" w:rsidSect="00B52148">
          <w:footerReference w:type="default" r:id="rId9"/>
          <w:pgSz w:w="11906" w:h="16838"/>
          <w:pgMar w:top="1417" w:right="1417" w:bottom="1417" w:left="1417" w:header="708" w:footer="708" w:gutter="0"/>
          <w:pgNumType w:fmt="upperRoman" w:start="0"/>
          <w:cols w:space="708"/>
          <w:titlePg/>
          <w:docGrid w:linePitch="360"/>
        </w:sectPr>
      </w:pPr>
    </w:p>
    <w:p w:rsidR="00BF2B72" w:rsidRDefault="00BF2B72">
      <w:pPr>
        <w:rPr>
          <w:rFonts w:asciiTheme="majorHAnsi" w:eastAsiaTheme="majorEastAsia" w:hAnsiTheme="majorHAnsi" w:cstheme="majorBidi"/>
          <w:b/>
          <w:bCs/>
          <w:color w:val="595959" w:themeColor="text1" w:themeTint="A6"/>
          <w:sz w:val="28"/>
          <w:szCs w:val="28"/>
        </w:rPr>
      </w:pPr>
      <w:r>
        <w:rPr>
          <w:color w:val="595959" w:themeColor="text1" w:themeTint="A6"/>
        </w:rPr>
        <w:lastRenderedPageBreak/>
        <w:br w:type="page"/>
      </w:r>
    </w:p>
    <w:p w:rsidR="00B52148" w:rsidRDefault="00B52148" w:rsidP="00B52148">
      <w:pPr>
        <w:pStyle w:val="Heading1"/>
        <w:numPr>
          <w:ilvl w:val="0"/>
          <w:numId w:val="0"/>
        </w:numPr>
        <w:spacing w:before="0"/>
        <w:rPr>
          <w:color w:val="595959" w:themeColor="text1" w:themeTint="A6"/>
        </w:rPr>
      </w:pPr>
      <w:bookmarkStart w:id="0" w:name="_Toc391467980"/>
      <w:r w:rsidRPr="00B52148">
        <w:rPr>
          <w:color w:val="595959" w:themeColor="text1" w:themeTint="A6"/>
        </w:rPr>
        <w:lastRenderedPageBreak/>
        <w:t>Samenvatting</w:t>
      </w:r>
      <w:bookmarkEnd w:id="0"/>
    </w:p>
    <w:p w:rsidR="00A940BF" w:rsidRDefault="00A940BF" w:rsidP="00B52148">
      <w:pPr>
        <w:pStyle w:val="NoSpacing"/>
        <w:spacing w:before="100" w:line="360" w:lineRule="auto"/>
        <w:jc w:val="both"/>
      </w:pPr>
      <w:r>
        <w:t xml:space="preserve">De Zeeuwse havens van Vlissingen en Terneuzen hebben een grote invloed op de Zeeuwse economie. </w:t>
      </w:r>
      <w:proofErr w:type="gramStart"/>
      <w:r>
        <w:t>Aangezien</w:t>
      </w:r>
      <w:proofErr w:type="gramEnd"/>
      <w:r>
        <w:t xml:space="preserve"> deze economie al enige jaren in zwaar weer verkeerd door het wegtrekken van de jeugd naar de grote steden en de daarmee gepaarde vergrijzing, is de groei van de havens belangrijker dan ooit tevoren. Een aantal </w:t>
      </w:r>
      <w:proofErr w:type="gramStart"/>
      <w:r>
        <w:t>trends die</w:t>
      </w:r>
      <w:proofErr w:type="gramEnd"/>
      <w:r>
        <w:t xml:space="preserve"> zich momenteel voordoen binnen de logistieke sector en dus een grote invloed hebben op zeehavens, maken een verandering in de strategie op lange termijn noodzakelijk. De strategische positie van de Zeeuwse havens is in dit onderzoek dan ook aangestipt. </w:t>
      </w:r>
    </w:p>
    <w:p w:rsidR="00A940BF" w:rsidRDefault="00A940BF" w:rsidP="00B52148">
      <w:pPr>
        <w:pStyle w:val="NoSpacing"/>
        <w:spacing w:before="100" w:line="360" w:lineRule="auto"/>
        <w:jc w:val="both"/>
      </w:pPr>
    </w:p>
    <w:p w:rsidR="00783F48" w:rsidRDefault="00783F48" w:rsidP="00B52148">
      <w:pPr>
        <w:pStyle w:val="NoSpacing"/>
        <w:spacing w:before="100" w:line="360" w:lineRule="auto"/>
        <w:jc w:val="both"/>
      </w:pPr>
      <w:r>
        <w:t xml:space="preserve">Uit de analyse bleek dat de Zeeuwse havens vooral sterk gefocust zijn op de overslag van stukgoed, waaronder de categorie voedsel valt. Concurrenten van de Zeeuwse havens zijn hierin Gent, Amsterdam en Duinkerken, maar uit de analyse bleek dat de Zeeuwse havens een stevige concurrentiepositie hebben wat betreft de overslag hiervan. </w:t>
      </w:r>
    </w:p>
    <w:p w:rsidR="00783F48" w:rsidRDefault="00783F48" w:rsidP="00B52148">
      <w:pPr>
        <w:pStyle w:val="NoSpacing"/>
        <w:spacing w:before="100" w:line="360" w:lineRule="auto"/>
        <w:jc w:val="both"/>
      </w:pPr>
    </w:p>
    <w:p w:rsidR="00103B47" w:rsidRDefault="00783F48" w:rsidP="00B52148">
      <w:pPr>
        <w:pStyle w:val="NoSpacing"/>
        <w:spacing w:before="100" w:line="360" w:lineRule="auto"/>
        <w:jc w:val="both"/>
      </w:pPr>
      <w:r>
        <w:t xml:space="preserve">Een drietal trends maken het echter noodzakelijk voor de Zeeuwse havens om in de strategie hierop in te spelen. De containerisatie, herstructurering van de supply chain en de opkomst van de offshore-industrie bieden mogelijkheden voor de Zeeuwse havens. Zij kunnen mede door de gunstige ligging en ervaring in het leveren van toegevoegde waarde een sterke positie verwerven als ze ingaan op deze trends. </w:t>
      </w:r>
      <w:r w:rsidR="00103B47">
        <w:br w:type="page"/>
      </w:r>
    </w:p>
    <w:sdt>
      <w:sdtPr>
        <w:rPr>
          <w:rFonts w:asciiTheme="minorHAnsi" w:eastAsiaTheme="minorHAnsi" w:hAnsiTheme="minorHAnsi" w:cstheme="minorBidi"/>
          <w:b w:val="0"/>
          <w:bCs w:val="0"/>
          <w:color w:val="auto"/>
          <w:sz w:val="22"/>
          <w:szCs w:val="22"/>
          <w:lang w:eastAsia="en-US"/>
        </w:rPr>
        <w:id w:val="68546520"/>
        <w:docPartObj>
          <w:docPartGallery w:val="Table of Contents"/>
          <w:docPartUnique/>
        </w:docPartObj>
      </w:sdtPr>
      <w:sdtContent>
        <w:p w:rsidR="00074B0F" w:rsidRPr="002C117A" w:rsidRDefault="00074B0F" w:rsidP="00074B0F">
          <w:pPr>
            <w:pStyle w:val="TOCHeading"/>
            <w:spacing w:before="0"/>
            <w:rPr>
              <w:color w:val="595959" w:themeColor="text1" w:themeTint="A6"/>
            </w:rPr>
          </w:pPr>
          <w:r w:rsidRPr="002C117A">
            <w:rPr>
              <w:color w:val="595959" w:themeColor="text1" w:themeTint="A6"/>
            </w:rPr>
            <w:t>Inhoudsopgave</w:t>
          </w:r>
        </w:p>
        <w:p w:rsidR="005612B6" w:rsidRDefault="006530F6" w:rsidP="005612B6">
          <w:pPr>
            <w:pStyle w:val="TOC1"/>
            <w:rPr>
              <w:rFonts w:eastAsiaTheme="minorEastAsia"/>
              <w:lang w:eastAsia="nl-NL"/>
            </w:rPr>
          </w:pPr>
          <w:r w:rsidRPr="006530F6">
            <w:fldChar w:fldCharType="begin"/>
          </w:r>
          <w:r w:rsidR="00074B0F" w:rsidRPr="002C117A">
            <w:instrText xml:space="preserve"> TOC \o "1-3" \h \z \u </w:instrText>
          </w:r>
          <w:r w:rsidRPr="006530F6">
            <w:fldChar w:fldCharType="separate"/>
          </w:r>
          <w:hyperlink w:anchor="_Toc391467980" w:history="1">
            <w:r w:rsidR="005612B6" w:rsidRPr="003D514A">
              <w:rPr>
                <w:rStyle w:val="Hyperlink"/>
              </w:rPr>
              <w:t>Samenvatting</w:t>
            </w:r>
            <w:r w:rsidR="005612B6">
              <w:rPr>
                <w:webHidden/>
              </w:rPr>
              <w:tab/>
            </w:r>
            <w:r>
              <w:rPr>
                <w:webHidden/>
              </w:rPr>
              <w:fldChar w:fldCharType="begin"/>
            </w:r>
            <w:r w:rsidR="005612B6">
              <w:rPr>
                <w:webHidden/>
              </w:rPr>
              <w:instrText xml:space="preserve"> PAGEREF _Toc391467980 \h </w:instrText>
            </w:r>
            <w:r>
              <w:rPr>
                <w:webHidden/>
              </w:rPr>
            </w:r>
            <w:r>
              <w:rPr>
                <w:webHidden/>
              </w:rPr>
              <w:fldChar w:fldCharType="separate"/>
            </w:r>
            <w:r w:rsidR="005612B6">
              <w:rPr>
                <w:webHidden/>
              </w:rPr>
              <w:t>I</w:t>
            </w:r>
            <w:r>
              <w:rPr>
                <w:webHidden/>
              </w:rPr>
              <w:fldChar w:fldCharType="end"/>
            </w:r>
          </w:hyperlink>
        </w:p>
        <w:p w:rsidR="005612B6" w:rsidRDefault="006530F6" w:rsidP="005612B6">
          <w:pPr>
            <w:pStyle w:val="TOC1"/>
            <w:rPr>
              <w:rFonts w:eastAsiaTheme="minorEastAsia"/>
              <w:lang w:eastAsia="nl-NL"/>
            </w:rPr>
          </w:pPr>
          <w:hyperlink w:anchor="_Toc391467981" w:history="1">
            <w:r w:rsidR="005612B6" w:rsidRPr="003D514A">
              <w:rPr>
                <w:rStyle w:val="Hyperlink"/>
              </w:rPr>
              <w:t>1</w:t>
            </w:r>
            <w:r w:rsidR="005612B6">
              <w:rPr>
                <w:rFonts w:eastAsiaTheme="minorEastAsia"/>
                <w:lang w:eastAsia="nl-NL"/>
              </w:rPr>
              <w:tab/>
            </w:r>
            <w:r w:rsidR="005612B6" w:rsidRPr="003D514A">
              <w:rPr>
                <w:rStyle w:val="Hyperlink"/>
              </w:rPr>
              <w:t>Introductie</w:t>
            </w:r>
            <w:r w:rsidR="005612B6">
              <w:rPr>
                <w:webHidden/>
              </w:rPr>
              <w:tab/>
            </w:r>
            <w:r>
              <w:rPr>
                <w:webHidden/>
              </w:rPr>
              <w:fldChar w:fldCharType="begin"/>
            </w:r>
            <w:r w:rsidR="005612B6">
              <w:rPr>
                <w:webHidden/>
              </w:rPr>
              <w:instrText xml:space="preserve"> PAGEREF _Toc391467981 \h </w:instrText>
            </w:r>
            <w:r>
              <w:rPr>
                <w:webHidden/>
              </w:rPr>
            </w:r>
            <w:r>
              <w:rPr>
                <w:webHidden/>
              </w:rPr>
              <w:fldChar w:fldCharType="separate"/>
            </w:r>
            <w:r w:rsidR="005612B6">
              <w:rPr>
                <w:webHidden/>
              </w:rPr>
              <w:t>1</w:t>
            </w:r>
            <w:r>
              <w:rPr>
                <w:webHidden/>
              </w:rPr>
              <w:fldChar w:fldCharType="end"/>
            </w:r>
          </w:hyperlink>
        </w:p>
        <w:p w:rsidR="005612B6" w:rsidRDefault="006530F6">
          <w:pPr>
            <w:pStyle w:val="TOC2"/>
            <w:tabs>
              <w:tab w:val="left" w:pos="880"/>
              <w:tab w:val="right" w:leader="dot" w:pos="9062"/>
            </w:tabs>
            <w:rPr>
              <w:rFonts w:eastAsiaTheme="minorEastAsia"/>
              <w:noProof/>
              <w:lang w:eastAsia="nl-NL"/>
            </w:rPr>
          </w:pPr>
          <w:hyperlink w:anchor="_Toc391467982" w:history="1">
            <w:r w:rsidR="005612B6" w:rsidRPr="003D514A">
              <w:rPr>
                <w:rStyle w:val="Hyperlink"/>
                <w:noProof/>
              </w:rPr>
              <w:t>1.1</w:t>
            </w:r>
            <w:r w:rsidR="005612B6">
              <w:rPr>
                <w:rFonts w:eastAsiaTheme="minorEastAsia"/>
                <w:noProof/>
                <w:lang w:eastAsia="nl-NL"/>
              </w:rPr>
              <w:tab/>
            </w:r>
            <w:r w:rsidR="005612B6" w:rsidRPr="003D514A">
              <w:rPr>
                <w:rStyle w:val="Hyperlink"/>
                <w:noProof/>
              </w:rPr>
              <w:t>Doel van het onderzoek</w:t>
            </w:r>
            <w:r w:rsidR="005612B6">
              <w:rPr>
                <w:noProof/>
                <w:webHidden/>
              </w:rPr>
              <w:tab/>
            </w:r>
            <w:r>
              <w:rPr>
                <w:noProof/>
                <w:webHidden/>
              </w:rPr>
              <w:fldChar w:fldCharType="begin"/>
            </w:r>
            <w:r w:rsidR="005612B6">
              <w:rPr>
                <w:noProof/>
                <w:webHidden/>
              </w:rPr>
              <w:instrText xml:space="preserve"> PAGEREF _Toc391467982 \h </w:instrText>
            </w:r>
            <w:r>
              <w:rPr>
                <w:noProof/>
                <w:webHidden/>
              </w:rPr>
            </w:r>
            <w:r>
              <w:rPr>
                <w:noProof/>
                <w:webHidden/>
              </w:rPr>
              <w:fldChar w:fldCharType="separate"/>
            </w:r>
            <w:r w:rsidR="005612B6">
              <w:rPr>
                <w:noProof/>
                <w:webHidden/>
              </w:rPr>
              <w:t>1</w:t>
            </w:r>
            <w:r>
              <w:rPr>
                <w:noProof/>
                <w:webHidden/>
              </w:rPr>
              <w:fldChar w:fldCharType="end"/>
            </w:r>
          </w:hyperlink>
        </w:p>
        <w:p w:rsidR="005612B6" w:rsidRDefault="006530F6">
          <w:pPr>
            <w:pStyle w:val="TOC2"/>
            <w:tabs>
              <w:tab w:val="left" w:pos="880"/>
              <w:tab w:val="right" w:leader="dot" w:pos="9062"/>
            </w:tabs>
            <w:rPr>
              <w:rFonts w:eastAsiaTheme="minorEastAsia"/>
              <w:noProof/>
              <w:lang w:eastAsia="nl-NL"/>
            </w:rPr>
          </w:pPr>
          <w:hyperlink w:anchor="_Toc391467983" w:history="1">
            <w:r w:rsidR="005612B6" w:rsidRPr="003D514A">
              <w:rPr>
                <w:rStyle w:val="Hyperlink"/>
                <w:noProof/>
              </w:rPr>
              <w:t>1.2</w:t>
            </w:r>
            <w:r w:rsidR="005612B6">
              <w:rPr>
                <w:rFonts w:eastAsiaTheme="minorEastAsia"/>
                <w:noProof/>
                <w:lang w:eastAsia="nl-NL"/>
              </w:rPr>
              <w:tab/>
            </w:r>
            <w:r w:rsidR="005612B6" w:rsidRPr="003D514A">
              <w:rPr>
                <w:rStyle w:val="Hyperlink"/>
                <w:noProof/>
              </w:rPr>
              <w:t>Onderzoeksaanpak en structuur</w:t>
            </w:r>
            <w:r w:rsidR="005612B6">
              <w:rPr>
                <w:noProof/>
                <w:webHidden/>
              </w:rPr>
              <w:tab/>
            </w:r>
            <w:r>
              <w:rPr>
                <w:noProof/>
                <w:webHidden/>
              </w:rPr>
              <w:fldChar w:fldCharType="begin"/>
            </w:r>
            <w:r w:rsidR="005612B6">
              <w:rPr>
                <w:noProof/>
                <w:webHidden/>
              </w:rPr>
              <w:instrText xml:space="preserve"> PAGEREF _Toc391467983 \h </w:instrText>
            </w:r>
            <w:r>
              <w:rPr>
                <w:noProof/>
                <w:webHidden/>
              </w:rPr>
            </w:r>
            <w:r>
              <w:rPr>
                <w:noProof/>
                <w:webHidden/>
              </w:rPr>
              <w:fldChar w:fldCharType="separate"/>
            </w:r>
            <w:r w:rsidR="005612B6">
              <w:rPr>
                <w:noProof/>
                <w:webHidden/>
              </w:rPr>
              <w:t>2</w:t>
            </w:r>
            <w:r>
              <w:rPr>
                <w:noProof/>
                <w:webHidden/>
              </w:rPr>
              <w:fldChar w:fldCharType="end"/>
            </w:r>
          </w:hyperlink>
        </w:p>
        <w:p w:rsidR="005612B6" w:rsidRPr="005612B6" w:rsidRDefault="006530F6" w:rsidP="005612B6">
          <w:pPr>
            <w:pStyle w:val="TOC1"/>
            <w:rPr>
              <w:rFonts w:eastAsiaTheme="minorEastAsia"/>
              <w:lang w:eastAsia="nl-NL"/>
            </w:rPr>
          </w:pPr>
          <w:hyperlink w:anchor="_Toc391467984" w:history="1">
            <w:r w:rsidR="005612B6" w:rsidRPr="005612B6">
              <w:rPr>
                <w:rStyle w:val="Hyperlink"/>
                <w:color w:val="auto"/>
              </w:rPr>
              <w:t>2</w:t>
            </w:r>
            <w:r w:rsidR="005612B6" w:rsidRPr="005612B6">
              <w:rPr>
                <w:rFonts w:eastAsiaTheme="minorEastAsia"/>
                <w:lang w:eastAsia="nl-NL"/>
              </w:rPr>
              <w:tab/>
            </w:r>
            <w:r w:rsidR="005612B6" w:rsidRPr="005612B6">
              <w:rPr>
                <w:rStyle w:val="Hyperlink"/>
                <w:color w:val="auto"/>
              </w:rPr>
              <w:t>Rol van de Zeeuwse havens in de regionale economie</w:t>
            </w:r>
            <w:r w:rsidR="005612B6" w:rsidRPr="005612B6">
              <w:rPr>
                <w:webHidden/>
              </w:rPr>
              <w:tab/>
            </w:r>
            <w:r w:rsidRPr="005612B6">
              <w:rPr>
                <w:webHidden/>
              </w:rPr>
              <w:fldChar w:fldCharType="begin"/>
            </w:r>
            <w:r w:rsidR="005612B6" w:rsidRPr="005612B6">
              <w:rPr>
                <w:webHidden/>
              </w:rPr>
              <w:instrText xml:space="preserve"> PAGEREF _Toc391467984 \h </w:instrText>
            </w:r>
            <w:r w:rsidRPr="005612B6">
              <w:rPr>
                <w:webHidden/>
              </w:rPr>
            </w:r>
            <w:r w:rsidRPr="005612B6">
              <w:rPr>
                <w:webHidden/>
              </w:rPr>
              <w:fldChar w:fldCharType="separate"/>
            </w:r>
            <w:r w:rsidR="005612B6" w:rsidRPr="005612B6">
              <w:rPr>
                <w:webHidden/>
              </w:rPr>
              <w:t>3</w:t>
            </w:r>
            <w:r w:rsidRPr="005612B6">
              <w:rPr>
                <w:webHidden/>
              </w:rPr>
              <w:fldChar w:fldCharType="end"/>
            </w:r>
          </w:hyperlink>
        </w:p>
        <w:p w:rsidR="005612B6" w:rsidRDefault="006530F6">
          <w:pPr>
            <w:pStyle w:val="TOC2"/>
            <w:tabs>
              <w:tab w:val="left" w:pos="880"/>
              <w:tab w:val="right" w:leader="dot" w:pos="9062"/>
            </w:tabs>
            <w:rPr>
              <w:rFonts w:eastAsiaTheme="minorEastAsia"/>
              <w:noProof/>
              <w:lang w:eastAsia="nl-NL"/>
            </w:rPr>
          </w:pPr>
          <w:hyperlink w:anchor="_Toc391467985" w:history="1">
            <w:r w:rsidR="005612B6" w:rsidRPr="003D514A">
              <w:rPr>
                <w:rStyle w:val="Hyperlink"/>
                <w:noProof/>
              </w:rPr>
              <w:t>2.1</w:t>
            </w:r>
            <w:r w:rsidR="005612B6">
              <w:rPr>
                <w:rFonts w:eastAsiaTheme="minorEastAsia"/>
                <w:noProof/>
                <w:lang w:eastAsia="nl-NL"/>
              </w:rPr>
              <w:tab/>
            </w:r>
            <w:r w:rsidR="005612B6" w:rsidRPr="003D514A">
              <w:rPr>
                <w:rStyle w:val="Hyperlink"/>
                <w:noProof/>
              </w:rPr>
              <w:t>Introductie</w:t>
            </w:r>
            <w:r w:rsidR="005612B6">
              <w:rPr>
                <w:noProof/>
                <w:webHidden/>
              </w:rPr>
              <w:tab/>
            </w:r>
            <w:r>
              <w:rPr>
                <w:noProof/>
                <w:webHidden/>
              </w:rPr>
              <w:fldChar w:fldCharType="begin"/>
            </w:r>
            <w:r w:rsidR="005612B6">
              <w:rPr>
                <w:noProof/>
                <w:webHidden/>
              </w:rPr>
              <w:instrText xml:space="preserve"> PAGEREF _Toc391467985 \h </w:instrText>
            </w:r>
            <w:r>
              <w:rPr>
                <w:noProof/>
                <w:webHidden/>
              </w:rPr>
            </w:r>
            <w:r>
              <w:rPr>
                <w:noProof/>
                <w:webHidden/>
              </w:rPr>
              <w:fldChar w:fldCharType="separate"/>
            </w:r>
            <w:r w:rsidR="005612B6">
              <w:rPr>
                <w:noProof/>
                <w:webHidden/>
              </w:rPr>
              <w:t>3</w:t>
            </w:r>
            <w:r>
              <w:rPr>
                <w:noProof/>
                <w:webHidden/>
              </w:rPr>
              <w:fldChar w:fldCharType="end"/>
            </w:r>
          </w:hyperlink>
        </w:p>
        <w:p w:rsidR="005612B6" w:rsidRDefault="006530F6">
          <w:pPr>
            <w:pStyle w:val="TOC2"/>
            <w:tabs>
              <w:tab w:val="left" w:pos="880"/>
              <w:tab w:val="right" w:leader="dot" w:pos="9062"/>
            </w:tabs>
            <w:rPr>
              <w:rFonts w:eastAsiaTheme="minorEastAsia"/>
              <w:noProof/>
              <w:lang w:eastAsia="nl-NL"/>
            </w:rPr>
          </w:pPr>
          <w:hyperlink w:anchor="_Toc391467986" w:history="1">
            <w:r w:rsidR="005612B6" w:rsidRPr="003D514A">
              <w:rPr>
                <w:rStyle w:val="Hyperlink"/>
                <w:noProof/>
              </w:rPr>
              <w:t>2.2</w:t>
            </w:r>
            <w:r w:rsidR="005612B6">
              <w:rPr>
                <w:rFonts w:eastAsiaTheme="minorEastAsia"/>
                <w:noProof/>
                <w:lang w:eastAsia="nl-NL"/>
              </w:rPr>
              <w:tab/>
            </w:r>
            <w:r w:rsidR="005612B6" w:rsidRPr="003D514A">
              <w:rPr>
                <w:rStyle w:val="Hyperlink"/>
                <w:noProof/>
              </w:rPr>
              <w:t>Theoretisch kader</w:t>
            </w:r>
            <w:r w:rsidR="005612B6">
              <w:rPr>
                <w:noProof/>
                <w:webHidden/>
              </w:rPr>
              <w:tab/>
            </w:r>
            <w:r>
              <w:rPr>
                <w:noProof/>
                <w:webHidden/>
              </w:rPr>
              <w:fldChar w:fldCharType="begin"/>
            </w:r>
            <w:r w:rsidR="005612B6">
              <w:rPr>
                <w:noProof/>
                <w:webHidden/>
              </w:rPr>
              <w:instrText xml:space="preserve"> PAGEREF _Toc391467986 \h </w:instrText>
            </w:r>
            <w:r>
              <w:rPr>
                <w:noProof/>
                <w:webHidden/>
              </w:rPr>
            </w:r>
            <w:r>
              <w:rPr>
                <w:noProof/>
                <w:webHidden/>
              </w:rPr>
              <w:fldChar w:fldCharType="separate"/>
            </w:r>
            <w:r w:rsidR="005612B6">
              <w:rPr>
                <w:noProof/>
                <w:webHidden/>
              </w:rPr>
              <w:t>3</w:t>
            </w:r>
            <w:r>
              <w:rPr>
                <w:noProof/>
                <w:webHidden/>
              </w:rPr>
              <w:fldChar w:fldCharType="end"/>
            </w:r>
          </w:hyperlink>
        </w:p>
        <w:p w:rsidR="005612B6" w:rsidRDefault="006530F6">
          <w:pPr>
            <w:pStyle w:val="TOC3"/>
            <w:tabs>
              <w:tab w:val="left" w:pos="1320"/>
              <w:tab w:val="right" w:leader="dot" w:pos="9062"/>
            </w:tabs>
            <w:rPr>
              <w:rFonts w:eastAsiaTheme="minorEastAsia"/>
              <w:noProof/>
              <w:lang w:eastAsia="nl-NL"/>
            </w:rPr>
          </w:pPr>
          <w:hyperlink w:anchor="_Toc391467987" w:history="1">
            <w:r w:rsidR="005612B6" w:rsidRPr="003D514A">
              <w:rPr>
                <w:rStyle w:val="Hyperlink"/>
                <w:noProof/>
              </w:rPr>
              <w:t>2.2.1</w:t>
            </w:r>
            <w:r w:rsidR="005612B6">
              <w:rPr>
                <w:rFonts w:eastAsiaTheme="minorEastAsia"/>
                <w:noProof/>
                <w:lang w:eastAsia="nl-NL"/>
              </w:rPr>
              <w:tab/>
            </w:r>
            <w:r w:rsidR="005612B6" w:rsidRPr="003D514A">
              <w:rPr>
                <w:rStyle w:val="Hyperlink"/>
                <w:noProof/>
              </w:rPr>
              <w:t>Definities havens en economie in Zeeland</w:t>
            </w:r>
            <w:r w:rsidR="005612B6">
              <w:rPr>
                <w:noProof/>
                <w:webHidden/>
              </w:rPr>
              <w:tab/>
            </w:r>
            <w:r>
              <w:rPr>
                <w:noProof/>
                <w:webHidden/>
              </w:rPr>
              <w:fldChar w:fldCharType="begin"/>
            </w:r>
            <w:r w:rsidR="005612B6">
              <w:rPr>
                <w:noProof/>
                <w:webHidden/>
              </w:rPr>
              <w:instrText xml:space="preserve"> PAGEREF _Toc391467987 \h </w:instrText>
            </w:r>
            <w:r>
              <w:rPr>
                <w:noProof/>
                <w:webHidden/>
              </w:rPr>
            </w:r>
            <w:r>
              <w:rPr>
                <w:noProof/>
                <w:webHidden/>
              </w:rPr>
              <w:fldChar w:fldCharType="separate"/>
            </w:r>
            <w:r w:rsidR="005612B6">
              <w:rPr>
                <w:noProof/>
                <w:webHidden/>
              </w:rPr>
              <w:t>4</w:t>
            </w:r>
            <w:r>
              <w:rPr>
                <w:noProof/>
                <w:webHidden/>
              </w:rPr>
              <w:fldChar w:fldCharType="end"/>
            </w:r>
          </w:hyperlink>
        </w:p>
        <w:p w:rsidR="005612B6" w:rsidRDefault="006530F6">
          <w:pPr>
            <w:pStyle w:val="TOC3"/>
            <w:tabs>
              <w:tab w:val="left" w:pos="1320"/>
              <w:tab w:val="right" w:leader="dot" w:pos="9062"/>
            </w:tabs>
            <w:rPr>
              <w:rFonts w:eastAsiaTheme="minorEastAsia"/>
              <w:noProof/>
              <w:lang w:eastAsia="nl-NL"/>
            </w:rPr>
          </w:pPr>
          <w:hyperlink w:anchor="_Toc391467988" w:history="1">
            <w:r w:rsidR="005612B6" w:rsidRPr="003D514A">
              <w:rPr>
                <w:rStyle w:val="Hyperlink"/>
                <w:noProof/>
              </w:rPr>
              <w:t>2.2.2</w:t>
            </w:r>
            <w:r w:rsidR="005612B6">
              <w:rPr>
                <w:rFonts w:eastAsiaTheme="minorEastAsia"/>
                <w:noProof/>
                <w:lang w:eastAsia="nl-NL"/>
              </w:rPr>
              <w:tab/>
            </w:r>
            <w:r w:rsidR="005612B6" w:rsidRPr="003D514A">
              <w:rPr>
                <w:rStyle w:val="Hyperlink"/>
                <w:noProof/>
              </w:rPr>
              <w:t>Literatuur over invloed haven op regionale economie</w:t>
            </w:r>
            <w:r w:rsidR="005612B6">
              <w:rPr>
                <w:noProof/>
                <w:webHidden/>
              </w:rPr>
              <w:tab/>
            </w:r>
            <w:r>
              <w:rPr>
                <w:noProof/>
                <w:webHidden/>
              </w:rPr>
              <w:fldChar w:fldCharType="begin"/>
            </w:r>
            <w:r w:rsidR="005612B6">
              <w:rPr>
                <w:noProof/>
                <w:webHidden/>
              </w:rPr>
              <w:instrText xml:space="preserve"> PAGEREF _Toc391467988 \h </w:instrText>
            </w:r>
            <w:r>
              <w:rPr>
                <w:noProof/>
                <w:webHidden/>
              </w:rPr>
            </w:r>
            <w:r>
              <w:rPr>
                <w:noProof/>
                <w:webHidden/>
              </w:rPr>
              <w:fldChar w:fldCharType="separate"/>
            </w:r>
            <w:r w:rsidR="005612B6">
              <w:rPr>
                <w:noProof/>
                <w:webHidden/>
              </w:rPr>
              <w:t>4</w:t>
            </w:r>
            <w:r>
              <w:rPr>
                <w:noProof/>
                <w:webHidden/>
              </w:rPr>
              <w:fldChar w:fldCharType="end"/>
            </w:r>
          </w:hyperlink>
        </w:p>
        <w:p w:rsidR="005612B6" w:rsidRDefault="006530F6">
          <w:pPr>
            <w:pStyle w:val="TOC2"/>
            <w:tabs>
              <w:tab w:val="left" w:pos="880"/>
              <w:tab w:val="right" w:leader="dot" w:pos="9062"/>
            </w:tabs>
            <w:rPr>
              <w:rFonts w:eastAsiaTheme="minorEastAsia"/>
              <w:noProof/>
              <w:lang w:eastAsia="nl-NL"/>
            </w:rPr>
          </w:pPr>
          <w:hyperlink w:anchor="_Toc391467989" w:history="1">
            <w:r w:rsidR="005612B6" w:rsidRPr="003D514A">
              <w:rPr>
                <w:rStyle w:val="Hyperlink"/>
                <w:noProof/>
              </w:rPr>
              <w:t>2.3</w:t>
            </w:r>
            <w:r w:rsidR="005612B6">
              <w:rPr>
                <w:rFonts w:eastAsiaTheme="minorEastAsia"/>
                <w:noProof/>
                <w:lang w:eastAsia="nl-NL"/>
              </w:rPr>
              <w:tab/>
            </w:r>
            <w:r w:rsidR="005612B6" w:rsidRPr="003D514A">
              <w:rPr>
                <w:rStyle w:val="Hyperlink"/>
                <w:noProof/>
              </w:rPr>
              <w:t>Casus: invloed Zeeuwse havens op Zeeuwse economie</w:t>
            </w:r>
            <w:r w:rsidR="005612B6">
              <w:rPr>
                <w:noProof/>
                <w:webHidden/>
              </w:rPr>
              <w:tab/>
            </w:r>
            <w:r>
              <w:rPr>
                <w:noProof/>
                <w:webHidden/>
              </w:rPr>
              <w:fldChar w:fldCharType="begin"/>
            </w:r>
            <w:r w:rsidR="005612B6">
              <w:rPr>
                <w:noProof/>
                <w:webHidden/>
              </w:rPr>
              <w:instrText xml:space="preserve"> PAGEREF _Toc391467989 \h </w:instrText>
            </w:r>
            <w:r>
              <w:rPr>
                <w:noProof/>
                <w:webHidden/>
              </w:rPr>
            </w:r>
            <w:r>
              <w:rPr>
                <w:noProof/>
                <w:webHidden/>
              </w:rPr>
              <w:fldChar w:fldCharType="separate"/>
            </w:r>
            <w:r w:rsidR="005612B6">
              <w:rPr>
                <w:noProof/>
                <w:webHidden/>
              </w:rPr>
              <w:t>6</w:t>
            </w:r>
            <w:r>
              <w:rPr>
                <w:noProof/>
                <w:webHidden/>
              </w:rPr>
              <w:fldChar w:fldCharType="end"/>
            </w:r>
          </w:hyperlink>
        </w:p>
        <w:p w:rsidR="005612B6" w:rsidRDefault="006530F6">
          <w:pPr>
            <w:pStyle w:val="TOC3"/>
            <w:tabs>
              <w:tab w:val="left" w:pos="1320"/>
              <w:tab w:val="right" w:leader="dot" w:pos="9062"/>
            </w:tabs>
            <w:rPr>
              <w:rFonts w:eastAsiaTheme="minorEastAsia"/>
              <w:noProof/>
              <w:lang w:eastAsia="nl-NL"/>
            </w:rPr>
          </w:pPr>
          <w:hyperlink w:anchor="_Toc391467990" w:history="1">
            <w:r w:rsidR="005612B6" w:rsidRPr="003D514A">
              <w:rPr>
                <w:rStyle w:val="Hyperlink"/>
                <w:noProof/>
              </w:rPr>
              <w:t>2.3.1</w:t>
            </w:r>
            <w:r w:rsidR="005612B6">
              <w:rPr>
                <w:rFonts w:eastAsiaTheme="minorEastAsia"/>
                <w:noProof/>
                <w:lang w:eastAsia="nl-NL"/>
              </w:rPr>
              <w:tab/>
            </w:r>
            <w:r w:rsidR="005612B6" w:rsidRPr="003D514A">
              <w:rPr>
                <w:rStyle w:val="Hyperlink"/>
                <w:noProof/>
              </w:rPr>
              <w:t>Havenmonitor – data en methodologie</w:t>
            </w:r>
            <w:r w:rsidR="005612B6">
              <w:rPr>
                <w:noProof/>
                <w:webHidden/>
              </w:rPr>
              <w:tab/>
            </w:r>
            <w:r>
              <w:rPr>
                <w:noProof/>
                <w:webHidden/>
              </w:rPr>
              <w:fldChar w:fldCharType="begin"/>
            </w:r>
            <w:r w:rsidR="005612B6">
              <w:rPr>
                <w:noProof/>
                <w:webHidden/>
              </w:rPr>
              <w:instrText xml:space="preserve"> PAGEREF _Toc391467990 \h </w:instrText>
            </w:r>
            <w:r>
              <w:rPr>
                <w:noProof/>
                <w:webHidden/>
              </w:rPr>
            </w:r>
            <w:r>
              <w:rPr>
                <w:noProof/>
                <w:webHidden/>
              </w:rPr>
              <w:fldChar w:fldCharType="separate"/>
            </w:r>
            <w:r w:rsidR="005612B6">
              <w:rPr>
                <w:noProof/>
                <w:webHidden/>
              </w:rPr>
              <w:t>6</w:t>
            </w:r>
            <w:r>
              <w:rPr>
                <w:noProof/>
                <w:webHidden/>
              </w:rPr>
              <w:fldChar w:fldCharType="end"/>
            </w:r>
          </w:hyperlink>
        </w:p>
        <w:p w:rsidR="005612B6" w:rsidRDefault="006530F6">
          <w:pPr>
            <w:pStyle w:val="TOC3"/>
            <w:tabs>
              <w:tab w:val="left" w:pos="1320"/>
              <w:tab w:val="right" w:leader="dot" w:pos="9062"/>
            </w:tabs>
            <w:rPr>
              <w:rFonts w:eastAsiaTheme="minorEastAsia"/>
              <w:noProof/>
              <w:lang w:eastAsia="nl-NL"/>
            </w:rPr>
          </w:pPr>
          <w:hyperlink w:anchor="_Toc391467991" w:history="1">
            <w:r w:rsidR="005612B6" w:rsidRPr="003D514A">
              <w:rPr>
                <w:rStyle w:val="Hyperlink"/>
                <w:noProof/>
              </w:rPr>
              <w:t>2.3.2</w:t>
            </w:r>
            <w:r w:rsidR="005612B6">
              <w:rPr>
                <w:rFonts w:eastAsiaTheme="minorEastAsia"/>
                <w:noProof/>
                <w:lang w:eastAsia="nl-NL"/>
              </w:rPr>
              <w:tab/>
            </w:r>
            <w:r w:rsidR="005612B6" w:rsidRPr="003D514A">
              <w:rPr>
                <w:rStyle w:val="Hyperlink"/>
                <w:noProof/>
              </w:rPr>
              <w:t>Resultaten van rol Zeeuwse havens in Zeeuwse economie</w:t>
            </w:r>
            <w:r w:rsidR="005612B6">
              <w:rPr>
                <w:noProof/>
                <w:webHidden/>
              </w:rPr>
              <w:tab/>
            </w:r>
            <w:r>
              <w:rPr>
                <w:noProof/>
                <w:webHidden/>
              </w:rPr>
              <w:fldChar w:fldCharType="begin"/>
            </w:r>
            <w:r w:rsidR="005612B6">
              <w:rPr>
                <w:noProof/>
                <w:webHidden/>
              </w:rPr>
              <w:instrText xml:space="preserve"> PAGEREF _Toc391467991 \h </w:instrText>
            </w:r>
            <w:r>
              <w:rPr>
                <w:noProof/>
                <w:webHidden/>
              </w:rPr>
            </w:r>
            <w:r>
              <w:rPr>
                <w:noProof/>
                <w:webHidden/>
              </w:rPr>
              <w:fldChar w:fldCharType="separate"/>
            </w:r>
            <w:r w:rsidR="005612B6">
              <w:rPr>
                <w:noProof/>
                <w:webHidden/>
              </w:rPr>
              <w:t>7</w:t>
            </w:r>
            <w:r>
              <w:rPr>
                <w:noProof/>
                <w:webHidden/>
              </w:rPr>
              <w:fldChar w:fldCharType="end"/>
            </w:r>
          </w:hyperlink>
        </w:p>
        <w:p w:rsidR="005612B6" w:rsidRDefault="006530F6" w:rsidP="005612B6">
          <w:pPr>
            <w:pStyle w:val="TOC1"/>
            <w:rPr>
              <w:rFonts w:eastAsiaTheme="minorEastAsia"/>
              <w:lang w:eastAsia="nl-NL"/>
            </w:rPr>
          </w:pPr>
          <w:hyperlink w:anchor="_Toc391467992" w:history="1">
            <w:r w:rsidR="005612B6" w:rsidRPr="003D514A">
              <w:rPr>
                <w:rStyle w:val="Hyperlink"/>
              </w:rPr>
              <w:t>3</w:t>
            </w:r>
            <w:r w:rsidR="005612B6">
              <w:rPr>
                <w:rFonts w:eastAsiaTheme="minorEastAsia"/>
                <w:lang w:eastAsia="nl-NL"/>
              </w:rPr>
              <w:tab/>
            </w:r>
            <w:r w:rsidR="005612B6" w:rsidRPr="003D514A">
              <w:rPr>
                <w:rStyle w:val="Hyperlink"/>
              </w:rPr>
              <w:t>Concurrentiepositie Zeeuwse havens</w:t>
            </w:r>
            <w:r w:rsidR="005612B6">
              <w:rPr>
                <w:webHidden/>
              </w:rPr>
              <w:tab/>
            </w:r>
            <w:r>
              <w:rPr>
                <w:webHidden/>
              </w:rPr>
              <w:fldChar w:fldCharType="begin"/>
            </w:r>
            <w:r w:rsidR="005612B6">
              <w:rPr>
                <w:webHidden/>
              </w:rPr>
              <w:instrText xml:space="preserve"> PAGEREF _Toc391467992 \h </w:instrText>
            </w:r>
            <w:r>
              <w:rPr>
                <w:webHidden/>
              </w:rPr>
            </w:r>
            <w:r>
              <w:rPr>
                <w:webHidden/>
              </w:rPr>
              <w:fldChar w:fldCharType="separate"/>
            </w:r>
            <w:r w:rsidR="005612B6">
              <w:rPr>
                <w:webHidden/>
              </w:rPr>
              <w:t>11</w:t>
            </w:r>
            <w:r>
              <w:rPr>
                <w:webHidden/>
              </w:rPr>
              <w:fldChar w:fldCharType="end"/>
            </w:r>
          </w:hyperlink>
        </w:p>
        <w:p w:rsidR="005612B6" w:rsidRDefault="006530F6">
          <w:pPr>
            <w:pStyle w:val="TOC2"/>
            <w:tabs>
              <w:tab w:val="left" w:pos="880"/>
              <w:tab w:val="right" w:leader="dot" w:pos="9062"/>
            </w:tabs>
            <w:rPr>
              <w:rFonts w:eastAsiaTheme="minorEastAsia"/>
              <w:noProof/>
              <w:lang w:eastAsia="nl-NL"/>
            </w:rPr>
          </w:pPr>
          <w:hyperlink w:anchor="_Toc391467993" w:history="1">
            <w:r w:rsidR="005612B6" w:rsidRPr="003D514A">
              <w:rPr>
                <w:rStyle w:val="Hyperlink"/>
                <w:noProof/>
              </w:rPr>
              <w:t>3.1</w:t>
            </w:r>
            <w:r w:rsidR="005612B6">
              <w:rPr>
                <w:rFonts w:eastAsiaTheme="minorEastAsia"/>
                <w:noProof/>
                <w:lang w:eastAsia="nl-NL"/>
              </w:rPr>
              <w:tab/>
            </w:r>
            <w:r w:rsidR="005612B6" w:rsidRPr="003D514A">
              <w:rPr>
                <w:rStyle w:val="Hyperlink"/>
                <w:noProof/>
              </w:rPr>
              <w:t>Introductie</w:t>
            </w:r>
            <w:r w:rsidR="005612B6">
              <w:rPr>
                <w:noProof/>
                <w:webHidden/>
              </w:rPr>
              <w:tab/>
            </w:r>
            <w:r>
              <w:rPr>
                <w:noProof/>
                <w:webHidden/>
              </w:rPr>
              <w:fldChar w:fldCharType="begin"/>
            </w:r>
            <w:r w:rsidR="005612B6">
              <w:rPr>
                <w:noProof/>
                <w:webHidden/>
              </w:rPr>
              <w:instrText xml:space="preserve"> PAGEREF _Toc391467993 \h </w:instrText>
            </w:r>
            <w:r>
              <w:rPr>
                <w:noProof/>
                <w:webHidden/>
              </w:rPr>
            </w:r>
            <w:r>
              <w:rPr>
                <w:noProof/>
                <w:webHidden/>
              </w:rPr>
              <w:fldChar w:fldCharType="separate"/>
            </w:r>
            <w:r w:rsidR="005612B6">
              <w:rPr>
                <w:noProof/>
                <w:webHidden/>
              </w:rPr>
              <w:t>11</w:t>
            </w:r>
            <w:r>
              <w:rPr>
                <w:noProof/>
                <w:webHidden/>
              </w:rPr>
              <w:fldChar w:fldCharType="end"/>
            </w:r>
          </w:hyperlink>
        </w:p>
        <w:p w:rsidR="005612B6" w:rsidRDefault="006530F6">
          <w:pPr>
            <w:pStyle w:val="TOC2"/>
            <w:tabs>
              <w:tab w:val="left" w:pos="880"/>
              <w:tab w:val="right" w:leader="dot" w:pos="9062"/>
            </w:tabs>
            <w:rPr>
              <w:rFonts w:eastAsiaTheme="minorEastAsia"/>
              <w:noProof/>
              <w:lang w:eastAsia="nl-NL"/>
            </w:rPr>
          </w:pPr>
          <w:hyperlink w:anchor="_Toc391467994" w:history="1">
            <w:r w:rsidR="005612B6" w:rsidRPr="003D514A">
              <w:rPr>
                <w:rStyle w:val="Hyperlink"/>
                <w:noProof/>
              </w:rPr>
              <w:t>3.2</w:t>
            </w:r>
            <w:r w:rsidR="005612B6">
              <w:rPr>
                <w:rFonts w:eastAsiaTheme="minorEastAsia"/>
                <w:noProof/>
                <w:lang w:eastAsia="nl-NL"/>
              </w:rPr>
              <w:tab/>
            </w:r>
            <w:r w:rsidR="005612B6" w:rsidRPr="003D514A">
              <w:rPr>
                <w:rStyle w:val="Hyperlink"/>
                <w:noProof/>
              </w:rPr>
              <w:t>Opbouw en functie van een zeehaven</w:t>
            </w:r>
            <w:r w:rsidR="005612B6">
              <w:rPr>
                <w:noProof/>
                <w:webHidden/>
              </w:rPr>
              <w:tab/>
            </w:r>
            <w:r>
              <w:rPr>
                <w:noProof/>
                <w:webHidden/>
              </w:rPr>
              <w:fldChar w:fldCharType="begin"/>
            </w:r>
            <w:r w:rsidR="005612B6">
              <w:rPr>
                <w:noProof/>
                <w:webHidden/>
              </w:rPr>
              <w:instrText xml:space="preserve"> PAGEREF _Toc391467994 \h </w:instrText>
            </w:r>
            <w:r>
              <w:rPr>
                <w:noProof/>
                <w:webHidden/>
              </w:rPr>
            </w:r>
            <w:r>
              <w:rPr>
                <w:noProof/>
                <w:webHidden/>
              </w:rPr>
              <w:fldChar w:fldCharType="separate"/>
            </w:r>
            <w:r w:rsidR="005612B6">
              <w:rPr>
                <w:noProof/>
                <w:webHidden/>
              </w:rPr>
              <w:t>11</w:t>
            </w:r>
            <w:r>
              <w:rPr>
                <w:noProof/>
                <w:webHidden/>
              </w:rPr>
              <w:fldChar w:fldCharType="end"/>
            </w:r>
          </w:hyperlink>
        </w:p>
        <w:p w:rsidR="005612B6" w:rsidRDefault="006530F6">
          <w:pPr>
            <w:pStyle w:val="TOC3"/>
            <w:tabs>
              <w:tab w:val="left" w:pos="1320"/>
              <w:tab w:val="right" w:leader="dot" w:pos="9062"/>
            </w:tabs>
            <w:rPr>
              <w:rFonts w:eastAsiaTheme="minorEastAsia"/>
              <w:noProof/>
              <w:lang w:eastAsia="nl-NL"/>
            </w:rPr>
          </w:pPr>
          <w:hyperlink w:anchor="_Toc391467995" w:history="1">
            <w:r w:rsidR="005612B6" w:rsidRPr="003D514A">
              <w:rPr>
                <w:rStyle w:val="Hyperlink"/>
                <w:noProof/>
              </w:rPr>
              <w:t>3.2.1</w:t>
            </w:r>
            <w:r w:rsidR="005612B6">
              <w:rPr>
                <w:rFonts w:eastAsiaTheme="minorEastAsia"/>
                <w:noProof/>
                <w:lang w:eastAsia="nl-NL"/>
              </w:rPr>
              <w:tab/>
            </w:r>
            <w:r w:rsidR="005612B6" w:rsidRPr="003D514A">
              <w:rPr>
                <w:rStyle w:val="Hyperlink"/>
                <w:noProof/>
              </w:rPr>
              <w:t>Bedrijven in een zeehaven</w:t>
            </w:r>
            <w:r w:rsidR="005612B6">
              <w:rPr>
                <w:noProof/>
                <w:webHidden/>
              </w:rPr>
              <w:tab/>
            </w:r>
            <w:r>
              <w:rPr>
                <w:noProof/>
                <w:webHidden/>
              </w:rPr>
              <w:fldChar w:fldCharType="begin"/>
            </w:r>
            <w:r w:rsidR="005612B6">
              <w:rPr>
                <w:noProof/>
                <w:webHidden/>
              </w:rPr>
              <w:instrText xml:space="preserve"> PAGEREF _Toc391467995 \h </w:instrText>
            </w:r>
            <w:r>
              <w:rPr>
                <w:noProof/>
                <w:webHidden/>
              </w:rPr>
            </w:r>
            <w:r>
              <w:rPr>
                <w:noProof/>
                <w:webHidden/>
              </w:rPr>
              <w:fldChar w:fldCharType="separate"/>
            </w:r>
            <w:r w:rsidR="005612B6">
              <w:rPr>
                <w:noProof/>
                <w:webHidden/>
              </w:rPr>
              <w:t>12</w:t>
            </w:r>
            <w:r>
              <w:rPr>
                <w:noProof/>
                <w:webHidden/>
              </w:rPr>
              <w:fldChar w:fldCharType="end"/>
            </w:r>
          </w:hyperlink>
        </w:p>
        <w:p w:rsidR="005612B6" w:rsidRDefault="006530F6">
          <w:pPr>
            <w:pStyle w:val="TOC3"/>
            <w:tabs>
              <w:tab w:val="left" w:pos="1320"/>
              <w:tab w:val="right" w:leader="dot" w:pos="9062"/>
            </w:tabs>
            <w:rPr>
              <w:rFonts w:eastAsiaTheme="minorEastAsia"/>
              <w:noProof/>
              <w:lang w:eastAsia="nl-NL"/>
            </w:rPr>
          </w:pPr>
          <w:hyperlink w:anchor="_Toc391467996" w:history="1">
            <w:r w:rsidR="005612B6" w:rsidRPr="003D514A">
              <w:rPr>
                <w:rStyle w:val="Hyperlink"/>
                <w:noProof/>
              </w:rPr>
              <w:t>3.2.2</w:t>
            </w:r>
            <w:r w:rsidR="005612B6">
              <w:rPr>
                <w:rFonts w:eastAsiaTheme="minorEastAsia"/>
                <w:noProof/>
                <w:lang w:eastAsia="nl-NL"/>
              </w:rPr>
              <w:tab/>
            </w:r>
            <w:r w:rsidR="005612B6" w:rsidRPr="003D514A">
              <w:rPr>
                <w:rStyle w:val="Hyperlink"/>
                <w:noProof/>
              </w:rPr>
              <w:t>Producten in een zeehaven</w:t>
            </w:r>
            <w:r w:rsidR="005612B6">
              <w:rPr>
                <w:noProof/>
                <w:webHidden/>
              </w:rPr>
              <w:tab/>
            </w:r>
            <w:r>
              <w:rPr>
                <w:noProof/>
                <w:webHidden/>
              </w:rPr>
              <w:fldChar w:fldCharType="begin"/>
            </w:r>
            <w:r w:rsidR="005612B6">
              <w:rPr>
                <w:noProof/>
                <w:webHidden/>
              </w:rPr>
              <w:instrText xml:space="preserve"> PAGEREF _Toc391467996 \h </w:instrText>
            </w:r>
            <w:r>
              <w:rPr>
                <w:noProof/>
                <w:webHidden/>
              </w:rPr>
            </w:r>
            <w:r>
              <w:rPr>
                <w:noProof/>
                <w:webHidden/>
              </w:rPr>
              <w:fldChar w:fldCharType="separate"/>
            </w:r>
            <w:r w:rsidR="005612B6">
              <w:rPr>
                <w:noProof/>
                <w:webHidden/>
              </w:rPr>
              <w:t>12</w:t>
            </w:r>
            <w:r>
              <w:rPr>
                <w:noProof/>
                <w:webHidden/>
              </w:rPr>
              <w:fldChar w:fldCharType="end"/>
            </w:r>
          </w:hyperlink>
        </w:p>
        <w:p w:rsidR="005612B6" w:rsidRDefault="006530F6">
          <w:pPr>
            <w:pStyle w:val="TOC3"/>
            <w:tabs>
              <w:tab w:val="left" w:pos="1320"/>
              <w:tab w:val="right" w:leader="dot" w:pos="9062"/>
            </w:tabs>
            <w:rPr>
              <w:rFonts w:eastAsiaTheme="minorEastAsia"/>
              <w:noProof/>
              <w:lang w:eastAsia="nl-NL"/>
            </w:rPr>
          </w:pPr>
          <w:hyperlink w:anchor="_Toc391467997" w:history="1">
            <w:r w:rsidR="005612B6" w:rsidRPr="003D514A">
              <w:rPr>
                <w:rStyle w:val="Hyperlink"/>
                <w:noProof/>
              </w:rPr>
              <w:t>3.2.3</w:t>
            </w:r>
            <w:r w:rsidR="005612B6">
              <w:rPr>
                <w:rFonts w:eastAsiaTheme="minorEastAsia"/>
                <w:noProof/>
                <w:lang w:eastAsia="nl-NL"/>
              </w:rPr>
              <w:tab/>
            </w:r>
            <w:r w:rsidR="005612B6" w:rsidRPr="003D514A">
              <w:rPr>
                <w:rStyle w:val="Hyperlink"/>
                <w:noProof/>
              </w:rPr>
              <w:t>Categorieën goederen verhandeld in een zeehaven</w:t>
            </w:r>
            <w:r w:rsidR="005612B6">
              <w:rPr>
                <w:noProof/>
                <w:webHidden/>
              </w:rPr>
              <w:tab/>
            </w:r>
            <w:r>
              <w:rPr>
                <w:noProof/>
                <w:webHidden/>
              </w:rPr>
              <w:fldChar w:fldCharType="begin"/>
            </w:r>
            <w:r w:rsidR="005612B6">
              <w:rPr>
                <w:noProof/>
                <w:webHidden/>
              </w:rPr>
              <w:instrText xml:space="preserve"> PAGEREF _Toc391467997 \h </w:instrText>
            </w:r>
            <w:r>
              <w:rPr>
                <w:noProof/>
                <w:webHidden/>
              </w:rPr>
            </w:r>
            <w:r>
              <w:rPr>
                <w:noProof/>
                <w:webHidden/>
              </w:rPr>
              <w:fldChar w:fldCharType="separate"/>
            </w:r>
            <w:r w:rsidR="005612B6">
              <w:rPr>
                <w:noProof/>
                <w:webHidden/>
              </w:rPr>
              <w:t>13</w:t>
            </w:r>
            <w:r>
              <w:rPr>
                <w:noProof/>
                <w:webHidden/>
              </w:rPr>
              <w:fldChar w:fldCharType="end"/>
            </w:r>
          </w:hyperlink>
        </w:p>
        <w:p w:rsidR="005612B6" w:rsidRDefault="006530F6">
          <w:pPr>
            <w:pStyle w:val="TOC2"/>
            <w:tabs>
              <w:tab w:val="left" w:pos="880"/>
              <w:tab w:val="right" w:leader="dot" w:pos="9062"/>
            </w:tabs>
            <w:rPr>
              <w:rFonts w:eastAsiaTheme="minorEastAsia"/>
              <w:noProof/>
              <w:lang w:eastAsia="nl-NL"/>
            </w:rPr>
          </w:pPr>
          <w:hyperlink w:anchor="_Toc391467998" w:history="1">
            <w:r w:rsidR="005612B6" w:rsidRPr="003D514A">
              <w:rPr>
                <w:rStyle w:val="Hyperlink"/>
                <w:noProof/>
              </w:rPr>
              <w:t>3.3</w:t>
            </w:r>
            <w:r w:rsidR="005612B6">
              <w:rPr>
                <w:rFonts w:eastAsiaTheme="minorEastAsia"/>
                <w:noProof/>
                <w:lang w:eastAsia="nl-NL"/>
              </w:rPr>
              <w:tab/>
            </w:r>
            <w:r w:rsidR="005612B6" w:rsidRPr="003D514A">
              <w:rPr>
                <w:rStyle w:val="Hyperlink"/>
                <w:noProof/>
              </w:rPr>
              <w:t>Literatuur over concurrentiepositie zeehavens</w:t>
            </w:r>
            <w:r w:rsidR="005612B6">
              <w:rPr>
                <w:noProof/>
                <w:webHidden/>
              </w:rPr>
              <w:tab/>
            </w:r>
            <w:r>
              <w:rPr>
                <w:noProof/>
                <w:webHidden/>
              </w:rPr>
              <w:fldChar w:fldCharType="begin"/>
            </w:r>
            <w:r w:rsidR="005612B6">
              <w:rPr>
                <w:noProof/>
                <w:webHidden/>
              </w:rPr>
              <w:instrText xml:space="preserve"> PAGEREF _Toc391467998 \h </w:instrText>
            </w:r>
            <w:r>
              <w:rPr>
                <w:noProof/>
                <w:webHidden/>
              </w:rPr>
            </w:r>
            <w:r>
              <w:rPr>
                <w:noProof/>
                <w:webHidden/>
              </w:rPr>
              <w:fldChar w:fldCharType="separate"/>
            </w:r>
            <w:r w:rsidR="005612B6">
              <w:rPr>
                <w:noProof/>
                <w:webHidden/>
              </w:rPr>
              <w:t>14</w:t>
            </w:r>
            <w:r>
              <w:rPr>
                <w:noProof/>
                <w:webHidden/>
              </w:rPr>
              <w:fldChar w:fldCharType="end"/>
            </w:r>
          </w:hyperlink>
        </w:p>
        <w:p w:rsidR="005612B6" w:rsidRDefault="006530F6">
          <w:pPr>
            <w:pStyle w:val="TOC3"/>
            <w:tabs>
              <w:tab w:val="left" w:pos="1320"/>
              <w:tab w:val="right" w:leader="dot" w:pos="9062"/>
            </w:tabs>
            <w:rPr>
              <w:rFonts w:eastAsiaTheme="minorEastAsia"/>
              <w:noProof/>
              <w:lang w:eastAsia="nl-NL"/>
            </w:rPr>
          </w:pPr>
          <w:hyperlink w:anchor="_Toc391467999" w:history="1">
            <w:r w:rsidR="005612B6" w:rsidRPr="003D514A">
              <w:rPr>
                <w:rStyle w:val="Hyperlink"/>
                <w:noProof/>
              </w:rPr>
              <w:t>3.3.1</w:t>
            </w:r>
            <w:r w:rsidR="005612B6">
              <w:rPr>
                <w:rFonts w:eastAsiaTheme="minorEastAsia"/>
                <w:noProof/>
                <w:lang w:eastAsia="nl-NL"/>
              </w:rPr>
              <w:tab/>
            </w:r>
            <w:r w:rsidR="005612B6" w:rsidRPr="003D514A">
              <w:rPr>
                <w:rStyle w:val="Hyperlink"/>
                <w:noProof/>
              </w:rPr>
              <w:t>Product Portfolio Analyse</w:t>
            </w:r>
            <w:r w:rsidR="005612B6">
              <w:rPr>
                <w:noProof/>
                <w:webHidden/>
              </w:rPr>
              <w:tab/>
            </w:r>
            <w:r>
              <w:rPr>
                <w:noProof/>
                <w:webHidden/>
              </w:rPr>
              <w:fldChar w:fldCharType="begin"/>
            </w:r>
            <w:r w:rsidR="005612B6">
              <w:rPr>
                <w:noProof/>
                <w:webHidden/>
              </w:rPr>
              <w:instrText xml:space="preserve"> PAGEREF _Toc391467999 \h </w:instrText>
            </w:r>
            <w:r>
              <w:rPr>
                <w:noProof/>
                <w:webHidden/>
              </w:rPr>
            </w:r>
            <w:r>
              <w:rPr>
                <w:noProof/>
                <w:webHidden/>
              </w:rPr>
              <w:fldChar w:fldCharType="separate"/>
            </w:r>
            <w:r w:rsidR="005612B6">
              <w:rPr>
                <w:noProof/>
                <w:webHidden/>
              </w:rPr>
              <w:t>14</w:t>
            </w:r>
            <w:r>
              <w:rPr>
                <w:noProof/>
                <w:webHidden/>
              </w:rPr>
              <w:fldChar w:fldCharType="end"/>
            </w:r>
          </w:hyperlink>
        </w:p>
        <w:p w:rsidR="005612B6" w:rsidRDefault="006530F6">
          <w:pPr>
            <w:pStyle w:val="TOC3"/>
            <w:tabs>
              <w:tab w:val="left" w:pos="1320"/>
              <w:tab w:val="right" w:leader="dot" w:pos="9062"/>
            </w:tabs>
            <w:rPr>
              <w:rFonts w:eastAsiaTheme="minorEastAsia"/>
              <w:noProof/>
              <w:lang w:eastAsia="nl-NL"/>
            </w:rPr>
          </w:pPr>
          <w:hyperlink w:anchor="_Toc391468000" w:history="1">
            <w:r w:rsidR="005612B6" w:rsidRPr="003D514A">
              <w:rPr>
                <w:rStyle w:val="Hyperlink"/>
                <w:noProof/>
              </w:rPr>
              <w:t>3.3.2</w:t>
            </w:r>
            <w:r w:rsidR="005612B6">
              <w:rPr>
                <w:rFonts w:eastAsiaTheme="minorEastAsia"/>
                <w:noProof/>
                <w:lang w:eastAsia="nl-NL"/>
              </w:rPr>
              <w:tab/>
            </w:r>
            <w:r w:rsidR="005612B6" w:rsidRPr="003D514A">
              <w:rPr>
                <w:rStyle w:val="Hyperlink"/>
                <w:noProof/>
              </w:rPr>
              <w:t>Shift-Share Analyse</w:t>
            </w:r>
            <w:r w:rsidR="005612B6">
              <w:rPr>
                <w:noProof/>
                <w:webHidden/>
              </w:rPr>
              <w:tab/>
            </w:r>
            <w:r>
              <w:rPr>
                <w:noProof/>
                <w:webHidden/>
              </w:rPr>
              <w:fldChar w:fldCharType="begin"/>
            </w:r>
            <w:r w:rsidR="005612B6">
              <w:rPr>
                <w:noProof/>
                <w:webHidden/>
              </w:rPr>
              <w:instrText xml:space="preserve"> PAGEREF _Toc391468000 \h </w:instrText>
            </w:r>
            <w:r>
              <w:rPr>
                <w:noProof/>
                <w:webHidden/>
              </w:rPr>
            </w:r>
            <w:r>
              <w:rPr>
                <w:noProof/>
                <w:webHidden/>
              </w:rPr>
              <w:fldChar w:fldCharType="separate"/>
            </w:r>
            <w:r w:rsidR="005612B6">
              <w:rPr>
                <w:noProof/>
                <w:webHidden/>
              </w:rPr>
              <w:t>15</w:t>
            </w:r>
            <w:r>
              <w:rPr>
                <w:noProof/>
                <w:webHidden/>
              </w:rPr>
              <w:fldChar w:fldCharType="end"/>
            </w:r>
          </w:hyperlink>
        </w:p>
        <w:p w:rsidR="005612B6" w:rsidRDefault="006530F6">
          <w:pPr>
            <w:pStyle w:val="TOC2"/>
            <w:tabs>
              <w:tab w:val="left" w:pos="880"/>
              <w:tab w:val="right" w:leader="dot" w:pos="9062"/>
            </w:tabs>
            <w:rPr>
              <w:rFonts w:eastAsiaTheme="minorEastAsia"/>
              <w:noProof/>
              <w:lang w:eastAsia="nl-NL"/>
            </w:rPr>
          </w:pPr>
          <w:hyperlink w:anchor="_Toc391468001" w:history="1">
            <w:r w:rsidR="005612B6" w:rsidRPr="003D514A">
              <w:rPr>
                <w:rStyle w:val="Hyperlink"/>
                <w:noProof/>
              </w:rPr>
              <w:t>3.4</w:t>
            </w:r>
            <w:r w:rsidR="005612B6">
              <w:rPr>
                <w:rFonts w:eastAsiaTheme="minorEastAsia"/>
                <w:noProof/>
                <w:lang w:eastAsia="nl-NL"/>
              </w:rPr>
              <w:tab/>
            </w:r>
            <w:r w:rsidR="005612B6" w:rsidRPr="003D514A">
              <w:rPr>
                <w:rStyle w:val="Hyperlink"/>
                <w:noProof/>
              </w:rPr>
              <w:t>Casus: ontwikkeling concurrentiepositie Zeeuwse havens</w:t>
            </w:r>
            <w:r w:rsidR="005612B6">
              <w:rPr>
                <w:noProof/>
                <w:webHidden/>
              </w:rPr>
              <w:tab/>
            </w:r>
            <w:r>
              <w:rPr>
                <w:noProof/>
                <w:webHidden/>
              </w:rPr>
              <w:fldChar w:fldCharType="begin"/>
            </w:r>
            <w:r w:rsidR="005612B6">
              <w:rPr>
                <w:noProof/>
                <w:webHidden/>
              </w:rPr>
              <w:instrText xml:space="preserve"> PAGEREF _Toc391468001 \h </w:instrText>
            </w:r>
            <w:r>
              <w:rPr>
                <w:noProof/>
                <w:webHidden/>
              </w:rPr>
            </w:r>
            <w:r>
              <w:rPr>
                <w:noProof/>
                <w:webHidden/>
              </w:rPr>
              <w:fldChar w:fldCharType="separate"/>
            </w:r>
            <w:r w:rsidR="005612B6">
              <w:rPr>
                <w:noProof/>
                <w:webHidden/>
              </w:rPr>
              <w:t>16</w:t>
            </w:r>
            <w:r>
              <w:rPr>
                <w:noProof/>
                <w:webHidden/>
              </w:rPr>
              <w:fldChar w:fldCharType="end"/>
            </w:r>
          </w:hyperlink>
        </w:p>
        <w:p w:rsidR="005612B6" w:rsidRDefault="006530F6">
          <w:pPr>
            <w:pStyle w:val="TOC3"/>
            <w:tabs>
              <w:tab w:val="left" w:pos="1320"/>
              <w:tab w:val="right" w:leader="dot" w:pos="9062"/>
            </w:tabs>
            <w:rPr>
              <w:rFonts w:eastAsiaTheme="minorEastAsia"/>
              <w:noProof/>
              <w:lang w:eastAsia="nl-NL"/>
            </w:rPr>
          </w:pPr>
          <w:hyperlink w:anchor="_Toc391468002" w:history="1">
            <w:r w:rsidR="005612B6" w:rsidRPr="003D514A">
              <w:rPr>
                <w:rStyle w:val="Hyperlink"/>
                <w:noProof/>
              </w:rPr>
              <w:t>3.4.1</w:t>
            </w:r>
            <w:r w:rsidR="005612B6">
              <w:rPr>
                <w:rFonts w:eastAsiaTheme="minorEastAsia"/>
                <w:noProof/>
                <w:lang w:eastAsia="nl-NL"/>
              </w:rPr>
              <w:tab/>
            </w:r>
            <w:r w:rsidR="005612B6" w:rsidRPr="003D514A">
              <w:rPr>
                <w:rStyle w:val="Hyperlink"/>
                <w:noProof/>
              </w:rPr>
              <w:t>Concurrenten Zeeuwse havens</w:t>
            </w:r>
            <w:r w:rsidR="005612B6">
              <w:rPr>
                <w:noProof/>
                <w:webHidden/>
              </w:rPr>
              <w:tab/>
            </w:r>
            <w:r>
              <w:rPr>
                <w:noProof/>
                <w:webHidden/>
              </w:rPr>
              <w:fldChar w:fldCharType="begin"/>
            </w:r>
            <w:r w:rsidR="005612B6">
              <w:rPr>
                <w:noProof/>
                <w:webHidden/>
              </w:rPr>
              <w:instrText xml:space="preserve"> PAGEREF _Toc391468002 \h </w:instrText>
            </w:r>
            <w:r>
              <w:rPr>
                <w:noProof/>
                <w:webHidden/>
              </w:rPr>
            </w:r>
            <w:r>
              <w:rPr>
                <w:noProof/>
                <w:webHidden/>
              </w:rPr>
              <w:fldChar w:fldCharType="separate"/>
            </w:r>
            <w:r w:rsidR="005612B6">
              <w:rPr>
                <w:noProof/>
                <w:webHidden/>
              </w:rPr>
              <w:t>16</w:t>
            </w:r>
            <w:r>
              <w:rPr>
                <w:noProof/>
                <w:webHidden/>
              </w:rPr>
              <w:fldChar w:fldCharType="end"/>
            </w:r>
          </w:hyperlink>
        </w:p>
        <w:p w:rsidR="005612B6" w:rsidRDefault="006530F6">
          <w:pPr>
            <w:pStyle w:val="TOC3"/>
            <w:tabs>
              <w:tab w:val="left" w:pos="1320"/>
              <w:tab w:val="right" w:leader="dot" w:pos="9062"/>
            </w:tabs>
            <w:rPr>
              <w:rFonts w:eastAsiaTheme="minorEastAsia"/>
              <w:noProof/>
              <w:lang w:eastAsia="nl-NL"/>
            </w:rPr>
          </w:pPr>
          <w:hyperlink w:anchor="_Toc391468003" w:history="1">
            <w:r w:rsidR="005612B6" w:rsidRPr="003D514A">
              <w:rPr>
                <w:rStyle w:val="Hyperlink"/>
                <w:noProof/>
              </w:rPr>
              <w:t>3.4.2</w:t>
            </w:r>
            <w:r w:rsidR="005612B6">
              <w:rPr>
                <w:rFonts w:eastAsiaTheme="minorEastAsia"/>
                <w:noProof/>
                <w:lang w:eastAsia="nl-NL"/>
              </w:rPr>
              <w:tab/>
            </w:r>
            <w:r w:rsidR="005612B6" w:rsidRPr="003D514A">
              <w:rPr>
                <w:rStyle w:val="Hyperlink"/>
                <w:noProof/>
              </w:rPr>
              <w:t>Ontwikkeling concurrentiepositie ten opzichte van belangrijkste concurrenten</w:t>
            </w:r>
            <w:r w:rsidR="005612B6">
              <w:rPr>
                <w:noProof/>
                <w:webHidden/>
              </w:rPr>
              <w:tab/>
            </w:r>
            <w:r>
              <w:rPr>
                <w:noProof/>
                <w:webHidden/>
              </w:rPr>
              <w:fldChar w:fldCharType="begin"/>
            </w:r>
            <w:r w:rsidR="005612B6">
              <w:rPr>
                <w:noProof/>
                <w:webHidden/>
              </w:rPr>
              <w:instrText xml:space="preserve"> PAGEREF _Toc391468003 \h </w:instrText>
            </w:r>
            <w:r>
              <w:rPr>
                <w:noProof/>
                <w:webHidden/>
              </w:rPr>
            </w:r>
            <w:r>
              <w:rPr>
                <w:noProof/>
                <w:webHidden/>
              </w:rPr>
              <w:fldChar w:fldCharType="separate"/>
            </w:r>
            <w:r w:rsidR="005612B6">
              <w:rPr>
                <w:noProof/>
                <w:webHidden/>
              </w:rPr>
              <w:t>17</w:t>
            </w:r>
            <w:r>
              <w:rPr>
                <w:noProof/>
                <w:webHidden/>
              </w:rPr>
              <w:fldChar w:fldCharType="end"/>
            </w:r>
          </w:hyperlink>
        </w:p>
        <w:p w:rsidR="005612B6" w:rsidRDefault="006530F6" w:rsidP="005612B6">
          <w:pPr>
            <w:pStyle w:val="TOC1"/>
            <w:rPr>
              <w:rFonts w:eastAsiaTheme="minorEastAsia"/>
              <w:lang w:eastAsia="nl-NL"/>
            </w:rPr>
          </w:pPr>
          <w:hyperlink w:anchor="_Toc391468004" w:history="1">
            <w:r w:rsidR="005612B6" w:rsidRPr="003D514A">
              <w:rPr>
                <w:rStyle w:val="Hyperlink"/>
              </w:rPr>
              <w:t>4</w:t>
            </w:r>
            <w:r w:rsidR="005612B6">
              <w:rPr>
                <w:rFonts w:eastAsiaTheme="minorEastAsia"/>
                <w:lang w:eastAsia="nl-NL"/>
              </w:rPr>
              <w:tab/>
            </w:r>
            <w:r w:rsidR="005612B6" w:rsidRPr="003D514A">
              <w:rPr>
                <w:rStyle w:val="Hyperlink"/>
              </w:rPr>
              <w:t>Strategie voor Zeeuwse havens</w:t>
            </w:r>
            <w:r w:rsidR="005612B6">
              <w:rPr>
                <w:webHidden/>
              </w:rPr>
              <w:tab/>
            </w:r>
            <w:r>
              <w:rPr>
                <w:webHidden/>
              </w:rPr>
              <w:fldChar w:fldCharType="begin"/>
            </w:r>
            <w:r w:rsidR="005612B6">
              <w:rPr>
                <w:webHidden/>
              </w:rPr>
              <w:instrText xml:space="preserve"> PAGEREF _Toc391468004 \h </w:instrText>
            </w:r>
            <w:r>
              <w:rPr>
                <w:webHidden/>
              </w:rPr>
            </w:r>
            <w:r>
              <w:rPr>
                <w:webHidden/>
              </w:rPr>
              <w:fldChar w:fldCharType="separate"/>
            </w:r>
            <w:r w:rsidR="005612B6">
              <w:rPr>
                <w:webHidden/>
              </w:rPr>
              <w:t>20</w:t>
            </w:r>
            <w:r>
              <w:rPr>
                <w:webHidden/>
              </w:rPr>
              <w:fldChar w:fldCharType="end"/>
            </w:r>
          </w:hyperlink>
        </w:p>
        <w:p w:rsidR="005612B6" w:rsidRDefault="006530F6">
          <w:pPr>
            <w:pStyle w:val="TOC2"/>
            <w:tabs>
              <w:tab w:val="left" w:pos="880"/>
              <w:tab w:val="right" w:leader="dot" w:pos="9062"/>
            </w:tabs>
            <w:rPr>
              <w:rFonts w:eastAsiaTheme="minorEastAsia"/>
              <w:noProof/>
              <w:lang w:eastAsia="nl-NL"/>
            </w:rPr>
          </w:pPr>
          <w:hyperlink w:anchor="_Toc391468005" w:history="1">
            <w:r w:rsidR="005612B6" w:rsidRPr="003D514A">
              <w:rPr>
                <w:rStyle w:val="Hyperlink"/>
                <w:noProof/>
              </w:rPr>
              <w:t>4.1</w:t>
            </w:r>
            <w:r w:rsidR="005612B6">
              <w:rPr>
                <w:rFonts w:eastAsiaTheme="minorEastAsia"/>
                <w:noProof/>
                <w:lang w:eastAsia="nl-NL"/>
              </w:rPr>
              <w:tab/>
            </w:r>
            <w:r w:rsidR="005612B6" w:rsidRPr="003D514A">
              <w:rPr>
                <w:rStyle w:val="Hyperlink"/>
                <w:noProof/>
              </w:rPr>
              <w:t>Introductie</w:t>
            </w:r>
            <w:r w:rsidR="005612B6">
              <w:rPr>
                <w:noProof/>
                <w:webHidden/>
              </w:rPr>
              <w:tab/>
            </w:r>
            <w:r>
              <w:rPr>
                <w:noProof/>
                <w:webHidden/>
              </w:rPr>
              <w:fldChar w:fldCharType="begin"/>
            </w:r>
            <w:r w:rsidR="005612B6">
              <w:rPr>
                <w:noProof/>
                <w:webHidden/>
              </w:rPr>
              <w:instrText xml:space="preserve"> PAGEREF _Toc391468005 \h </w:instrText>
            </w:r>
            <w:r>
              <w:rPr>
                <w:noProof/>
                <w:webHidden/>
              </w:rPr>
            </w:r>
            <w:r>
              <w:rPr>
                <w:noProof/>
                <w:webHidden/>
              </w:rPr>
              <w:fldChar w:fldCharType="separate"/>
            </w:r>
            <w:r w:rsidR="005612B6">
              <w:rPr>
                <w:noProof/>
                <w:webHidden/>
              </w:rPr>
              <w:t>20</w:t>
            </w:r>
            <w:r>
              <w:rPr>
                <w:noProof/>
                <w:webHidden/>
              </w:rPr>
              <w:fldChar w:fldCharType="end"/>
            </w:r>
          </w:hyperlink>
        </w:p>
        <w:p w:rsidR="005612B6" w:rsidRDefault="006530F6">
          <w:pPr>
            <w:pStyle w:val="TOC2"/>
            <w:tabs>
              <w:tab w:val="left" w:pos="880"/>
              <w:tab w:val="right" w:leader="dot" w:pos="9062"/>
            </w:tabs>
            <w:rPr>
              <w:rFonts w:eastAsiaTheme="minorEastAsia"/>
              <w:noProof/>
              <w:lang w:eastAsia="nl-NL"/>
            </w:rPr>
          </w:pPr>
          <w:hyperlink w:anchor="_Toc391468006" w:history="1">
            <w:r w:rsidR="005612B6" w:rsidRPr="003D514A">
              <w:rPr>
                <w:rStyle w:val="Hyperlink"/>
                <w:noProof/>
              </w:rPr>
              <w:t>4.2</w:t>
            </w:r>
            <w:r w:rsidR="005612B6">
              <w:rPr>
                <w:rFonts w:eastAsiaTheme="minorEastAsia"/>
                <w:noProof/>
                <w:lang w:eastAsia="nl-NL"/>
              </w:rPr>
              <w:tab/>
            </w:r>
            <w:r w:rsidR="005612B6" w:rsidRPr="003D514A">
              <w:rPr>
                <w:rStyle w:val="Hyperlink"/>
                <w:noProof/>
              </w:rPr>
              <w:t>Product Portfolio Analyse level 3</w:t>
            </w:r>
            <w:r w:rsidR="005612B6">
              <w:rPr>
                <w:noProof/>
                <w:webHidden/>
              </w:rPr>
              <w:tab/>
            </w:r>
            <w:r>
              <w:rPr>
                <w:noProof/>
                <w:webHidden/>
              </w:rPr>
              <w:fldChar w:fldCharType="begin"/>
            </w:r>
            <w:r w:rsidR="005612B6">
              <w:rPr>
                <w:noProof/>
                <w:webHidden/>
              </w:rPr>
              <w:instrText xml:space="preserve"> PAGEREF _Toc391468006 \h </w:instrText>
            </w:r>
            <w:r>
              <w:rPr>
                <w:noProof/>
                <w:webHidden/>
              </w:rPr>
            </w:r>
            <w:r>
              <w:rPr>
                <w:noProof/>
                <w:webHidden/>
              </w:rPr>
              <w:fldChar w:fldCharType="separate"/>
            </w:r>
            <w:r w:rsidR="005612B6">
              <w:rPr>
                <w:noProof/>
                <w:webHidden/>
              </w:rPr>
              <w:t>20</w:t>
            </w:r>
            <w:r>
              <w:rPr>
                <w:noProof/>
                <w:webHidden/>
              </w:rPr>
              <w:fldChar w:fldCharType="end"/>
            </w:r>
          </w:hyperlink>
        </w:p>
        <w:p w:rsidR="005612B6" w:rsidRDefault="006530F6">
          <w:pPr>
            <w:pStyle w:val="TOC3"/>
            <w:tabs>
              <w:tab w:val="left" w:pos="1320"/>
              <w:tab w:val="right" w:leader="dot" w:pos="9062"/>
            </w:tabs>
            <w:rPr>
              <w:rFonts w:eastAsiaTheme="minorEastAsia"/>
              <w:noProof/>
              <w:lang w:eastAsia="nl-NL"/>
            </w:rPr>
          </w:pPr>
          <w:hyperlink w:anchor="_Toc391468007" w:history="1">
            <w:r w:rsidR="005612B6" w:rsidRPr="003D514A">
              <w:rPr>
                <w:rStyle w:val="Hyperlink"/>
                <w:noProof/>
              </w:rPr>
              <w:t>4.2.1</w:t>
            </w:r>
            <w:r w:rsidR="005612B6">
              <w:rPr>
                <w:rFonts w:eastAsiaTheme="minorEastAsia"/>
                <w:noProof/>
                <w:lang w:eastAsia="nl-NL"/>
              </w:rPr>
              <w:tab/>
            </w:r>
            <w:r w:rsidR="005612B6" w:rsidRPr="003D514A">
              <w:rPr>
                <w:rStyle w:val="Hyperlink"/>
                <w:noProof/>
              </w:rPr>
              <w:t>Bevindingen na analyse level 3</w:t>
            </w:r>
            <w:r w:rsidR="005612B6">
              <w:rPr>
                <w:noProof/>
                <w:webHidden/>
              </w:rPr>
              <w:tab/>
            </w:r>
            <w:r>
              <w:rPr>
                <w:noProof/>
                <w:webHidden/>
              </w:rPr>
              <w:fldChar w:fldCharType="begin"/>
            </w:r>
            <w:r w:rsidR="005612B6">
              <w:rPr>
                <w:noProof/>
                <w:webHidden/>
              </w:rPr>
              <w:instrText xml:space="preserve"> PAGEREF _Toc391468007 \h </w:instrText>
            </w:r>
            <w:r>
              <w:rPr>
                <w:noProof/>
                <w:webHidden/>
              </w:rPr>
            </w:r>
            <w:r>
              <w:rPr>
                <w:noProof/>
                <w:webHidden/>
              </w:rPr>
              <w:fldChar w:fldCharType="separate"/>
            </w:r>
            <w:r w:rsidR="005612B6">
              <w:rPr>
                <w:noProof/>
                <w:webHidden/>
              </w:rPr>
              <w:t>20</w:t>
            </w:r>
            <w:r>
              <w:rPr>
                <w:noProof/>
                <w:webHidden/>
              </w:rPr>
              <w:fldChar w:fldCharType="end"/>
            </w:r>
          </w:hyperlink>
        </w:p>
        <w:p w:rsidR="005612B6" w:rsidRDefault="006530F6">
          <w:pPr>
            <w:pStyle w:val="TOC2"/>
            <w:tabs>
              <w:tab w:val="left" w:pos="880"/>
              <w:tab w:val="right" w:leader="dot" w:pos="9062"/>
            </w:tabs>
            <w:rPr>
              <w:rFonts w:eastAsiaTheme="minorEastAsia"/>
              <w:noProof/>
              <w:lang w:eastAsia="nl-NL"/>
            </w:rPr>
          </w:pPr>
          <w:hyperlink w:anchor="_Toc391468008" w:history="1">
            <w:r w:rsidR="005612B6" w:rsidRPr="003D514A">
              <w:rPr>
                <w:rStyle w:val="Hyperlink"/>
                <w:noProof/>
              </w:rPr>
              <w:t>4.3</w:t>
            </w:r>
            <w:r w:rsidR="005612B6">
              <w:rPr>
                <w:rFonts w:eastAsiaTheme="minorEastAsia"/>
                <w:noProof/>
                <w:lang w:eastAsia="nl-NL"/>
              </w:rPr>
              <w:tab/>
            </w:r>
            <w:r w:rsidR="005612B6" w:rsidRPr="003D514A">
              <w:rPr>
                <w:rStyle w:val="Hyperlink"/>
                <w:noProof/>
              </w:rPr>
              <w:t>Positie Zeeuwse havens voor binnenhalen containerschepen</w:t>
            </w:r>
            <w:r w:rsidR="005612B6">
              <w:rPr>
                <w:noProof/>
                <w:webHidden/>
              </w:rPr>
              <w:tab/>
            </w:r>
            <w:r>
              <w:rPr>
                <w:noProof/>
                <w:webHidden/>
              </w:rPr>
              <w:fldChar w:fldCharType="begin"/>
            </w:r>
            <w:r w:rsidR="005612B6">
              <w:rPr>
                <w:noProof/>
                <w:webHidden/>
              </w:rPr>
              <w:instrText xml:space="preserve"> PAGEREF _Toc391468008 \h </w:instrText>
            </w:r>
            <w:r>
              <w:rPr>
                <w:noProof/>
                <w:webHidden/>
              </w:rPr>
            </w:r>
            <w:r>
              <w:rPr>
                <w:noProof/>
                <w:webHidden/>
              </w:rPr>
              <w:fldChar w:fldCharType="separate"/>
            </w:r>
            <w:r w:rsidR="005612B6">
              <w:rPr>
                <w:noProof/>
                <w:webHidden/>
              </w:rPr>
              <w:t>21</w:t>
            </w:r>
            <w:r>
              <w:rPr>
                <w:noProof/>
                <w:webHidden/>
              </w:rPr>
              <w:fldChar w:fldCharType="end"/>
            </w:r>
          </w:hyperlink>
        </w:p>
        <w:p w:rsidR="005612B6" w:rsidRDefault="006530F6">
          <w:pPr>
            <w:pStyle w:val="TOC2"/>
            <w:tabs>
              <w:tab w:val="left" w:pos="880"/>
              <w:tab w:val="right" w:leader="dot" w:pos="9062"/>
            </w:tabs>
            <w:rPr>
              <w:rFonts w:eastAsiaTheme="minorEastAsia"/>
              <w:noProof/>
              <w:lang w:eastAsia="nl-NL"/>
            </w:rPr>
          </w:pPr>
          <w:hyperlink w:anchor="_Toc391468009" w:history="1">
            <w:r w:rsidR="005612B6" w:rsidRPr="003D514A">
              <w:rPr>
                <w:rStyle w:val="Hyperlink"/>
                <w:noProof/>
              </w:rPr>
              <w:t>4.4</w:t>
            </w:r>
            <w:r w:rsidR="005612B6">
              <w:rPr>
                <w:rFonts w:eastAsiaTheme="minorEastAsia"/>
                <w:noProof/>
                <w:lang w:eastAsia="nl-NL"/>
              </w:rPr>
              <w:tab/>
            </w:r>
            <w:r w:rsidR="005612B6" w:rsidRPr="003D514A">
              <w:rPr>
                <w:rStyle w:val="Hyperlink"/>
                <w:noProof/>
              </w:rPr>
              <w:t>Herstructurering van de supply chain door middel van postponement</w:t>
            </w:r>
            <w:r w:rsidR="005612B6">
              <w:rPr>
                <w:noProof/>
                <w:webHidden/>
              </w:rPr>
              <w:tab/>
            </w:r>
            <w:r>
              <w:rPr>
                <w:noProof/>
                <w:webHidden/>
              </w:rPr>
              <w:fldChar w:fldCharType="begin"/>
            </w:r>
            <w:r w:rsidR="005612B6">
              <w:rPr>
                <w:noProof/>
                <w:webHidden/>
              </w:rPr>
              <w:instrText xml:space="preserve"> PAGEREF _Toc391468009 \h </w:instrText>
            </w:r>
            <w:r>
              <w:rPr>
                <w:noProof/>
                <w:webHidden/>
              </w:rPr>
            </w:r>
            <w:r>
              <w:rPr>
                <w:noProof/>
                <w:webHidden/>
              </w:rPr>
              <w:fldChar w:fldCharType="separate"/>
            </w:r>
            <w:r w:rsidR="005612B6">
              <w:rPr>
                <w:noProof/>
                <w:webHidden/>
              </w:rPr>
              <w:t>22</w:t>
            </w:r>
            <w:r>
              <w:rPr>
                <w:noProof/>
                <w:webHidden/>
              </w:rPr>
              <w:fldChar w:fldCharType="end"/>
            </w:r>
          </w:hyperlink>
        </w:p>
        <w:p w:rsidR="005612B6" w:rsidRDefault="006530F6">
          <w:pPr>
            <w:pStyle w:val="TOC2"/>
            <w:tabs>
              <w:tab w:val="left" w:pos="880"/>
              <w:tab w:val="right" w:leader="dot" w:pos="9062"/>
            </w:tabs>
            <w:rPr>
              <w:rFonts w:eastAsiaTheme="minorEastAsia"/>
              <w:noProof/>
              <w:lang w:eastAsia="nl-NL"/>
            </w:rPr>
          </w:pPr>
          <w:hyperlink w:anchor="_Toc391468010" w:history="1">
            <w:r w:rsidR="005612B6" w:rsidRPr="003D514A">
              <w:rPr>
                <w:rStyle w:val="Hyperlink"/>
                <w:noProof/>
              </w:rPr>
              <w:t>4.5</w:t>
            </w:r>
            <w:r w:rsidR="005612B6">
              <w:rPr>
                <w:rFonts w:eastAsiaTheme="minorEastAsia"/>
                <w:noProof/>
                <w:lang w:eastAsia="nl-NL"/>
              </w:rPr>
              <w:tab/>
            </w:r>
            <w:r w:rsidR="005612B6" w:rsidRPr="003D514A">
              <w:rPr>
                <w:rStyle w:val="Hyperlink"/>
                <w:noProof/>
              </w:rPr>
              <w:t>Opkomende offshore-industrie</w:t>
            </w:r>
            <w:r w:rsidR="005612B6">
              <w:rPr>
                <w:noProof/>
                <w:webHidden/>
              </w:rPr>
              <w:tab/>
            </w:r>
            <w:r>
              <w:rPr>
                <w:noProof/>
                <w:webHidden/>
              </w:rPr>
              <w:fldChar w:fldCharType="begin"/>
            </w:r>
            <w:r w:rsidR="005612B6">
              <w:rPr>
                <w:noProof/>
                <w:webHidden/>
              </w:rPr>
              <w:instrText xml:space="preserve"> PAGEREF _Toc391468010 \h </w:instrText>
            </w:r>
            <w:r>
              <w:rPr>
                <w:noProof/>
                <w:webHidden/>
              </w:rPr>
            </w:r>
            <w:r>
              <w:rPr>
                <w:noProof/>
                <w:webHidden/>
              </w:rPr>
              <w:fldChar w:fldCharType="separate"/>
            </w:r>
            <w:r w:rsidR="005612B6">
              <w:rPr>
                <w:noProof/>
                <w:webHidden/>
              </w:rPr>
              <w:t>23</w:t>
            </w:r>
            <w:r>
              <w:rPr>
                <w:noProof/>
                <w:webHidden/>
              </w:rPr>
              <w:fldChar w:fldCharType="end"/>
            </w:r>
          </w:hyperlink>
        </w:p>
        <w:p w:rsidR="005612B6" w:rsidRPr="005612B6" w:rsidRDefault="006530F6" w:rsidP="005612B6">
          <w:pPr>
            <w:pStyle w:val="TOC1"/>
            <w:rPr>
              <w:rStyle w:val="Hyperlink"/>
              <w:color w:val="auto"/>
            </w:rPr>
          </w:pPr>
          <w:hyperlink w:anchor="_Toc391468011" w:history="1">
            <w:r w:rsidR="005612B6" w:rsidRPr="005612B6">
              <w:rPr>
                <w:rStyle w:val="Hyperlink"/>
                <w:color w:val="auto"/>
              </w:rPr>
              <w:t>5</w:t>
            </w:r>
            <w:r w:rsidR="005612B6" w:rsidRPr="005612B6">
              <w:rPr>
                <w:rFonts w:eastAsiaTheme="minorEastAsia"/>
                <w:lang w:eastAsia="nl-NL"/>
              </w:rPr>
              <w:tab/>
            </w:r>
            <w:r w:rsidR="005612B6" w:rsidRPr="005612B6">
              <w:rPr>
                <w:rStyle w:val="Hyperlink"/>
                <w:color w:val="auto"/>
              </w:rPr>
              <w:t>Conclusies en aanbevelingen</w:t>
            </w:r>
            <w:r w:rsidR="005612B6" w:rsidRPr="005612B6">
              <w:rPr>
                <w:webHidden/>
              </w:rPr>
              <w:tab/>
            </w:r>
            <w:r w:rsidRPr="005612B6">
              <w:rPr>
                <w:webHidden/>
              </w:rPr>
              <w:fldChar w:fldCharType="begin"/>
            </w:r>
            <w:r w:rsidR="005612B6" w:rsidRPr="005612B6">
              <w:rPr>
                <w:webHidden/>
              </w:rPr>
              <w:instrText xml:space="preserve"> PAGEREF _Toc391468011 \h </w:instrText>
            </w:r>
            <w:r w:rsidRPr="005612B6">
              <w:rPr>
                <w:webHidden/>
              </w:rPr>
            </w:r>
            <w:r w:rsidRPr="005612B6">
              <w:rPr>
                <w:webHidden/>
              </w:rPr>
              <w:fldChar w:fldCharType="separate"/>
            </w:r>
            <w:r w:rsidR="005612B6" w:rsidRPr="005612B6">
              <w:rPr>
                <w:webHidden/>
              </w:rPr>
              <w:t>25</w:t>
            </w:r>
            <w:r w:rsidRPr="005612B6">
              <w:rPr>
                <w:webHidden/>
              </w:rPr>
              <w:fldChar w:fldCharType="end"/>
            </w:r>
          </w:hyperlink>
        </w:p>
        <w:p w:rsidR="005612B6" w:rsidRPr="005612B6" w:rsidRDefault="005612B6" w:rsidP="005612B6"/>
        <w:p w:rsidR="005612B6" w:rsidRDefault="006530F6" w:rsidP="005612B6">
          <w:pPr>
            <w:pStyle w:val="TOC1"/>
            <w:rPr>
              <w:rFonts w:eastAsiaTheme="minorEastAsia"/>
              <w:lang w:eastAsia="nl-NL"/>
            </w:rPr>
          </w:pPr>
          <w:hyperlink w:anchor="_Toc391468012" w:history="1">
            <w:r w:rsidR="005612B6" w:rsidRPr="003D514A">
              <w:rPr>
                <w:rStyle w:val="Hyperlink"/>
              </w:rPr>
              <w:t>6</w:t>
            </w:r>
            <w:r w:rsidR="005612B6">
              <w:rPr>
                <w:rFonts w:eastAsiaTheme="minorEastAsia"/>
                <w:lang w:eastAsia="nl-NL"/>
              </w:rPr>
              <w:tab/>
            </w:r>
            <w:r w:rsidR="005612B6" w:rsidRPr="003D514A">
              <w:rPr>
                <w:rStyle w:val="Hyperlink"/>
              </w:rPr>
              <w:t>Bibliografie</w:t>
            </w:r>
            <w:r w:rsidR="005612B6">
              <w:rPr>
                <w:webHidden/>
              </w:rPr>
              <w:tab/>
            </w:r>
            <w:r>
              <w:rPr>
                <w:webHidden/>
              </w:rPr>
              <w:fldChar w:fldCharType="begin"/>
            </w:r>
            <w:r w:rsidR="005612B6">
              <w:rPr>
                <w:webHidden/>
              </w:rPr>
              <w:instrText xml:space="preserve"> PAGEREF _Toc391468012 \h </w:instrText>
            </w:r>
            <w:r>
              <w:rPr>
                <w:webHidden/>
              </w:rPr>
            </w:r>
            <w:r>
              <w:rPr>
                <w:webHidden/>
              </w:rPr>
              <w:fldChar w:fldCharType="separate"/>
            </w:r>
            <w:r w:rsidR="005612B6">
              <w:rPr>
                <w:webHidden/>
              </w:rPr>
              <w:t>27</w:t>
            </w:r>
            <w:r>
              <w:rPr>
                <w:webHidden/>
              </w:rPr>
              <w:fldChar w:fldCharType="end"/>
            </w:r>
          </w:hyperlink>
        </w:p>
        <w:p w:rsidR="005612B6" w:rsidRDefault="006530F6">
          <w:pPr>
            <w:pStyle w:val="TOC2"/>
            <w:tabs>
              <w:tab w:val="right" w:leader="dot" w:pos="9062"/>
            </w:tabs>
            <w:rPr>
              <w:rFonts w:eastAsiaTheme="minorEastAsia"/>
              <w:noProof/>
              <w:lang w:eastAsia="nl-NL"/>
            </w:rPr>
          </w:pPr>
          <w:hyperlink w:anchor="_Toc391468013" w:history="1">
            <w:r w:rsidR="005612B6" w:rsidRPr="003D514A">
              <w:rPr>
                <w:rStyle w:val="Hyperlink"/>
                <w:noProof/>
              </w:rPr>
              <w:t>Papers en rapporten</w:t>
            </w:r>
            <w:r w:rsidR="005612B6">
              <w:rPr>
                <w:noProof/>
                <w:webHidden/>
              </w:rPr>
              <w:tab/>
            </w:r>
            <w:r>
              <w:rPr>
                <w:noProof/>
                <w:webHidden/>
              </w:rPr>
              <w:fldChar w:fldCharType="begin"/>
            </w:r>
            <w:r w:rsidR="005612B6">
              <w:rPr>
                <w:noProof/>
                <w:webHidden/>
              </w:rPr>
              <w:instrText xml:space="preserve"> PAGEREF _Toc391468013 \h </w:instrText>
            </w:r>
            <w:r>
              <w:rPr>
                <w:noProof/>
                <w:webHidden/>
              </w:rPr>
            </w:r>
            <w:r>
              <w:rPr>
                <w:noProof/>
                <w:webHidden/>
              </w:rPr>
              <w:fldChar w:fldCharType="separate"/>
            </w:r>
            <w:r w:rsidR="005612B6">
              <w:rPr>
                <w:noProof/>
                <w:webHidden/>
              </w:rPr>
              <w:t>27</w:t>
            </w:r>
            <w:r>
              <w:rPr>
                <w:noProof/>
                <w:webHidden/>
              </w:rPr>
              <w:fldChar w:fldCharType="end"/>
            </w:r>
          </w:hyperlink>
        </w:p>
        <w:p w:rsidR="005612B6" w:rsidRDefault="006530F6">
          <w:pPr>
            <w:pStyle w:val="TOC2"/>
            <w:tabs>
              <w:tab w:val="right" w:leader="dot" w:pos="9062"/>
            </w:tabs>
            <w:rPr>
              <w:rFonts w:eastAsiaTheme="minorEastAsia"/>
              <w:noProof/>
              <w:lang w:eastAsia="nl-NL"/>
            </w:rPr>
          </w:pPr>
          <w:hyperlink w:anchor="_Toc391468014" w:history="1">
            <w:r w:rsidR="005612B6" w:rsidRPr="003D514A">
              <w:rPr>
                <w:rStyle w:val="Hyperlink"/>
                <w:noProof/>
              </w:rPr>
              <w:t>(Kranten)artikelen</w:t>
            </w:r>
            <w:r w:rsidR="005612B6">
              <w:rPr>
                <w:noProof/>
                <w:webHidden/>
              </w:rPr>
              <w:tab/>
            </w:r>
            <w:r>
              <w:rPr>
                <w:noProof/>
                <w:webHidden/>
              </w:rPr>
              <w:fldChar w:fldCharType="begin"/>
            </w:r>
            <w:r w:rsidR="005612B6">
              <w:rPr>
                <w:noProof/>
                <w:webHidden/>
              </w:rPr>
              <w:instrText xml:space="preserve"> PAGEREF _Toc391468014 \h </w:instrText>
            </w:r>
            <w:r>
              <w:rPr>
                <w:noProof/>
                <w:webHidden/>
              </w:rPr>
            </w:r>
            <w:r>
              <w:rPr>
                <w:noProof/>
                <w:webHidden/>
              </w:rPr>
              <w:fldChar w:fldCharType="separate"/>
            </w:r>
            <w:r w:rsidR="005612B6">
              <w:rPr>
                <w:noProof/>
                <w:webHidden/>
              </w:rPr>
              <w:t>28</w:t>
            </w:r>
            <w:r>
              <w:rPr>
                <w:noProof/>
                <w:webHidden/>
              </w:rPr>
              <w:fldChar w:fldCharType="end"/>
            </w:r>
          </w:hyperlink>
        </w:p>
        <w:p w:rsidR="005612B6" w:rsidRDefault="006530F6">
          <w:pPr>
            <w:pStyle w:val="TOC2"/>
            <w:tabs>
              <w:tab w:val="right" w:leader="dot" w:pos="9062"/>
            </w:tabs>
            <w:rPr>
              <w:rFonts w:eastAsiaTheme="minorEastAsia"/>
              <w:noProof/>
              <w:lang w:eastAsia="nl-NL"/>
            </w:rPr>
          </w:pPr>
          <w:hyperlink w:anchor="_Toc391468015" w:history="1">
            <w:r w:rsidR="005612B6" w:rsidRPr="003D514A">
              <w:rPr>
                <w:rStyle w:val="Hyperlink"/>
                <w:noProof/>
                <w:lang w:val="en-GB"/>
              </w:rPr>
              <w:t>Webpagina’s</w:t>
            </w:r>
            <w:r w:rsidR="005612B6">
              <w:rPr>
                <w:noProof/>
                <w:webHidden/>
              </w:rPr>
              <w:tab/>
            </w:r>
            <w:r>
              <w:rPr>
                <w:noProof/>
                <w:webHidden/>
              </w:rPr>
              <w:fldChar w:fldCharType="begin"/>
            </w:r>
            <w:r w:rsidR="005612B6">
              <w:rPr>
                <w:noProof/>
                <w:webHidden/>
              </w:rPr>
              <w:instrText xml:space="preserve"> PAGEREF _Toc391468015 \h </w:instrText>
            </w:r>
            <w:r>
              <w:rPr>
                <w:noProof/>
                <w:webHidden/>
              </w:rPr>
            </w:r>
            <w:r>
              <w:rPr>
                <w:noProof/>
                <w:webHidden/>
              </w:rPr>
              <w:fldChar w:fldCharType="separate"/>
            </w:r>
            <w:r w:rsidR="005612B6">
              <w:rPr>
                <w:noProof/>
                <w:webHidden/>
              </w:rPr>
              <w:t>28</w:t>
            </w:r>
            <w:r>
              <w:rPr>
                <w:noProof/>
                <w:webHidden/>
              </w:rPr>
              <w:fldChar w:fldCharType="end"/>
            </w:r>
          </w:hyperlink>
        </w:p>
        <w:p w:rsidR="005612B6" w:rsidRDefault="006530F6" w:rsidP="005612B6">
          <w:pPr>
            <w:pStyle w:val="TOC1"/>
            <w:rPr>
              <w:rFonts w:eastAsiaTheme="minorEastAsia"/>
              <w:lang w:eastAsia="nl-NL"/>
            </w:rPr>
          </w:pPr>
          <w:hyperlink w:anchor="_Toc391468016" w:history="1">
            <w:r w:rsidR="005612B6" w:rsidRPr="003D514A">
              <w:rPr>
                <w:rStyle w:val="Hyperlink"/>
              </w:rPr>
              <w:t>Appendices</w:t>
            </w:r>
            <w:r w:rsidR="005612B6">
              <w:rPr>
                <w:webHidden/>
              </w:rPr>
              <w:tab/>
            </w:r>
            <w:r>
              <w:rPr>
                <w:webHidden/>
              </w:rPr>
              <w:fldChar w:fldCharType="begin"/>
            </w:r>
            <w:r w:rsidR="005612B6">
              <w:rPr>
                <w:webHidden/>
              </w:rPr>
              <w:instrText xml:space="preserve"> PAGEREF _Toc391468016 \h </w:instrText>
            </w:r>
            <w:r>
              <w:rPr>
                <w:webHidden/>
              </w:rPr>
            </w:r>
            <w:r>
              <w:rPr>
                <w:webHidden/>
              </w:rPr>
              <w:fldChar w:fldCharType="separate"/>
            </w:r>
            <w:r w:rsidR="005612B6">
              <w:rPr>
                <w:webHidden/>
              </w:rPr>
              <w:t>29</w:t>
            </w:r>
            <w:r>
              <w:rPr>
                <w:webHidden/>
              </w:rPr>
              <w:fldChar w:fldCharType="end"/>
            </w:r>
          </w:hyperlink>
        </w:p>
        <w:p w:rsidR="005612B6" w:rsidRDefault="006530F6">
          <w:pPr>
            <w:pStyle w:val="TOC2"/>
            <w:tabs>
              <w:tab w:val="right" w:leader="dot" w:pos="9062"/>
            </w:tabs>
            <w:rPr>
              <w:rFonts w:eastAsiaTheme="minorEastAsia"/>
              <w:noProof/>
              <w:lang w:eastAsia="nl-NL"/>
            </w:rPr>
          </w:pPr>
          <w:hyperlink w:anchor="_Toc391468017" w:history="1">
            <w:r w:rsidR="005612B6" w:rsidRPr="003D514A">
              <w:rPr>
                <w:rStyle w:val="Hyperlink"/>
                <w:noProof/>
              </w:rPr>
              <w:t>Appendix A: Overslag per goederensoort 2013</w:t>
            </w:r>
            <w:r w:rsidR="005612B6">
              <w:rPr>
                <w:noProof/>
                <w:webHidden/>
              </w:rPr>
              <w:tab/>
            </w:r>
            <w:r>
              <w:rPr>
                <w:noProof/>
                <w:webHidden/>
              </w:rPr>
              <w:fldChar w:fldCharType="begin"/>
            </w:r>
            <w:r w:rsidR="005612B6">
              <w:rPr>
                <w:noProof/>
                <w:webHidden/>
              </w:rPr>
              <w:instrText xml:space="preserve"> PAGEREF _Toc391468017 \h </w:instrText>
            </w:r>
            <w:r>
              <w:rPr>
                <w:noProof/>
                <w:webHidden/>
              </w:rPr>
            </w:r>
            <w:r>
              <w:rPr>
                <w:noProof/>
                <w:webHidden/>
              </w:rPr>
              <w:fldChar w:fldCharType="separate"/>
            </w:r>
            <w:r w:rsidR="005612B6">
              <w:rPr>
                <w:noProof/>
                <w:webHidden/>
              </w:rPr>
              <w:t>29</w:t>
            </w:r>
            <w:r>
              <w:rPr>
                <w:noProof/>
                <w:webHidden/>
              </w:rPr>
              <w:fldChar w:fldCharType="end"/>
            </w:r>
          </w:hyperlink>
        </w:p>
        <w:p w:rsidR="005612B6" w:rsidRDefault="006530F6">
          <w:pPr>
            <w:pStyle w:val="TOC2"/>
            <w:tabs>
              <w:tab w:val="right" w:leader="dot" w:pos="9062"/>
            </w:tabs>
            <w:rPr>
              <w:rFonts w:eastAsiaTheme="minorEastAsia"/>
              <w:noProof/>
              <w:lang w:eastAsia="nl-NL"/>
            </w:rPr>
          </w:pPr>
          <w:hyperlink w:anchor="_Toc391468018" w:history="1">
            <w:r w:rsidR="005612B6" w:rsidRPr="003D514A">
              <w:rPr>
                <w:rStyle w:val="Hyperlink"/>
                <w:noProof/>
              </w:rPr>
              <w:t>Appendix B: Product Portfolio Analyses level 2</w:t>
            </w:r>
            <w:r w:rsidR="005612B6">
              <w:rPr>
                <w:noProof/>
                <w:webHidden/>
              </w:rPr>
              <w:tab/>
            </w:r>
            <w:r>
              <w:rPr>
                <w:noProof/>
                <w:webHidden/>
              </w:rPr>
              <w:fldChar w:fldCharType="begin"/>
            </w:r>
            <w:r w:rsidR="005612B6">
              <w:rPr>
                <w:noProof/>
                <w:webHidden/>
              </w:rPr>
              <w:instrText xml:space="preserve"> PAGEREF _Toc391468018 \h </w:instrText>
            </w:r>
            <w:r>
              <w:rPr>
                <w:noProof/>
                <w:webHidden/>
              </w:rPr>
            </w:r>
            <w:r>
              <w:rPr>
                <w:noProof/>
                <w:webHidden/>
              </w:rPr>
              <w:fldChar w:fldCharType="separate"/>
            </w:r>
            <w:r w:rsidR="005612B6">
              <w:rPr>
                <w:noProof/>
                <w:webHidden/>
              </w:rPr>
              <w:t>30</w:t>
            </w:r>
            <w:r>
              <w:rPr>
                <w:noProof/>
                <w:webHidden/>
              </w:rPr>
              <w:fldChar w:fldCharType="end"/>
            </w:r>
          </w:hyperlink>
        </w:p>
        <w:p w:rsidR="005612B6" w:rsidRDefault="006530F6">
          <w:pPr>
            <w:pStyle w:val="TOC2"/>
            <w:tabs>
              <w:tab w:val="right" w:leader="dot" w:pos="9062"/>
            </w:tabs>
            <w:rPr>
              <w:rFonts w:eastAsiaTheme="minorEastAsia"/>
              <w:noProof/>
              <w:lang w:eastAsia="nl-NL"/>
            </w:rPr>
          </w:pPr>
          <w:hyperlink w:anchor="_Toc391468019" w:history="1">
            <w:r w:rsidR="005612B6" w:rsidRPr="003D514A">
              <w:rPr>
                <w:rStyle w:val="Hyperlink"/>
                <w:noProof/>
              </w:rPr>
              <w:t>Appendix C: Product Portfolio Analyses level 3</w:t>
            </w:r>
            <w:r w:rsidR="005612B6">
              <w:rPr>
                <w:noProof/>
                <w:webHidden/>
              </w:rPr>
              <w:tab/>
            </w:r>
            <w:r>
              <w:rPr>
                <w:noProof/>
                <w:webHidden/>
              </w:rPr>
              <w:fldChar w:fldCharType="begin"/>
            </w:r>
            <w:r w:rsidR="005612B6">
              <w:rPr>
                <w:noProof/>
                <w:webHidden/>
              </w:rPr>
              <w:instrText xml:space="preserve"> PAGEREF _Toc391468019 \h </w:instrText>
            </w:r>
            <w:r>
              <w:rPr>
                <w:noProof/>
                <w:webHidden/>
              </w:rPr>
            </w:r>
            <w:r>
              <w:rPr>
                <w:noProof/>
                <w:webHidden/>
              </w:rPr>
              <w:fldChar w:fldCharType="separate"/>
            </w:r>
            <w:r w:rsidR="005612B6">
              <w:rPr>
                <w:noProof/>
                <w:webHidden/>
              </w:rPr>
              <w:t>32</w:t>
            </w:r>
            <w:r>
              <w:rPr>
                <w:noProof/>
                <w:webHidden/>
              </w:rPr>
              <w:fldChar w:fldCharType="end"/>
            </w:r>
          </w:hyperlink>
        </w:p>
        <w:p w:rsidR="00074B0F" w:rsidRDefault="006530F6">
          <w:r w:rsidRPr="002C117A">
            <w:rPr>
              <w:b/>
              <w:bCs/>
            </w:rPr>
            <w:fldChar w:fldCharType="end"/>
          </w:r>
        </w:p>
      </w:sdtContent>
    </w:sdt>
    <w:p w:rsidR="00103B47" w:rsidRDefault="00103B47" w:rsidP="000663D0">
      <w:pPr>
        <w:pStyle w:val="Heading1"/>
        <w:rPr>
          <w:color w:val="595959" w:themeColor="text1" w:themeTint="A6"/>
        </w:rPr>
        <w:sectPr w:rsidR="00103B47" w:rsidSect="00B52148">
          <w:pgSz w:w="11906" w:h="16838"/>
          <w:pgMar w:top="1417" w:right="1417" w:bottom="1417" w:left="1417" w:header="708" w:footer="708" w:gutter="0"/>
          <w:pgNumType w:fmt="upperRoman" w:start="0"/>
          <w:cols w:space="708"/>
          <w:titlePg/>
          <w:docGrid w:linePitch="360"/>
        </w:sectPr>
      </w:pPr>
    </w:p>
    <w:p w:rsidR="000663D0" w:rsidRPr="00AC0F60" w:rsidRDefault="000663D0" w:rsidP="001C4C9C">
      <w:pPr>
        <w:pStyle w:val="Heading1"/>
        <w:numPr>
          <w:ilvl w:val="0"/>
          <w:numId w:val="8"/>
        </w:numPr>
        <w:ind w:left="431" w:hanging="431"/>
        <w:rPr>
          <w:color w:val="595959" w:themeColor="text1" w:themeTint="A6"/>
        </w:rPr>
      </w:pPr>
      <w:bookmarkStart w:id="1" w:name="_Toc391467981"/>
      <w:r w:rsidRPr="00AC0F60">
        <w:rPr>
          <w:color w:val="595959" w:themeColor="text1" w:themeTint="A6"/>
        </w:rPr>
        <w:lastRenderedPageBreak/>
        <w:t>Introductie</w:t>
      </w:r>
      <w:bookmarkEnd w:id="1"/>
    </w:p>
    <w:p w:rsidR="000663D0" w:rsidRDefault="000663D0" w:rsidP="000663D0">
      <w:pPr>
        <w:pStyle w:val="NoSpacing"/>
        <w:spacing w:before="100" w:line="360" w:lineRule="auto"/>
        <w:jc w:val="both"/>
      </w:pPr>
      <w:r w:rsidRPr="005F7B76">
        <w:t xml:space="preserve">Zeeland zit al enige jaren met een groot probleem. De afgelopen decennia heeft </w:t>
      </w:r>
      <w:r w:rsidR="0003064D">
        <w:t>de dienstensector aan terrein gewonnen, wat ten koste gaat van de agrarische sector. De vele agrariërs die Zeeland ooit bezetten, hebben net als in vele andere gebieden de weg gevonden naar de stad.</w:t>
      </w:r>
      <w:r w:rsidRPr="005F7B76">
        <w:t xml:space="preserve"> Voor Zeeland bet</w:t>
      </w:r>
      <w:r w:rsidR="009A0A31">
        <w:t>ekent dit dat de provincie leeg</w:t>
      </w:r>
      <w:r w:rsidRPr="005F7B76">
        <w:t>loopt</w:t>
      </w:r>
      <w:r>
        <w:rPr>
          <w:rStyle w:val="FootnoteReference"/>
        </w:rPr>
        <w:footnoteReference w:id="1"/>
      </w:r>
      <w:r w:rsidRPr="005F7B76">
        <w:t xml:space="preserve">; </w:t>
      </w:r>
      <w:r w:rsidR="00A404E2">
        <w:t>arbeiders</w:t>
      </w:r>
      <w:r w:rsidRPr="005F7B76">
        <w:t xml:space="preserve"> verhuizen naar de grote steden in de Randstad, zoals Rotterdam, waar veel werkgelegenheid in de industrie-</w:t>
      </w:r>
      <w:r>
        <w:t xml:space="preserve"> en dienstensector te vinden is</w:t>
      </w:r>
      <w:r w:rsidR="00A404E2">
        <w:t xml:space="preserve"> en de gepensioneerden blijven achter. </w:t>
      </w:r>
      <w:proofErr w:type="gramStart"/>
      <w:r w:rsidR="00A404E2">
        <w:t>Deze ontwikkeling</w:t>
      </w:r>
      <w:proofErr w:type="gramEnd"/>
      <w:r w:rsidRPr="005F7B76">
        <w:t xml:space="preserve"> gaat gepaard met een afnemende economische </w:t>
      </w:r>
      <w:r w:rsidR="00A404E2">
        <w:t>groei</w:t>
      </w:r>
      <w:r w:rsidRPr="005F7B76">
        <w:t xml:space="preserve"> in Zeeland, waardoor Zeeland voor het blok wordt gezet: hoe kan dit worden tegengegaan?</w:t>
      </w:r>
    </w:p>
    <w:p w:rsidR="000663D0" w:rsidRDefault="000663D0" w:rsidP="00AC0F60">
      <w:pPr>
        <w:pStyle w:val="NoSpacing"/>
        <w:spacing w:line="360" w:lineRule="auto"/>
        <w:jc w:val="both"/>
      </w:pPr>
    </w:p>
    <w:p w:rsidR="000663D0" w:rsidRDefault="000663D0" w:rsidP="00AC0F60">
      <w:pPr>
        <w:pStyle w:val="NoSpacing"/>
        <w:spacing w:line="360" w:lineRule="auto"/>
        <w:jc w:val="both"/>
      </w:pPr>
      <w:r w:rsidRPr="005F7B76">
        <w:t xml:space="preserve">Een tweetal belangrijke spelers in de Zeeuwse economie zijn de havens van Vlissingen en Terneuzen die sinds 1998 samenwerken onder de naam Zeeland Seaports. </w:t>
      </w:r>
      <w:r w:rsidR="00CD5745">
        <w:t xml:space="preserve">De havens van Zeeland Seaports zorgden in </w:t>
      </w:r>
      <w:r w:rsidR="00D05FAF">
        <w:t>2013</w:t>
      </w:r>
      <w:r w:rsidR="00CD5745">
        <w:t xml:space="preserve"> voor een overslagvolume van 33 miljoen ton. Hiermee waren zijn de derde haven van Nederland na Rotterdam en Amsterdam. Voor het kleine Zeeland leveren de havens dus ook een relatief </w:t>
      </w:r>
      <w:r w:rsidRPr="005F7B76">
        <w:t>hoge werkgelegenheid, zowel direct als indirect. De haven</w:t>
      </w:r>
      <w:r w:rsidR="00CD5745">
        <w:t>s</w:t>
      </w:r>
      <w:r w:rsidRPr="005F7B76">
        <w:t xml:space="preserve"> </w:t>
      </w:r>
      <w:r w:rsidR="00CD5745">
        <w:t>zijn</w:t>
      </w:r>
      <w:r w:rsidRPr="005F7B76">
        <w:t xml:space="preserve"> dan ook belangrijke speler</w:t>
      </w:r>
      <w:r w:rsidR="00CD5745">
        <w:t>s</w:t>
      </w:r>
      <w:r w:rsidRPr="005F7B76">
        <w:t xml:space="preserve"> om de leegloop en daarmee gepaarde economische neergang in Zeeland af te remmen.</w:t>
      </w:r>
    </w:p>
    <w:p w:rsidR="00AC0F60" w:rsidRDefault="00AC0F60" w:rsidP="00AC0F60">
      <w:pPr>
        <w:pStyle w:val="NoSpacing"/>
        <w:spacing w:line="360" w:lineRule="auto"/>
        <w:jc w:val="both"/>
      </w:pPr>
    </w:p>
    <w:p w:rsidR="000663D0" w:rsidRPr="00F27F19" w:rsidRDefault="00AC0F60" w:rsidP="00AC0F60">
      <w:pPr>
        <w:pStyle w:val="NoSpacing"/>
        <w:spacing w:line="360" w:lineRule="auto"/>
        <w:jc w:val="both"/>
      </w:pPr>
      <w:r>
        <w:t xml:space="preserve">Binnen de Zeeuwse havens zijn een aantal grote bedrijven belangrijk voor de activiteiten die plaatsvinden binnen Zeeland. Onder andere Damen Shiprepair, onderhoud van schepen en offshore constructies; Dow Benelux, producent van kunststoffen en chemicaliën; Kloosterboer, </w:t>
      </w:r>
      <w:r w:rsidR="004C3727">
        <w:t xml:space="preserve">transport voor gekoeld voedsel; Verbrugge, specialist in opslag met vele terminals; Vroon, vooraanstaand bedrijf in de offshore-industrie, </w:t>
      </w:r>
      <w:r>
        <w:t>zorgen voor een groot belang van de Zeeuwse havens in de economie.</w:t>
      </w:r>
    </w:p>
    <w:p w:rsidR="000663D0" w:rsidRPr="00F27F19" w:rsidRDefault="000663D0" w:rsidP="000663D0">
      <w:pPr>
        <w:pStyle w:val="Heading2"/>
        <w:rPr>
          <w:color w:val="auto"/>
        </w:rPr>
      </w:pPr>
      <w:bookmarkStart w:id="2" w:name="_Toc391467982"/>
      <w:r w:rsidRPr="00F27F19">
        <w:rPr>
          <w:color w:val="auto"/>
        </w:rPr>
        <w:t>Doel van het onderzoek</w:t>
      </w:r>
      <w:bookmarkEnd w:id="2"/>
    </w:p>
    <w:p w:rsidR="000663D0" w:rsidRPr="00F37F80" w:rsidRDefault="000663D0" w:rsidP="000663D0">
      <w:pPr>
        <w:pStyle w:val="NoSpacing"/>
        <w:spacing w:before="100" w:line="360" w:lineRule="auto"/>
        <w:jc w:val="both"/>
        <w:rPr>
          <w:i/>
        </w:rPr>
      </w:pPr>
      <w:r>
        <w:t xml:space="preserve">Het doel van het onderzoek is dan ook om te bepalen welke strategische positie de Zeeuwse havens in moeten nemen en daarmee op welke producten ze zich moeten focussen. </w:t>
      </w:r>
    </w:p>
    <w:p w:rsidR="000663D0" w:rsidRDefault="000663D0" w:rsidP="000663D0">
      <w:pPr>
        <w:pStyle w:val="NoSpacing"/>
        <w:spacing w:line="360" w:lineRule="auto"/>
        <w:jc w:val="both"/>
      </w:pPr>
    </w:p>
    <w:p w:rsidR="000663D0" w:rsidRPr="00F27F19" w:rsidRDefault="000663D0" w:rsidP="001C4C9C">
      <w:pPr>
        <w:pStyle w:val="NoSpacing"/>
        <w:spacing w:line="360" w:lineRule="auto"/>
        <w:jc w:val="both"/>
      </w:pPr>
      <w:r>
        <w:t xml:space="preserve">Hierbij is het van belang naar een drietal verschillende aspecten te kijken. De eerste deelvraag is daarom: </w:t>
      </w:r>
      <w:r w:rsidRPr="00F37F80">
        <w:rPr>
          <w:i/>
        </w:rPr>
        <w:t>wat is de rol van de Zeeuwse havens in de Zeeuwse economie?</w:t>
      </w:r>
      <w:r>
        <w:t xml:space="preserve"> Deze vraag is van belang om te kijken hoe veel invloed de Zeeuwse havens hebben op de Zeeuwse economie door hun beleid of strategie aan te passen. De tweede deelvraag is: </w:t>
      </w:r>
      <w:r w:rsidRPr="00F37F80">
        <w:rPr>
          <w:i/>
        </w:rPr>
        <w:t>hoe sterk is de concurrentiepositie van de Zeeuwse havens ten opzichte van omliggende concurrenten?</w:t>
      </w:r>
      <w:r>
        <w:t xml:space="preserve"> Zoals eerder gezegd liggen de Zeeuwse havens in de schaduw van de grotere havens als Rotterdam en Antwerpen, de vraag is dus waar de haven haar </w:t>
      </w:r>
      <w:r>
        <w:lastRenderedPageBreak/>
        <w:t xml:space="preserve">sterke concurrentiepositie vandaan haalt en of deze sterk genoeg is om te overleven. Tot slot: </w:t>
      </w:r>
      <w:r>
        <w:rPr>
          <w:i/>
        </w:rPr>
        <w:t>op welke activiteiten moeten de Zeeuwse havens zich in de toekomst richten om zich te onderscheiden van hun omliggende concurrenten?</w:t>
      </w:r>
      <w:r>
        <w:t xml:space="preserve"> Na deze drie deelvragen beantwoord te hebben, kan er een conclusie worden getrokken over de manier op welke manier de Zeeuwse havens hun positie kunnen behouden en mogelijkerwijs kunnen versterken.</w:t>
      </w:r>
    </w:p>
    <w:p w:rsidR="000663D0" w:rsidRPr="00F27F19" w:rsidRDefault="000663D0" w:rsidP="001C4C9C">
      <w:pPr>
        <w:pStyle w:val="Heading2"/>
        <w:ind w:left="578" w:hanging="578"/>
        <w:rPr>
          <w:color w:val="auto"/>
        </w:rPr>
      </w:pPr>
      <w:bookmarkStart w:id="3" w:name="_Toc391467983"/>
      <w:r w:rsidRPr="00F27F19">
        <w:rPr>
          <w:color w:val="auto"/>
        </w:rPr>
        <w:t>Onderzoeksaanpak</w:t>
      </w:r>
      <w:r>
        <w:rPr>
          <w:color w:val="auto"/>
        </w:rPr>
        <w:t xml:space="preserve"> en structuur</w:t>
      </w:r>
      <w:bookmarkEnd w:id="3"/>
    </w:p>
    <w:p w:rsidR="000663D0" w:rsidRDefault="000663D0" w:rsidP="000663D0">
      <w:pPr>
        <w:pStyle w:val="NoSpacing"/>
        <w:spacing w:before="100" w:line="360" w:lineRule="auto"/>
        <w:jc w:val="both"/>
      </w:pPr>
      <w:r>
        <w:t xml:space="preserve">Om dit onderzoek te voltrekken zullen verschillende fasen worden doorlopen met daarbij verschillende onderzoeksmethoden. Elk hoofdstuk bevat de uitwerking van een deelvraag en begint met het theoretisch kader dat relevant is voor het onderzoek en vervolgens de toepassing van dit theoretisch kader op de casus van de Zeeuwse havens. </w:t>
      </w:r>
    </w:p>
    <w:p w:rsidR="000663D0" w:rsidRDefault="000663D0" w:rsidP="000663D0">
      <w:pPr>
        <w:pStyle w:val="NoSpacing"/>
        <w:spacing w:line="360" w:lineRule="auto"/>
        <w:jc w:val="both"/>
      </w:pPr>
    </w:p>
    <w:p w:rsidR="000663D0" w:rsidRDefault="000663D0" w:rsidP="000663D0">
      <w:pPr>
        <w:pStyle w:val="NoSpacing"/>
        <w:spacing w:line="360" w:lineRule="auto"/>
        <w:jc w:val="both"/>
      </w:pPr>
      <w:r>
        <w:t xml:space="preserve">In hoofdstuk 2 wordt voor de eerste deelvraag gekeken naar de directe en indirecte effecten op de Zeeuwse economie, door de cijfers van werkgelegenheid en toegevoegde waarde die voortvloeit uit de haven te analyseren. Er wordt dus veel gebruik gemaakt van bestaande data van onder andere het Centraal Bureau voor Statistiek (CBS), de Provincie Zeeland en de Erasmus Universiteit. </w:t>
      </w:r>
    </w:p>
    <w:p w:rsidR="000663D0" w:rsidRDefault="000663D0" w:rsidP="000663D0">
      <w:pPr>
        <w:pStyle w:val="NoSpacing"/>
        <w:spacing w:line="360" w:lineRule="auto"/>
        <w:jc w:val="both"/>
      </w:pPr>
    </w:p>
    <w:p w:rsidR="000663D0" w:rsidRDefault="000663D0" w:rsidP="000663D0">
      <w:pPr>
        <w:pStyle w:val="NoSpacing"/>
        <w:spacing w:line="360" w:lineRule="auto"/>
        <w:jc w:val="both"/>
      </w:pPr>
      <w:r>
        <w:t xml:space="preserve">De tweede deelvraag (hoofdstuk 3) snijdt de concurrentiepositie aan, waar gebruik wordt gemaakt van in literatuur beschreven technieken, zoals de Product Portfolio Analysis en de Shift-Share Analysis. Hieruit zal blijken dat de Zeeuwse havens zich op andere producten/activiteiten moeten focussen dan de belangrijkste, omliggende concurrenten. </w:t>
      </w:r>
    </w:p>
    <w:p w:rsidR="000663D0" w:rsidRDefault="000663D0" w:rsidP="000663D0">
      <w:pPr>
        <w:pStyle w:val="NoSpacing"/>
        <w:spacing w:line="360" w:lineRule="auto"/>
        <w:jc w:val="both"/>
      </w:pPr>
    </w:p>
    <w:p w:rsidR="000663D0" w:rsidRDefault="000663D0" w:rsidP="000663D0">
      <w:pPr>
        <w:pStyle w:val="NoSpacing"/>
        <w:spacing w:line="360" w:lineRule="auto"/>
        <w:jc w:val="both"/>
      </w:pPr>
      <w:proofErr w:type="gramStart"/>
      <w:r>
        <w:t>Tenslotte</w:t>
      </w:r>
      <w:proofErr w:type="gramEnd"/>
      <w:r>
        <w:t xml:space="preserve"> wordt, in hoofdstuk 4, aan de hand van de tweede deelvraag onderzocht op welke activiteiten de Zeeuwse havens zich het beste kunnen richten en op welke manier dit op dit moment terug te zien is. In een interview wordt gevraagd hoe de Zeeuwse havens zich in de toekomst zullen onderscheiden en vooral waarom dit de strategie is. Er wordt hier gebruik gemaakt van de visies van de Provincie Zeeland en het havenbedrijf, waarbij deze worden vergeleken met de in hoofdstuk 3 gevonden resultaten. </w:t>
      </w:r>
      <w:r w:rsidR="00571D30">
        <w:t>Tevens wordt er gekeken naar de huidige trends en de manier waarop de Zeeuwse havens kunnen inspelen op deze ontwikkelingen.</w:t>
      </w:r>
    </w:p>
    <w:p w:rsidR="000663D0" w:rsidRDefault="000663D0" w:rsidP="000663D0">
      <w:pPr>
        <w:pStyle w:val="NoSpacing"/>
        <w:spacing w:line="360" w:lineRule="auto"/>
        <w:jc w:val="both"/>
      </w:pPr>
    </w:p>
    <w:p w:rsidR="000663D0" w:rsidRPr="00F27F19" w:rsidRDefault="000663D0" w:rsidP="000663D0">
      <w:pPr>
        <w:pStyle w:val="NoSpacing"/>
        <w:spacing w:line="360" w:lineRule="auto"/>
        <w:jc w:val="both"/>
      </w:pPr>
      <w:r>
        <w:t xml:space="preserve">Het afsluitende hoofdstuk vormt de conclusie met daarin een antwoord op de deelvragen. Tevens worden aanbevelingen gedaan die de basis zouden kunnen vormen voor een nieuw strategisch masterplan. </w:t>
      </w:r>
    </w:p>
    <w:p w:rsidR="000663D0" w:rsidRDefault="000663D0">
      <w:pPr>
        <w:rPr>
          <w:rFonts w:asciiTheme="majorHAnsi" w:eastAsiaTheme="majorEastAsia" w:hAnsiTheme="majorHAnsi" w:cstheme="majorBidi"/>
          <w:b/>
          <w:bCs/>
          <w:color w:val="595959" w:themeColor="text1" w:themeTint="A6"/>
          <w:sz w:val="28"/>
          <w:szCs w:val="28"/>
        </w:rPr>
      </w:pPr>
      <w:r>
        <w:rPr>
          <w:color w:val="595959" w:themeColor="text1" w:themeTint="A6"/>
        </w:rPr>
        <w:br w:type="page"/>
      </w:r>
    </w:p>
    <w:p w:rsidR="007F7BE6" w:rsidRPr="001C4C9C" w:rsidRDefault="007F7BE6" w:rsidP="005D6817">
      <w:pPr>
        <w:pStyle w:val="Heading1"/>
        <w:rPr>
          <w:color w:val="595959" w:themeColor="text1" w:themeTint="A6"/>
        </w:rPr>
      </w:pPr>
      <w:bookmarkStart w:id="4" w:name="_Toc391467984"/>
      <w:r w:rsidRPr="001C4C9C">
        <w:rPr>
          <w:color w:val="595959" w:themeColor="text1" w:themeTint="A6"/>
        </w:rPr>
        <w:lastRenderedPageBreak/>
        <w:t>Rol van de Zeeuwse havens in de regionale economie</w:t>
      </w:r>
      <w:bookmarkEnd w:id="4"/>
    </w:p>
    <w:p w:rsidR="007F7BE6" w:rsidRPr="00BE2364" w:rsidRDefault="007F7BE6" w:rsidP="007F7BE6">
      <w:pPr>
        <w:pStyle w:val="Heading2"/>
        <w:rPr>
          <w:color w:val="auto"/>
        </w:rPr>
      </w:pPr>
      <w:bookmarkStart w:id="5" w:name="_Toc391467985"/>
      <w:r w:rsidRPr="00BE2364">
        <w:rPr>
          <w:color w:val="auto"/>
        </w:rPr>
        <w:t>Introductie</w:t>
      </w:r>
      <w:bookmarkEnd w:id="5"/>
    </w:p>
    <w:p w:rsidR="007F7BE6" w:rsidRDefault="007F7BE6" w:rsidP="007F7BE6">
      <w:pPr>
        <w:pStyle w:val="NoSpacing"/>
        <w:spacing w:before="100" w:line="360" w:lineRule="auto"/>
        <w:jc w:val="both"/>
      </w:pPr>
      <w:r>
        <w:t xml:space="preserve">De provincie Zeeland wordt vaak gezien als een uithoek van Nederland. Ze staat vooral bekend om de vele toeristische attracties die te maken hebben met het water, bijvoorbeeld de Deltawerken en de watersport in en rond Domburg. Deze activiteiten trekken vele toeristen, vooral Duitse, die in grote getalen hun vakantie in het prachtige en rustige Zeeland komen doorbrengen. </w:t>
      </w:r>
    </w:p>
    <w:p w:rsidR="007F7BE6" w:rsidRDefault="007F7BE6" w:rsidP="007F7BE6">
      <w:pPr>
        <w:pStyle w:val="NoSpacing"/>
        <w:spacing w:line="360" w:lineRule="auto"/>
        <w:jc w:val="both"/>
      </w:pPr>
    </w:p>
    <w:p w:rsidR="007F7BE6" w:rsidRDefault="007F7BE6" w:rsidP="007F7BE6">
      <w:pPr>
        <w:pStyle w:val="NoSpacing"/>
        <w:spacing w:line="360" w:lineRule="auto"/>
        <w:jc w:val="both"/>
      </w:pPr>
      <w:r>
        <w:t xml:space="preserve">Dit vredelievende beeld is wat ook veel Nederlanders hebben van Zeeland, maar schijn bedriegt. </w:t>
      </w:r>
      <w:r w:rsidR="002B6AE2">
        <w:t>Sinds de jaren 60 van de vorige eeuw is het beeld van de economie in Zeeland veranderd. Waar vroeger de landbouwsector de grootste bijdrage leverde aan de economische groei van de regio, is dat veranderd door de aanleg van het haven- en industriegebied in Vlissingen-Oost. Dit luidde het begin in van een nieuw tijdperk</w:t>
      </w:r>
      <w:r w:rsidR="00E16E8C">
        <w:rPr>
          <w:rStyle w:val="FootnoteReference"/>
        </w:rPr>
        <w:footnoteReference w:id="2"/>
      </w:r>
      <w:r w:rsidR="002B6AE2">
        <w:t>.</w:t>
      </w:r>
      <w:r>
        <w:t xml:space="preserve"> </w:t>
      </w:r>
      <w:r w:rsidR="002B6AE2">
        <w:t xml:space="preserve">De aanleg van dit industriegebied samen met die in Terneuzen leidden tot de totstandkoming van </w:t>
      </w:r>
      <w:r>
        <w:t xml:space="preserve">de havens van Terneuzen en Vlissingen. Deze twee havens hebben, zoals eerder gezegd, een samenwerkingsverband in de vorm van Zeeland Seaports. Van belang is om te kijken wat voor effect een verandering van strategie of beleid van de Zeeuwse havens heeft op de Zeeuwse economie. Daarom zal in dit hoofdstuk de invloed van de Zeeuwse havens op de regio (provincie Zeeland) worden onderzocht. Met de invloed wordt bedoeld in hoeverre de Zeeuwse havens een impact hebben op bijvoorbeeld de werkgelegenheid en het inkomen </w:t>
      </w:r>
      <w:r w:rsidR="003275CA">
        <w:t xml:space="preserve">dat direct en indirect voortkomt uit de activiteiten van de haven </w:t>
      </w:r>
      <w:r>
        <w:t xml:space="preserve">in de provincie Zeeland. De deelvraag die in dit hoofdstuk wordt behandeld is daarom: </w:t>
      </w:r>
      <w:r>
        <w:rPr>
          <w:i/>
        </w:rPr>
        <w:t>wat is de rol van de Zeeuwse havens in de Zeeuwse economie?</w:t>
      </w:r>
      <w:r>
        <w:t xml:space="preserve"> In de eerste paragraaf zal daarbij stil worden gestaan bij het theoretische kader, waaronder literatuuronderzoek naar de verschillende indicatoren die gebruikt worden om de invloed van havens op de regionale economie te kunnen bepalen. In de daarop volgende paragraaf wordt dit theoretisch kader toegepast op de casus van de Zeeuwse </w:t>
      </w:r>
      <w:r w:rsidR="00394FF3">
        <w:t xml:space="preserve">havens. </w:t>
      </w:r>
    </w:p>
    <w:p w:rsidR="007F7BE6" w:rsidRPr="00C17375" w:rsidRDefault="007F7BE6" w:rsidP="007F7BE6">
      <w:pPr>
        <w:pStyle w:val="Heading2"/>
        <w:rPr>
          <w:color w:val="auto"/>
        </w:rPr>
      </w:pPr>
      <w:bookmarkStart w:id="6" w:name="_Toc391467986"/>
      <w:r w:rsidRPr="00C17375">
        <w:rPr>
          <w:color w:val="auto"/>
        </w:rPr>
        <w:t>Theoretisch kader</w:t>
      </w:r>
      <w:bookmarkEnd w:id="6"/>
    </w:p>
    <w:p w:rsidR="007F7BE6" w:rsidRDefault="007F7BE6" w:rsidP="007F7BE6">
      <w:pPr>
        <w:pStyle w:val="NoSpacing"/>
        <w:spacing w:before="100" w:line="360" w:lineRule="auto"/>
        <w:jc w:val="both"/>
      </w:pPr>
      <w:r>
        <w:t>Voor het beantwoorden van de deelonderzoeksvraag is het van belang eerst duidelijk te schetsen welke begrippen en indicatoren hiervoor gebruikt gaan worden. De vraag kan worden opgedeeld in drie stukken: (1) de Zeeuwse havens, (2) de Zeeuwse economie en (3) de rol. Eerst wordt kort stilgestaan bij de definities van de havens in Zeeland en de regio. Hierna worden met behulp van wetenschappelijke literatuur de indicatoren voor de rol/invloed bepaald die helpen bij het behandelen van de casus over de provincie Zeeland.</w:t>
      </w:r>
    </w:p>
    <w:p w:rsidR="007F7BE6" w:rsidRPr="00834AEE" w:rsidRDefault="007F7BE6" w:rsidP="001C4C9C">
      <w:pPr>
        <w:pStyle w:val="Heading3"/>
        <w:rPr>
          <w:color w:val="auto"/>
        </w:rPr>
      </w:pPr>
      <w:bookmarkStart w:id="7" w:name="_Toc391467987"/>
      <w:r w:rsidRPr="00834AEE">
        <w:rPr>
          <w:color w:val="auto"/>
        </w:rPr>
        <w:lastRenderedPageBreak/>
        <w:t>Definities havens en economie in Zeeland</w:t>
      </w:r>
      <w:bookmarkEnd w:id="7"/>
    </w:p>
    <w:p w:rsidR="007F7BE6" w:rsidRDefault="007F7BE6" w:rsidP="007F7BE6">
      <w:pPr>
        <w:pStyle w:val="NoSpacing"/>
        <w:spacing w:before="100" w:line="360" w:lineRule="auto"/>
        <w:jc w:val="both"/>
      </w:pPr>
      <w:r>
        <w:t>Het eerste punt betreft de Zeeuwse havens, welke voor dit onderzoek gedefinieerd worden als de havens van Vlissingen-Oost (Vlissingen) en Terneuzen. Deze twee havens zijn vertegenwoordigd in een samenwerkingsverband dat bestaat sinds 1998. Beide havens functioneren onder één havenschap, genaamd Zeeland Seaports, dat verantwoordelijk is voor het beheer van beide havens</w:t>
      </w:r>
      <w:r>
        <w:rPr>
          <w:rStyle w:val="FootnoteReference"/>
        </w:rPr>
        <w:footnoteReference w:id="3"/>
      </w:r>
      <w:r>
        <w:t>.</w:t>
      </w:r>
    </w:p>
    <w:p w:rsidR="007F7BE6" w:rsidRDefault="007F7BE6" w:rsidP="007F7BE6">
      <w:pPr>
        <w:pStyle w:val="NoSpacing"/>
        <w:spacing w:line="360" w:lineRule="auto"/>
        <w:jc w:val="both"/>
      </w:pPr>
    </w:p>
    <w:p w:rsidR="007F7BE6" w:rsidRDefault="007F7BE6" w:rsidP="007F7BE6">
      <w:pPr>
        <w:pStyle w:val="NoSpacing"/>
        <w:spacing w:line="360" w:lineRule="auto"/>
        <w:jc w:val="both"/>
      </w:pPr>
      <w:r>
        <w:t xml:space="preserve">De definitie van de regionale economie die wordt gehanteerd betreft de economie van de provincie Zeeland en strekt zich dus niet verder uit naar omliggende regio’s, zoals Vlaanderen (België) en de provincie Noord-Brabant. Er wordt dus gekeken naar de data van economie en werkgelegenheid van de Provincie Zeeland </w:t>
      </w:r>
      <w:r w:rsidR="00260701">
        <w:t>en</w:t>
      </w:r>
      <w:r>
        <w:t xml:space="preserve"> naar data van andere instanties die specifiek op deze provincie van toepassing is.</w:t>
      </w:r>
    </w:p>
    <w:p w:rsidR="007F7BE6" w:rsidRDefault="007F7BE6" w:rsidP="007F7BE6">
      <w:pPr>
        <w:pStyle w:val="Heading3"/>
        <w:rPr>
          <w:color w:val="auto"/>
        </w:rPr>
      </w:pPr>
      <w:bookmarkStart w:id="8" w:name="_Toc391467988"/>
      <w:r w:rsidRPr="00834AEE">
        <w:rPr>
          <w:color w:val="auto"/>
        </w:rPr>
        <w:t>Literatuur over invloed haven op regionale economie</w:t>
      </w:r>
      <w:bookmarkEnd w:id="8"/>
    </w:p>
    <w:p w:rsidR="007F7BE6" w:rsidRDefault="007F7BE6" w:rsidP="007F7BE6">
      <w:pPr>
        <w:pStyle w:val="NoSpacing"/>
        <w:spacing w:before="100" w:line="360" w:lineRule="auto"/>
        <w:jc w:val="both"/>
      </w:pPr>
      <w:r>
        <w:t xml:space="preserve">Er is veel wetenschappelijk onderzoek gedaan naar de invloed van (zee)havens op de economische performance van de regio waarin de haven zich bevindt. Vele onderzoekers (hierover later meer) hebben theorieën opgesteld en toegepast op bepaalde havens, waardoor er nog steeds geen eenduidige methode bestaat voor het onderzoeken van de invloed. De U.S. </w:t>
      </w:r>
      <w:proofErr w:type="gramStart"/>
      <w:r>
        <w:t xml:space="preserve">Maritime Administration (MARAD) heeft echter richtlijnen opgesteld aan de hand van onderzoeken die voor specifieke havens in de Verenigde Staten zijn gedaan </w:t>
      </w:r>
      <w:sdt>
        <w:sdtPr>
          <w:id w:val="-939372305"/>
          <w:citation/>
        </w:sdtPr>
        <w:sdtContent>
          <w:r w:rsidR="006530F6">
            <w:fldChar w:fldCharType="begin"/>
          </w:r>
          <w:r>
            <w:instrText xml:space="preserve"> CITATION USM85 \l 1043 </w:instrText>
          </w:r>
          <w:r w:rsidR="006530F6">
            <w:fldChar w:fldCharType="separate"/>
          </w:r>
          <w:r w:rsidR="000145AA">
            <w:rPr>
              <w:noProof/>
            </w:rPr>
            <w:t xml:space="preserve">(U.S. </w:t>
          </w:r>
          <w:proofErr w:type="gramEnd"/>
          <w:r w:rsidR="000145AA">
            <w:rPr>
              <w:noProof/>
            </w:rPr>
            <w:t>Maritime Administration, 1985)</w:t>
          </w:r>
          <w:r w:rsidR="006530F6">
            <w:fldChar w:fldCharType="end"/>
          </w:r>
        </w:sdtContent>
      </w:sdt>
      <w:r>
        <w:t xml:space="preserve">. Deze richtlijnen zeggen dat de invloed van een haven op de regionale economie kan worden gemeten door te kijken naar de werkgelegenheid, het inkomen en de belastingopbrengsten die voortkomen uit de activiteiten die plaatsvinden in de haven over een bepaalde periode. </w:t>
      </w:r>
    </w:p>
    <w:p w:rsidR="007F7BE6" w:rsidRDefault="007F7BE6" w:rsidP="001C4C9C">
      <w:pPr>
        <w:pStyle w:val="NoSpacing"/>
        <w:spacing w:line="360" w:lineRule="auto"/>
        <w:jc w:val="both"/>
      </w:pPr>
    </w:p>
    <w:p w:rsidR="007F7BE6" w:rsidRDefault="007F7BE6" w:rsidP="007F7BE6">
      <w:pPr>
        <w:pStyle w:val="NoSpacing"/>
        <w:spacing w:line="360" w:lineRule="auto"/>
        <w:jc w:val="both"/>
      </w:pPr>
      <w:r>
        <w:t xml:space="preserve">Velen, waaronder Yochum en Agarwal, zeggen echter dat dit te zwart-wit is en er een grote kans is dat door deze methode te gebruiken de invloed van de haven wordt overschat </w:t>
      </w:r>
      <w:sdt>
        <w:sdtPr>
          <w:id w:val="1063915053"/>
          <w:citation/>
        </w:sdtPr>
        <w:sdtContent>
          <w:r w:rsidR="006530F6">
            <w:fldChar w:fldCharType="begin"/>
          </w:r>
          <w:r>
            <w:instrText xml:space="preserve"> CITATION Yoc87 \l 1043 </w:instrText>
          </w:r>
          <w:r w:rsidR="006530F6">
            <w:fldChar w:fldCharType="separate"/>
          </w:r>
          <w:r w:rsidR="000145AA">
            <w:rPr>
              <w:noProof/>
            </w:rPr>
            <w:t>(Yochum &amp; Agarwal, 1987)</w:t>
          </w:r>
          <w:r w:rsidR="006530F6">
            <w:fldChar w:fldCharType="end"/>
          </w:r>
        </w:sdtContent>
      </w:sdt>
      <w:r>
        <w:t xml:space="preserve">. Over één definitie is iedereen het echter eens en dat is de tweesplitsing van de economische invloed. De invloed kan namelijk opgedeeld worden in eerstegraads- en tweedegraadsimpact. Davis definieert deze eerstegraads- of directe invloed als volgt tegenover de definitie van MARAD: alle activiteiten die nodig zijn voor het opereren van de haven(faciliteiten) én de activiteiten die direct afhankelijk zijn van het gebruik van de faciliteiten voor het verschepen en ontvangen van de goederen. De specifieke activiteiten verschillen sterk per onderzoek en kunnen dus ook niet in een gegeneraliseerd model worden weergegeven </w:t>
      </w:r>
      <w:sdt>
        <w:sdtPr>
          <w:id w:val="339588784"/>
          <w:citation/>
        </w:sdtPr>
        <w:sdtContent>
          <w:r w:rsidR="006530F6">
            <w:fldChar w:fldCharType="begin"/>
          </w:r>
          <w:r>
            <w:instrText xml:space="preserve"> CITATION Dav83 \l 1043 </w:instrText>
          </w:r>
          <w:r w:rsidR="006530F6">
            <w:fldChar w:fldCharType="separate"/>
          </w:r>
          <w:r w:rsidR="000145AA">
            <w:rPr>
              <w:noProof/>
            </w:rPr>
            <w:t>(Davis, 1983)</w:t>
          </w:r>
          <w:r w:rsidR="006530F6">
            <w:fldChar w:fldCharType="end"/>
          </w:r>
        </w:sdtContent>
      </w:sdt>
      <w:r>
        <w:t xml:space="preserve">. </w:t>
      </w:r>
    </w:p>
    <w:p w:rsidR="007F7BE6" w:rsidRDefault="007F7BE6" w:rsidP="007F7BE6">
      <w:pPr>
        <w:pStyle w:val="NoSpacing"/>
        <w:spacing w:line="360" w:lineRule="auto"/>
        <w:jc w:val="both"/>
      </w:pPr>
    </w:p>
    <w:p w:rsidR="007F7BE6" w:rsidRDefault="007F7BE6" w:rsidP="007F7BE6">
      <w:pPr>
        <w:pStyle w:val="NoSpacing"/>
        <w:spacing w:line="360" w:lineRule="auto"/>
        <w:jc w:val="both"/>
      </w:pPr>
      <w:r>
        <w:lastRenderedPageBreak/>
        <w:t>Yochum en Agarwal gaan een stap verder dan de MARAD en zeggen dat de directe invloed bestaat uit drie verschillende soorten industrieën: de port-required, port-attracted en port-induced. De eerste bestaat uit de voorziening in transport en services gerelateerd aan de haven. De tweede bestaat uit de bedrijven die worden aangetrokken naar de regio doordat er een haven aanwezig is. Echter, deze industrie is moeilijk te meten</w:t>
      </w:r>
      <w:r>
        <w:rPr>
          <w:rStyle w:val="FootnoteReference"/>
        </w:rPr>
        <w:footnoteReference w:id="4"/>
      </w:r>
      <w:r>
        <w:t xml:space="preserve">. De derde en laatste industrie zijn de bedrijven die hun markten hebben vergroot door de afgenomen transportkosten door de haven, waardoor hun industrie heeft kunnen uitbreiden. Om de directe invloed van de haven op de regionale economie te meten moeten de cijfers van werkgelegenheid, inkomen en belastingopbrengsten dus worden gemeten per industrie zoals deze hierboven zijn vermeld. </w:t>
      </w:r>
    </w:p>
    <w:p w:rsidR="007F7BE6" w:rsidRDefault="007F7BE6" w:rsidP="007F7BE6">
      <w:pPr>
        <w:pStyle w:val="NoSpacing"/>
        <w:spacing w:line="360" w:lineRule="auto"/>
        <w:jc w:val="both"/>
      </w:pPr>
    </w:p>
    <w:p w:rsidR="007F7BE6" w:rsidRDefault="007F7BE6" w:rsidP="007F7BE6">
      <w:pPr>
        <w:pStyle w:val="NoSpacing"/>
        <w:spacing w:line="360" w:lineRule="auto"/>
        <w:jc w:val="both"/>
      </w:pPr>
      <w:r>
        <w:t xml:space="preserve">Tot zover de analyse van de directe invloed van de haven op de regionale economie. Er is namelijk ook sprake van een tweedegraads- of indirecte invloed van de havenactiviteiten. Deze wordt door Davis gedefinieerd als alle activiteiten in de regio die financieel afhankelijk zijn van de primaire activiteiten die hierboven staan beschreven. Hiertoe behoren alle goederen en diensten die worden gekocht door bedrijven die voorzien in de behoeften van de directe activiteiten. Dit kan ook worden gezien als een multipliereffect, wat inhoudt dat het geld dat is gegenereerd door de primaire/directe activiteiten enkele malen opnieuw wordt uitgegeven door de particulieren in de regio. Dit betreft zowel de leveranciers van de materialen voor de bedrijven in de haven als de consumenten die het in de haven verdiende geld uitgeven in de regio </w:t>
      </w:r>
      <w:sdt>
        <w:sdtPr>
          <w:id w:val="2019117099"/>
          <w:citation/>
        </w:sdtPr>
        <w:sdtContent>
          <w:r w:rsidR="006530F6">
            <w:fldChar w:fldCharType="begin"/>
          </w:r>
          <w:r>
            <w:instrText xml:space="preserve"> CITATION Dav83 \l 1043 </w:instrText>
          </w:r>
          <w:r w:rsidR="006530F6">
            <w:fldChar w:fldCharType="separate"/>
          </w:r>
          <w:r w:rsidR="000145AA">
            <w:rPr>
              <w:noProof/>
            </w:rPr>
            <w:t>(Davis, 1983)</w:t>
          </w:r>
          <w:r w:rsidR="006530F6">
            <w:fldChar w:fldCharType="end"/>
          </w:r>
        </w:sdtContent>
      </w:sdt>
      <w:r>
        <w:t xml:space="preserve"> </w:t>
      </w:r>
      <w:sdt>
        <w:sdtPr>
          <w:id w:val="-1738076317"/>
          <w:citation/>
        </w:sdtPr>
        <w:sdtContent>
          <w:r w:rsidR="006530F6">
            <w:fldChar w:fldCharType="begin"/>
          </w:r>
          <w:r>
            <w:instrText xml:space="preserve"> CITATION Yoc87 \l 1043 </w:instrText>
          </w:r>
          <w:r w:rsidR="006530F6">
            <w:fldChar w:fldCharType="separate"/>
          </w:r>
          <w:r w:rsidR="000145AA">
            <w:rPr>
              <w:noProof/>
            </w:rPr>
            <w:t>(Yochum &amp; Agarwal, 1987)</w:t>
          </w:r>
          <w:r w:rsidR="006530F6">
            <w:fldChar w:fldCharType="end"/>
          </w:r>
        </w:sdtContent>
      </w:sdt>
      <w:r>
        <w:t xml:space="preserve">. </w:t>
      </w:r>
    </w:p>
    <w:p w:rsidR="007F7BE6" w:rsidRDefault="007F7BE6" w:rsidP="007F7BE6">
      <w:pPr>
        <w:pStyle w:val="NoSpacing"/>
        <w:spacing w:line="360" w:lineRule="auto"/>
        <w:jc w:val="both"/>
      </w:pPr>
    </w:p>
    <w:p w:rsidR="007F7BE6" w:rsidRDefault="007F7BE6" w:rsidP="007F7BE6">
      <w:pPr>
        <w:pStyle w:val="NoSpacing"/>
        <w:spacing w:line="360" w:lineRule="auto"/>
        <w:jc w:val="both"/>
      </w:pPr>
      <w:r>
        <w:t xml:space="preserve">Een belangrijk onderdeel van het onderzoek naar de impact van een haven op de regio zijn de methoden die worden gebruikt bij het vaststellen van de primaire en secundaire invloeden. Voor het bepalen van de primaire invloed is het van belang een uitgebreid onderzoek te doen binnen de haven, waarbij wordt gevraagd naar de cijfers van werkgelegenheid, lonen en belastingen. Met cijfers van alle bedrijven kan op deze manier de primaire invloed worden bepaald. Het bepalen van de secundaire invloed is </w:t>
      </w:r>
      <w:proofErr w:type="gramStart"/>
      <w:r>
        <w:t>daarentegen</w:t>
      </w:r>
      <w:proofErr w:type="gramEnd"/>
      <w:r>
        <w:t xml:space="preserve"> moeilijker. Hierbij moet namelijk de multiplier worden berekend. Een methode die veelvuldig is gebruikt in voorgaande onderzoeken is het input-outputmodel. Een korte beschrijving van dit model: het model maakt gebruik van de gemiddelde toename van inkomsten van een particulier door het leveren van productiefactoren aan de haven en kijkt vervolgens naar het effect hiervan op de uitgaven in de regio. Aan de hand van deze inkomsten en de daarbij horende uitgaven die worden gedaan met de inkomsten kan de multiplier in de regio worden berekend. Vervolgens kan deze worden gebruikt om de secundaire impact te bepalen. Het </w:t>
      </w:r>
      <w:r>
        <w:lastRenderedPageBreak/>
        <w:t xml:space="preserve">totaal van deze twee impacts bepaalt de totale invloed van een haven op de regio </w:t>
      </w:r>
      <w:sdt>
        <w:sdtPr>
          <w:id w:val="-1604413774"/>
          <w:citation/>
        </w:sdtPr>
        <w:sdtContent>
          <w:r w:rsidR="006530F6">
            <w:fldChar w:fldCharType="begin"/>
          </w:r>
          <w:r>
            <w:instrText xml:space="preserve"> CITATION USM85 \l 1043 </w:instrText>
          </w:r>
          <w:r w:rsidR="006530F6">
            <w:fldChar w:fldCharType="separate"/>
          </w:r>
          <w:r w:rsidR="000145AA">
            <w:rPr>
              <w:noProof/>
            </w:rPr>
            <w:t>(U.S. Maritime Administration, 1985)</w:t>
          </w:r>
          <w:r w:rsidR="006530F6">
            <w:fldChar w:fldCharType="end"/>
          </w:r>
        </w:sdtContent>
      </w:sdt>
      <w:r>
        <w:t xml:space="preserve">. </w:t>
      </w:r>
    </w:p>
    <w:p w:rsidR="007F7BE6" w:rsidRPr="0059481D" w:rsidRDefault="007F7BE6" w:rsidP="007F7BE6">
      <w:pPr>
        <w:pStyle w:val="Heading2"/>
        <w:rPr>
          <w:color w:val="auto"/>
        </w:rPr>
      </w:pPr>
      <w:bookmarkStart w:id="9" w:name="_Toc391467989"/>
      <w:r w:rsidRPr="0059481D">
        <w:rPr>
          <w:color w:val="auto"/>
        </w:rPr>
        <w:t>Casus</w:t>
      </w:r>
      <w:r>
        <w:rPr>
          <w:color w:val="auto"/>
        </w:rPr>
        <w:t>:</w:t>
      </w:r>
      <w:r w:rsidRPr="0059481D">
        <w:rPr>
          <w:color w:val="auto"/>
        </w:rPr>
        <w:t xml:space="preserve"> invloed Zeeuwse havens op Zeeuwse economie</w:t>
      </w:r>
      <w:bookmarkEnd w:id="9"/>
    </w:p>
    <w:p w:rsidR="00260701" w:rsidRDefault="007F7BE6" w:rsidP="00260701">
      <w:pPr>
        <w:pStyle w:val="NoSpacing"/>
        <w:spacing w:before="100" w:line="360" w:lineRule="auto"/>
        <w:jc w:val="both"/>
      </w:pPr>
      <w:r>
        <w:t xml:space="preserve">In deze paragraaf wordt de theorie uit de voorgaande paragraaf toegepast op de Zeeuwse economie. Deze casus-studie betreft dus het onderzoek naar de invloed (primair en secundair) van de havens van Vlissingen en Terneuzen op de economische activiteit in de provincie Zeeland. Eerst wordt de gebruikte data uiteengezet en toegelicht, waarna vervolgens de resultaten worden behandeld. </w:t>
      </w:r>
    </w:p>
    <w:p w:rsidR="00260701" w:rsidRPr="00260701" w:rsidRDefault="00260701" w:rsidP="00260701">
      <w:pPr>
        <w:pStyle w:val="Heading3"/>
        <w:rPr>
          <w:color w:val="auto"/>
        </w:rPr>
      </w:pPr>
      <w:bookmarkStart w:id="10" w:name="_Toc391467990"/>
      <w:r w:rsidRPr="00260701">
        <w:rPr>
          <w:color w:val="auto"/>
        </w:rPr>
        <w:t>H</w:t>
      </w:r>
      <w:r w:rsidR="007F7BE6" w:rsidRPr="00260701">
        <w:rPr>
          <w:color w:val="auto"/>
        </w:rPr>
        <w:t>avenmonitor – data en methodologie</w:t>
      </w:r>
      <w:bookmarkEnd w:id="10"/>
    </w:p>
    <w:p w:rsidR="007F7BE6" w:rsidRDefault="007F7BE6" w:rsidP="00260701">
      <w:pPr>
        <w:pStyle w:val="NoSpacing"/>
        <w:spacing w:before="100" w:line="360" w:lineRule="auto"/>
        <w:jc w:val="both"/>
      </w:pPr>
      <w:r>
        <w:t xml:space="preserve">De voor deze casus gebruikte data is afkomstig van de Erasmus Universiteit Rotterdam (EUR) die in opdracht van het Ministerie van Infrastructuur en Milieu jaarlijks een havenmonitor maken. Deze Havenmonitor geeft de economische betekenis van de Nederlandse zeehavens weer sinds 2006. De laatste uitgave dateert van januari 2014 en bevat de gegevens tot en met het jaar 2012 </w:t>
      </w:r>
      <w:sdt>
        <w:sdtPr>
          <w:id w:val="-1356189024"/>
          <w:citation/>
        </w:sdtPr>
        <w:sdtContent>
          <w:r w:rsidR="006530F6">
            <w:fldChar w:fldCharType="begin"/>
          </w:r>
          <w:r>
            <w:instrText xml:space="preserve">CITATION RHV14 \l 1043 </w:instrText>
          </w:r>
          <w:r w:rsidR="006530F6">
            <w:fldChar w:fldCharType="separate"/>
          </w:r>
          <w:r w:rsidR="000145AA">
            <w:rPr>
              <w:noProof/>
            </w:rPr>
            <w:t>(RHV Erasmus Universiteit Rotterdam, 2014)</w:t>
          </w:r>
          <w:r w:rsidR="006530F6">
            <w:fldChar w:fldCharType="end"/>
          </w:r>
        </w:sdtContent>
      </w:sdt>
      <w:r>
        <w:t xml:space="preserve">. </w:t>
      </w:r>
      <w:r w:rsidR="00260701">
        <w:t xml:space="preserve">Een graadmeter voor het analyseren van de primaire en secundaire invloed van een zeehaven wordt gedaan door de directe (primaire) en indirecte (secundaire) invloed van bepaalde indicatoren te bestuderen. </w:t>
      </w:r>
      <w:r>
        <w:t>De havenmonitor bestaat uit de data voor directe en indirecte werkgelegenheid en toegevoegde waarde per havengebied en is dus uitermate geschikt voor het bepalen van de invloed van de havens op de Zeeuwse economie. De methode die is gebruikt om te komen tot de data per havengebied staat weergegeven in figuur 1</w:t>
      </w:r>
      <w:r w:rsidR="00260701">
        <w:t xml:space="preserve"> (op de volgende pagina is weergegeven)</w:t>
      </w:r>
      <w:r>
        <w:t xml:space="preserve">, welke de onderzoeksmethodiek weergeeft. De directe cijfers zijn verkregen door onderzoek binnen de betreffende havens en de indirecte cijfers zijn verkregen door het berekenen van de multipliers. Voor een uitgebreide beschrijving van de gebruikte methode voor het bepalen hiervan, zie bijlage 1 van de havenmonitor </w:t>
      </w:r>
      <w:sdt>
        <w:sdtPr>
          <w:id w:val="600075355"/>
          <w:citation/>
        </w:sdtPr>
        <w:sdtContent>
          <w:r w:rsidR="006530F6">
            <w:fldChar w:fldCharType="begin"/>
          </w:r>
          <w:r>
            <w:instrText xml:space="preserve"> CITATION RHV14 \l 1043 </w:instrText>
          </w:r>
          <w:r w:rsidR="006530F6">
            <w:fldChar w:fldCharType="separate"/>
          </w:r>
          <w:r w:rsidR="000145AA">
            <w:rPr>
              <w:noProof/>
            </w:rPr>
            <w:t>(RHV Erasmus Universiteit Rotterdam, 2014)</w:t>
          </w:r>
          <w:r w:rsidR="006530F6">
            <w:fldChar w:fldCharType="end"/>
          </w:r>
        </w:sdtContent>
      </w:sdt>
      <w:r>
        <w:t xml:space="preserve">. </w:t>
      </w:r>
    </w:p>
    <w:p w:rsidR="007F7BE6" w:rsidRDefault="007F7BE6" w:rsidP="007F7BE6">
      <w:pPr>
        <w:pStyle w:val="NoSpacing"/>
        <w:keepNext/>
        <w:spacing w:before="100" w:line="360" w:lineRule="auto"/>
        <w:jc w:val="both"/>
      </w:pPr>
      <w:r>
        <w:rPr>
          <w:noProof/>
          <w:lang w:val="en-US"/>
        </w:rPr>
        <w:lastRenderedPageBreak/>
        <w:drawing>
          <wp:inline distT="0" distB="0" distL="0" distR="0">
            <wp:extent cx="5531308" cy="3111335"/>
            <wp:effectExtent l="19050" t="19050" r="12700" b="13335"/>
            <wp:docPr id="2" name="Afbeelding 2" descr="C:\Users\Yannick\Documents\Studie\Economie en Bedrijfseconomie\Jaar 3 - Bachelor\Bachelorscriptie\Hoofdstuk 2\Onderzoeksmethodiek voor werkgelegenheid en toegevoegde waard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annick\Documents\Studie\Economie en Bedrijfseconomie\Jaar 3 - Bachelor\Bachelorscriptie\Hoofdstuk 2\Onderzoeksmethodiek voor werkgelegenheid en toegevoegde waarde.png"/>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31308" cy="3111335"/>
                    </a:xfrm>
                    <a:prstGeom prst="rect">
                      <a:avLst/>
                    </a:prstGeom>
                    <a:noFill/>
                    <a:ln w="3175">
                      <a:solidFill>
                        <a:schemeClr val="tx1"/>
                      </a:solidFill>
                    </a:ln>
                  </pic:spPr>
                </pic:pic>
              </a:graphicData>
            </a:graphic>
          </wp:inline>
        </w:drawing>
      </w:r>
    </w:p>
    <w:p w:rsidR="007F7BE6" w:rsidRDefault="007F7BE6" w:rsidP="007F7BE6">
      <w:pPr>
        <w:pStyle w:val="Caption"/>
        <w:jc w:val="both"/>
        <w:rPr>
          <w:b w:val="0"/>
          <w:color w:val="auto"/>
        </w:rPr>
      </w:pPr>
      <w:r w:rsidRPr="008E1D92">
        <w:rPr>
          <w:color w:val="auto"/>
        </w:rPr>
        <w:t xml:space="preserve">Figuur </w:t>
      </w:r>
      <w:r w:rsidR="006530F6" w:rsidRPr="008E1D92">
        <w:rPr>
          <w:color w:val="auto"/>
        </w:rPr>
        <w:fldChar w:fldCharType="begin"/>
      </w:r>
      <w:r w:rsidRPr="008E1D92">
        <w:rPr>
          <w:color w:val="auto"/>
        </w:rPr>
        <w:instrText xml:space="preserve"> SEQ Figuur \* ARABIC </w:instrText>
      </w:r>
      <w:r w:rsidR="006530F6" w:rsidRPr="008E1D92">
        <w:rPr>
          <w:color w:val="auto"/>
        </w:rPr>
        <w:fldChar w:fldCharType="separate"/>
      </w:r>
      <w:r w:rsidR="003D24A6">
        <w:rPr>
          <w:noProof/>
          <w:color w:val="auto"/>
        </w:rPr>
        <w:t>1</w:t>
      </w:r>
      <w:r w:rsidR="006530F6" w:rsidRPr="008E1D92">
        <w:rPr>
          <w:color w:val="auto"/>
        </w:rPr>
        <w:fldChar w:fldCharType="end"/>
      </w:r>
      <w:r w:rsidRPr="008E1D92">
        <w:rPr>
          <w:color w:val="auto"/>
        </w:rPr>
        <w:t xml:space="preserve">: </w:t>
      </w:r>
      <w:r w:rsidRPr="008E1D92">
        <w:rPr>
          <w:b w:val="0"/>
          <w:color w:val="auto"/>
        </w:rPr>
        <w:t>Onderzoeksmethodiek voor werkgelegenheid en toegevoegde waarde</w:t>
      </w:r>
    </w:p>
    <w:p w:rsidR="007F7BE6" w:rsidRPr="00F0535D" w:rsidRDefault="007F7BE6" w:rsidP="001C4C9C">
      <w:pPr>
        <w:pStyle w:val="Heading3"/>
        <w:rPr>
          <w:color w:val="auto"/>
        </w:rPr>
      </w:pPr>
      <w:bookmarkStart w:id="11" w:name="_Toc391467991"/>
      <w:r w:rsidRPr="00F0535D">
        <w:rPr>
          <w:color w:val="auto"/>
        </w:rPr>
        <w:t>Resultaten van rol Zeeuwse havens in Zeeuwse economie</w:t>
      </w:r>
      <w:bookmarkEnd w:id="11"/>
    </w:p>
    <w:p w:rsidR="007F7BE6" w:rsidRDefault="007F7BE6" w:rsidP="007F7BE6">
      <w:pPr>
        <w:pStyle w:val="NoSpacing"/>
        <w:spacing w:before="100" w:line="360" w:lineRule="auto"/>
        <w:jc w:val="both"/>
      </w:pPr>
      <w:r>
        <w:t xml:space="preserve">De primaire impact is de eerste factor waar naar wordt gekeken. Kort samenvattend worden de cijfers van directe werkgelegenheid, inkomen en belastingopbrengsten vergeleken. Bij gebrek aan een extensief onderzoek naar de loonsommen en belastingopbrengsten van de verschillende bedrijven in de Zeeuwse havens wordt de data van de Havenmonitor gebruikt, zoals hierboven </w:t>
      </w:r>
      <w:proofErr w:type="gramStart"/>
      <w:r>
        <w:t>reeds</w:t>
      </w:r>
      <w:proofErr w:type="gramEnd"/>
      <w:r>
        <w:t xml:space="preserve"> is beschreven. Deze data bestaat uit de directe werkgelegenheid en toegevoegde waarde per havengebied. Hieronder is de ontwikkeling van deze beide indicatoren grafisch weergegeven in de periode van 2006 tot 2012 (figuur 2 &amp; 3). </w:t>
      </w:r>
    </w:p>
    <w:p w:rsidR="007F7BE6" w:rsidRDefault="007F7BE6" w:rsidP="007F7BE6">
      <w:pPr>
        <w:pStyle w:val="NoSpacing"/>
        <w:keepNext/>
        <w:spacing w:before="100" w:line="360" w:lineRule="auto"/>
        <w:jc w:val="both"/>
      </w:pPr>
      <w:r>
        <w:rPr>
          <w:noProof/>
          <w:lang w:val="en-US"/>
        </w:rPr>
        <w:drawing>
          <wp:inline distT="0" distB="0" distL="0" distR="0">
            <wp:extent cx="5795158" cy="2553195"/>
            <wp:effectExtent l="0" t="0" r="15240" b="19050"/>
            <wp:docPr id="1" name="Grafie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7F7BE6" w:rsidRDefault="007F7BE6" w:rsidP="007F7BE6">
      <w:pPr>
        <w:pStyle w:val="Caption"/>
        <w:jc w:val="both"/>
        <w:rPr>
          <w:b w:val="0"/>
          <w:color w:val="auto"/>
        </w:rPr>
      </w:pPr>
      <w:r w:rsidRPr="004F62B2">
        <w:rPr>
          <w:color w:val="auto"/>
        </w:rPr>
        <w:t xml:space="preserve">Figuur </w:t>
      </w:r>
      <w:r w:rsidR="006530F6" w:rsidRPr="004F62B2">
        <w:rPr>
          <w:color w:val="auto"/>
        </w:rPr>
        <w:fldChar w:fldCharType="begin"/>
      </w:r>
      <w:r w:rsidRPr="004F62B2">
        <w:rPr>
          <w:color w:val="auto"/>
        </w:rPr>
        <w:instrText xml:space="preserve"> SEQ Figuur \* ARABIC </w:instrText>
      </w:r>
      <w:r w:rsidR="006530F6" w:rsidRPr="004F62B2">
        <w:rPr>
          <w:color w:val="auto"/>
        </w:rPr>
        <w:fldChar w:fldCharType="separate"/>
      </w:r>
      <w:r w:rsidR="003D24A6">
        <w:rPr>
          <w:noProof/>
          <w:color w:val="auto"/>
        </w:rPr>
        <w:t>2</w:t>
      </w:r>
      <w:r w:rsidR="006530F6" w:rsidRPr="004F62B2">
        <w:rPr>
          <w:color w:val="auto"/>
        </w:rPr>
        <w:fldChar w:fldCharType="end"/>
      </w:r>
      <w:r w:rsidRPr="004F62B2">
        <w:rPr>
          <w:color w:val="auto"/>
        </w:rPr>
        <w:t xml:space="preserve">: </w:t>
      </w:r>
      <w:r w:rsidRPr="004F62B2">
        <w:rPr>
          <w:b w:val="0"/>
          <w:color w:val="auto"/>
        </w:rPr>
        <w:t>Directe werkgelegenheid in Zeeuwse havens</w:t>
      </w:r>
    </w:p>
    <w:p w:rsidR="007F7BE6" w:rsidRDefault="007F7BE6" w:rsidP="007F7BE6">
      <w:pPr>
        <w:pStyle w:val="NoSpacing"/>
        <w:keepNext/>
        <w:spacing w:line="360" w:lineRule="auto"/>
        <w:jc w:val="both"/>
      </w:pPr>
      <w:r>
        <w:rPr>
          <w:noProof/>
          <w:lang w:val="en-US"/>
        </w:rPr>
        <w:lastRenderedPageBreak/>
        <w:drawing>
          <wp:inline distT="0" distB="0" distL="0" distR="0">
            <wp:extent cx="5795158" cy="2232561"/>
            <wp:effectExtent l="0" t="0" r="15240" b="15875"/>
            <wp:docPr id="3" name="Grafiek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7F7BE6" w:rsidRDefault="007F7BE6" w:rsidP="007F7BE6">
      <w:pPr>
        <w:pStyle w:val="Caption"/>
        <w:jc w:val="both"/>
        <w:rPr>
          <w:b w:val="0"/>
          <w:color w:val="auto"/>
        </w:rPr>
      </w:pPr>
      <w:r w:rsidRPr="004F62B2">
        <w:rPr>
          <w:color w:val="auto"/>
        </w:rPr>
        <w:t xml:space="preserve">Figuur </w:t>
      </w:r>
      <w:r w:rsidR="006530F6" w:rsidRPr="004F62B2">
        <w:rPr>
          <w:color w:val="auto"/>
        </w:rPr>
        <w:fldChar w:fldCharType="begin"/>
      </w:r>
      <w:r w:rsidRPr="004F62B2">
        <w:rPr>
          <w:color w:val="auto"/>
        </w:rPr>
        <w:instrText xml:space="preserve"> SEQ Figuur \* ARABIC </w:instrText>
      </w:r>
      <w:r w:rsidR="006530F6" w:rsidRPr="004F62B2">
        <w:rPr>
          <w:color w:val="auto"/>
        </w:rPr>
        <w:fldChar w:fldCharType="separate"/>
      </w:r>
      <w:r w:rsidR="003D24A6">
        <w:rPr>
          <w:noProof/>
          <w:color w:val="auto"/>
        </w:rPr>
        <w:t>3</w:t>
      </w:r>
      <w:r w:rsidR="006530F6" w:rsidRPr="004F62B2">
        <w:rPr>
          <w:color w:val="auto"/>
        </w:rPr>
        <w:fldChar w:fldCharType="end"/>
      </w:r>
      <w:r w:rsidRPr="004F62B2">
        <w:rPr>
          <w:color w:val="auto"/>
        </w:rPr>
        <w:t xml:space="preserve">: </w:t>
      </w:r>
      <w:r w:rsidRPr="004F62B2">
        <w:rPr>
          <w:b w:val="0"/>
          <w:color w:val="auto"/>
        </w:rPr>
        <w:t>Directe toegevoegde waarde in Zeeuwse havens</w:t>
      </w:r>
    </w:p>
    <w:p w:rsidR="007F7BE6" w:rsidRDefault="007F7BE6" w:rsidP="007F7BE6">
      <w:pPr>
        <w:pStyle w:val="NoSpacing"/>
        <w:spacing w:line="360" w:lineRule="auto"/>
        <w:jc w:val="both"/>
      </w:pPr>
      <w:r>
        <w:t xml:space="preserve">Deze figuren laten een aantal fluctuaties zien, waar voornamelijk de afname in toegevoegde waarde in 2009 erg opvalt. </w:t>
      </w:r>
      <w:r w:rsidR="00260701">
        <w:t>Deze afname in toegevoegde waarde geldt niet alleen voor de Zeeuwse havens, maar is ook waar te nemen in andere Nederlandse havens. Dit komt door een afnemende winstgevendheid van bedrijven in de haven</w:t>
      </w:r>
      <w:r w:rsidR="00D8752A">
        <w:t>s, waaronder de DOW in Terneuzen</w:t>
      </w:r>
      <w:r w:rsidR="00D8752A">
        <w:rPr>
          <w:rStyle w:val="FootnoteReference"/>
        </w:rPr>
        <w:footnoteReference w:id="5"/>
      </w:r>
      <w:r w:rsidR="00D8752A">
        <w:t xml:space="preserve">. </w:t>
      </w:r>
      <w:r>
        <w:t xml:space="preserve">Verder is er waar te nemen dat zowel de werkgelegenheid als de toegevoegde waarde weinig zijn gestegen of gedaald sinds 2006. Dit kan worden veroorzaakt door de krediet- en schuldencrisis waar Europa mee te kampen heeft gehad. </w:t>
      </w:r>
    </w:p>
    <w:p w:rsidR="007F7BE6" w:rsidRDefault="007F7BE6" w:rsidP="007F7BE6">
      <w:pPr>
        <w:pStyle w:val="NoSpacing"/>
        <w:spacing w:line="360" w:lineRule="auto"/>
        <w:jc w:val="both"/>
      </w:pPr>
    </w:p>
    <w:p w:rsidR="007F7BE6" w:rsidRDefault="007F7BE6" w:rsidP="007F7BE6">
      <w:pPr>
        <w:pStyle w:val="NoSpacing"/>
        <w:spacing w:line="360" w:lineRule="auto"/>
        <w:jc w:val="both"/>
      </w:pPr>
      <w:r>
        <w:t xml:space="preserve">De volgende stap is om de secundaire impact van de Zeeuwse havens in de Zeeuwse economie te bepalen. Deze gegevens zijn tevens beschikbaar in de Havenmonitor van de EUR. Deze zijn wederom grafisch weergegeven in onderstaande figuren (figuur 4 &amp; 5). </w:t>
      </w:r>
    </w:p>
    <w:p w:rsidR="007F7BE6" w:rsidRDefault="007F7BE6" w:rsidP="007F7BE6">
      <w:pPr>
        <w:pStyle w:val="NoSpacing"/>
        <w:keepNext/>
        <w:spacing w:line="360" w:lineRule="auto"/>
        <w:jc w:val="both"/>
      </w:pPr>
      <w:r>
        <w:rPr>
          <w:noProof/>
          <w:lang w:val="en-US"/>
        </w:rPr>
        <w:drawing>
          <wp:inline distT="0" distB="0" distL="0" distR="0">
            <wp:extent cx="5925787" cy="2315689"/>
            <wp:effectExtent l="0" t="0" r="18415" b="27940"/>
            <wp:docPr id="4" name="Grafiek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7F7BE6" w:rsidRDefault="007F7BE6" w:rsidP="007F7BE6">
      <w:pPr>
        <w:pStyle w:val="Caption"/>
        <w:jc w:val="both"/>
        <w:rPr>
          <w:b w:val="0"/>
          <w:color w:val="auto"/>
        </w:rPr>
      </w:pPr>
      <w:r w:rsidRPr="009F072C">
        <w:rPr>
          <w:color w:val="auto"/>
        </w:rPr>
        <w:t xml:space="preserve">Figuur </w:t>
      </w:r>
      <w:r w:rsidR="006530F6" w:rsidRPr="009F072C">
        <w:rPr>
          <w:color w:val="auto"/>
        </w:rPr>
        <w:fldChar w:fldCharType="begin"/>
      </w:r>
      <w:r w:rsidRPr="009F072C">
        <w:rPr>
          <w:color w:val="auto"/>
        </w:rPr>
        <w:instrText xml:space="preserve"> SEQ Figuur \* ARABIC </w:instrText>
      </w:r>
      <w:r w:rsidR="006530F6" w:rsidRPr="009F072C">
        <w:rPr>
          <w:color w:val="auto"/>
        </w:rPr>
        <w:fldChar w:fldCharType="separate"/>
      </w:r>
      <w:r w:rsidR="003D24A6">
        <w:rPr>
          <w:noProof/>
          <w:color w:val="auto"/>
        </w:rPr>
        <w:t>4</w:t>
      </w:r>
      <w:r w:rsidR="006530F6" w:rsidRPr="009F072C">
        <w:rPr>
          <w:color w:val="auto"/>
        </w:rPr>
        <w:fldChar w:fldCharType="end"/>
      </w:r>
      <w:r w:rsidRPr="009F072C">
        <w:rPr>
          <w:color w:val="auto"/>
        </w:rPr>
        <w:t xml:space="preserve">: </w:t>
      </w:r>
      <w:r w:rsidRPr="009F072C">
        <w:rPr>
          <w:b w:val="0"/>
          <w:color w:val="auto"/>
        </w:rPr>
        <w:t>Indirecte werkgelegenheid door Zeeuwse havens</w:t>
      </w:r>
    </w:p>
    <w:p w:rsidR="007F7BE6" w:rsidRDefault="007F7BE6" w:rsidP="007F7BE6">
      <w:pPr>
        <w:keepNext/>
      </w:pPr>
      <w:r>
        <w:rPr>
          <w:noProof/>
          <w:lang w:val="en-US"/>
        </w:rPr>
        <w:lastRenderedPageBreak/>
        <w:drawing>
          <wp:inline distT="0" distB="0" distL="0" distR="0">
            <wp:extent cx="5925787" cy="2386940"/>
            <wp:effectExtent l="0" t="0" r="18415" b="13970"/>
            <wp:docPr id="5" name="Grafiek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7F7BE6" w:rsidRDefault="007F7BE6" w:rsidP="007F7BE6">
      <w:pPr>
        <w:pStyle w:val="Caption"/>
        <w:rPr>
          <w:b w:val="0"/>
          <w:color w:val="auto"/>
        </w:rPr>
      </w:pPr>
      <w:r w:rsidRPr="009F072C">
        <w:rPr>
          <w:color w:val="auto"/>
        </w:rPr>
        <w:t xml:space="preserve">Figuur </w:t>
      </w:r>
      <w:r w:rsidR="006530F6" w:rsidRPr="009F072C">
        <w:rPr>
          <w:color w:val="auto"/>
        </w:rPr>
        <w:fldChar w:fldCharType="begin"/>
      </w:r>
      <w:r w:rsidRPr="009F072C">
        <w:rPr>
          <w:color w:val="auto"/>
        </w:rPr>
        <w:instrText xml:space="preserve"> SEQ Figuur \* ARABIC </w:instrText>
      </w:r>
      <w:r w:rsidR="006530F6" w:rsidRPr="009F072C">
        <w:rPr>
          <w:color w:val="auto"/>
        </w:rPr>
        <w:fldChar w:fldCharType="separate"/>
      </w:r>
      <w:r w:rsidR="003D24A6">
        <w:rPr>
          <w:noProof/>
          <w:color w:val="auto"/>
        </w:rPr>
        <w:t>5</w:t>
      </w:r>
      <w:r w:rsidR="006530F6" w:rsidRPr="009F072C">
        <w:rPr>
          <w:color w:val="auto"/>
        </w:rPr>
        <w:fldChar w:fldCharType="end"/>
      </w:r>
      <w:r w:rsidRPr="009F072C">
        <w:rPr>
          <w:color w:val="auto"/>
        </w:rPr>
        <w:t xml:space="preserve">: </w:t>
      </w:r>
      <w:r w:rsidRPr="009F072C">
        <w:rPr>
          <w:b w:val="0"/>
          <w:color w:val="auto"/>
        </w:rPr>
        <w:t>Indirecte toegevoegde waarde door Zeeuwse havens</w:t>
      </w:r>
    </w:p>
    <w:p w:rsidR="007F7BE6" w:rsidRDefault="007F7BE6" w:rsidP="007F7BE6">
      <w:pPr>
        <w:pStyle w:val="NoSpacing"/>
        <w:spacing w:line="360" w:lineRule="auto"/>
        <w:jc w:val="both"/>
      </w:pPr>
      <w:r>
        <w:t xml:space="preserve">In deze figuren zijn dezelfde patronen zichtbaar als die bij de directe impact. Na deze analyse kan er echter nog geen conclusie worden getrokken over de invloed van de havens op de Zeeuwse economie. Het is dan ook van belang om deze cijfers te vergelijken met de totale cijfers van de Zeeuwse economie. De cijfers van de totale invloed van de havens wordt hieronder vergeleken met de totale cijfers van werkgelegenheid en toegevoegde waarde in Zeeland. </w:t>
      </w:r>
    </w:p>
    <w:p w:rsidR="007F7BE6" w:rsidRDefault="007F7BE6" w:rsidP="007F7BE6">
      <w:pPr>
        <w:pStyle w:val="NoSpacing"/>
        <w:spacing w:line="360" w:lineRule="auto"/>
        <w:jc w:val="both"/>
      </w:pPr>
    </w:p>
    <w:p w:rsidR="007F7BE6" w:rsidRDefault="007F7BE6" w:rsidP="007F7BE6">
      <w:pPr>
        <w:pStyle w:val="NoSpacing"/>
        <w:spacing w:line="360" w:lineRule="auto"/>
        <w:jc w:val="both"/>
      </w:pPr>
      <w:r>
        <w:t>Deze data is afkomstig van het Centraal Bureau voor Statistiek en is herschreven zodat de data gebruiksvriendelijk is. In onderstaande twee grafieken is het aandeel van de Zeeuwse havens in werkgelegenheid (direct en indirect) en toegevoegde waarde (direct en indirect) weergegeven (figuur 6 &amp; 7).</w:t>
      </w:r>
    </w:p>
    <w:p w:rsidR="007F7BE6" w:rsidRDefault="007F7BE6" w:rsidP="007F7BE6">
      <w:pPr>
        <w:pStyle w:val="NoSpacing"/>
        <w:keepNext/>
        <w:spacing w:line="360" w:lineRule="auto"/>
        <w:jc w:val="both"/>
      </w:pPr>
      <w:r>
        <w:rPr>
          <w:noProof/>
          <w:lang w:val="en-US"/>
        </w:rPr>
        <w:drawing>
          <wp:inline distT="0" distB="0" distL="0" distR="0">
            <wp:extent cx="5925787" cy="2018805"/>
            <wp:effectExtent l="0" t="0" r="18415" b="19685"/>
            <wp:docPr id="6" name="Grafiek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7F7BE6" w:rsidRDefault="007F7BE6" w:rsidP="007F7BE6">
      <w:pPr>
        <w:pStyle w:val="Caption"/>
        <w:jc w:val="both"/>
        <w:rPr>
          <w:b w:val="0"/>
          <w:color w:val="auto"/>
        </w:rPr>
      </w:pPr>
      <w:r w:rsidRPr="00186542">
        <w:rPr>
          <w:color w:val="auto"/>
        </w:rPr>
        <w:t xml:space="preserve">Figuur </w:t>
      </w:r>
      <w:r w:rsidR="006530F6" w:rsidRPr="00186542">
        <w:rPr>
          <w:color w:val="auto"/>
        </w:rPr>
        <w:fldChar w:fldCharType="begin"/>
      </w:r>
      <w:r w:rsidRPr="00186542">
        <w:rPr>
          <w:color w:val="auto"/>
        </w:rPr>
        <w:instrText xml:space="preserve"> SEQ Figuur \* ARABIC </w:instrText>
      </w:r>
      <w:r w:rsidR="006530F6" w:rsidRPr="00186542">
        <w:rPr>
          <w:color w:val="auto"/>
        </w:rPr>
        <w:fldChar w:fldCharType="separate"/>
      </w:r>
      <w:r w:rsidR="003D24A6">
        <w:rPr>
          <w:noProof/>
          <w:color w:val="auto"/>
        </w:rPr>
        <w:t>6</w:t>
      </w:r>
      <w:r w:rsidR="006530F6" w:rsidRPr="00186542">
        <w:rPr>
          <w:color w:val="auto"/>
        </w:rPr>
        <w:fldChar w:fldCharType="end"/>
      </w:r>
      <w:r w:rsidRPr="00186542">
        <w:rPr>
          <w:color w:val="auto"/>
        </w:rPr>
        <w:t xml:space="preserve">: </w:t>
      </w:r>
      <w:r w:rsidRPr="00186542">
        <w:rPr>
          <w:b w:val="0"/>
          <w:color w:val="auto"/>
        </w:rPr>
        <w:t>Aandeel werkgelegenheid Zeeuwse havens in Zeeland (in procenten)</w:t>
      </w:r>
    </w:p>
    <w:p w:rsidR="007F7BE6" w:rsidRDefault="007F7BE6" w:rsidP="007F7BE6">
      <w:pPr>
        <w:pStyle w:val="NoSpacing"/>
        <w:keepNext/>
      </w:pPr>
      <w:r>
        <w:rPr>
          <w:noProof/>
          <w:lang w:val="en-US"/>
        </w:rPr>
        <w:lastRenderedPageBreak/>
        <w:drawing>
          <wp:inline distT="0" distB="0" distL="0" distR="0">
            <wp:extent cx="5925787" cy="2078182"/>
            <wp:effectExtent l="0" t="0" r="18415" b="17780"/>
            <wp:docPr id="7" name="Grafiek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7F7BE6" w:rsidRDefault="007F7BE6" w:rsidP="007F7BE6">
      <w:pPr>
        <w:pStyle w:val="Caption"/>
        <w:spacing w:before="100" w:after="0" w:line="360" w:lineRule="auto"/>
        <w:jc w:val="both"/>
        <w:rPr>
          <w:b w:val="0"/>
          <w:color w:val="auto"/>
        </w:rPr>
      </w:pPr>
      <w:r w:rsidRPr="00DE4DCC">
        <w:rPr>
          <w:color w:val="auto"/>
        </w:rPr>
        <w:t xml:space="preserve">Figuur </w:t>
      </w:r>
      <w:r w:rsidR="006530F6" w:rsidRPr="00DE4DCC">
        <w:rPr>
          <w:color w:val="auto"/>
        </w:rPr>
        <w:fldChar w:fldCharType="begin"/>
      </w:r>
      <w:r w:rsidRPr="00DE4DCC">
        <w:rPr>
          <w:color w:val="auto"/>
        </w:rPr>
        <w:instrText xml:space="preserve"> SEQ Figuur \* ARABIC </w:instrText>
      </w:r>
      <w:r w:rsidR="006530F6" w:rsidRPr="00DE4DCC">
        <w:rPr>
          <w:color w:val="auto"/>
        </w:rPr>
        <w:fldChar w:fldCharType="separate"/>
      </w:r>
      <w:r w:rsidR="003D24A6">
        <w:rPr>
          <w:noProof/>
          <w:color w:val="auto"/>
        </w:rPr>
        <w:t>7</w:t>
      </w:r>
      <w:r w:rsidR="006530F6" w:rsidRPr="00DE4DCC">
        <w:rPr>
          <w:color w:val="auto"/>
        </w:rPr>
        <w:fldChar w:fldCharType="end"/>
      </w:r>
      <w:r w:rsidRPr="00DE4DCC">
        <w:rPr>
          <w:color w:val="auto"/>
        </w:rPr>
        <w:t xml:space="preserve">: </w:t>
      </w:r>
      <w:r w:rsidRPr="00DE4DCC">
        <w:rPr>
          <w:b w:val="0"/>
          <w:color w:val="auto"/>
        </w:rPr>
        <w:t>Aandeel toegevoegde waarde Zeeuwse havens in Zeeland (in procenten)</w:t>
      </w:r>
    </w:p>
    <w:p w:rsidR="007F7BE6" w:rsidRDefault="007F7BE6" w:rsidP="007F7BE6">
      <w:pPr>
        <w:pStyle w:val="NoSpacing"/>
        <w:spacing w:before="100" w:line="360" w:lineRule="auto"/>
        <w:jc w:val="both"/>
      </w:pPr>
      <w:r>
        <w:t xml:space="preserve">Deze twee figuren geven een duidelijk patroon weer, waarbij zichtbaar is dat het aandeel van de werkgelegenheid over de jaren afneemt en het aandeel van de toegevoegde waarde sinds 2008 ook is afgenomen. </w:t>
      </w:r>
      <w:r w:rsidR="005019CE">
        <w:t>De sterke daling van het aandeel in toegevoegde waarde in 2012 heeft twee redenen. De eerste reden is het terugvallen van het aandeel van toegevoegde waarde van havens in heel Nederland</w:t>
      </w:r>
      <w:r w:rsidR="005019CE">
        <w:rPr>
          <w:rStyle w:val="FootnoteReference"/>
        </w:rPr>
        <w:footnoteReference w:id="6"/>
      </w:r>
      <w:r w:rsidR="005019CE">
        <w:t xml:space="preserve"> en de tweede reden is de sterke daling (60,5%) van de winst van chemicaliëngigant Dow</w:t>
      </w:r>
      <w:r w:rsidR="005019CE">
        <w:rPr>
          <w:rStyle w:val="FootnoteReference"/>
        </w:rPr>
        <w:footnoteReference w:id="7"/>
      </w:r>
      <w:r w:rsidR="005019CE">
        <w:t xml:space="preserve">. </w:t>
      </w:r>
      <w:r>
        <w:t xml:space="preserve">De percentages die de aandelen van de Zeeuwse havens in de Zeeuwse economie weergeven laten zien dat de invloed hoog is. In vergelijking: in Nederland zijn de aandelen van de werkgelegenheid en toegevoegde waarden in 2012 </w:t>
      </w:r>
      <w:proofErr w:type="gramStart"/>
      <w:r>
        <w:t>respectievelijk</w:t>
      </w:r>
      <w:proofErr w:type="gramEnd"/>
      <w:r>
        <w:t xml:space="preserve"> 3,3% en 6%</w:t>
      </w:r>
      <w:r>
        <w:rPr>
          <w:rStyle w:val="FootnoteReference"/>
        </w:rPr>
        <w:footnoteReference w:id="8"/>
      </w:r>
      <w:r>
        <w:t xml:space="preserve">. Hieruit kan de conclusie worden getrokken dat de Zeeuwse havens veel invloed hebben in de Zeeuwse economie. </w:t>
      </w:r>
    </w:p>
    <w:p w:rsidR="007F7BE6" w:rsidRPr="00DE4DCC" w:rsidRDefault="007F7BE6" w:rsidP="007F7BE6"/>
    <w:p w:rsidR="007F7BE6" w:rsidRDefault="007F7BE6">
      <w:r>
        <w:br w:type="page"/>
      </w:r>
    </w:p>
    <w:p w:rsidR="007F7BE6" w:rsidRPr="006601FE" w:rsidRDefault="007F7BE6" w:rsidP="001C4C9C">
      <w:pPr>
        <w:pStyle w:val="Heading1"/>
        <w:ind w:left="431" w:hanging="431"/>
        <w:rPr>
          <w:color w:val="595959" w:themeColor="text1" w:themeTint="A6"/>
        </w:rPr>
      </w:pPr>
      <w:bookmarkStart w:id="12" w:name="_Toc391467992"/>
      <w:r w:rsidRPr="006601FE">
        <w:rPr>
          <w:color w:val="595959" w:themeColor="text1" w:themeTint="A6"/>
        </w:rPr>
        <w:lastRenderedPageBreak/>
        <w:t>Concurrentiepositie Zeeuwse havens</w:t>
      </w:r>
      <w:bookmarkEnd w:id="12"/>
    </w:p>
    <w:p w:rsidR="007F7BE6" w:rsidRDefault="007F7BE6" w:rsidP="005D6817">
      <w:pPr>
        <w:pStyle w:val="Heading2"/>
        <w:ind w:left="578" w:hanging="578"/>
        <w:rPr>
          <w:color w:val="auto"/>
        </w:rPr>
      </w:pPr>
      <w:bookmarkStart w:id="13" w:name="_Toc391467993"/>
      <w:r w:rsidRPr="00BE2364">
        <w:rPr>
          <w:color w:val="auto"/>
        </w:rPr>
        <w:t>Introductie</w:t>
      </w:r>
      <w:bookmarkEnd w:id="13"/>
    </w:p>
    <w:p w:rsidR="007F7BE6" w:rsidRPr="00673951" w:rsidRDefault="007F7BE6" w:rsidP="007F7BE6">
      <w:pPr>
        <w:pStyle w:val="NoSpacing"/>
        <w:spacing w:before="100" w:line="360" w:lineRule="auto"/>
        <w:jc w:val="both"/>
        <w:rPr>
          <w:i/>
        </w:rPr>
      </w:pPr>
      <w:r>
        <w:t xml:space="preserve">Na de analyse van het belang van de Zeeuwse havens in de Zeeuwse economie, wordt in dit hoofdstuk uitgebreid aandacht besteed aan de positie van de Zeeuwse havens ten opzichte van hun concurrenten. Zeeland onderscheid zich namelijk op meerdere punten van de omliggende havens in de Hamburg-Le Havre range. Op welke punten dat is, wordt in de hierop volgende paragrafen behandeld. De deelvraag die in dit hoofdstuk </w:t>
      </w:r>
      <w:proofErr w:type="gramStart"/>
      <w:r>
        <w:t>beantwoord</w:t>
      </w:r>
      <w:proofErr w:type="gramEnd"/>
      <w:r>
        <w:t xml:space="preserve"> wordt, luidt: </w:t>
      </w:r>
      <w:r>
        <w:rPr>
          <w:i/>
        </w:rPr>
        <w:t>hoe sterk is de concurrentiepositie van de Zeeuwse havens ten opzichte van omliggende concurrenten?</w:t>
      </w:r>
    </w:p>
    <w:p w:rsidR="007F7BE6" w:rsidRDefault="007F7BE6" w:rsidP="007F7BE6">
      <w:pPr>
        <w:pStyle w:val="NoSpacing"/>
        <w:spacing w:line="360" w:lineRule="auto"/>
        <w:jc w:val="both"/>
      </w:pPr>
    </w:p>
    <w:p w:rsidR="007F7BE6" w:rsidRDefault="007F7BE6" w:rsidP="007F7BE6">
      <w:pPr>
        <w:pStyle w:val="NoSpacing"/>
        <w:spacing w:line="360" w:lineRule="auto"/>
        <w:jc w:val="both"/>
      </w:pPr>
      <w:r>
        <w:t xml:space="preserve">Om deze vraag te beantwoorden wordt als eerste een korte beschrijving gegeven van hoe een zeehaven is opgebouwd; wat voor soort bedrijven er actief zijn, welke soort producten er worden geproduceerd in een haven en welke categorieën goederen er worden in- en doorgevoerd. </w:t>
      </w:r>
      <w:proofErr w:type="gramStart"/>
      <w:r>
        <w:t xml:space="preserve">Na een algemeen beeld te hebben geschetst van een zeehaven, wordt in de daaropvolgende paragraaf uiteengezet hoe de positionering van zeehavens ten opzichte van elkaar kan worden gemeten en welke factoren, zoals prijs en bereikbaarheid, hierbij van belang zijn. </w:t>
      </w:r>
      <w:proofErr w:type="gramEnd"/>
      <w:r>
        <w:t xml:space="preserve">Tot slot wordt deze strategische positionering toegepast op de casus van de Zeeuwse havens, waarbij er dus wordt gekeken naar hoe de concurrentiepositie zich verhoudt ten opzichte van omliggende concurrenten. </w:t>
      </w:r>
    </w:p>
    <w:p w:rsidR="007F7BE6" w:rsidRPr="00673951" w:rsidRDefault="007F7BE6" w:rsidP="005D6817">
      <w:pPr>
        <w:pStyle w:val="Heading2"/>
        <w:rPr>
          <w:color w:val="auto"/>
        </w:rPr>
      </w:pPr>
      <w:bookmarkStart w:id="14" w:name="_Toc391467994"/>
      <w:r w:rsidRPr="00673951">
        <w:rPr>
          <w:color w:val="auto"/>
        </w:rPr>
        <w:t>Opbouw en functie van een zeehaven</w:t>
      </w:r>
      <w:bookmarkEnd w:id="14"/>
    </w:p>
    <w:p w:rsidR="007F7BE6" w:rsidRDefault="007F7BE6" w:rsidP="007F7BE6">
      <w:pPr>
        <w:pStyle w:val="NoSpacing"/>
        <w:spacing w:before="100" w:line="360" w:lineRule="auto"/>
        <w:jc w:val="both"/>
      </w:pPr>
      <w:r>
        <w:t xml:space="preserve">Een zeehaven kan worden gezien als een deel van een transportketen, een </w:t>
      </w:r>
      <w:proofErr w:type="gramStart"/>
      <w:r>
        <w:t>zogenaamde</w:t>
      </w:r>
      <w:proofErr w:type="gramEnd"/>
      <w:r>
        <w:t xml:space="preserve"> </w:t>
      </w:r>
      <w:r>
        <w:rPr>
          <w:i/>
        </w:rPr>
        <w:t xml:space="preserve">transport node. </w:t>
      </w:r>
      <w:r>
        <w:t xml:space="preserve">Maar dit is niet het enige waar een haven voor dient, het is namelijk ook een plaats waar </w:t>
      </w:r>
      <w:r w:rsidRPr="005B42EB">
        <w:rPr>
          <w:i/>
        </w:rPr>
        <w:t>economische activiteiten</w:t>
      </w:r>
      <w:r>
        <w:t xml:space="preserve"> plaatsvinden</w:t>
      </w:r>
      <w:r w:rsidRPr="009A2805">
        <w:t xml:space="preserve"> </w:t>
      </w:r>
      <w:sdt>
        <w:sdtPr>
          <w:id w:val="409048641"/>
          <w:citation/>
        </w:sdtPr>
        <w:sdtContent>
          <w:r w:rsidR="006530F6">
            <w:fldChar w:fldCharType="begin"/>
          </w:r>
          <w:r>
            <w:instrText xml:space="preserve">CITATION deL12 \p 10-11 \l 1043 </w:instrText>
          </w:r>
          <w:r w:rsidR="006530F6">
            <w:fldChar w:fldCharType="separate"/>
          </w:r>
          <w:r w:rsidR="000145AA">
            <w:rPr>
              <w:noProof/>
            </w:rPr>
            <w:t>(de Langen, Nijdam, &amp; van der Lugt, 2012, pp. 10-11)</w:t>
          </w:r>
          <w:r w:rsidR="006530F6">
            <w:fldChar w:fldCharType="end"/>
          </w:r>
        </w:sdtContent>
      </w:sdt>
      <w:r>
        <w:t xml:space="preserve">. </w:t>
      </w:r>
      <w:r w:rsidRPr="002C4D08">
        <w:t>In</w:t>
      </w:r>
      <w:r>
        <w:t xml:space="preserve"> deze paragraaf wordt daarom achtereenvolgens behandeld wat voor soort bedrijven er actief zijn in een zeehaven, welke soort producten er in een haven worden gemaakt en welke categorieën goederen er </w:t>
      </w:r>
      <w:proofErr w:type="gramStart"/>
      <w:r>
        <w:t>in het algemeen</w:t>
      </w:r>
      <w:proofErr w:type="gramEnd"/>
      <w:r>
        <w:t xml:space="preserve"> kunnen worden doorgevoerd. </w:t>
      </w:r>
    </w:p>
    <w:p w:rsidR="007F7BE6" w:rsidRDefault="007F7BE6" w:rsidP="007F7BE6">
      <w:pPr>
        <w:pStyle w:val="NoSpacing"/>
        <w:keepNext/>
        <w:spacing w:before="100" w:line="360" w:lineRule="auto"/>
        <w:jc w:val="both"/>
      </w:pPr>
      <w:r>
        <w:rPr>
          <w:noProof/>
          <w:lang w:val="en-US"/>
        </w:rPr>
        <w:drawing>
          <wp:inline distT="0" distB="0" distL="0" distR="0">
            <wp:extent cx="5177642" cy="1781341"/>
            <wp:effectExtent l="19050" t="19050" r="23495" b="9525"/>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11482" cy="1792983"/>
                    </a:xfrm>
                    <a:prstGeom prst="rect">
                      <a:avLst/>
                    </a:prstGeom>
                    <a:noFill/>
                    <a:ln>
                      <a:solidFill>
                        <a:schemeClr val="tx1"/>
                      </a:solidFill>
                    </a:ln>
                  </pic:spPr>
                </pic:pic>
              </a:graphicData>
            </a:graphic>
          </wp:inline>
        </w:drawing>
      </w:r>
    </w:p>
    <w:p w:rsidR="007F7BE6" w:rsidRPr="0075084F" w:rsidRDefault="007F7BE6" w:rsidP="007F7BE6">
      <w:pPr>
        <w:pStyle w:val="Caption"/>
        <w:jc w:val="both"/>
        <w:rPr>
          <w:color w:val="auto"/>
        </w:rPr>
      </w:pPr>
      <w:r w:rsidRPr="0075084F">
        <w:rPr>
          <w:color w:val="auto"/>
        </w:rPr>
        <w:t xml:space="preserve">Figuur </w:t>
      </w:r>
      <w:r w:rsidR="006530F6" w:rsidRPr="0075084F">
        <w:rPr>
          <w:color w:val="auto"/>
        </w:rPr>
        <w:fldChar w:fldCharType="begin"/>
      </w:r>
      <w:r w:rsidRPr="0075084F">
        <w:rPr>
          <w:color w:val="auto"/>
        </w:rPr>
        <w:instrText xml:space="preserve"> SEQ Figuur \* ARABIC </w:instrText>
      </w:r>
      <w:r w:rsidR="006530F6" w:rsidRPr="0075084F">
        <w:rPr>
          <w:color w:val="auto"/>
        </w:rPr>
        <w:fldChar w:fldCharType="separate"/>
      </w:r>
      <w:r w:rsidR="003D24A6">
        <w:rPr>
          <w:noProof/>
          <w:color w:val="auto"/>
        </w:rPr>
        <w:t>8</w:t>
      </w:r>
      <w:r w:rsidR="006530F6" w:rsidRPr="0075084F">
        <w:rPr>
          <w:color w:val="auto"/>
        </w:rPr>
        <w:fldChar w:fldCharType="end"/>
      </w:r>
      <w:r w:rsidRPr="0075084F">
        <w:rPr>
          <w:color w:val="auto"/>
        </w:rPr>
        <w:t xml:space="preserve">: </w:t>
      </w:r>
      <w:r w:rsidRPr="0075084F">
        <w:rPr>
          <w:b w:val="0"/>
          <w:color w:val="auto"/>
        </w:rPr>
        <w:t>Haven als transport node</w:t>
      </w:r>
    </w:p>
    <w:p w:rsidR="007F7BE6" w:rsidRDefault="007F7BE6" w:rsidP="005D6817">
      <w:pPr>
        <w:pStyle w:val="Heading3"/>
        <w:rPr>
          <w:color w:val="auto"/>
        </w:rPr>
      </w:pPr>
      <w:bookmarkStart w:id="15" w:name="_Toc391467995"/>
      <w:r w:rsidRPr="002C4D08">
        <w:rPr>
          <w:color w:val="auto"/>
        </w:rPr>
        <w:lastRenderedPageBreak/>
        <w:t>Bedrijven in een zeehaven</w:t>
      </w:r>
      <w:bookmarkEnd w:id="15"/>
    </w:p>
    <w:p w:rsidR="007F7BE6" w:rsidRPr="009A2805" w:rsidRDefault="007F7BE6" w:rsidP="007F7BE6">
      <w:pPr>
        <w:pStyle w:val="NoSpacing"/>
        <w:spacing w:before="100" w:line="360" w:lineRule="auto"/>
        <w:jc w:val="both"/>
      </w:pPr>
      <w:r>
        <w:t>Er zijn een groot aantal verschillende soorten bedrijven actief in een zeehaven, welke onder te verdelen zijn in vier groepen</w:t>
      </w:r>
      <w:r w:rsidR="000226D9">
        <w:t>. De eerste</w:t>
      </w:r>
      <w:r>
        <w:t xml:space="preserve"> groep zijn de bedrijven die zorgen voor de infrastructuur, zoals het laden en lossen van schepen en de opslag van goederen. De </w:t>
      </w:r>
      <w:r w:rsidR="000226D9">
        <w:t>tweede</w:t>
      </w:r>
      <w:r>
        <w:t xml:space="preserve"> groep levert de services die gerelateerd zijn aan de havenactiviteiten. Voorbeelden hiervan zijn bedrijven die zorgen voor het leiden van schepen door de haven, veiligheidsdiensten en bedrijven die zorgen voor het onderhoud van schepen of overige materialen. De </w:t>
      </w:r>
      <w:r w:rsidR="000226D9">
        <w:t>derde</w:t>
      </w:r>
      <w:r>
        <w:t xml:space="preserve"> groep bestaat uit de bedrijven die daadwerkelijk gebruik maken van de haven, dus de containereigenaren, cruiseschepen of andere schip gerelateerde bedrijven </w:t>
      </w:r>
      <w:sdt>
        <w:sdtPr>
          <w:id w:val="1600600163"/>
          <w:citation/>
        </w:sdtPr>
        <w:sdtContent>
          <w:r w:rsidR="006530F6">
            <w:fldChar w:fldCharType="begin"/>
          </w:r>
          <w:r>
            <w:instrText xml:space="preserve">CITATION OEC11 \p 22-24 \l 1043 </w:instrText>
          </w:r>
          <w:r w:rsidR="006530F6">
            <w:fldChar w:fldCharType="separate"/>
          </w:r>
          <w:r w:rsidR="000145AA">
            <w:rPr>
              <w:noProof/>
            </w:rPr>
            <w:t>(OECD, 2011, pp. 22-24)</w:t>
          </w:r>
          <w:r w:rsidR="006530F6">
            <w:fldChar w:fldCharType="end"/>
          </w:r>
        </w:sdtContent>
      </w:sdt>
      <w:r w:rsidR="000226D9">
        <w:t xml:space="preserve">. Het laatste soort bedrijf dat in de haven actief is, is het havenbedrijf. Deze heeft de terreinen in beheer en ontvangt gelden uit de verhuur hiervan aan de bedrijven in de drie eerste groepen. </w:t>
      </w:r>
      <w:r>
        <w:t xml:space="preserve">In onderstaande figuur zijn deze groepen en de betreffende soorten bedrijven weergegeven. </w:t>
      </w:r>
    </w:p>
    <w:p w:rsidR="007F7BE6" w:rsidRDefault="007F7BE6" w:rsidP="007F7BE6">
      <w:pPr>
        <w:pStyle w:val="NoSpacing"/>
        <w:keepNext/>
        <w:spacing w:before="100" w:line="360" w:lineRule="auto"/>
        <w:jc w:val="both"/>
      </w:pPr>
      <w:r>
        <w:rPr>
          <w:noProof/>
          <w:lang w:val="en-US"/>
        </w:rPr>
        <w:drawing>
          <wp:inline distT="0" distB="0" distL="0" distR="0">
            <wp:extent cx="5759532" cy="3628785"/>
            <wp:effectExtent l="19050" t="19050" r="12700" b="10160"/>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cstate="print"/>
                    <a:stretch>
                      <a:fillRect/>
                    </a:stretch>
                  </pic:blipFill>
                  <pic:spPr>
                    <a:xfrm>
                      <a:off x="0" y="0"/>
                      <a:ext cx="5771550" cy="3636357"/>
                    </a:xfrm>
                    <a:prstGeom prst="rect">
                      <a:avLst/>
                    </a:prstGeom>
                    <a:ln>
                      <a:solidFill>
                        <a:schemeClr val="tx1"/>
                      </a:solidFill>
                    </a:ln>
                  </pic:spPr>
                </pic:pic>
              </a:graphicData>
            </a:graphic>
          </wp:inline>
        </w:drawing>
      </w:r>
    </w:p>
    <w:p w:rsidR="007F7BE6" w:rsidRDefault="007F7BE6" w:rsidP="007F7BE6">
      <w:pPr>
        <w:pStyle w:val="Caption"/>
        <w:jc w:val="both"/>
        <w:rPr>
          <w:b w:val="0"/>
          <w:color w:val="auto"/>
        </w:rPr>
      </w:pPr>
      <w:r w:rsidRPr="009A2805">
        <w:rPr>
          <w:color w:val="auto"/>
        </w:rPr>
        <w:t xml:space="preserve">Figuur </w:t>
      </w:r>
      <w:r w:rsidR="006530F6" w:rsidRPr="009A2805">
        <w:rPr>
          <w:color w:val="auto"/>
        </w:rPr>
        <w:fldChar w:fldCharType="begin"/>
      </w:r>
      <w:r w:rsidRPr="009A2805">
        <w:rPr>
          <w:color w:val="auto"/>
        </w:rPr>
        <w:instrText xml:space="preserve"> SEQ Figuur \* ARABIC </w:instrText>
      </w:r>
      <w:r w:rsidR="006530F6" w:rsidRPr="009A2805">
        <w:rPr>
          <w:color w:val="auto"/>
        </w:rPr>
        <w:fldChar w:fldCharType="separate"/>
      </w:r>
      <w:r w:rsidR="003D24A6">
        <w:rPr>
          <w:noProof/>
          <w:color w:val="auto"/>
        </w:rPr>
        <w:t>9</w:t>
      </w:r>
      <w:r w:rsidR="006530F6" w:rsidRPr="009A2805">
        <w:rPr>
          <w:color w:val="auto"/>
        </w:rPr>
        <w:fldChar w:fldCharType="end"/>
      </w:r>
      <w:r w:rsidRPr="009A2805">
        <w:rPr>
          <w:color w:val="auto"/>
        </w:rPr>
        <w:t xml:space="preserve">: </w:t>
      </w:r>
      <w:r w:rsidRPr="009A2805">
        <w:rPr>
          <w:b w:val="0"/>
          <w:color w:val="auto"/>
        </w:rPr>
        <w:t>Overzicht van bedrijven in de haven</w:t>
      </w:r>
      <w:r>
        <w:rPr>
          <w:b w:val="0"/>
          <w:color w:val="auto"/>
        </w:rPr>
        <w:t xml:space="preserve"> (bron: Oxera)</w:t>
      </w:r>
    </w:p>
    <w:p w:rsidR="007F7BE6" w:rsidRDefault="007F7BE6" w:rsidP="005D6817">
      <w:pPr>
        <w:pStyle w:val="Heading3"/>
        <w:rPr>
          <w:color w:val="auto"/>
        </w:rPr>
      </w:pPr>
      <w:bookmarkStart w:id="16" w:name="_Toc391467996"/>
      <w:r w:rsidRPr="002C7556">
        <w:rPr>
          <w:color w:val="auto"/>
        </w:rPr>
        <w:t>Producten in een zeehaven</w:t>
      </w:r>
      <w:bookmarkEnd w:id="16"/>
    </w:p>
    <w:p w:rsidR="007F7BE6" w:rsidRDefault="007F7BE6" w:rsidP="007F7BE6">
      <w:pPr>
        <w:pStyle w:val="NoSpacing"/>
        <w:spacing w:before="100" w:line="360" w:lineRule="auto"/>
        <w:jc w:val="both"/>
      </w:pPr>
      <w:r>
        <w:t xml:space="preserve">Veel van de bedrijven die hierboven zijn genoemd hebben te maken met het laden en lossen van schepen. Uit deze bedrijven is het mogelijk twee soorten producten te onderscheiden. Een eerste product dat voortkomt uit de haven zijn de services die te maken hebben met het laden en lossen van de schepen (cargo handling product). Een tweede product is het logistieke product, </w:t>
      </w:r>
      <w:proofErr w:type="gramStart"/>
      <w:r>
        <w:t>oftewel</w:t>
      </w:r>
      <w:proofErr w:type="gramEnd"/>
      <w:r>
        <w:t xml:space="preserve"> alle activiteiten die zorgen voor de opslag van goederen en het daarbij behorende her verpakken en labelen. Naast deze twee soorten services die vooral te maken hebben met de haven als </w:t>
      </w:r>
      <w:r>
        <w:rPr>
          <w:i/>
        </w:rPr>
        <w:t xml:space="preserve">transport </w:t>
      </w:r>
      <w:r>
        <w:rPr>
          <w:i/>
        </w:rPr>
        <w:lastRenderedPageBreak/>
        <w:t xml:space="preserve">node </w:t>
      </w:r>
      <w:r>
        <w:t xml:space="preserve">is er nog een derde product dat juist gericht is op het generen van toegevoegde waarde in de haven. Dit product is dan ook te beschrijven als het fabricage product en de bedrijven die het product vervaardigen zijn dan ook vooral de bedrijven die de goederen die de haven binnenkomen verwerken tot halffabricaten en eindproducten </w:t>
      </w:r>
      <w:sdt>
        <w:sdtPr>
          <w:id w:val="30624060"/>
          <w:citation/>
        </w:sdtPr>
        <w:sdtContent>
          <w:r w:rsidR="006530F6">
            <w:fldChar w:fldCharType="begin"/>
          </w:r>
          <w:r>
            <w:instrText xml:space="preserve">CITATION deL12 \p 12-13 \l 1043 </w:instrText>
          </w:r>
          <w:r w:rsidR="006530F6">
            <w:fldChar w:fldCharType="separate"/>
          </w:r>
          <w:r w:rsidR="000145AA">
            <w:rPr>
              <w:noProof/>
            </w:rPr>
            <w:t>(de Langen, Nijdam, &amp; van der Lugt, 2012, pp. 12-13)</w:t>
          </w:r>
          <w:r w:rsidR="006530F6">
            <w:fldChar w:fldCharType="end"/>
          </w:r>
        </w:sdtContent>
      </w:sdt>
      <w:r>
        <w:t>. Een goed voorbeeld hiervan van een product waarmee waarde wordt toegevoegd in het havengebied is de petrochemische industrie.</w:t>
      </w:r>
    </w:p>
    <w:p w:rsidR="007F7BE6" w:rsidRPr="00574165" w:rsidRDefault="007F7BE6" w:rsidP="005D6817">
      <w:pPr>
        <w:pStyle w:val="Heading3"/>
        <w:rPr>
          <w:color w:val="auto"/>
        </w:rPr>
      </w:pPr>
      <w:bookmarkStart w:id="17" w:name="_Toc391467997"/>
      <w:r w:rsidRPr="00574165">
        <w:rPr>
          <w:color w:val="auto"/>
        </w:rPr>
        <w:t>Categorieën goederen verhandeld in een zeehaven</w:t>
      </w:r>
      <w:bookmarkEnd w:id="17"/>
    </w:p>
    <w:p w:rsidR="007F7BE6" w:rsidRPr="00C911B1" w:rsidRDefault="007F7BE6" w:rsidP="007F7BE6">
      <w:pPr>
        <w:pStyle w:val="NoSpacing"/>
        <w:spacing w:before="100" w:line="360" w:lineRule="auto"/>
        <w:jc w:val="both"/>
      </w:pPr>
      <w:r>
        <w:t xml:space="preserve">Een probleem met het bepalen van de concurrentie tussen verschillende zeehavens is het grote aantal categorieën </w:t>
      </w:r>
      <w:proofErr w:type="gramStart"/>
      <w:r>
        <w:t>goederen dat</w:t>
      </w:r>
      <w:proofErr w:type="gramEnd"/>
      <w:r>
        <w:t xml:space="preserve"> aanwezig is in een haven. Al deze verschillende goederen hebben namelijk een aparte (afzet)markt en dus een aparte invloed op de concurrentiepositie. Van belang is dus om te kijken naar deze categorieën, wat in deze sub paragraaf kort wordt gedaan. In onderstaand schema staan ze </w:t>
      </w:r>
      <w:proofErr w:type="gramStart"/>
      <w:r>
        <w:t>vermeld</w:t>
      </w:r>
      <w:proofErr w:type="gramEnd"/>
      <w:r>
        <w:t xml:space="preserve"> met daarbij de belangrijkste goederen per categorie. </w:t>
      </w:r>
    </w:p>
    <w:tbl>
      <w:tblPr>
        <w:tblStyle w:val="TableGrid"/>
        <w:tblW w:w="0" w:type="auto"/>
        <w:tblLook w:val="04A0"/>
      </w:tblPr>
      <w:tblGrid>
        <w:gridCol w:w="3070"/>
        <w:gridCol w:w="3071"/>
        <w:gridCol w:w="3071"/>
      </w:tblGrid>
      <w:tr w:rsidR="007F7BE6" w:rsidTr="007D44FA">
        <w:tc>
          <w:tcPr>
            <w:tcW w:w="3070" w:type="dxa"/>
          </w:tcPr>
          <w:p w:rsidR="007F7BE6" w:rsidRPr="00B52583" w:rsidRDefault="007F7BE6" w:rsidP="007D44FA">
            <w:pPr>
              <w:pStyle w:val="NoSpacing"/>
              <w:spacing w:before="100" w:line="360" w:lineRule="auto"/>
              <w:jc w:val="both"/>
              <w:rPr>
                <w:b/>
              </w:rPr>
            </w:pPr>
            <w:r w:rsidRPr="00B52583">
              <w:rPr>
                <w:b/>
              </w:rPr>
              <w:t>Soort cargo</w:t>
            </w:r>
          </w:p>
        </w:tc>
        <w:tc>
          <w:tcPr>
            <w:tcW w:w="6142" w:type="dxa"/>
            <w:gridSpan w:val="2"/>
          </w:tcPr>
          <w:p w:rsidR="007F7BE6" w:rsidRPr="00B52583" w:rsidRDefault="007F7BE6" w:rsidP="007D44FA">
            <w:pPr>
              <w:pStyle w:val="NoSpacing"/>
              <w:spacing w:before="100" w:line="360" w:lineRule="auto"/>
              <w:jc w:val="both"/>
              <w:rPr>
                <w:b/>
              </w:rPr>
            </w:pPr>
            <w:r w:rsidRPr="00B52583">
              <w:rPr>
                <w:b/>
              </w:rPr>
              <w:t>Goederen</w:t>
            </w:r>
          </w:p>
        </w:tc>
      </w:tr>
      <w:tr w:rsidR="007F7BE6" w:rsidTr="007D44FA">
        <w:tc>
          <w:tcPr>
            <w:tcW w:w="3070" w:type="dxa"/>
          </w:tcPr>
          <w:p w:rsidR="007F7BE6" w:rsidRDefault="007F7BE6" w:rsidP="007D44FA">
            <w:pPr>
              <w:pStyle w:val="NoSpacing"/>
              <w:spacing w:before="100" w:line="360" w:lineRule="auto"/>
              <w:jc w:val="both"/>
            </w:pPr>
            <w:r>
              <w:t>Droog bulkgoed</w:t>
            </w:r>
          </w:p>
        </w:tc>
        <w:tc>
          <w:tcPr>
            <w:tcW w:w="3071" w:type="dxa"/>
          </w:tcPr>
          <w:p w:rsidR="007F7BE6" w:rsidRDefault="007F7BE6" w:rsidP="007D44FA">
            <w:pPr>
              <w:pStyle w:val="NoSpacing"/>
              <w:spacing w:before="100" w:line="360" w:lineRule="auto"/>
              <w:jc w:val="both"/>
            </w:pPr>
            <w:r>
              <w:t>IJzererts</w:t>
            </w:r>
          </w:p>
        </w:tc>
        <w:tc>
          <w:tcPr>
            <w:tcW w:w="3071" w:type="dxa"/>
          </w:tcPr>
          <w:p w:rsidR="007F7BE6" w:rsidRDefault="007F7BE6" w:rsidP="007D44FA">
            <w:pPr>
              <w:pStyle w:val="NoSpacing"/>
              <w:spacing w:before="100" w:line="360" w:lineRule="auto"/>
              <w:jc w:val="both"/>
            </w:pPr>
            <w:r>
              <w:t>Kolen</w:t>
            </w:r>
          </w:p>
        </w:tc>
      </w:tr>
      <w:tr w:rsidR="007F7BE6" w:rsidTr="007D44FA">
        <w:tc>
          <w:tcPr>
            <w:tcW w:w="3070" w:type="dxa"/>
          </w:tcPr>
          <w:p w:rsidR="007F7BE6" w:rsidRDefault="007F7BE6" w:rsidP="007D44FA">
            <w:pPr>
              <w:pStyle w:val="NoSpacing"/>
              <w:spacing w:before="100" w:line="360" w:lineRule="auto"/>
              <w:jc w:val="both"/>
            </w:pPr>
          </w:p>
        </w:tc>
        <w:tc>
          <w:tcPr>
            <w:tcW w:w="3071" w:type="dxa"/>
          </w:tcPr>
          <w:p w:rsidR="007F7BE6" w:rsidRDefault="007F7BE6" w:rsidP="007D44FA">
            <w:pPr>
              <w:pStyle w:val="NoSpacing"/>
              <w:spacing w:before="100" w:line="360" w:lineRule="auto"/>
              <w:jc w:val="both"/>
            </w:pPr>
            <w:r>
              <w:t>Graan</w:t>
            </w:r>
          </w:p>
        </w:tc>
        <w:tc>
          <w:tcPr>
            <w:tcW w:w="3071" w:type="dxa"/>
          </w:tcPr>
          <w:p w:rsidR="007F7BE6" w:rsidRDefault="007F7BE6" w:rsidP="007D44FA">
            <w:pPr>
              <w:pStyle w:val="NoSpacing"/>
              <w:spacing w:before="100" w:line="360" w:lineRule="auto"/>
              <w:jc w:val="both"/>
            </w:pPr>
          </w:p>
        </w:tc>
      </w:tr>
      <w:tr w:rsidR="007F7BE6" w:rsidTr="007D44FA">
        <w:tc>
          <w:tcPr>
            <w:tcW w:w="3070" w:type="dxa"/>
          </w:tcPr>
          <w:p w:rsidR="007F7BE6" w:rsidRDefault="007F7BE6" w:rsidP="007D44FA">
            <w:pPr>
              <w:pStyle w:val="NoSpacing"/>
              <w:spacing w:before="100" w:line="360" w:lineRule="auto"/>
              <w:jc w:val="both"/>
            </w:pPr>
            <w:r>
              <w:t>Nat bulkgoed</w:t>
            </w:r>
          </w:p>
        </w:tc>
        <w:tc>
          <w:tcPr>
            <w:tcW w:w="3071" w:type="dxa"/>
          </w:tcPr>
          <w:p w:rsidR="007F7BE6" w:rsidRDefault="007F7BE6" w:rsidP="007D44FA">
            <w:pPr>
              <w:pStyle w:val="NoSpacing"/>
              <w:spacing w:before="100" w:line="360" w:lineRule="auto"/>
              <w:jc w:val="both"/>
            </w:pPr>
            <w:r>
              <w:t>Olie</w:t>
            </w:r>
          </w:p>
        </w:tc>
        <w:tc>
          <w:tcPr>
            <w:tcW w:w="3071" w:type="dxa"/>
          </w:tcPr>
          <w:p w:rsidR="007F7BE6" w:rsidRDefault="007F7BE6" w:rsidP="007D44FA">
            <w:pPr>
              <w:pStyle w:val="NoSpacing"/>
              <w:spacing w:before="100" w:line="360" w:lineRule="auto"/>
              <w:jc w:val="both"/>
            </w:pPr>
            <w:r>
              <w:t>Chemische producten</w:t>
            </w:r>
          </w:p>
        </w:tc>
      </w:tr>
      <w:tr w:rsidR="007F7BE6" w:rsidTr="007D44FA">
        <w:tc>
          <w:tcPr>
            <w:tcW w:w="3070" w:type="dxa"/>
          </w:tcPr>
          <w:p w:rsidR="007F7BE6" w:rsidRDefault="007F7BE6" w:rsidP="007D44FA">
            <w:pPr>
              <w:pStyle w:val="NoSpacing"/>
              <w:spacing w:before="100" w:line="360" w:lineRule="auto"/>
              <w:jc w:val="both"/>
            </w:pPr>
            <w:r>
              <w:t>Neo-bulkgoed</w:t>
            </w:r>
          </w:p>
        </w:tc>
        <w:tc>
          <w:tcPr>
            <w:tcW w:w="3071" w:type="dxa"/>
          </w:tcPr>
          <w:p w:rsidR="007F7BE6" w:rsidRDefault="007F7BE6" w:rsidP="007D44FA">
            <w:pPr>
              <w:pStyle w:val="NoSpacing"/>
              <w:spacing w:before="100" w:line="360" w:lineRule="auto"/>
              <w:jc w:val="both"/>
            </w:pPr>
            <w:r>
              <w:t>Fruit</w:t>
            </w:r>
          </w:p>
        </w:tc>
        <w:tc>
          <w:tcPr>
            <w:tcW w:w="3071" w:type="dxa"/>
          </w:tcPr>
          <w:p w:rsidR="007F7BE6" w:rsidRDefault="007F7BE6" w:rsidP="007D44FA">
            <w:pPr>
              <w:pStyle w:val="NoSpacing"/>
              <w:spacing w:before="100" w:line="360" w:lineRule="auto"/>
              <w:jc w:val="both"/>
            </w:pPr>
            <w:r>
              <w:t>Voertuigen</w:t>
            </w:r>
          </w:p>
        </w:tc>
      </w:tr>
      <w:tr w:rsidR="007F7BE6" w:rsidTr="007D44FA">
        <w:tc>
          <w:tcPr>
            <w:tcW w:w="3070" w:type="dxa"/>
          </w:tcPr>
          <w:p w:rsidR="007F7BE6" w:rsidRDefault="007F7BE6" w:rsidP="007D44FA">
            <w:pPr>
              <w:pStyle w:val="NoSpacing"/>
              <w:spacing w:before="100" w:line="360" w:lineRule="auto"/>
              <w:jc w:val="both"/>
            </w:pPr>
          </w:p>
        </w:tc>
        <w:tc>
          <w:tcPr>
            <w:tcW w:w="3071" w:type="dxa"/>
          </w:tcPr>
          <w:p w:rsidR="007F7BE6" w:rsidRDefault="007F7BE6" w:rsidP="007D44FA">
            <w:pPr>
              <w:pStyle w:val="NoSpacing"/>
              <w:spacing w:before="100" w:line="360" w:lineRule="auto"/>
              <w:jc w:val="both"/>
            </w:pPr>
            <w:r>
              <w:t>Metaal</w:t>
            </w:r>
          </w:p>
        </w:tc>
        <w:tc>
          <w:tcPr>
            <w:tcW w:w="3071" w:type="dxa"/>
          </w:tcPr>
          <w:p w:rsidR="007F7BE6" w:rsidRDefault="007F7BE6" w:rsidP="007D44FA">
            <w:pPr>
              <w:pStyle w:val="NoSpacing"/>
              <w:spacing w:before="100" w:line="360" w:lineRule="auto"/>
              <w:jc w:val="both"/>
            </w:pPr>
          </w:p>
        </w:tc>
      </w:tr>
      <w:tr w:rsidR="007F7BE6" w:rsidTr="007D44FA">
        <w:tc>
          <w:tcPr>
            <w:tcW w:w="3070" w:type="dxa"/>
          </w:tcPr>
          <w:p w:rsidR="007F7BE6" w:rsidRDefault="007F7BE6" w:rsidP="007D44FA">
            <w:pPr>
              <w:pStyle w:val="NoSpacing"/>
              <w:spacing w:before="100" w:line="360" w:lineRule="auto"/>
              <w:jc w:val="both"/>
            </w:pPr>
            <w:r>
              <w:t>Containers</w:t>
            </w:r>
          </w:p>
        </w:tc>
        <w:tc>
          <w:tcPr>
            <w:tcW w:w="6142" w:type="dxa"/>
            <w:gridSpan w:val="2"/>
          </w:tcPr>
          <w:p w:rsidR="007F7BE6" w:rsidRDefault="007F7BE6" w:rsidP="007D44FA">
            <w:pPr>
              <w:pStyle w:val="NoSpacing"/>
              <w:spacing w:before="100" w:line="360" w:lineRule="auto"/>
              <w:jc w:val="both"/>
            </w:pPr>
            <w:r>
              <w:rPr>
                <w:i/>
              </w:rPr>
              <w:t>Alle soorten kleinere goederen</w:t>
            </w:r>
          </w:p>
        </w:tc>
      </w:tr>
      <w:tr w:rsidR="007F7BE6" w:rsidTr="007D44FA">
        <w:tc>
          <w:tcPr>
            <w:tcW w:w="3070" w:type="dxa"/>
          </w:tcPr>
          <w:p w:rsidR="007F7BE6" w:rsidRDefault="007F7BE6" w:rsidP="007D44FA">
            <w:pPr>
              <w:pStyle w:val="NoSpacing"/>
              <w:spacing w:before="100" w:line="360" w:lineRule="auto"/>
              <w:jc w:val="both"/>
            </w:pPr>
            <w:r>
              <w:t xml:space="preserve">Algemeen </w:t>
            </w:r>
          </w:p>
        </w:tc>
        <w:tc>
          <w:tcPr>
            <w:tcW w:w="6142" w:type="dxa"/>
            <w:gridSpan w:val="2"/>
          </w:tcPr>
          <w:p w:rsidR="007F7BE6" w:rsidRPr="002D4224" w:rsidRDefault="007F7BE6" w:rsidP="007D44FA">
            <w:pPr>
              <w:pStyle w:val="NoSpacing"/>
              <w:spacing w:before="100" w:line="360" w:lineRule="auto"/>
              <w:jc w:val="both"/>
              <w:rPr>
                <w:i/>
              </w:rPr>
            </w:pPr>
            <w:r w:rsidRPr="002D4224">
              <w:rPr>
                <w:i/>
              </w:rPr>
              <w:t>Pallets</w:t>
            </w:r>
          </w:p>
        </w:tc>
      </w:tr>
      <w:tr w:rsidR="007F7BE6" w:rsidTr="007D44FA">
        <w:tc>
          <w:tcPr>
            <w:tcW w:w="3070" w:type="dxa"/>
          </w:tcPr>
          <w:p w:rsidR="007F7BE6" w:rsidRDefault="007F7BE6" w:rsidP="007D44FA">
            <w:pPr>
              <w:pStyle w:val="NoSpacing"/>
              <w:spacing w:before="100" w:line="360" w:lineRule="auto"/>
              <w:jc w:val="both"/>
            </w:pPr>
            <w:r>
              <w:t>Project</w:t>
            </w:r>
          </w:p>
        </w:tc>
        <w:tc>
          <w:tcPr>
            <w:tcW w:w="6142" w:type="dxa"/>
            <w:gridSpan w:val="2"/>
          </w:tcPr>
          <w:p w:rsidR="007F7BE6" w:rsidRDefault="007F7BE6" w:rsidP="007D44FA">
            <w:pPr>
              <w:pStyle w:val="NoSpacing"/>
              <w:spacing w:before="100" w:line="360" w:lineRule="auto"/>
              <w:jc w:val="both"/>
            </w:pPr>
            <w:r>
              <w:rPr>
                <w:i/>
              </w:rPr>
              <w:t>Specifiek (bv. jachten)</w:t>
            </w:r>
          </w:p>
        </w:tc>
      </w:tr>
      <w:tr w:rsidR="007F7BE6" w:rsidTr="007D44FA">
        <w:tc>
          <w:tcPr>
            <w:tcW w:w="3070" w:type="dxa"/>
          </w:tcPr>
          <w:p w:rsidR="007F7BE6" w:rsidRDefault="007F7BE6" w:rsidP="007D44FA">
            <w:pPr>
              <w:pStyle w:val="NoSpacing"/>
              <w:spacing w:before="100" w:line="360" w:lineRule="auto"/>
              <w:jc w:val="both"/>
            </w:pPr>
            <w:r>
              <w:t>Roll-on/Roll-off</w:t>
            </w:r>
          </w:p>
        </w:tc>
        <w:tc>
          <w:tcPr>
            <w:tcW w:w="6142" w:type="dxa"/>
            <w:gridSpan w:val="2"/>
          </w:tcPr>
          <w:p w:rsidR="007F7BE6" w:rsidRDefault="007F7BE6" w:rsidP="007D44FA">
            <w:pPr>
              <w:pStyle w:val="NoSpacing"/>
              <w:keepNext/>
              <w:spacing w:before="100" w:line="360" w:lineRule="auto"/>
              <w:jc w:val="both"/>
            </w:pPr>
            <w:r>
              <w:rPr>
                <w:i/>
              </w:rPr>
              <w:t>Ferry’s (bv. voertuigen die een oversteek moeten maken)</w:t>
            </w:r>
          </w:p>
        </w:tc>
      </w:tr>
    </w:tbl>
    <w:p w:rsidR="007F7BE6" w:rsidRDefault="007F7BE6" w:rsidP="007F7BE6">
      <w:pPr>
        <w:pStyle w:val="Caption"/>
        <w:rPr>
          <w:b w:val="0"/>
          <w:color w:val="auto"/>
        </w:rPr>
      </w:pPr>
      <w:r w:rsidRPr="00C911B1">
        <w:rPr>
          <w:color w:val="auto"/>
        </w:rPr>
        <w:t xml:space="preserve">Tabel </w:t>
      </w:r>
      <w:r w:rsidR="006530F6">
        <w:rPr>
          <w:color w:val="auto"/>
        </w:rPr>
        <w:fldChar w:fldCharType="begin"/>
      </w:r>
      <w:r>
        <w:rPr>
          <w:color w:val="auto"/>
        </w:rPr>
        <w:instrText xml:space="preserve"> SEQ Tabel \* ARABIC </w:instrText>
      </w:r>
      <w:r w:rsidR="006530F6">
        <w:rPr>
          <w:color w:val="auto"/>
        </w:rPr>
        <w:fldChar w:fldCharType="separate"/>
      </w:r>
      <w:r w:rsidR="003D24A6">
        <w:rPr>
          <w:noProof/>
          <w:color w:val="auto"/>
        </w:rPr>
        <w:t>1</w:t>
      </w:r>
      <w:r w:rsidR="006530F6">
        <w:rPr>
          <w:color w:val="auto"/>
        </w:rPr>
        <w:fldChar w:fldCharType="end"/>
      </w:r>
      <w:r w:rsidRPr="00C911B1">
        <w:rPr>
          <w:color w:val="auto"/>
        </w:rPr>
        <w:t xml:space="preserve">: </w:t>
      </w:r>
      <w:r w:rsidRPr="00C911B1">
        <w:rPr>
          <w:b w:val="0"/>
          <w:color w:val="auto"/>
        </w:rPr>
        <w:t>Soorten goederen per categorie</w:t>
      </w:r>
    </w:p>
    <w:p w:rsidR="007F7BE6" w:rsidRPr="00E031AC" w:rsidRDefault="007F7BE6" w:rsidP="007F7BE6">
      <w:pPr>
        <w:pStyle w:val="NoSpacing"/>
        <w:spacing w:line="360" w:lineRule="auto"/>
        <w:jc w:val="both"/>
      </w:pPr>
      <w:r>
        <w:t>In de rest van dit hoofdstuk zal een andere compositie van categorieën cargo worden gebruikt. Dit omdat de data die beschikbaar is een aantal onderverdelingen niet maakt. De categorieën die in het vervolg van dit hoofdstuk worden gebruikt, zijn: (1) droog bulkgoed, (2) nat/vloeibaar bulkgoed, (3) stukgoed, (4) containers en (5) roll-on/roll-off</w:t>
      </w:r>
      <w:r>
        <w:rPr>
          <w:rStyle w:val="FootnoteReference"/>
        </w:rPr>
        <w:footnoteReference w:id="9"/>
      </w:r>
      <w:r>
        <w:t xml:space="preserve">. </w:t>
      </w:r>
    </w:p>
    <w:p w:rsidR="007F7BE6" w:rsidRPr="003A478B" w:rsidRDefault="007F7BE6" w:rsidP="005D6817">
      <w:pPr>
        <w:pStyle w:val="Heading2"/>
        <w:rPr>
          <w:color w:val="auto"/>
        </w:rPr>
      </w:pPr>
      <w:bookmarkStart w:id="18" w:name="_Toc391467998"/>
      <w:r w:rsidRPr="003A478B">
        <w:rPr>
          <w:color w:val="auto"/>
        </w:rPr>
        <w:lastRenderedPageBreak/>
        <w:t>Literatuur over concurrentiepositie zeehavens</w:t>
      </w:r>
      <w:bookmarkEnd w:id="18"/>
    </w:p>
    <w:p w:rsidR="007F7BE6" w:rsidRDefault="007F7BE6" w:rsidP="007F7BE6">
      <w:pPr>
        <w:pStyle w:val="NoSpacing"/>
        <w:spacing w:before="100" w:line="360" w:lineRule="auto"/>
        <w:jc w:val="both"/>
      </w:pPr>
      <w:r>
        <w:t xml:space="preserve">Nu er een duidelijk overzicht is geschetst van de zeehaven </w:t>
      </w:r>
      <w:proofErr w:type="gramStart"/>
      <w:r>
        <w:t>in het algemeen</w:t>
      </w:r>
      <w:proofErr w:type="gramEnd"/>
      <w:r>
        <w:t xml:space="preserve">, kan er worden gekeken naar het voordoen van concurrentie tussen deze havens en hoe zij kunnen worden vergeleken. Dit wordt gedaan aan de hand van twee onderdelen van de Strategic Positioning Analysis (SPA). Dit is een middel om een strategische analyse te maken voor bedrijven in de haven en beleidsmakers die hierdoor een verbeterd inzicht krijgen in de dynamiek in en concurrentie van de haven. Er wordt onderzoek gedaan naar de concurrentiepositie van een haven, kijkend naar onder andere groeicijfers en marktaandelen. De SPA is oorspronkelijk ontwikkeld door de Boston Consulting Group (BCG) in 1979 </w:t>
      </w:r>
      <w:sdt>
        <w:sdtPr>
          <w:id w:val="1281231435"/>
          <w:citation/>
        </w:sdtPr>
        <w:sdtContent>
          <w:r w:rsidR="006530F6">
            <w:fldChar w:fldCharType="begin"/>
          </w:r>
          <w:r>
            <w:instrText xml:space="preserve"> CITATION Hen79 \l 1043 </w:instrText>
          </w:r>
          <w:r w:rsidR="006530F6">
            <w:fldChar w:fldCharType="separate"/>
          </w:r>
          <w:r w:rsidR="000145AA">
            <w:rPr>
              <w:noProof/>
            </w:rPr>
            <w:t>(Henderson, 1979)</w:t>
          </w:r>
          <w:r w:rsidR="006530F6">
            <w:fldChar w:fldCharType="end"/>
          </w:r>
        </w:sdtContent>
      </w:sdt>
      <w:r>
        <w:t xml:space="preserve">, maar verder onderzoek heeft tevens laten blijken dat havenbedrijven behoefte hebben aan analyses van groeicijfers en groeiende marktaandelen om hun strategische positie ten opzichte van concurrente te verbeteren </w:t>
      </w:r>
      <w:sdt>
        <w:sdtPr>
          <w:id w:val="-541599812"/>
          <w:citation/>
        </w:sdtPr>
        <w:sdtContent>
          <w:r w:rsidR="006530F6">
            <w:fldChar w:fldCharType="begin"/>
          </w:r>
          <w:r>
            <w:instrText xml:space="preserve"> CITATION DeL89 \l 1043 </w:instrText>
          </w:r>
          <w:r w:rsidR="006530F6">
            <w:fldChar w:fldCharType="separate"/>
          </w:r>
          <w:r w:rsidR="000145AA">
            <w:rPr>
              <w:noProof/>
            </w:rPr>
            <w:t>(De Lombaerde &amp; Verbeke, 1989)</w:t>
          </w:r>
          <w:r w:rsidR="006530F6">
            <w:fldChar w:fldCharType="end"/>
          </w:r>
        </w:sdtContent>
      </w:sdt>
      <w:r>
        <w:t xml:space="preserve">. De SPA bestaat in de meeste literatuur uit drie onderdelen: </w:t>
      </w:r>
      <w:proofErr w:type="gramStart"/>
      <w:r>
        <w:t>de</w:t>
      </w:r>
      <w:proofErr w:type="gramEnd"/>
      <w:r>
        <w:t xml:space="preserve"> product portfolio analyse, de shift-share analyse en de product diversificatie analyse. In dit hoofdstuk wordt </w:t>
      </w:r>
      <w:proofErr w:type="gramStart"/>
      <w:r>
        <w:t>met name</w:t>
      </w:r>
      <w:proofErr w:type="gramEnd"/>
      <w:r>
        <w:t xml:space="preserve"> gekeken naar de product portfolio analyse en de shift-share analyse binnen de Hamburg-Le Havre range (paragraaf 3.4). Hieronder wordt dan ook een korte uitleg gegeven van deze twee onderdelen van de SPA. </w:t>
      </w:r>
    </w:p>
    <w:p w:rsidR="007F7BE6" w:rsidRPr="00453EEB" w:rsidRDefault="007F7BE6" w:rsidP="005D6817">
      <w:pPr>
        <w:pStyle w:val="Heading3"/>
        <w:rPr>
          <w:color w:val="auto"/>
        </w:rPr>
      </w:pPr>
      <w:bookmarkStart w:id="19" w:name="_Toc391467999"/>
      <w:r w:rsidRPr="00453EEB">
        <w:rPr>
          <w:color w:val="auto"/>
        </w:rPr>
        <w:t>Product Portfolio Analyse</w:t>
      </w:r>
      <w:bookmarkEnd w:id="19"/>
    </w:p>
    <w:p w:rsidR="007F7BE6" w:rsidRDefault="007F7BE6" w:rsidP="007F7BE6">
      <w:pPr>
        <w:pStyle w:val="NoSpacing"/>
        <w:spacing w:before="100" w:line="360" w:lineRule="auto"/>
        <w:jc w:val="both"/>
      </w:pPr>
      <w:r>
        <w:t xml:space="preserve">De Product Portfolio Analyse (PPA) bestaat uit verschillende soorten onderdelen, waaronder de SWOT-analyse en een leercurve. Voor de haven is een ander onderdeel echter een goede tool om de analyse te volbrengen, namelijk </w:t>
      </w:r>
      <w:proofErr w:type="gramStart"/>
      <w:r>
        <w:t>de</w:t>
      </w:r>
      <w:proofErr w:type="gramEnd"/>
      <w:r>
        <w:t xml:space="preserve"> ‘</w:t>
      </w:r>
      <w:r w:rsidR="00394FF3">
        <w:t>groeiaandeel</w:t>
      </w:r>
      <w:r>
        <w:t xml:space="preserve"> matrix </w:t>
      </w:r>
      <w:sdt>
        <w:sdtPr>
          <w:id w:val="-1384242484"/>
          <w:citation/>
        </w:sdtPr>
        <w:sdtContent>
          <w:r w:rsidR="006530F6">
            <w:fldChar w:fldCharType="begin"/>
          </w:r>
          <w:r>
            <w:instrText xml:space="preserve"> CITATION Dys90 \l 1043 </w:instrText>
          </w:r>
          <w:r w:rsidR="006530F6">
            <w:fldChar w:fldCharType="separate"/>
          </w:r>
          <w:r w:rsidR="000145AA">
            <w:rPr>
              <w:noProof/>
            </w:rPr>
            <w:t>(Dyson, 1990)</w:t>
          </w:r>
          <w:r w:rsidR="006530F6">
            <w:fldChar w:fldCharType="end"/>
          </w:r>
        </w:sdtContent>
      </w:sdt>
      <w:r>
        <w:t xml:space="preserve">’. Deze geeft een weergave van bepaalde actoren en hoe de verhouding is tussen het gemiddelde groeipercentage per jaar en het marktaandeel van de bepaalde actor. Deze matrix kan op verschillende niveaus worden samengesteld. </w:t>
      </w:r>
      <w:proofErr w:type="gramStart"/>
      <w:r>
        <w:t>Level</w:t>
      </w:r>
      <w:proofErr w:type="gramEnd"/>
      <w:r>
        <w:t xml:space="preserve"> 1 geeft bijvoorbeeld de groei en het marktaandeel weer van een haven ten opzichte van alle havens in een bepaalde range. </w:t>
      </w:r>
      <w:proofErr w:type="gramStart"/>
      <w:r>
        <w:t>Level</w:t>
      </w:r>
      <w:proofErr w:type="gramEnd"/>
      <w:r>
        <w:t xml:space="preserve"> 2 zoomt in op de soorten cargo binnen een bepaalde haven en level 3 op één soort cargo en hoe bepaalde havens met deze soort omgaan. Het maken van een matrix levert echter nog informatie over hoe de positie van een soort cargo of een haven is. Hiervoor heeft de BCG een matrix opgesteld welke hieronder is weergegeven </w:t>
      </w:r>
      <w:sdt>
        <w:sdtPr>
          <w:id w:val="-779112015"/>
          <w:citation/>
        </w:sdtPr>
        <w:sdtContent>
          <w:r w:rsidR="006530F6">
            <w:fldChar w:fldCharType="begin"/>
          </w:r>
          <w:r>
            <w:instrText xml:space="preserve"> CITATION Dib91 \l 1043 </w:instrText>
          </w:r>
          <w:r w:rsidR="006530F6">
            <w:fldChar w:fldCharType="separate"/>
          </w:r>
          <w:r w:rsidR="000145AA">
            <w:rPr>
              <w:noProof/>
            </w:rPr>
            <w:t>(Dibb, Simkin, Pride, &amp; Ferrel, 1991)</w:t>
          </w:r>
          <w:r w:rsidR="006530F6">
            <w:fldChar w:fldCharType="end"/>
          </w:r>
        </w:sdtContent>
      </w:sdt>
      <w:r>
        <w:t xml:space="preserve">. Hierin zijn de ‘Question Marks’ de units die belangrijke investeringen nodig hebben, omdat ze een hoog groeipercentage hebben, maar een relatief klein marktaandeel. De ‘Stars’ zijn de succesverhalen, aangezien een hoge groei en hoog aandeel. De ‘Cash Cows’ </w:t>
      </w:r>
      <w:proofErr w:type="gramStart"/>
      <w:r>
        <w:t>daarentegen</w:t>
      </w:r>
      <w:proofErr w:type="gramEnd"/>
      <w:r>
        <w:t xml:space="preserve"> hebben een investeringsimpuls nodig om het hoge marktaandeel te behouden. </w:t>
      </w:r>
    </w:p>
    <w:p w:rsidR="007F7BE6" w:rsidRDefault="007F7BE6" w:rsidP="007F7BE6">
      <w:pPr>
        <w:pStyle w:val="NoSpacing"/>
        <w:spacing w:before="100" w:line="360" w:lineRule="auto"/>
        <w:jc w:val="both"/>
      </w:pPr>
      <w:r>
        <w:lastRenderedPageBreak/>
        <w:t>Tot slot zijn de ‘Dogs’ vrijwel gedoemd te mislukken, vanwege een laag groeipercentage en relatief klein marktaandeel</w:t>
      </w:r>
      <w:r>
        <w:rPr>
          <w:rStyle w:val="FootnoteReference"/>
        </w:rPr>
        <w:footnoteReference w:id="10"/>
      </w:r>
      <w:r>
        <w:t xml:space="preserve">. </w:t>
      </w:r>
    </w:p>
    <w:p w:rsidR="007F7BE6" w:rsidRDefault="007F7BE6" w:rsidP="007F7BE6">
      <w:pPr>
        <w:keepNext/>
      </w:pPr>
      <w:r>
        <w:rPr>
          <w:noProof/>
          <w:lang w:val="en-US"/>
        </w:rPr>
        <w:drawing>
          <wp:inline distT="0" distB="0" distL="0" distR="0">
            <wp:extent cx="4999511" cy="2377004"/>
            <wp:effectExtent l="19050" t="19050" r="10795" b="23495"/>
            <wp:docPr id="10" name="Afbeelding 10" descr="C:\Users\Yannick\Documents\Studie\Economie en Bedrijfseconomie\Jaar 3 - Bachelor\Bachelorscriptie\Hoofdstuk 3\BCG-Matri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annick\Documents\Studie\Economie en Bedrijfseconomie\Jaar 3 - Bachelor\Bachelorscriptie\Hoofdstuk 3\BCG-Matrix.png"/>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00542" cy="2377494"/>
                    </a:xfrm>
                    <a:prstGeom prst="rect">
                      <a:avLst/>
                    </a:prstGeom>
                    <a:noFill/>
                    <a:ln w="9525">
                      <a:solidFill>
                        <a:schemeClr val="tx1"/>
                      </a:solidFill>
                    </a:ln>
                  </pic:spPr>
                </pic:pic>
              </a:graphicData>
            </a:graphic>
          </wp:inline>
        </w:drawing>
      </w:r>
    </w:p>
    <w:p w:rsidR="007F7BE6" w:rsidRPr="005747BD" w:rsidRDefault="007F7BE6" w:rsidP="007F7BE6">
      <w:pPr>
        <w:pStyle w:val="Caption"/>
        <w:rPr>
          <w:b w:val="0"/>
          <w:color w:val="auto"/>
          <w:lang w:val="en-US"/>
        </w:rPr>
      </w:pPr>
      <w:r w:rsidRPr="005747BD">
        <w:rPr>
          <w:color w:val="auto"/>
          <w:lang w:val="en-US"/>
        </w:rPr>
        <w:t xml:space="preserve">Figuur </w:t>
      </w:r>
      <w:r w:rsidR="006530F6" w:rsidRPr="001F6F2B">
        <w:rPr>
          <w:color w:val="auto"/>
        </w:rPr>
        <w:fldChar w:fldCharType="begin"/>
      </w:r>
      <w:r w:rsidRPr="005747BD">
        <w:rPr>
          <w:color w:val="auto"/>
          <w:lang w:val="en-US"/>
        </w:rPr>
        <w:instrText xml:space="preserve"> SEQ Figuur \* ARABIC </w:instrText>
      </w:r>
      <w:r w:rsidR="006530F6" w:rsidRPr="001F6F2B">
        <w:rPr>
          <w:color w:val="auto"/>
        </w:rPr>
        <w:fldChar w:fldCharType="separate"/>
      </w:r>
      <w:r w:rsidR="003D24A6" w:rsidRPr="005747BD">
        <w:rPr>
          <w:noProof/>
          <w:color w:val="auto"/>
          <w:lang w:val="en-US"/>
        </w:rPr>
        <w:t>10</w:t>
      </w:r>
      <w:r w:rsidR="006530F6" w:rsidRPr="001F6F2B">
        <w:rPr>
          <w:color w:val="auto"/>
        </w:rPr>
        <w:fldChar w:fldCharType="end"/>
      </w:r>
      <w:r w:rsidRPr="005747BD">
        <w:rPr>
          <w:color w:val="auto"/>
          <w:lang w:val="en-US"/>
        </w:rPr>
        <w:t xml:space="preserve">: </w:t>
      </w:r>
      <w:r w:rsidRPr="005747BD">
        <w:rPr>
          <w:b w:val="0"/>
          <w:color w:val="auto"/>
          <w:lang w:val="en-US"/>
        </w:rPr>
        <w:t xml:space="preserve">Boston Consulting Matrix, uit </w:t>
      </w:r>
      <w:sdt>
        <w:sdtPr>
          <w:rPr>
            <w:b w:val="0"/>
            <w:color w:val="auto"/>
          </w:rPr>
          <w:id w:val="225509925"/>
          <w:citation/>
        </w:sdtPr>
        <w:sdtContent>
          <w:r w:rsidR="006530F6" w:rsidRPr="001C4C9C">
            <w:rPr>
              <w:b w:val="0"/>
              <w:color w:val="auto"/>
            </w:rPr>
            <w:fldChar w:fldCharType="begin"/>
          </w:r>
          <w:r w:rsidRPr="005747BD">
            <w:rPr>
              <w:b w:val="0"/>
              <w:color w:val="auto"/>
              <w:lang w:val="en-US"/>
            </w:rPr>
            <w:instrText xml:space="preserve"> CITATION Dib91 \l 1043 </w:instrText>
          </w:r>
          <w:r w:rsidR="006530F6" w:rsidRPr="001C4C9C">
            <w:rPr>
              <w:b w:val="0"/>
              <w:color w:val="auto"/>
            </w:rPr>
            <w:fldChar w:fldCharType="separate"/>
          </w:r>
          <w:r w:rsidR="000145AA" w:rsidRPr="005747BD">
            <w:rPr>
              <w:noProof/>
              <w:color w:val="auto"/>
              <w:lang w:val="en-US"/>
            </w:rPr>
            <w:t>(Dibb, Simkin, Pride, &amp; Ferrel, 1991)</w:t>
          </w:r>
          <w:r w:rsidR="006530F6" w:rsidRPr="001C4C9C">
            <w:rPr>
              <w:b w:val="0"/>
              <w:color w:val="auto"/>
            </w:rPr>
            <w:fldChar w:fldCharType="end"/>
          </w:r>
        </w:sdtContent>
      </w:sdt>
      <w:r w:rsidRPr="005747BD">
        <w:rPr>
          <w:b w:val="0"/>
          <w:color w:val="auto"/>
          <w:lang w:val="en-US"/>
        </w:rPr>
        <w:t xml:space="preserve">. </w:t>
      </w:r>
    </w:p>
    <w:p w:rsidR="001C4C9C" w:rsidRPr="005747BD" w:rsidRDefault="001C4C9C" w:rsidP="001C4C9C">
      <w:pPr>
        <w:pStyle w:val="Heading3"/>
        <w:numPr>
          <w:ilvl w:val="0"/>
          <w:numId w:val="0"/>
        </w:numPr>
        <w:ind w:left="720" w:hanging="720"/>
        <w:rPr>
          <w:color w:val="auto"/>
          <w:sz w:val="26"/>
          <w:szCs w:val="26"/>
          <w:lang w:val="en-US"/>
        </w:rPr>
      </w:pPr>
    </w:p>
    <w:p w:rsidR="007F7BE6" w:rsidRPr="00FD5F4D" w:rsidRDefault="007F7BE6" w:rsidP="005D6817">
      <w:pPr>
        <w:pStyle w:val="Heading3"/>
        <w:rPr>
          <w:color w:val="auto"/>
          <w:sz w:val="26"/>
          <w:szCs w:val="26"/>
        </w:rPr>
      </w:pPr>
      <w:bookmarkStart w:id="20" w:name="_Toc391468000"/>
      <w:r w:rsidRPr="00FD5F4D">
        <w:rPr>
          <w:color w:val="auto"/>
        </w:rPr>
        <w:t>Shift-Share Analyse</w:t>
      </w:r>
      <w:bookmarkEnd w:id="20"/>
    </w:p>
    <w:p w:rsidR="00A21BE4" w:rsidRDefault="007F7BE6" w:rsidP="007F7BE6">
      <w:pPr>
        <w:pStyle w:val="NoSpacing"/>
        <w:spacing w:before="100" w:line="360" w:lineRule="auto"/>
        <w:jc w:val="both"/>
      </w:pPr>
      <w:r>
        <w:t xml:space="preserve">Een tweede middel om de strategische positie van een zeehaven te bepalen is de Shift-Share Analyse (SSA). Deze kan op verschillende manieren worden toegepast, in de meest eenvoudige vorm zoals De Langen et al. </w:t>
      </w:r>
      <w:proofErr w:type="gramStart"/>
      <w:r>
        <w:t>hem</w:t>
      </w:r>
      <w:proofErr w:type="gramEnd"/>
      <w:r>
        <w:t xml:space="preserve"> hebben opgesteld </w:t>
      </w:r>
      <w:sdt>
        <w:sdtPr>
          <w:id w:val="725873051"/>
          <w:citation/>
        </w:sdtPr>
        <w:sdtContent>
          <w:r w:rsidR="006530F6">
            <w:fldChar w:fldCharType="begin"/>
          </w:r>
          <w:r>
            <w:instrText xml:space="preserve"> CITATION deL12 \l 1043 </w:instrText>
          </w:r>
          <w:r w:rsidR="006530F6">
            <w:fldChar w:fldCharType="separate"/>
          </w:r>
          <w:r w:rsidR="000145AA">
            <w:rPr>
              <w:noProof/>
            </w:rPr>
            <w:t>(de Langen, Nijdam, &amp; van der Lugt, 2012)</w:t>
          </w:r>
          <w:r w:rsidR="006530F6">
            <w:fldChar w:fldCharType="end"/>
          </w:r>
        </w:sdtContent>
      </w:sdt>
      <w:r>
        <w:t xml:space="preserve">. Deze laten zien hoe de groei van de havens zich verhoudt ten opzichte van andere havens, </w:t>
      </w:r>
      <w:proofErr w:type="gramStart"/>
      <w:r>
        <w:t>oftewel</w:t>
      </w:r>
      <w:proofErr w:type="gramEnd"/>
      <w:r>
        <w:t xml:space="preserve"> is de groei ‘pure’ of is er ook sprake van een shift-effect. Haezendonck et al. </w:t>
      </w:r>
      <w:proofErr w:type="gramStart"/>
      <w:r>
        <w:t>gaan</w:t>
      </w:r>
      <w:proofErr w:type="gramEnd"/>
      <w:r>
        <w:t xml:space="preserve"> een stap verder en verdelen dit shift-effect in een ‘commodity-effect’ en een ‘competitiveness-shift’, waarbij de eerstgenoemde een weergave geeft van de mate waarin een haven gespecialiseerd is in de best presterende cargogroepen. De tweede geeft een weergave van hoe een haven heeft gepresteerd in deze best presterende cargogroepen ten opzichte van haar concurrenten </w:t>
      </w:r>
      <w:sdt>
        <w:sdtPr>
          <w:id w:val="-789818219"/>
          <w:citation/>
        </w:sdtPr>
        <w:sdtContent>
          <w:r w:rsidR="006530F6">
            <w:fldChar w:fldCharType="begin"/>
          </w:r>
          <w:r>
            <w:instrText xml:space="preserve"> CITATION Hae06 \l 1043 </w:instrText>
          </w:r>
          <w:r w:rsidR="006530F6">
            <w:fldChar w:fldCharType="separate"/>
          </w:r>
          <w:r w:rsidR="000145AA">
            <w:rPr>
              <w:noProof/>
            </w:rPr>
            <w:t>(Haezendonck, Verbeke, &amp; Coeck, 2006)</w:t>
          </w:r>
          <w:r w:rsidR="006530F6">
            <w:fldChar w:fldCharType="end"/>
          </w:r>
        </w:sdtContent>
      </w:sdt>
      <w:r>
        <w:t xml:space="preserve">. Ten slotte geeft Teurelincx eenzelfde soort weergave, waarbij hij echter ook een matrix maakt van de cargogroepen binnen een bepaalde haven (decomposition matrix) </w:t>
      </w:r>
      <w:sdt>
        <w:sdtPr>
          <w:id w:val="1908953882"/>
          <w:citation/>
        </w:sdtPr>
        <w:sdtContent>
          <w:r w:rsidR="006530F6">
            <w:fldChar w:fldCharType="begin"/>
          </w:r>
          <w:r>
            <w:instrText xml:space="preserve"> CITATION Teu00 \l 1043 </w:instrText>
          </w:r>
          <w:r w:rsidR="006530F6">
            <w:fldChar w:fldCharType="separate"/>
          </w:r>
          <w:r w:rsidR="000145AA">
            <w:rPr>
              <w:noProof/>
            </w:rPr>
            <w:t>(Teurelincx, 2000)</w:t>
          </w:r>
          <w:r w:rsidR="006530F6">
            <w:fldChar w:fldCharType="end"/>
          </w:r>
        </w:sdtContent>
      </w:sdt>
      <w:r>
        <w:t xml:space="preserve">. </w:t>
      </w:r>
    </w:p>
    <w:p w:rsidR="00A21BE4" w:rsidRDefault="00A21BE4">
      <w:r>
        <w:br w:type="page"/>
      </w:r>
    </w:p>
    <w:p w:rsidR="007F7BE6" w:rsidRDefault="007F7BE6" w:rsidP="005D6817">
      <w:pPr>
        <w:pStyle w:val="Heading2"/>
        <w:rPr>
          <w:color w:val="auto"/>
        </w:rPr>
      </w:pPr>
      <w:bookmarkStart w:id="21" w:name="_Toc391468001"/>
      <w:r w:rsidRPr="001574B1">
        <w:rPr>
          <w:color w:val="auto"/>
        </w:rPr>
        <w:lastRenderedPageBreak/>
        <w:t>Casus: ontwikkeling concurrentiepositie Zeeuwse havens</w:t>
      </w:r>
      <w:bookmarkEnd w:id="21"/>
    </w:p>
    <w:p w:rsidR="007F7BE6" w:rsidRDefault="007F7BE6" w:rsidP="007F7BE6">
      <w:pPr>
        <w:pStyle w:val="NoSpacing"/>
        <w:spacing w:before="100" w:line="360" w:lineRule="auto"/>
        <w:jc w:val="both"/>
      </w:pPr>
      <w:r>
        <w:t xml:space="preserve">Voor de Zeeuwse havens is het van belang dat er wordt gekeken naar de ontwikkeling van hun concurrentiepositie over de jaren heen. Dit vooral om te bezien of een relatief kleinere haven bestand is tegen de ontwikkelende containerisatie en daarmee groeiende grootmachten als Rotterdam en Antwerpen. Om deze positie en de ontwikkeling hiervan uit een te zetten, wordt in deze paragraaf onder andere de in de voorgaande paragraaf besproken theorie toegepast op de casus van de Zeeuwse havens. Ten eerste wordt er stil gestaan bij de belangrijkste concurrenten van de Zeeuwse havens, waarna wordt gekeken naar de ontwikkeling van de concurrentiepositie ten opzichte van deze belangrijkste concurrenten. </w:t>
      </w:r>
    </w:p>
    <w:p w:rsidR="007F7BE6" w:rsidRDefault="007F7BE6" w:rsidP="005D6817">
      <w:pPr>
        <w:pStyle w:val="Heading3"/>
        <w:rPr>
          <w:color w:val="auto"/>
        </w:rPr>
      </w:pPr>
      <w:bookmarkStart w:id="22" w:name="_Toc391468002"/>
      <w:r w:rsidRPr="00A91225">
        <w:rPr>
          <w:color w:val="auto"/>
        </w:rPr>
        <w:t>Concurrenten Zeeuwse havens</w:t>
      </w:r>
      <w:bookmarkEnd w:id="22"/>
    </w:p>
    <w:p w:rsidR="00A21BE4" w:rsidRDefault="007F7BE6" w:rsidP="007F7BE6">
      <w:pPr>
        <w:pStyle w:val="NoSpacing"/>
        <w:spacing w:before="100" w:line="360" w:lineRule="auto"/>
        <w:jc w:val="both"/>
      </w:pPr>
      <w:r>
        <w:t>Het bepalen van de concurrenten van de Zeeuwse havens is de eerste stap in het bepalen van de concurrentiepositie. In onderstaande tabel staan de aandelen van elke categorie in de totale overslag van de zeehaven aangegeven. Dit is gedaan voor de hele Hamburg-Le Havre-range, aangezien al deze havens potentiële concurrenten zijn van de Zeeuwse havens. Uit deze tabel blijkt dat de Zeeuwse havens (blauwe tekst) een ten opzichte van de andere havens groot aandeel in stukgoed en droog bulkgoed overslaan (</w:t>
      </w:r>
      <w:proofErr w:type="gramStart"/>
      <w:r>
        <w:t>respectievelijk</w:t>
      </w:r>
      <w:proofErr w:type="gramEnd"/>
      <w:r>
        <w:t xml:space="preserve"> 32,2 en 24,1 procent ten opzichte van gemiddeld 20,6 en 3,6 procent). Hieruit blijkt dat de Zeeuwse havens zich vooral focussen op de overslag van droog bulkgoed en stukgoed, zoals landbouwproducten en meststoffen</w:t>
      </w:r>
      <w:r>
        <w:rPr>
          <w:rStyle w:val="FootnoteReference"/>
        </w:rPr>
        <w:footnoteReference w:id="11"/>
      </w:r>
      <w:r>
        <w:t xml:space="preserve"> en nauwelijks op de overslag van containers. De havens die op dit gebied als concurrenten kunnen worden gezien zijn voor droog bulkgoed Amsterdam, Gent en Duinkerken en v</w:t>
      </w:r>
      <w:r w:rsidR="00A21BE4">
        <w:t xml:space="preserve">oor stukgoed Gent en Amsterdam. Zeebrugge, vaak gezien als concurrent van de Zeeuwse havens, blijkt uit onderstaande tabel dus achterwege te kunnen worden gelaten in zowel de categorie van droog bulkgoed en stukgoed. Zoals in tabel 2 is te zien, focust Zeebrugge zich </w:t>
      </w:r>
      <w:proofErr w:type="gramStart"/>
      <w:r w:rsidR="00A21BE4">
        <w:t>met name</w:t>
      </w:r>
      <w:proofErr w:type="gramEnd"/>
      <w:r w:rsidR="00A21BE4">
        <w:t xml:space="preserve"> op containers en Roll-on/Roll-off. </w:t>
      </w:r>
    </w:p>
    <w:p w:rsidR="00A21BE4" w:rsidRDefault="00A21BE4">
      <w:r>
        <w:br w:type="page"/>
      </w:r>
    </w:p>
    <w:tbl>
      <w:tblPr>
        <w:tblStyle w:val="LightShading"/>
        <w:tblW w:w="5000" w:type="pct"/>
        <w:shd w:val="clear" w:color="auto" w:fill="FFFFFF" w:themeFill="background1"/>
        <w:tblLook w:val="04A0"/>
      </w:tblPr>
      <w:tblGrid>
        <w:gridCol w:w="1672"/>
        <w:gridCol w:w="1473"/>
        <w:gridCol w:w="1577"/>
        <w:gridCol w:w="1577"/>
        <w:gridCol w:w="1640"/>
        <w:gridCol w:w="1349"/>
      </w:tblGrid>
      <w:tr w:rsidR="007F7BE6" w:rsidRPr="002213E6" w:rsidTr="00A21BE4">
        <w:trPr>
          <w:cnfStyle w:val="100000000000"/>
          <w:trHeight w:val="300"/>
        </w:trPr>
        <w:tc>
          <w:tcPr>
            <w:cnfStyle w:val="001000000000"/>
            <w:tcW w:w="900" w:type="pct"/>
            <w:shd w:val="clear" w:color="auto" w:fill="D9D9D9" w:themeFill="background1" w:themeFillShade="D9"/>
            <w:noWrap/>
            <w:hideMark/>
          </w:tcPr>
          <w:p w:rsidR="007F7BE6" w:rsidRPr="002213E6" w:rsidRDefault="007F7BE6" w:rsidP="007D44FA">
            <w:pPr>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lastRenderedPageBreak/>
              <w:t>Haven</w:t>
            </w:r>
          </w:p>
        </w:tc>
        <w:tc>
          <w:tcPr>
            <w:tcW w:w="793" w:type="pct"/>
            <w:shd w:val="clear" w:color="auto" w:fill="D9D9D9" w:themeFill="background1" w:themeFillShade="D9"/>
            <w:noWrap/>
            <w:hideMark/>
          </w:tcPr>
          <w:p w:rsidR="007F7BE6" w:rsidRPr="002213E6" w:rsidRDefault="007F7BE6" w:rsidP="007D44FA">
            <w:pPr>
              <w:cnfStyle w:val="1000000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 xml:space="preserve">Droog </w:t>
            </w:r>
          </w:p>
        </w:tc>
        <w:tc>
          <w:tcPr>
            <w:tcW w:w="849" w:type="pct"/>
            <w:shd w:val="clear" w:color="auto" w:fill="D9D9D9" w:themeFill="background1" w:themeFillShade="D9"/>
            <w:noWrap/>
            <w:hideMark/>
          </w:tcPr>
          <w:p w:rsidR="007F7BE6" w:rsidRPr="002213E6" w:rsidRDefault="007F7BE6" w:rsidP="007D44FA">
            <w:pPr>
              <w:cnfStyle w:val="1000000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Nat</w:t>
            </w:r>
          </w:p>
        </w:tc>
        <w:tc>
          <w:tcPr>
            <w:tcW w:w="849" w:type="pct"/>
            <w:shd w:val="clear" w:color="auto" w:fill="D9D9D9" w:themeFill="background1" w:themeFillShade="D9"/>
            <w:noWrap/>
            <w:hideMark/>
          </w:tcPr>
          <w:p w:rsidR="007F7BE6" w:rsidRPr="002213E6" w:rsidRDefault="007F7BE6" w:rsidP="007D44FA">
            <w:pPr>
              <w:cnfStyle w:val="1000000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Containers</w:t>
            </w:r>
          </w:p>
        </w:tc>
        <w:tc>
          <w:tcPr>
            <w:tcW w:w="883" w:type="pct"/>
            <w:shd w:val="clear" w:color="auto" w:fill="D9D9D9" w:themeFill="background1" w:themeFillShade="D9"/>
            <w:noWrap/>
            <w:hideMark/>
          </w:tcPr>
          <w:p w:rsidR="007F7BE6" w:rsidRPr="002213E6" w:rsidRDefault="007F7BE6" w:rsidP="007D44FA">
            <w:pPr>
              <w:cnfStyle w:val="1000000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Roll-on/Roll-off</w:t>
            </w:r>
          </w:p>
        </w:tc>
        <w:tc>
          <w:tcPr>
            <w:tcW w:w="726" w:type="pct"/>
            <w:shd w:val="clear" w:color="auto" w:fill="D9D9D9" w:themeFill="background1" w:themeFillShade="D9"/>
            <w:noWrap/>
            <w:hideMark/>
          </w:tcPr>
          <w:p w:rsidR="007F7BE6" w:rsidRPr="002213E6" w:rsidRDefault="007F7BE6" w:rsidP="007D44FA">
            <w:pPr>
              <w:cnfStyle w:val="100000000000"/>
              <w:rPr>
                <w:rFonts w:ascii="Calibri" w:eastAsia="Times New Roman" w:hAnsi="Calibri" w:cs="Times New Roman"/>
                <w:color w:val="000000"/>
                <w:lang w:eastAsia="nl-NL"/>
              </w:rPr>
            </w:pPr>
            <w:r>
              <w:rPr>
                <w:rFonts w:ascii="Calibri" w:eastAsia="Times New Roman" w:hAnsi="Calibri" w:cs="Times New Roman"/>
                <w:color w:val="000000"/>
                <w:lang w:eastAsia="nl-NL"/>
              </w:rPr>
              <w:t>Stuk</w:t>
            </w:r>
            <w:r w:rsidRPr="002213E6">
              <w:rPr>
                <w:rFonts w:ascii="Calibri" w:eastAsia="Times New Roman" w:hAnsi="Calibri" w:cs="Times New Roman"/>
                <w:color w:val="000000"/>
                <w:lang w:eastAsia="nl-NL"/>
              </w:rPr>
              <w:t xml:space="preserve"> </w:t>
            </w:r>
          </w:p>
        </w:tc>
      </w:tr>
      <w:tr w:rsidR="007F7BE6" w:rsidRPr="002213E6" w:rsidTr="00A21BE4">
        <w:trPr>
          <w:cnfStyle w:val="000000100000"/>
          <w:trHeight w:val="300"/>
        </w:trPr>
        <w:tc>
          <w:tcPr>
            <w:cnfStyle w:val="001000000000"/>
            <w:tcW w:w="900" w:type="pct"/>
            <w:shd w:val="clear" w:color="auto" w:fill="FFFFFF" w:themeFill="background1"/>
            <w:noWrap/>
            <w:hideMark/>
          </w:tcPr>
          <w:p w:rsidR="007F7BE6" w:rsidRPr="002213E6" w:rsidRDefault="007F7BE6" w:rsidP="007D44FA">
            <w:pPr>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Hamburg</w:t>
            </w:r>
          </w:p>
        </w:tc>
        <w:tc>
          <w:tcPr>
            <w:tcW w:w="793" w:type="pct"/>
            <w:shd w:val="clear" w:color="auto" w:fill="FFFFFF" w:themeFill="background1"/>
            <w:noWrap/>
            <w:hideMark/>
          </w:tcPr>
          <w:p w:rsidR="007F7BE6" w:rsidRPr="002213E6" w:rsidRDefault="007F7BE6" w:rsidP="007D44FA">
            <w:pPr>
              <w:cnfStyle w:val="0000001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20,0%</w:t>
            </w:r>
          </w:p>
        </w:tc>
        <w:tc>
          <w:tcPr>
            <w:tcW w:w="849" w:type="pct"/>
            <w:shd w:val="clear" w:color="auto" w:fill="FFFFFF" w:themeFill="background1"/>
            <w:noWrap/>
            <w:hideMark/>
          </w:tcPr>
          <w:p w:rsidR="007F7BE6" w:rsidRPr="002213E6" w:rsidRDefault="007F7BE6" w:rsidP="007D44FA">
            <w:pPr>
              <w:cnfStyle w:val="0000001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10,5%</w:t>
            </w:r>
          </w:p>
        </w:tc>
        <w:tc>
          <w:tcPr>
            <w:tcW w:w="849" w:type="pct"/>
            <w:shd w:val="clear" w:color="auto" w:fill="FFFFFF" w:themeFill="background1"/>
            <w:noWrap/>
            <w:hideMark/>
          </w:tcPr>
          <w:p w:rsidR="007F7BE6" w:rsidRPr="002213E6" w:rsidRDefault="007F7BE6" w:rsidP="007D44FA">
            <w:pPr>
              <w:cnfStyle w:val="0000001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68,2%</w:t>
            </w:r>
          </w:p>
        </w:tc>
        <w:tc>
          <w:tcPr>
            <w:tcW w:w="883" w:type="pct"/>
            <w:shd w:val="clear" w:color="auto" w:fill="FFFFFF" w:themeFill="background1"/>
            <w:noWrap/>
            <w:hideMark/>
          </w:tcPr>
          <w:p w:rsidR="007F7BE6" w:rsidRPr="002213E6" w:rsidRDefault="007F7BE6" w:rsidP="007D44FA">
            <w:pPr>
              <w:cnfStyle w:val="000000100000"/>
              <w:rPr>
                <w:rFonts w:ascii="Calibri" w:eastAsia="Times New Roman" w:hAnsi="Calibri" w:cs="Times New Roman"/>
                <w:i/>
                <w:color w:val="000000"/>
                <w:lang w:eastAsia="nl-NL"/>
              </w:rPr>
            </w:pPr>
            <w:r w:rsidRPr="000B46EB">
              <w:rPr>
                <w:rFonts w:ascii="Calibri" w:eastAsia="Times New Roman" w:hAnsi="Calibri" w:cs="Times New Roman"/>
                <w:i/>
                <w:color w:val="000000"/>
                <w:lang w:eastAsia="nl-NL"/>
              </w:rPr>
              <w:t>in stuk</w:t>
            </w:r>
          </w:p>
        </w:tc>
        <w:tc>
          <w:tcPr>
            <w:tcW w:w="726" w:type="pct"/>
            <w:shd w:val="clear" w:color="auto" w:fill="FFFFFF" w:themeFill="background1"/>
            <w:noWrap/>
            <w:hideMark/>
          </w:tcPr>
          <w:p w:rsidR="007F7BE6" w:rsidRPr="002213E6" w:rsidRDefault="007F7BE6" w:rsidP="007D44FA">
            <w:pPr>
              <w:cnfStyle w:val="0000001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1,4%</w:t>
            </w:r>
          </w:p>
        </w:tc>
      </w:tr>
      <w:tr w:rsidR="007F7BE6" w:rsidRPr="002213E6" w:rsidTr="00A21BE4">
        <w:trPr>
          <w:trHeight w:val="300"/>
        </w:trPr>
        <w:tc>
          <w:tcPr>
            <w:cnfStyle w:val="001000000000"/>
            <w:tcW w:w="900" w:type="pct"/>
            <w:shd w:val="clear" w:color="auto" w:fill="FFFFFF" w:themeFill="background1"/>
            <w:noWrap/>
            <w:hideMark/>
          </w:tcPr>
          <w:p w:rsidR="007F7BE6" w:rsidRPr="002213E6" w:rsidRDefault="007F7BE6" w:rsidP="007D44FA">
            <w:pPr>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Bremerhaven</w:t>
            </w:r>
          </w:p>
        </w:tc>
        <w:tc>
          <w:tcPr>
            <w:tcW w:w="793" w:type="pct"/>
            <w:shd w:val="clear" w:color="auto" w:fill="FFFFFF" w:themeFill="background1"/>
            <w:noWrap/>
            <w:hideMark/>
          </w:tcPr>
          <w:p w:rsidR="007F7BE6" w:rsidRPr="002213E6" w:rsidRDefault="007F7BE6" w:rsidP="007D44FA">
            <w:pPr>
              <w:cnfStyle w:val="0000000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10,6%</w:t>
            </w:r>
          </w:p>
        </w:tc>
        <w:tc>
          <w:tcPr>
            <w:tcW w:w="849" w:type="pct"/>
            <w:shd w:val="clear" w:color="auto" w:fill="FFFFFF" w:themeFill="background1"/>
            <w:noWrap/>
            <w:hideMark/>
          </w:tcPr>
          <w:p w:rsidR="007F7BE6" w:rsidRPr="002213E6" w:rsidRDefault="007F7BE6" w:rsidP="007D44FA">
            <w:pPr>
              <w:cnfStyle w:val="0000000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2,0%</w:t>
            </w:r>
          </w:p>
        </w:tc>
        <w:tc>
          <w:tcPr>
            <w:tcW w:w="849" w:type="pct"/>
            <w:shd w:val="clear" w:color="auto" w:fill="FFFFFF" w:themeFill="background1"/>
            <w:noWrap/>
            <w:hideMark/>
          </w:tcPr>
          <w:p w:rsidR="007F7BE6" w:rsidRPr="002213E6" w:rsidRDefault="007F7BE6" w:rsidP="007D44FA">
            <w:pPr>
              <w:cnfStyle w:val="0000000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77,4%</w:t>
            </w:r>
          </w:p>
        </w:tc>
        <w:tc>
          <w:tcPr>
            <w:tcW w:w="883" w:type="pct"/>
            <w:shd w:val="clear" w:color="auto" w:fill="FFFFFF" w:themeFill="background1"/>
            <w:noWrap/>
            <w:hideMark/>
          </w:tcPr>
          <w:p w:rsidR="007F7BE6" w:rsidRPr="002213E6" w:rsidRDefault="007F7BE6" w:rsidP="007D44FA">
            <w:pPr>
              <w:cnfStyle w:val="0000000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5,2%</w:t>
            </w:r>
          </w:p>
        </w:tc>
        <w:tc>
          <w:tcPr>
            <w:tcW w:w="726" w:type="pct"/>
            <w:shd w:val="clear" w:color="auto" w:fill="FFFFFF" w:themeFill="background1"/>
            <w:noWrap/>
            <w:hideMark/>
          </w:tcPr>
          <w:p w:rsidR="007F7BE6" w:rsidRPr="002213E6" w:rsidRDefault="007F7BE6" w:rsidP="007D44FA">
            <w:pPr>
              <w:cnfStyle w:val="0000000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4,8%</w:t>
            </w:r>
          </w:p>
        </w:tc>
      </w:tr>
      <w:tr w:rsidR="007F7BE6" w:rsidRPr="002213E6" w:rsidTr="00A21BE4">
        <w:trPr>
          <w:cnfStyle w:val="000000100000"/>
          <w:trHeight w:val="300"/>
        </w:trPr>
        <w:tc>
          <w:tcPr>
            <w:cnfStyle w:val="001000000000"/>
            <w:tcW w:w="900" w:type="pct"/>
            <w:shd w:val="clear" w:color="auto" w:fill="FFFFFF" w:themeFill="background1"/>
            <w:noWrap/>
            <w:hideMark/>
          </w:tcPr>
          <w:p w:rsidR="007F7BE6" w:rsidRPr="002213E6" w:rsidRDefault="007F7BE6" w:rsidP="007D44FA">
            <w:pPr>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Wil</w:t>
            </w:r>
            <w:r>
              <w:rPr>
                <w:rFonts w:ascii="Calibri" w:eastAsia="Times New Roman" w:hAnsi="Calibri" w:cs="Times New Roman"/>
                <w:color w:val="000000"/>
                <w:lang w:eastAsia="nl-NL"/>
              </w:rPr>
              <w:t>le</w:t>
            </w:r>
            <w:r w:rsidRPr="002213E6">
              <w:rPr>
                <w:rFonts w:ascii="Calibri" w:eastAsia="Times New Roman" w:hAnsi="Calibri" w:cs="Times New Roman"/>
                <w:color w:val="000000"/>
                <w:lang w:eastAsia="nl-NL"/>
              </w:rPr>
              <w:t>mshaven</w:t>
            </w:r>
          </w:p>
        </w:tc>
        <w:tc>
          <w:tcPr>
            <w:tcW w:w="793" w:type="pct"/>
            <w:shd w:val="clear" w:color="auto" w:fill="FFFFFF" w:themeFill="background1"/>
            <w:noWrap/>
            <w:hideMark/>
          </w:tcPr>
          <w:p w:rsidR="007F7BE6" w:rsidRPr="002213E6" w:rsidRDefault="007F7BE6" w:rsidP="007D44FA">
            <w:pPr>
              <w:cnfStyle w:val="0000001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17,9%</w:t>
            </w:r>
          </w:p>
        </w:tc>
        <w:tc>
          <w:tcPr>
            <w:tcW w:w="849" w:type="pct"/>
            <w:shd w:val="clear" w:color="auto" w:fill="FFFFFF" w:themeFill="background1"/>
            <w:noWrap/>
            <w:hideMark/>
          </w:tcPr>
          <w:p w:rsidR="007F7BE6" w:rsidRPr="002213E6" w:rsidRDefault="007F7BE6" w:rsidP="007D44FA">
            <w:pPr>
              <w:cnfStyle w:val="0000001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79,5%</w:t>
            </w:r>
          </w:p>
        </w:tc>
        <w:tc>
          <w:tcPr>
            <w:tcW w:w="849" w:type="pct"/>
            <w:shd w:val="clear" w:color="auto" w:fill="FFFFFF" w:themeFill="background1"/>
            <w:noWrap/>
            <w:hideMark/>
          </w:tcPr>
          <w:p w:rsidR="007F7BE6" w:rsidRPr="002213E6" w:rsidRDefault="007F7BE6" w:rsidP="007D44FA">
            <w:pPr>
              <w:cnfStyle w:val="0000001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2,5%</w:t>
            </w:r>
          </w:p>
        </w:tc>
        <w:tc>
          <w:tcPr>
            <w:tcW w:w="883" w:type="pct"/>
            <w:shd w:val="clear" w:color="auto" w:fill="FFFFFF" w:themeFill="background1"/>
            <w:noWrap/>
            <w:hideMark/>
          </w:tcPr>
          <w:p w:rsidR="007F7BE6" w:rsidRPr="002213E6" w:rsidRDefault="007F7BE6" w:rsidP="007D44FA">
            <w:pPr>
              <w:cnfStyle w:val="000000100000"/>
              <w:rPr>
                <w:rFonts w:ascii="Calibri" w:eastAsia="Times New Roman" w:hAnsi="Calibri" w:cs="Times New Roman"/>
                <w:i/>
                <w:color w:val="000000"/>
                <w:lang w:eastAsia="nl-NL"/>
              </w:rPr>
            </w:pPr>
            <w:r w:rsidRPr="000B46EB">
              <w:rPr>
                <w:rFonts w:ascii="Calibri" w:eastAsia="Times New Roman" w:hAnsi="Calibri" w:cs="Times New Roman"/>
                <w:i/>
                <w:color w:val="000000"/>
                <w:lang w:eastAsia="nl-NL"/>
              </w:rPr>
              <w:t>in stuk</w:t>
            </w:r>
          </w:p>
        </w:tc>
        <w:tc>
          <w:tcPr>
            <w:tcW w:w="726" w:type="pct"/>
            <w:shd w:val="clear" w:color="auto" w:fill="FFFFFF" w:themeFill="background1"/>
            <w:noWrap/>
            <w:hideMark/>
          </w:tcPr>
          <w:p w:rsidR="007F7BE6" w:rsidRPr="002213E6" w:rsidRDefault="007F7BE6" w:rsidP="007D44FA">
            <w:pPr>
              <w:cnfStyle w:val="0000001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0,1%</w:t>
            </w:r>
          </w:p>
        </w:tc>
      </w:tr>
      <w:tr w:rsidR="007F7BE6" w:rsidRPr="002213E6" w:rsidTr="00A21BE4">
        <w:trPr>
          <w:trHeight w:val="300"/>
        </w:trPr>
        <w:tc>
          <w:tcPr>
            <w:cnfStyle w:val="001000000000"/>
            <w:tcW w:w="900" w:type="pct"/>
            <w:shd w:val="clear" w:color="auto" w:fill="FFFFFF" w:themeFill="background1"/>
            <w:noWrap/>
            <w:hideMark/>
          </w:tcPr>
          <w:p w:rsidR="007F7BE6" w:rsidRPr="002213E6" w:rsidRDefault="007F7BE6" w:rsidP="007D44FA">
            <w:pPr>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Amsterdam</w:t>
            </w:r>
          </w:p>
        </w:tc>
        <w:tc>
          <w:tcPr>
            <w:tcW w:w="793" w:type="pct"/>
            <w:shd w:val="clear" w:color="auto" w:fill="FFFFFF" w:themeFill="background1"/>
            <w:noWrap/>
            <w:hideMark/>
          </w:tcPr>
          <w:p w:rsidR="007F7BE6" w:rsidRPr="002213E6" w:rsidRDefault="007F7BE6" w:rsidP="007D44FA">
            <w:pPr>
              <w:cnfStyle w:val="0000000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48,3%</w:t>
            </w:r>
          </w:p>
        </w:tc>
        <w:tc>
          <w:tcPr>
            <w:tcW w:w="849" w:type="pct"/>
            <w:shd w:val="clear" w:color="auto" w:fill="FFFFFF" w:themeFill="background1"/>
            <w:noWrap/>
            <w:hideMark/>
          </w:tcPr>
          <w:p w:rsidR="007F7BE6" w:rsidRPr="002213E6" w:rsidRDefault="007F7BE6" w:rsidP="007D44FA">
            <w:pPr>
              <w:cnfStyle w:val="0000000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42,9%</w:t>
            </w:r>
          </w:p>
        </w:tc>
        <w:tc>
          <w:tcPr>
            <w:tcW w:w="849" w:type="pct"/>
            <w:shd w:val="clear" w:color="auto" w:fill="FFFFFF" w:themeFill="background1"/>
            <w:noWrap/>
            <w:hideMark/>
          </w:tcPr>
          <w:p w:rsidR="007F7BE6" w:rsidRPr="002213E6" w:rsidRDefault="007F7BE6" w:rsidP="007D44FA">
            <w:pPr>
              <w:cnfStyle w:val="0000000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0,8%</w:t>
            </w:r>
          </w:p>
        </w:tc>
        <w:tc>
          <w:tcPr>
            <w:tcW w:w="883" w:type="pct"/>
            <w:shd w:val="clear" w:color="auto" w:fill="FFFFFF" w:themeFill="background1"/>
            <w:noWrap/>
            <w:hideMark/>
          </w:tcPr>
          <w:p w:rsidR="007F7BE6" w:rsidRPr="002213E6" w:rsidRDefault="007F7BE6" w:rsidP="007D44FA">
            <w:pPr>
              <w:cnfStyle w:val="0000000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0,5%</w:t>
            </w:r>
          </w:p>
        </w:tc>
        <w:tc>
          <w:tcPr>
            <w:tcW w:w="726" w:type="pct"/>
            <w:shd w:val="clear" w:color="auto" w:fill="FFFFFF" w:themeFill="background1"/>
            <w:noWrap/>
            <w:hideMark/>
          </w:tcPr>
          <w:p w:rsidR="007F7BE6" w:rsidRPr="002213E6" w:rsidRDefault="007F7BE6" w:rsidP="007D44FA">
            <w:pPr>
              <w:cnfStyle w:val="0000000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7,6%</w:t>
            </w:r>
          </w:p>
        </w:tc>
      </w:tr>
      <w:tr w:rsidR="007F7BE6" w:rsidRPr="002213E6" w:rsidTr="00A21BE4">
        <w:trPr>
          <w:cnfStyle w:val="000000100000"/>
          <w:trHeight w:val="300"/>
        </w:trPr>
        <w:tc>
          <w:tcPr>
            <w:cnfStyle w:val="001000000000"/>
            <w:tcW w:w="900" w:type="pct"/>
            <w:shd w:val="clear" w:color="auto" w:fill="FFFFFF" w:themeFill="background1"/>
            <w:noWrap/>
            <w:hideMark/>
          </w:tcPr>
          <w:p w:rsidR="007F7BE6" w:rsidRPr="002213E6" w:rsidRDefault="007F7BE6" w:rsidP="007D44FA">
            <w:pPr>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Rotterdam</w:t>
            </w:r>
          </w:p>
        </w:tc>
        <w:tc>
          <w:tcPr>
            <w:tcW w:w="793" w:type="pct"/>
            <w:shd w:val="clear" w:color="auto" w:fill="FFFFFF" w:themeFill="background1"/>
            <w:noWrap/>
            <w:hideMark/>
          </w:tcPr>
          <w:p w:rsidR="007F7BE6" w:rsidRPr="002213E6" w:rsidRDefault="007F7BE6" w:rsidP="007D44FA">
            <w:pPr>
              <w:cnfStyle w:val="0000001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20,2%</w:t>
            </w:r>
          </w:p>
        </w:tc>
        <w:tc>
          <w:tcPr>
            <w:tcW w:w="849" w:type="pct"/>
            <w:shd w:val="clear" w:color="auto" w:fill="FFFFFF" w:themeFill="background1"/>
            <w:noWrap/>
            <w:hideMark/>
          </w:tcPr>
          <w:p w:rsidR="007F7BE6" w:rsidRPr="002213E6" w:rsidRDefault="007F7BE6" w:rsidP="007D44FA">
            <w:pPr>
              <w:cnfStyle w:val="0000001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47,0%</w:t>
            </w:r>
          </w:p>
        </w:tc>
        <w:tc>
          <w:tcPr>
            <w:tcW w:w="849" w:type="pct"/>
            <w:shd w:val="clear" w:color="auto" w:fill="FFFFFF" w:themeFill="background1"/>
            <w:noWrap/>
            <w:hideMark/>
          </w:tcPr>
          <w:p w:rsidR="007F7BE6" w:rsidRPr="002213E6" w:rsidRDefault="007F7BE6" w:rsidP="007D44FA">
            <w:pPr>
              <w:cnfStyle w:val="0000001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27,5%</w:t>
            </w:r>
          </w:p>
        </w:tc>
        <w:tc>
          <w:tcPr>
            <w:tcW w:w="883" w:type="pct"/>
            <w:shd w:val="clear" w:color="auto" w:fill="FFFFFF" w:themeFill="background1"/>
            <w:noWrap/>
            <w:hideMark/>
          </w:tcPr>
          <w:p w:rsidR="007F7BE6" w:rsidRPr="002213E6" w:rsidRDefault="007F7BE6" w:rsidP="007D44FA">
            <w:pPr>
              <w:cnfStyle w:val="0000001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4,2%</w:t>
            </w:r>
          </w:p>
        </w:tc>
        <w:tc>
          <w:tcPr>
            <w:tcW w:w="726" w:type="pct"/>
            <w:shd w:val="clear" w:color="auto" w:fill="FFFFFF" w:themeFill="background1"/>
            <w:noWrap/>
            <w:hideMark/>
          </w:tcPr>
          <w:p w:rsidR="007F7BE6" w:rsidRPr="002213E6" w:rsidRDefault="007F7BE6" w:rsidP="007D44FA">
            <w:pPr>
              <w:cnfStyle w:val="0000001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1,1%</w:t>
            </w:r>
          </w:p>
        </w:tc>
      </w:tr>
      <w:tr w:rsidR="007F7BE6" w:rsidRPr="002213E6" w:rsidTr="00A21BE4">
        <w:trPr>
          <w:trHeight w:val="300"/>
        </w:trPr>
        <w:tc>
          <w:tcPr>
            <w:cnfStyle w:val="001000000000"/>
            <w:tcW w:w="900" w:type="pct"/>
            <w:shd w:val="clear" w:color="auto" w:fill="FFFFFF" w:themeFill="background1"/>
            <w:noWrap/>
            <w:hideMark/>
          </w:tcPr>
          <w:p w:rsidR="007F7BE6" w:rsidRPr="002213E6" w:rsidRDefault="007F7BE6" w:rsidP="007D44FA">
            <w:pPr>
              <w:rPr>
                <w:rFonts w:ascii="Calibri" w:eastAsia="Times New Roman" w:hAnsi="Calibri" w:cs="Times New Roman"/>
                <w:lang w:eastAsia="nl-NL"/>
              </w:rPr>
            </w:pPr>
            <w:r w:rsidRPr="002213E6">
              <w:rPr>
                <w:rFonts w:ascii="Calibri" w:eastAsia="Times New Roman" w:hAnsi="Calibri" w:cs="Times New Roman"/>
                <w:color w:val="1F497D" w:themeColor="text2"/>
                <w:lang w:eastAsia="nl-NL"/>
              </w:rPr>
              <w:t>Zeeland</w:t>
            </w:r>
          </w:p>
        </w:tc>
        <w:tc>
          <w:tcPr>
            <w:tcW w:w="793" w:type="pct"/>
            <w:shd w:val="clear" w:color="auto" w:fill="FFFFFF" w:themeFill="background1"/>
            <w:noWrap/>
            <w:hideMark/>
          </w:tcPr>
          <w:p w:rsidR="007F7BE6" w:rsidRPr="002213E6" w:rsidRDefault="007F7BE6" w:rsidP="007D44FA">
            <w:pPr>
              <w:cnfStyle w:val="000000000000"/>
              <w:rPr>
                <w:rFonts w:ascii="Calibri" w:eastAsia="Times New Roman" w:hAnsi="Calibri" w:cs="Times New Roman"/>
                <w:color w:val="1F497D" w:themeColor="text2"/>
                <w:lang w:eastAsia="nl-NL"/>
              </w:rPr>
            </w:pPr>
            <w:r w:rsidRPr="002213E6">
              <w:rPr>
                <w:rFonts w:ascii="Calibri" w:eastAsia="Times New Roman" w:hAnsi="Calibri" w:cs="Times New Roman"/>
                <w:color w:val="1F497D" w:themeColor="text2"/>
                <w:lang w:eastAsia="nl-NL"/>
              </w:rPr>
              <w:t>32,2%</w:t>
            </w:r>
          </w:p>
        </w:tc>
        <w:tc>
          <w:tcPr>
            <w:tcW w:w="849" w:type="pct"/>
            <w:shd w:val="clear" w:color="auto" w:fill="FFFFFF" w:themeFill="background1"/>
            <w:noWrap/>
            <w:hideMark/>
          </w:tcPr>
          <w:p w:rsidR="007F7BE6" w:rsidRPr="002213E6" w:rsidRDefault="007F7BE6" w:rsidP="007D44FA">
            <w:pPr>
              <w:cnfStyle w:val="000000000000"/>
              <w:rPr>
                <w:rFonts w:ascii="Calibri" w:eastAsia="Times New Roman" w:hAnsi="Calibri" w:cs="Times New Roman"/>
                <w:color w:val="1F497D" w:themeColor="text2"/>
                <w:lang w:eastAsia="nl-NL"/>
              </w:rPr>
            </w:pPr>
            <w:r w:rsidRPr="002213E6">
              <w:rPr>
                <w:rFonts w:ascii="Calibri" w:eastAsia="Times New Roman" w:hAnsi="Calibri" w:cs="Times New Roman"/>
                <w:color w:val="1F497D" w:themeColor="text2"/>
                <w:lang w:eastAsia="nl-NL"/>
              </w:rPr>
              <w:t>39,0%</w:t>
            </w:r>
          </w:p>
        </w:tc>
        <w:tc>
          <w:tcPr>
            <w:tcW w:w="849" w:type="pct"/>
            <w:shd w:val="clear" w:color="auto" w:fill="FFFFFF" w:themeFill="background1"/>
            <w:noWrap/>
            <w:hideMark/>
          </w:tcPr>
          <w:p w:rsidR="007F7BE6" w:rsidRPr="002213E6" w:rsidRDefault="007F7BE6" w:rsidP="007D44FA">
            <w:pPr>
              <w:cnfStyle w:val="000000000000"/>
              <w:rPr>
                <w:rFonts w:ascii="Calibri" w:eastAsia="Times New Roman" w:hAnsi="Calibri" w:cs="Times New Roman"/>
                <w:color w:val="1F497D" w:themeColor="text2"/>
                <w:lang w:eastAsia="nl-NL"/>
              </w:rPr>
            </w:pPr>
            <w:r w:rsidRPr="002213E6">
              <w:rPr>
                <w:rFonts w:ascii="Calibri" w:eastAsia="Times New Roman" w:hAnsi="Calibri" w:cs="Times New Roman"/>
                <w:color w:val="1F497D" w:themeColor="text2"/>
                <w:lang w:eastAsia="nl-NL"/>
              </w:rPr>
              <w:t>0,6%</w:t>
            </w:r>
          </w:p>
        </w:tc>
        <w:tc>
          <w:tcPr>
            <w:tcW w:w="883" w:type="pct"/>
            <w:shd w:val="clear" w:color="auto" w:fill="FFFFFF" w:themeFill="background1"/>
            <w:noWrap/>
            <w:hideMark/>
          </w:tcPr>
          <w:p w:rsidR="007F7BE6" w:rsidRPr="002213E6" w:rsidRDefault="007F7BE6" w:rsidP="007D44FA">
            <w:pPr>
              <w:cnfStyle w:val="000000000000"/>
              <w:rPr>
                <w:rFonts w:ascii="Calibri" w:eastAsia="Times New Roman" w:hAnsi="Calibri" w:cs="Times New Roman"/>
                <w:color w:val="1F497D" w:themeColor="text2"/>
                <w:lang w:eastAsia="nl-NL"/>
              </w:rPr>
            </w:pPr>
            <w:r w:rsidRPr="002213E6">
              <w:rPr>
                <w:rFonts w:ascii="Calibri" w:eastAsia="Times New Roman" w:hAnsi="Calibri" w:cs="Times New Roman"/>
                <w:color w:val="1F497D" w:themeColor="text2"/>
                <w:lang w:eastAsia="nl-NL"/>
              </w:rPr>
              <w:t>4,1%</w:t>
            </w:r>
          </w:p>
        </w:tc>
        <w:tc>
          <w:tcPr>
            <w:tcW w:w="726" w:type="pct"/>
            <w:shd w:val="clear" w:color="auto" w:fill="FFFFFF" w:themeFill="background1"/>
            <w:noWrap/>
            <w:hideMark/>
          </w:tcPr>
          <w:p w:rsidR="007F7BE6" w:rsidRPr="002213E6" w:rsidRDefault="007F7BE6" w:rsidP="007D44FA">
            <w:pPr>
              <w:cnfStyle w:val="000000000000"/>
              <w:rPr>
                <w:rFonts w:ascii="Calibri" w:eastAsia="Times New Roman" w:hAnsi="Calibri" w:cs="Times New Roman"/>
                <w:color w:val="1F497D" w:themeColor="text2"/>
                <w:lang w:eastAsia="nl-NL"/>
              </w:rPr>
            </w:pPr>
            <w:r w:rsidRPr="002213E6">
              <w:rPr>
                <w:rFonts w:ascii="Calibri" w:eastAsia="Times New Roman" w:hAnsi="Calibri" w:cs="Times New Roman"/>
                <w:color w:val="1F497D" w:themeColor="text2"/>
                <w:lang w:eastAsia="nl-NL"/>
              </w:rPr>
              <w:t>24,1%</w:t>
            </w:r>
          </w:p>
        </w:tc>
      </w:tr>
      <w:tr w:rsidR="007F7BE6" w:rsidRPr="002213E6" w:rsidTr="00A21BE4">
        <w:trPr>
          <w:cnfStyle w:val="000000100000"/>
          <w:trHeight w:val="300"/>
        </w:trPr>
        <w:tc>
          <w:tcPr>
            <w:cnfStyle w:val="001000000000"/>
            <w:tcW w:w="900" w:type="pct"/>
            <w:shd w:val="clear" w:color="auto" w:fill="FFFFFF" w:themeFill="background1"/>
            <w:noWrap/>
            <w:hideMark/>
          </w:tcPr>
          <w:p w:rsidR="007F7BE6" w:rsidRPr="002213E6" w:rsidRDefault="007F7BE6" w:rsidP="007D44FA">
            <w:pPr>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Zeebrugge</w:t>
            </w:r>
          </w:p>
        </w:tc>
        <w:tc>
          <w:tcPr>
            <w:tcW w:w="793" w:type="pct"/>
            <w:shd w:val="clear" w:color="auto" w:fill="FFFFFF" w:themeFill="background1"/>
            <w:noWrap/>
            <w:hideMark/>
          </w:tcPr>
          <w:p w:rsidR="007F7BE6" w:rsidRPr="002213E6" w:rsidRDefault="007F7BE6" w:rsidP="007D44FA">
            <w:pPr>
              <w:cnfStyle w:val="0000001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3,0%</w:t>
            </w:r>
          </w:p>
        </w:tc>
        <w:tc>
          <w:tcPr>
            <w:tcW w:w="849" w:type="pct"/>
            <w:shd w:val="clear" w:color="auto" w:fill="FFFFFF" w:themeFill="background1"/>
            <w:noWrap/>
            <w:hideMark/>
          </w:tcPr>
          <w:p w:rsidR="007F7BE6" w:rsidRPr="002213E6" w:rsidRDefault="007F7BE6" w:rsidP="007D44FA">
            <w:pPr>
              <w:cnfStyle w:val="0000001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16,1%</w:t>
            </w:r>
          </w:p>
        </w:tc>
        <w:tc>
          <w:tcPr>
            <w:tcW w:w="849" w:type="pct"/>
            <w:shd w:val="clear" w:color="auto" w:fill="FFFFFF" w:themeFill="background1"/>
            <w:noWrap/>
            <w:hideMark/>
          </w:tcPr>
          <w:p w:rsidR="007F7BE6" w:rsidRPr="002213E6" w:rsidRDefault="007F7BE6" w:rsidP="007D44FA">
            <w:pPr>
              <w:cnfStyle w:val="0000001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47,7%</w:t>
            </w:r>
          </w:p>
        </w:tc>
        <w:tc>
          <w:tcPr>
            <w:tcW w:w="883" w:type="pct"/>
            <w:shd w:val="clear" w:color="auto" w:fill="FFFFFF" w:themeFill="background1"/>
            <w:noWrap/>
            <w:hideMark/>
          </w:tcPr>
          <w:p w:rsidR="007F7BE6" w:rsidRPr="002213E6" w:rsidRDefault="007F7BE6" w:rsidP="007D44FA">
            <w:pPr>
              <w:cnfStyle w:val="0000001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29,3%</w:t>
            </w:r>
          </w:p>
        </w:tc>
        <w:tc>
          <w:tcPr>
            <w:tcW w:w="726" w:type="pct"/>
            <w:shd w:val="clear" w:color="auto" w:fill="FFFFFF" w:themeFill="background1"/>
            <w:noWrap/>
            <w:hideMark/>
          </w:tcPr>
          <w:p w:rsidR="007F7BE6" w:rsidRPr="002213E6" w:rsidRDefault="007F7BE6" w:rsidP="007D44FA">
            <w:pPr>
              <w:cnfStyle w:val="0000001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3,9%</w:t>
            </w:r>
          </w:p>
        </w:tc>
      </w:tr>
      <w:tr w:rsidR="007F7BE6" w:rsidRPr="002213E6" w:rsidTr="00A21BE4">
        <w:trPr>
          <w:trHeight w:val="300"/>
        </w:trPr>
        <w:tc>
          <w:tcPr>
            <w:cnfStyle w:val="001000000000"/>
            <w:tcW w:w="900" w:type="pct"/>
            <w:shd w:val="clear" w:color="auto" w:fill="FFFFFF" w:themeFill="background1"/>
            <w:noWrap/>
            <w:hideMark/>
          </w:tcPr>
          <w:p w:rsidR="007F7BE6" w:rsidRPr="002213E6" w:rsidRDefault="007F7BE6" w:rsidP="007D44FA">
            <w:pPr>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Antwerpen</w:t>
            </w:r>
          </w:p>
        </w:tc>
        <w:tc>
          <w:tcPr>
            <w:tcW w:w="793" w:type="pct"/>
            <w:shd w:val="clear" w:color="auto" w:fill="FFFFFF" w:themeFill="background1"/>
            <w:noWrap/>
            <w:hideMark/>
          </w:tcPr>
          <w:p w:rsidR="007F7BE6" w:rsidRPr="002213E6" w:rsidRDefault="007F7BE6" w:rsidP="007D44FA">
            <w:pPr>
              <w:cnfStyle w:val="0000000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7,5%</w:t>
            </w:r>
          </w:p>
        </w:tc>
        <w:tc>
          <w:tcPr>
            <w:tcW w:w="849" w:type="pct"/>
            <w:shd w:val="clear" w:color="auto" w:fill="FFFFFF" w:themeFill="background1"/>
            <w:noWrap/>
            <w:hideMark/>
          </w:tcPr>
          <w:p w:rsidR="007F7BE6" w:rsidRPr="002213E6" w:rsidRDefault="007F7BE6" w:rsidP="007D44FA">
            <w:pPr>
              <w:cnfStyle w:val="0000000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31,2%</w:t>
            </w:r>
          </w:p>
        </w:tc>
        <w:tc>
          <w:tcPr>
            <w:tcW w:w="849" w:type="pct"/>
            <w:shd w:val="clear" w:color="auto" w:fill="FFFFFF" w:themeFill="background1"/>
            <w:noWrap/>
            <w:hideMark/>
          </w:tcPr>
          <w:p w:rsidR="007F7BE6" w:rsidRPr="002213E6" w:rsidRDefault="007F7BE6" w:rsidP="007D44FA">
            <w:pPr>
              <w:cnfStyle w:val="0000000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53,6%</w:t>
            </w:r>
          </w:p>
        </w:tc>
        <w:tc>
          <w:tcPr>
            <w:tcW w:w="883" w:type="pct"/>
            <w:shd w:val="clear" w:color="auto" w:fill="FFFFFF" w:themeFill="background1"/>
            <w:noWrap/>
            <w:hideMark/>
          </w:tcPr>
          <w:p w:rsidR="007F7BE6" w:rsidRPr="002213E6" w:rsidRDefault="007F7BE6" w:rsidP="007D44FA">
            <w:pPr>
              <w:cnfStyle w:val="0000000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2,4%</w:t>
            </w:r>
          </w:p>
        </w:tc>
        <w:tc>
          <w:tcPr>
            <w:tcW w:w="726" w:type="pct"/>
            <w:shd w:val="clear" w:color="auto" w:fill="FFFFFF" w:themeFill="background1"/>
            <w:noWrap/>
            <w:hideMark/>
          </w:tcPr>
          <w:p w:rsidR="007F7BE6" w:rsidRPr="002213E6" w:rsidRDefault="007F7BE6" w:rsidP="007D44FA">
            <w:pPr>
              <w:cnfStyle w:val="0000000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5,3%</w:t>
            </w:r>
          </w:p>
        </w:tc>
      </w:tr>
      <w:tr w:rsidR="007F7BE6" w:rsidRPr="002213E6" w:rsidTr="00A21BE4">
        <w:trPr>
          <w:cnfStyle w:val="000000100000"/>
          <w:trHeight w:val="300"/>
        </w:trPr>
        <w:tc>
          <w:tcPr>
            <w:cnfStyle w:val="001000000000"/>
            <w:tcW w:w="900" w:type="pct"/>
            <w:shd w:val="clear" w:color="auto" w:fill="FFFFFF" w:themeFill="background1"/>
            <w:noWrap/>
            <w:hideMark/>
          </w:tcPr>
          <w:p w:rsidR="007F7BE6" w:rsidRPr="002213E6" w:rsidRDefault="007F7BE6" w:rsidP="007D44FA">
            <w:pPr>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Gent</w:t>
            </w:r>
          </w:p>
        </w:tc>
        <w:tc>
          <w:tcPr>
            <w:tcW w:w="793" w:type="pct"/>
            <w:shd w:val="clear" w:color="auto" w:fill="FFFFFF" w:themeFill="background1"/>
            <w:noWrap/>
            <w:hideMark/>
          </w:tcPr>
          <w:p w:rsidR="007F7BE6" w:rsidRPr="002213E6" w:rsidRDefault="007F7BE6" w:rsidP="007D44FA">
            <w:pPr>
              <w:cnfStyle w:val="0000001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63,1%</w:t>
            </w:r>
          </w:p>
        </w:tc>
        <w:tc>
          <w:tcPr>
            <w:tcW w:w="849" w:type="pct"/>
            <w:shd w:val="clear" w:color="auto" w:fill="FFFFFF" w:themeFill="background1"/>
            <w:noWrap/>
            <w:hideMark/>
          </w:tcPr>
          <w:p w:rsidR="007F7BE6" w:rsidRPr="002213E6" w:rsidRDefault="007F7BE6" w:rsidP="007D44FA">
            <w:pPr>
              <w:cnfStyle w:val="0000001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14,9%</w:t>
            </w:r>
          </w:p>
        </w:tc>
        <w:tc>
          <w:tcPr>
            <w:tcW w:w="849" w:type="pct"/>
            <w:shd w:val="clear" w:color="auto" w:fill="FFFFFF" w:themeFill="background1"/>
            <w:noWrap/>
            <w:hideMark/>
          </w:tcPr>
          <w:p w:rsidR="007F7BE6" w:rsidRPr="002213E6" w:rsidRDefault="007F7BE6" w:rsidP="007D44FA">
            <w:pPr>
              <w:cnfStyle w:val="0000001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2,3%</w:t>
            </w:r>
          </w:p>
        </w:tc>
        <w:tc>
          <w:tcPr>
            <w:tcW w:w="883" w:type="pct"/>
            <w:shd w:val="clear" w:color="auto" w:fill="FFFFFF" w:themeFill="background1"/>
            <w:noWrap/>
            <w:hideMark/>
          </w:tcPr>
          <w:p w:rsidR="007F7BE6" w:rsidRPr="002213E6" w:rsidRDefault="007F7BE6" w:rsidP="007D44FA">
            <w:pPr>
              <w:cnfStyle w:val="0000001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7,6%</w:t>
            </w:r>
          </w:p>
        </w:tc>
        <w:tc>
          <w:tcPr>
            <w:tcW w:w="726" w:type="pct"/>
            <w:shd w:val="clear" w:color="auto" w:fill="FFFFFF" w:themeFill="background1"/>
            <w:noWrap/>
            <w:hideMark/>
          </w:tcPr>
          <w:p w:rsidR="007F7BE6" w:rsidRPr="002213E6" w:rsidRDefault="007F7BE6" w:rsidP="007D44FA">
            <w:pPr>
              <w:cnfStyle w:val="0000001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12,2%</w:t>
            </w:r>
          </w:p>
        </w:tc>
      </w:tr>
      <w:tr w:rsidR="007F7BE6" w:rsidRPr="002213E6" w:rsidTr="00A21BE4">
        <w:trPr>
          <w:trHeight w:val="300"/>
        </w:trPr>
        <w:tc>
          <w:tcPr>
            <w:cnfStyle w:val="001000000000"/>
            <w:tcW w:w="900" w:type="pct"/>
            <w:shd w:val="clear" w:color="auto" w:fill="FFFFFF" w:themeFill="background1"/>
            <w:noWrap/>
            <w:hideMark/>
          </w:tcPr>
          <w:p w:rsidR="007F7BE6" w:rsidRPr="002213E6" w:rsidRDefault="007F7BE6" w:rsidP="007D44FA">
            <w:pPr>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Duinkerke</w:t>
            </w:r>
            <w:r>
              <w:rPr>
                <w:rFonts w:ascii="Calibri" w:eastAsia="Times New Roman" w:hAnsi="Calibri" w:cs="Times New Roman"/>
                <w:color w:val="000000"/>
                <w:lang w:eastAsia="nl-NL"/>
              </w:rPr>
              <w:t>n</w:t>
            </w:r>
          </w:p>
        </w:tc>
        <w:tc>
          <w:tcPr>
            <w:tcW w:w="793" w:type="pct"/>
            <w:shd w:val="clear" w:color="auto" w:fill="FFFFFF" w:themeFill="background1"/>
            <w:noWrap/>
            <w:hideMark/>
          </w:tcPr>
          <w:p w:rsidR="007F7BE6" w:rsidRPr="002213E6" w:rsidRDefault="007F7BE6" w:rsidP="007D44FA">
            <w:pPr>
              <w:cnfStyle w:val="0000000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49,5%</w:t>
            </w:r>
          </w:p>
        </w:tc>
        <w:tc>
          <w:tcPr>
            <w:tcW w:w="849" w:type="pct"/>
            <w:shd w:val="clear" w:color="auto" w:fill="FFFFFF" w:themeFill="background1"/>
            <w:noWrap/>
            <w:hideMark/>
          </w:tcPr>
          <w:p w:rsidR="007F7BE6" w:rsidRPr="002213E6" w:rsidRDefault="007F7BE6" w:rsidP="007D44FA">
            <w:pPr>
              <w:cnfStyle w:val="0000000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14,0%</w:t>
            </w:r>
          </w:p>
        </w:tc>
        <w:tc>
          <w:tcPr>
            <w:tcW w:w="849" w:type="pct"/>
            <w:shd w:val="clear" w:color="auto" w:fill="FFFFFF" w:themeFill="background1"/>
            <w:noWrap/>
            <w:hideMark/>
          </w:tcPr>
          <w:p w:rsidR="007F7BE6" w:rsidRPr="002213E6" w:rsidRDefault="007F7BE6" w:rsidP="007D44FA">
            <w:pPr>
              <w:cnfStyle w:val="0000000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6,2%</w:t>
            </w:r>
          </w:p>
        </w:tc>
        <w:tc>
          <w:tcPr>
            <w:tcW w:w="883" w:type="pct"/>
            <w:shd w:val="clear" w:color="auto" w:fill="FFFFFF" w:themeFill="background1"/>
            <w:noWrap/>
            <w:hideMark/>
          </w:tcPr>
          <w:p w:rsidR="007F7BE6" w:rsidRPr="002213E6" w:rsidRDefault="007F7BE6" w:rsidP="007D44FA">
            <w:pPr>
              <w:cnfStyle w:val="0000000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28,2%</w:t>
            </w:r>
          </w:p>
        </w:tc>
        <w:tc>
          <w:tcPr>
            <w:tcW w:w="726" w:type="pct"/>
            <w:shd w:val="clear" w:color="auto" w:fill="FFFFFF" w:themeFill="background1"/>
            <w:noWrap/>
            <w:hideMark/>
          </w:tcPr>
          <w:p w:rsidR="007F7BE6" w:rsidRPr="002213E6" w:rsidRDefault="007F7BE6" w:rsidP="007D44FA">
            <w:pPr>
              <w:cnfStyle w:val="0000000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2,1%</w:t>
            </w:r>
          </w:p>
        </w:tc>
      </w:tr>
      <w:tr w:rsidR="007F7BE6" w:rsidRPr="002213E6" w:rsidTr="00A21BE4">
        <w:trPr>
          <w:cnfStyle w:val="000000100000"/>
          <w:trHeight w:val="300"/>
        </w:trPr>
        <w:tc>
          <w:tcPr>
            <w:cnfStyle w:val="001000000000"/>
            <w:tcW w:w="900" w:type="pct"/>
            <w:tcBorders>
              <w:bottom w:val="single" w:sz="4" w:space="0" w:color="auto"/>
            </w:tcBorders>
            <w:shd w:val="clear" w:color="auto" w:fill="FFFFFF" w:themeFill="background1"/>
            <w:noWrap/>
            <w:hideMark/>
          </w:tcPr>
          <w:p w:rsidR="007F7BE6" w:rsidRPr="002213E6" w:rsidRDefault="007F7BE6" w:rsidP="007D44FA">
            <w:pPr>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Le Havre</w:t>
            </w:r>
          </w:p>
        </w:tc>
        <w:tc>
          <w:tcPr>
            <w:tcW w:w="793" w:type="pct"/>
            <w:tcBorders>
              <w:bottom w:val="single" w:sz="4" w:space="0" w:color="auto"/>
            </w:tcBorders>
            <w:shd w:val="clear" w:color="auto" w:fill="FFFFFF" w:themeFill="background1"/>
            <w:noWrap/>
            <w:hideMark/>
          </w:tcPr>
          <w:p w:rsidR="007F7BE6" w:rsidRPr="002213E6" w:rsidRDefault="007F7BE6" w:rsidP="007D44FA">
            <w:pPr>
              <w:cnfStyle w:val="0000001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4,4%</w:t>
            </w:r>
          </w:p>
        </w:tc>
        <w:tc>
          <w:tcPr>
            <w:tcW w:w="849" w:type="pct"/>
            <w:tcBorders>
              <w:bottom w:val="single" w:sz="4" w:space="0" w:color="auto"/>
            </w:tcBorders>
            <w:shd w:val="clear" w:color="auto" w:fill="FFFFFF" w:themeFill="background1"/>
            <w:noWrap/>
            <w:hideMark/>
          </w:tcPr>
          <w:p w:rsidR="007F7BE6" w:rsidRPr="002213E6" w:rsidRDefault="007F7BE6" w:rsidP="007D44FA">
            <w:pPr>
              <w:cnfStyle w:val="0000001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56,5%</w:t>
            </w:r>
          </w:p>
        </w:tc>
        <w:tc>
          <w:tcPr>
            <w:tcW w:w="849" w:type="pct"/>
            <w:tcBorders>
              <w:bottom w:val="single" w:sz="4" w:space="0" w:color="auto"/>
            </w:tcBorders>
            <w:shd w:val="clear" w:color="auto" w:fill="FFFFFF" w:themeFill="background1"/>
            <w:noWrap/>
            <w:hideMark/>
          </w:tcPr>
          <w:p w:rsidR="007F7BE6" w:rsidRPr="002213E6" w:rsidRDefault="007F7BE6" w:rsidP="007D44FA">
            <w:pPr>
              <w:cnfStyle w:val="0000001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37,0%</w:t>
            </w:r>
          </w:p>
        </w:tc>
        <w:tc>
          <w:tcPr>
            <w:tcW w:w="883" w:type="pct"/>
            <w:tcBorders>
              <w:bottom w:val="single" w:sz="4" w:space="0" w:color="auto"/>
            </w:tcBorders>
            <w:shd w:val="clear" w:color="auto" w:fill="FFFFFF" w:themeFill="background1"/>
            <w:noWrap/>
            <w:hideMark/>
          </w:tcPr>
          <w:p w:rsidR="007F7BE6" w:rsidRPr="002213E6" w:rsidRDefault="007F7BE6" w:rsidP="007D44FA">
            <w:pPr>
              <w:cnfStyle w:val="000000100000"/>
              <w:rPr>
                <w:rFonts w:ascii="Calibri" w:eastAsia="Times New Roman" w:hAnsi="Calibri" w:cs="Times New Roman"/>
                <w:i/>
                <w:color w:val="000000"/>
                <w:lang w:eastAsia="nl-NL"/>
              </w:rPr>
            </w:pPr>
            <w:r w:rsidRPr="000B46EB">
              <w:rPr>
                <w:rFonts w:ascii="Calibri" w:eastAsia="Times New Roman" w:hAnsi="Calibri" w:cs="Times New Roman"/>
                <w:i/>
                <w:color w:val="000000"/>
                <w:lang w:eastAsia="nl-NL"/>
              </w:rPr>
              <w:t>in stuk</w:t>
            </w:r>
          </w:p>
        </w:tc>
        <w:tc>
          <w:tcPr>
            <w:tcW w:w="726" w:type="pct"/>
            <w:tcBorders>
              <w:bottom w:val="single" w:sz="4" w:space="0" w:color="auto"/>
            </w:tcBorders>
            <w:shd w:val="clear" w:color="auto" w:fill="FFFFFF" w:themeFill="background1"/>
            <w:noWrap/>
            <w:hideMark/>
          </w:tcPr>
          <w:p w:rsidR="007F7BE6" w:rsidRPr="002213E6" w:rsidRDefault="007F7BE6" w:rsidP="007D44FA">
            <w:pPr>
              <w:cnfStyle w:val="000000100000"/>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2,2%</w:t>
            </w:r>
          </w:p>
        </w:tc>
      </w:tr>
      <w:tr w:rsidR="007F7BE6" w:rsidRPr="002213E6" w:rsidTr="00A21BE4">
        <w:trPr>
          <w:trHeight w:val="300"/>
        </w:trPr>
        <w:tc>
          <w:tcPr>
            <w:cnfStyle w:val="001000000000"/>
            <w:tcW w:w="900" w:type="pct"/>
            <w:tcBorders>
              <w:top w:val="single" w:sz="4" w:space="0" w:color="auto"/>
              <w:bottom w:val="single" w:sz="8" w:space="0" w:color="000000" w:themeColor="text1"/>
            </w:tcBorders>
            <w:shd w:val="clear" w:color="auto" w:fill="D9D9D9" w:themeFill="background1" w:themeFillShade="D9"/>
            <w:hideMark/>
          </w:tcPr>
          <w:p w:rsidR="007F7BE6" w:rsidRPr="002213E6" w:rsidRDefault="00394FF3" w:rsidP="007D44FA">
            <w:pPr>
              <w:rPr>
                <w:rFonts w:ascii="Calibri" w:eastAsia="Times New Roman" w:hAnsi="Calibri" w:cs="Times New Roman"/>
                <w:color w:val="000000"/>
                <w:lang w:eastAsia="nl-NL"/>
              </w:rPr>
            </w:pPr>
            <w:r w:rsidRPr="002213E6">
              <w:rPr>
                <w:rFonts w:ascii="Calibri" w:eastAsia="Times New Roman" w:hAnsi="Calibri" w:cs="Times New Roman"/>
                <w:color w:val="000000"/>
                <w:lang w:eastAsia="nl-NL"/>
              </w:rPr>
              <w:t>Gemiddeld</w:t>
            </w:r>
            <w:r w:rsidR="007F7BE6">
              <w:rPr>
                <w:rFonts w:ascii="Calibri" w:eastAsia="Times New Roman" w:hAnsi="Calibri" w:cs="Times New Roman"/>
                <w:color w:val="000000"/>
                <w:lang w:eastAsia="nl-NL"/>
              </w:rPr>
              <w:t xml:space="preserve"> aandeel</w:t>
            </w:r>
          </w:p>
        </w:tc>
        <w:tc>
          <w:tcPr>
            <w:tcW w:w="793" w:type="pct"/>
            <w:tcBorders>
              <w:top w:val="single" w:sz="4" w:space="0" w:color="auto"/>
              <w:bottom w:val="single" w:sz="8" w:space="0" w:color="000000" w:themeColor="text1"/>
            </w:tcBorders>
            <w:shd w:val="clear" w:color="auto" w:fill="D9D9D9" w:themeFill="background1" w:themeFillShade="D9"/>
            <w:noWrap/>
            <w:hideMark/>
          </w:tcPr>
          <w:p w:rsidR="007F7BE6" w:rsidRPr="002213E6" w:rsidRDefault="007F7BE6" w:rsidP="007D44FA">
            <w:pPr>
              <w:cnfStyle w:val="000000000000"/>
              <w:rPr>
                <w:rFonts w:ascii="Calibri" w:eastAsia="Times New Roman" w:hAnsi="Calibri" w:cs="Times New Roman"/>
                <w:b/>
                <w:color w:val="000000"/>
                <w:lang w:eastAsia="nl-NL"/>
              </w:rPr>
            </w:pPr>
            <w:r w:rsidRPr="002213E6">
              <w:rPr>
                <w:rFonts w:ascii="Calibri" w:eastAsia="Times New Roman" w:hAnsi="Calibri" w:cs="Times New Roman"/>
                <w:b/>
                <w:color w:val="000000"/>
                <w:lang w:eastAsia="nl-NL"/>
              </w:rPr>
              <w:t>20,6%</w:t>
            </w:r>
          </w:p>
        </w:tc>
        <w:tc>
          <w:tcPr>
            <w:tcW w:w="849" w:type="pct"/>
            <w:tcBorders>
              <w:top w:val="single" w:sz="4" w:space="0" w:color="auto"/>
              <w:bottom w:val="single" w:sz="8" w:space="0" w:color="000000" w:themeColor="text1"/>
            </w:tcBorders>
            <w:shd w:val="clear" w:color="auto" w:fill="D9D9D9" w:themeFill="background1" w:themeFillShade="D9"/>
            <w:noWrap/>
            <w:hideMark/>
          </w:tcPr>
          <w:p w:rsidR="007F7BE6" w:rsidRPr="002213E6" w:rsidRDefault="007F7BE6" w:rsidP="007D44FA">
            <w:pPr>
              <w:cnfStyle w:val="000000000000"/>
              <w:rPr>
                <w:rFonts w:ascii="Calibri" w:eastAsia="Times New Roman" w:hAnsi="Calibri" w:cs="Times New Roman"/>
                <w:b/>
                <w:color w:val="000000"/>
                <w:lang w:eastAsia="nl-NL"/>
              </w:rPr>
            </w:pPr>
            <w:r w:rsidRPr="002213E6">
              <w:rPr>
                <w:rFonts w:ascii="Calibri" w:eastAsia="Times New Roman" w:hAnsi="Calibri" w:cs="Times New Roman"/>
                <w:b/>
                <w:color w:val="000000"/>
                <w:lang w:eastAsia="nl-NL"/>
              </w:rPr>
              <w:t>34,7%</w:t>
            </w:r>
          </w:p>
        </w:tc>
        <w:tc>
          <w:tcPr>
            <w:tcW w:w="849" w:type="pct"/>
            <w:tcBorders>
              <w:top w:val="single" w:sz="4" w:space="0" w:color="auto"/>
              <w:bottom w:val="single" w:sz="8" w:space="0" w:color="000000" w:themeColor="text1"/>
            </w:tcBorders>
            <w:shd w:val="clear" w:color="auto" w:fill="D9D9D9" w:themeFill="background1" w:themeFillShade="D9"/>
            <w:noWrap/>
            <w:hideMark/>
          </w:tcPr>
          <w:p w:rsidR="007F7BE6" w:rsidRPr="002213E6" w:rsidRDefault="007F7BE6" w:rsidP="007D44FA">
            <w:pPr>
              <w:cnfStyle w:val="000000000000"/>
              <w:rPr>
                <w:rFonts w:ascii="Calibri" w:eastAsia="Times New Roman" w:hAnsi="Calibri" w:cs="Times New Roman"/>
                <w:b/>
                <w:color w:val="000000"/>
                <w:lang w:eastAsia="nl-NL"/>
              </w:rPr>
            </w:pPr>
            <w:r w:rsidRPr="002213E6">
              <w:rPr>
                <w:rFonts w:ascii="Calibri" w:eastAsia="Times New Roman" w:hAnsi="Calibri" w:cs="Times New Roman"/>
                <w:b/>
                <w:color w:val="000000"/>
                <w:lang w:eastAsia="nl-NL"/>
              </w:rPr>
              <w:t>36,3%</w:t>
            </w:r>
          </w:p>
        </w:tc>
        <w:tc>
          <w:tcPr>
            <w:tcW w:w="883" w:type="pct"/>
            <w:tcBorders>
              <w:top w:val="single" w:sz="4" w:space="0" w:color="auto"/>
              <w:bottom w:val="single" w:sz="8" w:space="0" w:color="000000" w:themeColor="text1"/>
            </w:tcBorders>
            <w:shd w:val="clear" w:color="auto" w:fill="D9D9D9" w:themeFill="background1" w:themeFillShade="D9"/>
            <w:noWrap/>
            <w:hideMark/>
          </w:tcPr>
          <w:p w:rsidR="007F7BE6" w:rsidRPr="002213E6" w:rsidRDefault="007F7BE6" w:rsidP="007D44FA">
            <w:pPr>
              <w:cnfStyle w:val="000000000000"/>
              <w:rPr>
                <w:rFonts w:ascii="Calibri" w:eastAsia="Times New Roman" w:hAnsi="Calibri" w:cs="Times New Roman"/>
                <w:b/>
                <w:color w:val="000000"/>
                <w:lang w:eastAsia="nl-NL"/>
              </w:rPr>
            </w:pPr>
            <w:r w:rsidRPr="002213E6">
              <w:rPr>
                <w:rFonts w:ascii="Calibri" w:eastAsia="Times New Roman" w:hAnsi="Calibri" w:cs="Times New Roman"/>
                <w:b/>
                <w:color w:val="000000"/>
                <w:lang w:eastAsia="nl-NL"/>
              </w:rPr>
              <w:t>4,7%</w:t>
            </w:r>
          </w:p>
        </w:tc>
        <w:tc>
          <w:tcPr>
            <w:tcW w:w="726" w:type="pct"/>
            <w:tcBorders>
              <w:top w:val="single" w:sz="4" w:space="0" w:color="auto"/>
              <w:bottom w:val="single" w:sz="8" w:space="0" w:color="000000" w:themeColor="text1"/>
            </w:tcBorders>
            <w:shd w:val="clear" w:color="auto" w:fill="D9D9D9" w:themeFill="background1" w:themeFillShade="D9"/>
            <w:noWrap/>
            <w:hideMark/>
          </w:tcPr>
          <w:p w:rsidR="007F7BE6" w:rsidRPr="002213E6" w:rsidRDefault="007F7BE6" w:rsidP="007D44FA">
            <w:pPr>
              <w:keepNext/>
              <w:cnfStyle w:val="000000000000"/>
              <w:rPr>
                <w:rFonts w:ascii="Calibri" w:eastAsia="Times New Roman" w:hAnsi="Calibri" w:cs="Times New Roman"/>
                <w:b/>
                <w:color w:val="000000"/>
                <w:lang w:eastAsia="nl-NL"/>
              </w:rPr>
            </w:pPr>
            <w:r w:rsidRPr="002213E6">
              <w:rPr>
                <w:rFonts w:ascii="Calibri" w:eastAsia="Times New Roman" w:hAnsi="Calibri" w:cs="Times New Roman"/>
                <w:b/>
                <w:color w:val="000000"/>
                <w:lang w:eastAsia="nl-NL"/>
              </w:rPr>
              <w:t>3,6%</w:t>
            </w:r>
          </w:p>
        </w:tc>
      </w:tr>
    </w:tbl>
    <w:p w:rsidR="007F7BE6" w:rsidRDefault="007F7BE6" w:rsidP="007F7BE6">
      <w:pPr>
        <w:pStyle w:val="Caption"/>
        <w:rPr>
          <w:b w:val="0"/>
          <w:color w:val="auto"/>
        </w:rPr>
      </w:pPr>
      <w:r w:rsidRPr="002213E6">
        <w:rPr>
          <w:color w:val="auto"/>
        </w:rPr>
        <w:t xml:space="preserve">Tabel </w:t>
      </w:r>
      <w:r w:rsidR="006530F6" w:rsidRPr="002213E6">
        <w:rPr>
          <w:color w:val="auto"/>
        </w:rPr>
        <w:fldChar w:fldCharType="begin"/>
      </w:r>
      <w:r w:rsidRPr="002213E6">
        <w:rPr>
          <w:color w:val="auto"/>
        </w:rPr>
        <w:instrText xml:space="preserve"> SEQ Tabel \* ARABIC </w:instrText>
      </w:r>
      <w:r w:rsidR="006530F6" w:rsidRPr="002213E6">
        <w:rPr>
          <w:color w:val="auto"/>
        </w:rPr>
        <w:fldChar w:fldCharType="separate"/>
      </w:r>
      <w:r w:rsidR="003D24A6">
        <w:rPr>
          <w:noProof/>
          <w:color w:val="auto"/>
        </w:rPr>
        <w:t>2</w:t>
      </w:r>
      <w:r w:rsidR="006530F6" w:rsidRPr="002213E6">
        <w:rPr>
          <w:color w:val="auto"/>
        </w:rPr>
        <w:fldChar w:fldCharType="end"/>
      </w:r>
      <w:r w:rsidRPr="002213E6">
        <w:rPr>
          <w:color w:val="auto"/>
        </w:rPr>
        <w:t xml:space="preserve">: </w:t>
      </w:r>
      <w:r w:rsidRPr="002213E6">
        <w:rPr>
          <w:b w:val="0"/>
          <w:color w:val="auto"/>
        </w:rPr>
        <w:t>Aandelen cargogroepen in totale overslag per haven</w:t>
      </w:r>
      <w:r>
        <w:rPr>
          <w:b w:val="0"/>
          <w:color w:val="auto"/>
        </w:rPr>
        <w:t xml:space="preserve"> in 2013 </w:t>
      </w:r>
      <w:r>
        <w:rPr>
          <w:rStyle w:val="FootnoteReference"/>
          <w:b w:val="0"/>
          <w:color w:val="auto"/>
        </w:rPr>
        <w:footnoteReference w:id="12"/>
      </w:r>
    </w:p>
    <w:p w:rsidR="007F7BE6" w:rsidRPr="003F2A40" w:rsidRDefault="007F7BE6" w:rsidP="005D6817">
      <w:pPr>
        <w:pStyle w:val="Heading3"/>
        <w:rPr>
          <w:color w:val="auto"/>
        </w:rPr>
      </w:pPr>
      <w:bookmarkStart w:id="23" w:name="_Toc391468003"/>
      <w:r w:rsidRPr="003F2A40">
        <w:rPr>
          <w:color w:val="auto"/>
        </w:rPr>
        <w:t xml:space="preserve">Ontwikkeling concurrentiepositie ten opzichte van </w:t>
      </w:r>
      <w:r>
        <w:rPr>
          <w:color w:val="auto"/>
        </w:rPr>
        <w:t xml:space="preserve">belangrijkste </w:t>
      </w:r>
      <w:r w:rsidRPr="003F2A40">
        <w:rPr>
          <w:color w:val="auto"/>
        </w:rPr>
        <w:t>concurrenten</w:t>
      </w:r>
      <w:bookmarkEnd w:id="23"/>
    </w:p>
    <w:p w:rsidR="007F7BE6" w:rsidRDefault="007F7BE6" w:rsidP="007F7BE6">
      <w:pPr>
        <w:pStyle w:val="NoSpacing"/>
        <w:spacing w:before="100" w:line="360" w:lineRule="auto"/>
        <w:jc w:val="both"/>
      </w:pPr>
      <w:proofErr w:type="gramStart"/>
      <w:r>
        <w:t xml:space="preserve">Nu duidelijk is welke havens in de Hamburg-Le Havre-range kunnen worden gezien als concurrenten, is het mogelijk een analyse te maken van de ontwikkeling van de positie van de Zeeuwse havens ten opzichte van Amsterdam, Gent en Duinkerken. </w:t>
      </w:r>
      <w:proofErr w:type="gramEnd"/>
      <w:r>
        <w:t xml:space="preserve">Eerst zal een algemeen beeld worden geschetst van de ontwikkeling van de posities in de Hamburg-Le Havre range. Vervolgens zal worden ingezoomd op de vier havens die op het gebied van droog bulkgoed en stukgoed het meest met elkaar concurreren. </w:t>
      </w:r>
    </w:p>
    <w:p w:rsidR="007F7BE6" w:rsidRPr="00D03060" w:rsidRDefault="007F7BE6" w:rsidP="005D6817">
      <w:pPr>
        <w:pStyle w:val="Heading4"/>
        <w:rPr>
          <w:color w:val="auto"/>
        </w:rPr>
      </w:pPr>
      <w:r w:rsidRPr="00D03060">
        <w:rPr>
          <w:color w:val="auto"/>
        </w:rPr>
        <w:t>Algemene ontwikkeling concurrentiepositie</w:t>
      </w:r>
      <w:r>
        <w:rPr>
          <w:rStyle w:val="FootnoteReference"/>
          <w:color w:val="auto"/>
        </w:rPr>
        <w:footnoteReference w:id="13"/>
      </w:r>
    </w:p>
    <w:p w:rsidR="007F7BE6" w:rsidRDefault="007F7BE6" w:rsidP="007F7BE6">
      <w:pPr>
        <w:pStyle w:val="NoSpacing"/>
        <w:spacing w:before="100" w:line="360" w:lineRule="auto"/>
        <w:jc w:val="both"/>
        <w:rPr>
          <w:b/>
        </w:rPr>
      </w:pPr>
      <w:r>
        <w:rPr>
          <w:b/>
        </w:rPr>
        <w:t>Ontwikkeling marktaandeel per concurrerende haven</w:t>
      </w:r>
    </w:p>
    <w:p w:rsidR="007F7BE6" w:rsidRPr="00D03060" w:rsidRDefault="007F7BE6" w:rsidP="007F7BE6">
      <w:pPr>
        <w:pStyle w:val="NoSpacing"/>
        <w:spacing w:line="360" w:lineRule="auto"/>
        <w:jc w:val="both"/>
      </w:pPr>
      <w:r>
        <w:t xml:space="preserve">In onderstaande figuur is de ontwikkeling weergegeven van de marktaandelen van de Zeeuwse havens en de drie belangrijkste concurrenten. Hieruit blijkt dat zowel de havens van Gent en Zeeland Seaports een stabiel marktaandeel hebben in de gehele range van 2000-2013. Dit in tegenstelling tot Duinkerken, welke een sterke daling kent. Amsterdam </w:t>
      </w:r>
      <w:proofErr w:type="gramStart"/>
      <w:r>
        <w:t>daarentegen</w:t>
      </w:r>
      <w:proofErr w:type="gramEnd"/>
      <w:r>
        <w:t xml:space="preserve"> kent een relatief grote stijging van het marktaandeel. De Zeeuwse havens doen het over het algemeen dus goed, maar blijven achter bij Amsterdam.</w:t>
      </w:r>
    </w:p>
    <w:p w:rsidR="007F7BE6" w:rsidRDefault="007F7BE6" w:rsidP="007F7BE6">
      <w:pPr>
        <w:pStyle w:val="NoSpacing"/>
        <w:keepNext/>
        <w:spacing w:before="100" w:line="360" w:lineRule="auto"/>
        <w:jc w:val="both"/>
      </w:pPr>
      <w:r>
        <w:rPr>
          <w:noProof/>
          <w:lang w:val="en-US"/>
        </w:rPr>
        <w:lastRenderedPageBreak/>
        <w:drawing>
          <wp:inline distT="0" distB="0" distL="0" distR="0">
            <wp:extent cx="5759532" cy="2600696"/>
            <wp:effectExtent l="0" t="0" r="12700" b="9525"/>
            <wp:docPr id="11" name="Grafiek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3E5364" w:rsidRPr="003E5364" w:rsidRDefault="007F7BE6" w:rsidP="003E5364">
      <w:pPr>
        <w:pStyle w:val="Caption"/>
        <w:jc w:val="both"/>
        <w:rPr>
          <w:b w:val="0"/>
          <w:color w:val="auto"/>
        </w:rPr>
      </w:pPr>
      <w:r w:rsidRPr="007B0791">
        <w:rPr>
          <w:color w:val="auto"/>
        </w:rPr>
        <w:t xml:space="preserve">Figuur </w:t>
      </w:r>
      <w:r w:rsidR="006530F6" w:rsidRPr="007B0791">
        <w:rPr>
          <w:color w:val="auto"/>
        </w:rPr>
        <w:fldChar w:fldCharType="begin"/>
      </w:r>
      <w:r w:rsidRPr="007B0791">
        <w:rPr>
          <w:color w:val="auto"/>
        </w:rPr>
        <w:instrText xml:space="preserve"> SEQ Figuur \* ARABIC </w:instrText>
      </w:r>
      <w:r w:rsidR="006530F6" w:rsidRPr="007B0791">
        <w:rPr>
          <w:color w:val="auto"/>
        </w:rPr>
        <w:fldChar w:fldCharType="separate"/>
      </w:r>
      <w:r w:rsidR="003D24A6">
        <w:rPr>
          <w:noProof/>
          <w:color w:val="auto"/>
        </w:rPr>
        <w:t>11</w:t>
      </w:r>
      <w:r w:rsidR="006530F6" w:rsidRPr="007B0791">
        <w:rPr>
          <w:color w:val="auto"/>
        </w:rPr>
        <w:fldChar w:fldCharType="end"/>
      </w:r>
      <w:r w:rsidRPr="007B0791">
        <w:rPr>
          <w:color w:val="auto"/>
        </w:rPr>
        <w:t xml:space="preserve">: </w:t>
      </w:r>
      <w:r w:rsidRPr="007B0791">
        <w:rPr>
          <w:b w:val="0"/>
          <w:color w:val="auto"/>
        </w:rPr>
        <w:t xml:space="preserve">Ontwikkeling marktaandeel Zeeuwse havens </w:t>
      </w:r>
      <w:r>
        <w:rPr>
          <w:b w:val="0"/>
          <w:color w:val="auto"/>
        </w:rPr>
        <w:t>en</w:t>
      </w:r>
      <w:r w:rsidRPr="007B0791">
        <w:rPr>
          <w:b w:val="0"/>
          <w:color w:val="auto"/>
        </w:rPr>
        <w:t xml:space="preserve"> concurrenten van 2000-2013</w:t>
      </w:r>
    </w:p>
    <w:p w:rsidR="007F7BE6" w:rsidRDefault="007F7BE6" w:rsidP="007F7BE6">
      <w:pPr>
        <w:pStyle w:val="NoSpacing"/>
        <w:spacing w:line="360" w:lineRule="auto"/>
        <w:jc w:val="both"/>
        <w:rPr>
          <w:b/>
        </w:rPr>
      </w:pPr>
      <w:r>
        <w:rPr>
          <w:b/>
        </w:rPr>
        <w:t xml:space="preserve">Product Portfolio Analyse </w:t>
      </w:r>
      <w:proofErr w:type="gramStart"/>
      <w:r>
        <w:rPr>
          <w:b/>
        </w:rPr>
        <w:t>level</w:t>
      </w:r>
      <w:proofErr w:type="gramEnd"/>
      <w:r>
        <w:rPr>
          <w:b/>
        </w:rPr>
        <w:t xml:space="preserve"> 1</w:t>
      </w:r>
    </w:p>
    <w:p w:rsidR="007F7BE6" w:rsidRPr="00B5278F" w:rsidRDefault="007F7BE6" w:rsidP="007F7BE6">
      <w:pPr>
        <w:pStyle w:val="NoSpacing"/>
        <w:spacing w:line="360" w:lineRule="auto"/>
        <w:jc w:val="both"/>
      </w:pPr>
      <w:r>
        <w:t xml:space="preserve">In figuur </w:t>
      </w:r>
      <w:r w:rsidR="00394FF3">
        <w:t>12</w:t>
      </w:r>
      <w:r>
        <w:t xml:space="preserve"> staat de PPA van de totale overslag in de periode 2000-2013 voor alle havens in de Hamburg-Le Havre-range. De toepassing van de in de voorgaande paragraaf vermelde theorie vertelt dat Zeeland op de rand zit tussen de Minor Performers en High Potentials. Net als in de voorgaande figuur blijkt ook dat Duinkerken achterblijft op het gebied van groei en dus ook wordt gezien als een Minor Performer. Uit deze figuur blijkt echter ook dat de groei van Gent achterblijft bij het gemiddelde en dus ook wordt gezien als een Minor Performer. Amsterdam heeft tevens in deze figuur een sterke concurrentiepositie, waar de Zeeuwse havens ook achter bij blijven. </w:t>
      </w:r>
    </w:p>
    <w:p w:rsidR="007F7BE6" w:rsidRDefault="007F7BE6" w:rsidP="007F7BE6">
      <w:pPr>
        <w:pStyle w:val="NoSpacing"/>
        <w:keepNext/>
        <w:spacing w:line="360" w:lineRule="auto"/>
        <w:jc w:val="both"/>
      </w:pPr>
      <w:r>
        <w:rPr>
          <w:noProof/>
          <w:lang w:val="en-US"/>
        </w:rPr>
        <w:drawing>
          <wp:inline distT="0" distB="0" distL="0" distR="0">
            <wp:extent cx="5762625" cy="3648075"/>
            <wp:effectExtent l="0" t="0" r="9525" b="9525"/>
            <wp:docPr id="12" name="Grafiek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7F7BE6" w:rsidRDefault="007F7BE6" w:rsidP="007F7BE6">
      <w:pPr>
        <w:pStyle w:val="Caption"/>
        <w:jc w:val="both"/>
        <w:rPr>
          <w:b w:val="0"/>
          <w:color w:val="auto"/>
          <w:lang w:val="en-GB"/>
        </w:rPr>
      </w:pPr>
      <w:r w:rsidRPr="00440A0D">
        <w:rPr>
          <w:color w:val="auto"/>
          <w:lang w:val="en-GB"/>
        </w:rPr>
        <w:t xml:space="preserve">Figuur </w:t>
      </w:r>
      <w:r w:rsidR="006530F6" w:rsidRPr="00440A0D">
        <w:rPr>
          <w:color w:val="auto"/>
        </w:rPr>
        <w:fldChar w:fldCharType="begin"/>
      </w:r>
      <w:r w:rsidRPr="00440A0D">
        <w:rPr>
          <w:color w:val="auto"/>
          <w:lang w:val="en-GB"/>
        </w:rPr>
        <w:instrText xml:space="preserve"> SEQ Figuur \* ARABIC </w:instrText>
      </w:r>
      <w:r w:rsidR="006530F6" w:rsidRPr="00440A0D">
        <w:rPr>
          <w:color w:val="auto"/>
        </w:rPr>
        <w:fldChar w:fldCharType="separate"/>
      </w:r>
      <w:r w:rsidR="003D24A6">
        <w:rPr>
          <w:noProof/>
          <w:color w:val="auto"/>
          <w:lang w:val="en-GB"/>
        </w:rPr>
        <w:t>12</w:t>
      </w:r>
      <w:r w:rsidR="006530F6" w:rsidRPr="00440A0D">
        <w:rPr>
          <w:color w:val="auto"/>
        </w:rPr>
        <w:fldChar w:fldCharType="end"/>
      </w:r>
      <w:r w:rsidRPr="00440A0D">
        <w:rPr>
          <w:color w:val="auto"/>
          <w:lang w:val="en-GB"/>
        </w:rPr>
        <w:t xml:space="preserve">: </w:t>
      </w:r>
      <w:r w:rsidRPr="00440A0D">
        <w:rPr>
          <w:b w:val="0"/>
          <w:color w:val="auto"/>
          <w:lang w:val="en-GB"/>
        </w:rPr>
        <w:t>PPA Level 1 Hamburg-Le Havre-range in periode 2000-2013</w:t>
      </w:r>
    </w:p>
    <w:p w:rsidR="007F7BE6" w:rsidRPr="006E5A62" w:rsidRDefault="007F7BE6" w:rsidP="007F7BE6">
      <w:pPr>
        <w:pStyle w:val="NoSpacing"/>
        <w:spacing w:line="360" w:lineRule="auto"/>
        <w:jc w:val="both"/>
        <w:rPr>
          <w:b/>
        </w:rPr>
      </w:pPr>
      <w:r w:rsidRPr="006E5A62">
        <w:rPr>
          <w:b/>
        </w:rPr>
        <w:lastRenderedPageBreak/>
        <w:t>Shift-Share Analyse</w:t>
      </w:r>
    </w:p>
    <w:p w:rsidR="007F7BE6" w:rsidRPr="00C1072B" w:rsidRDefault="007F7BE6" w:rsidP="007F7BE6">
      <w:pPr>
        <w:pStyle w:val="NoSpacing"/>
        <w:spacing w:line="360" w:lineRule="auto"/>
        <w:jc w:val="both"/>
      </w:pPr>
      <w:r w:rsidRPr="00C1072B">
        <w:t xml:space="preserve">In tabel 3 is een korte SSA weergegeven voor alle havens in de Hamburg-Le Havre-range. </w:t>
      </w:r>
      <w:r>
        <w:t xml:space="preserve">Hieruit blijkt dat zowel Gent en Duinkerken een relatief sterke daling zien in hun concurrentiepositie, terwijl Amsterdam juist een stijging kent. De Zeeuwse havens zijn stabiel en kennen met een daling van 0,1 procent een zeer kleine verandering van de concurrentiepositie. </w:t>
      </w:r>
    </w:p>
    <w:tbl>
      <w:tblPr>
        <w:tblStyle w:val="LightShading"/>
        <w:tblW w:w="0" w:type="auto"/>
        <w:tblLook w:val="04A0"/>
      </w:tblPr>
      <w:tblGrid>
        <w:gridCol w:w="1515"/>
        <w:gridCol w:w="831"/>
        <w:gridCol w:w="763"/>
        <w:gridCol w:w="942"/>
      </w:tblGrid>
      <w:tr w:rsidR="007F7BE6" w:rsidRPr="00497CE7" w:rsidTr="007D44FA">
        <w:trPr>
          <w:cnfStyle w:val="100000000000"/>
          <w:trHeight w:val="300"/>
        </w:trPr>
        <w:tc>
          <w:tcPr>
            <w:cnfStyle w:val="001000000000"/>
            <w:tcW w:w="0" w:type="auto"/>
            <w:shd w:val="clear" w:color="auto" w:fill="BFBFBF" w:themeFill="background1" w:themeFillShade="BF"/>
            <w:noWrap/>
            <w:hideMark/>
          </w:tcPr>
          <w:p w:rsidR="007F7BE6" w:rsidRPr="00497CE7" w:rsidRDefault="007F7BE6" w:rsidP="007D44FA">
            <w:pPr>
              <w:rPr>
                <w:rFonts w:ascii="Calibri" w:eastAsia="Times New Roman" w:hAnsi="Calibri" w:cs="Times New Roman"/>
                <w:color w:val="000000"/>
                <w:lang w:eastAsia="nl-NL"/>
              </w:rPr>
            </w:pPr>
            <w:r>
              <w:rPr>
                <w:rFonts w:ascii="Calibri" w:eastAsia="Times New Roman" w:hAnsi="Calibri" w:cs="Times New Roman"/>
                <w:color w:val="000000"/>
                <w:lang w:eastAsia="nl-NL"/>
              </w:rPr>
              <w:t>Haven</w:t>
            </w:r>
          </w:p>
        </w:tc>
        <w:tc>
          <w:tcPr>
            <w:tcW w:w="0" w:type="auto"/>
            <w:shd w:val="clear" w:color="auto" w:fill="BFBFBF" w:themeFill="background1" w:themeFillShade="BF"/>
            <w:noWrap/>
            <w:hideMark/>
          </w:tcPr>
          <w:p w:rsidR="007F7BE6" w:rsidRPr="00497CE7" w:rsidRDefault="007F7BE6" w:rsidP="007D44FA">
            <w:pPr>
              <w:jc w:val="right"/>
              <w:cnfStyle w:val="100000000000"/>
              <w:rPr>
                <w:rFonts w:ascii="Calibri" w:eastAsia="Times New Roman" w:hAnsi="Calibri" w:cs="Times New Roman"/>
                <w:color w:val="000000"/>
                <w:lang w:eastAsia="nl-NL"/>
              </w:rPr>
            </w:pPr>
            <w:r w:rsidRPr="00497CE7">
              <w:rPr>
                <w:rFonts w:ascii="Calibri" w:eastAsia="Times New Roman" w:hAnsi="Calibri" w:cs="Times New Roman"/>
                <w:color w:val="000000"/>
                <w:lang w:eastAsia="nl-NL"/>
              </w:rPr>
              <w:t>Groei</w:t>
            </w:r>
          </w:p>
        </w:tc>
        <w:tc>
          <w:tcPr>
            <w:tcW w:w="0" w:type="auto"/>
            <w:shd w:val="clear" w:color="auto" w:fill="BFBFBF" w:themeFill="background1" w:themeFillShade="BF"/>
          </w:tcPr>
          <w:p w:rsidR="007F7BE6" w:rsidRPr="00497CE7" w:rsidRDefault="007F7BE6" w:rsidP="007D44FA">
            <w:pPr>
              <w:jc w:val="right"/>
              <w:cnfStyle w:val="100000000000"/>
              <w:rPr>
                <w:rFonts w:ascii="Calibri" w:eastAsia="Times New Roman" w:hAnsi="Calibri" w:cs="Times New Roman"/>
                <w:color w:val="000000"/>
                <w:lang w:eastAsia="nl-NL"/>
              </w:rPr>
            </w:pPr>
            <w:r>
              <w:rPr>
                <w:rFonts w:ascii="Calibri" w:eastAsia="Times New Roman" w:hAnsi="Calibri" w:cs="Times New Roman"/>
                <w:color w:val="000000"/>
                <w:lang w:eastAsia="nl-NL"/>
              </w:rPr>
              <w:t>Share</w:t>
            </w:r>
          </w:p>
        </w:tc>
        <w:tc>
          <w:tcPr>
            <w:tcW w:w="0" w:type="auto"/>
            <w:shd w:val="clear" w:color="auto" w:fill="BFBFBF" w:themeFill="background1" w:themeFillShade="BF"/>
            <w:noWrap/>
            <w:hideMark/>
          </w:tcPr>
          <w:p w:rsidR="007F7BE6" w:rsidRPr="00497CE7" w:rsidRDefault="007F7BE6" w:rsidP="007D44FA">
            <w:pPr>
              <w:jc w:val="right"/>
              <w:cnfStyle w:val="100000000000"/>
              <w:rPr>
                <w:rFonts w:ascii="Calibri" w:eastAsia="Times New Roman" w:hAnsi="Calibri" w:cs="Times New Roman"/>
                <w:color w:val="000000"/>
                <w:lang w:eastAsia="nl-NL"/>
              </w:rPr>
            </w:pPr>
            <w:r w:rsidRPr="00497CE7">
              <w:rPr>
                <w:rFonts w:ascii="Calibri" w:eastAsia="Times New Roman" w:hAnsi="Calibri" w:cs="Times New Roman"/>
                <w:color w:val="000000"/>
                <w:lang w:eastAsia="nl-NL"/>
              </w:rPr>
              <w:t xml:space="preserve">Shift </w:t>
            </w:r>
          </w:p>
        </w:tc>
      </w:tr>
      <w:tr w:rsidR="007F7BE6" w:rsidRPr="00497CE7" w:rsidTr="007D44FA">
        <w:trPr>
          <w:cnfStyle w:val="000000100000"/>
          <w:trHeight w:val="300"/>
        </w:trPr>
        <w:tc>
          <w:tcPr>
            <w:cnfStyle w:val="001000000000"/>
            <w:tcW w:w="0" w:type="auto"/>
            <w:shd w:val="clear" w:color="auto" w:fill="auto"/>
            <w:noWrap/>
            <w:hideMark/>
          </w:tcPr>
          <w:p w:rsidR="007F7BE6" w:rsidRPr="00497CE7" w:rsidRDefault="007F7BE6" w:rsidP="007D44FA">
            <w:pPr>
              <w:rPr>
                <w:rFonts w:ascii="Calibri" w:eastAsia="Times New Roman" w:hAnsi="Calibri" w:cs="Times New Roman"/>
                <w:color w:val="000000"/>
                <w:lang w:eastAsia="nl-NL"/>
              </w:rPr>
            </w:pPr>
            <w:r w:rsidRPr="00497CE7">
              <w:rPr>
                <w:rFonts w:ascii="Calibri" w:eastAsia="Times New Roman" w:hAnsi="Calibri" w:cs="Times New Roman"/>
                <w:color w:val="000000"/>
                <w:lang w:eastAsia="nl-NL"/>
              </w:rPr>
              <w:t>Hamburg</w:t>
            </w:r>
          </w:p>
        </w:tc>
        <w:tc>
          <w:tcPr>
            <w:tcW w:w="0" w:type="auto"/>
            <w:shd w:val="clear" w:color="auto" w:fill="auto"/>
            <w:noWrap/>
            <w:hideMark/>
          </w:tcPr>
          <w:p w:rsidR="007F7BE6" w:rsidRPr="00497CE7" w:rsidRDefault="007F7BE6" w:rsidP="007D44FA">
            <w:pPr>
              <w:jc w:val="right"/>
              <w:cnfStyle w:val="000000100000"/>
              <w:rPr>
                <w:rFonts w:ascii="Calibri" w:eastAsia="Times New Roman" w:hAnsi="Calibri" w:cs="Times New Roman"/>
                <w:color w:val="000000"/>
                <w:lang w:eastAsia="nl-NL"/>
              </w:rPr>
            </w:pPr>
            <w:r w:rsidRPr="00497CE7">
              <w:rPr>
                <w:rFonts w:ascii="Calibri" w:eastAsia="Times New Roman" w:hAnsi="Calibri" w:cs="Times New Roman"/>
                <w:color w:val="000000"/>
                <w:lang w:eastAsia="nl-NL"/>
              </w:rPr>
              <w:t>38,8%</w:t>
            </w:r>
          </w:p>
        </w:tc>
        <w:tc>
          <w:tcPr>
            <w:tcW w:w="0" w:type="auto"/>
            <w:shd w:val="clear" w:color="auto" w:fill="auto"/>
          </w:tcPr>
          <w:p w:rsidR="007F7BE6" w:rsidRPr="00497CE7" w:rsidRDefault="007F7BE6" w:rsidP="007D44FA">
            <w:pPr>
              <w:jc w:val="right"/>
              <w:cnfStyle w:val="000000100000"/>
              <w:rPr>
                <w:rFonts w:ascii="Calibri" w:eastAsia="Times New Roman" w:hAnsi="Calibri" w:cs="Times New Roman"/>
                <w:color w:val="000000"/>
                <w:lang w:eastAsia="nl-NL"/>
              </w:rPr>
            </w:pPr>
            <w:r>
              <w:rPr>
                <w:rFonts w:ascii="Calibri" w:eastAsia="Times New Roman" w:hAnsi="Calibri" w:cs="Times New Roman"/>
                <w:color w:val="000000"/>
                <w:lang w:eastAsia="nl-NL"/>
              </w:rPr>
              <w:t>24,9%</w:t>
            </w:r>
          </w:p>
        </w:tc>
        <w:tc>
          <w:tcPr>
            <w:tcW w:w="0" w:type="auto"/>
            <w:shd w:val="clear" w:color="auto" w:fill="auto"/>
            <w:noWrap/>
            <w:hideMark/>
          </w:tcPr>
          <w:p w:rsidR="007F7BE6" w:rsidRPr="00497CE7" w:rsidRDefault="007F7BE6" w:rsidP="007D44FA">
            <w:pPr>
              <w:jc w:val="right"/>
              <w:cnfStyle w:val="000000100000"/>
              <w:rPr>
                <w:rFonts w:ascii="Calibri" w:eastAsia="Times New Roman" w:hAnsi="Calibri" w:cs="Times New Roman"/>
                <w:color w:val="000000"/>
                <w:lang w:eastAsia="nl-NL"/>
              </w:rPr>
            </w:pPr>
            <w:r w:rsidRPr="00497CE7">
              <w:rPr>
                <w:rFonts w:ascii="Calibri" w:eastAsia="Times New Roman" w:hAnsi="Calibri" w:cs="Times New Roman"/>
                <w:color w:val="000000"/>
                <w:lang w:eastAsia="nl-NL"/>
              </w:rPr>
              <w:t>13,9%</w:t>
            </w:r>
          </w:p>
        </w:tc>
      </w:tr>
      <w:tr w:rsidR="007F7BE6" w:rsidRPr="00497CE7" w:rsidTr="007D44FA">
        <w:trPr>
          <w:trHeight w:val="300"/>
        </w:trPr>
        <w:tc>
          <w:tcPr>
            <w:cnfStyle w:val="001000000000"/>
            <w:tcW w:w="0" w:type="auto"/>
            <w:shd w:val="clear" w:color="auto" w:fill="auto"/>
            <w:noWrap/>
            <w:hideMark/>
          </w:tcPr>
          <w:p w:rsidR="007F7BE6" w:rsidRPr="00497CE7" w:rsidRDefault="007F7BE6" w:rsidP="007D44FA">
            <w:pPr>
              <w:rPr>
                <w:rFonts w:ascii="Calibri" w:eastAsia="Times New Roman" w:hAnsi="Calibri" w:cs="Times New Roman"/>
                <w:color w:val="000000"/>
                <w:lang w:eastAsia="nl-NL"/>
              </w:rPr>
            </w:pPr>
            <w:r w:rsidRPr="00497CE7">
              <w:rPr>
                <w:rFonts w:ascii="Calibri" w:eastAsia="Times New Roman" w:hAnsi="Calibri" w:cs="Times New Roman"/>
                <w:color w:val="000000"/>
                <w:lang w:eastAsia="nl-NL"/>
              </w:rPr>
              <w:t>Bremerhaven</w:t>
            </w:r>
          </w:p>
        </w:tc>
        <w:tc>
          <w:tcPr>
            <w:tcW w:w="0" w:type="auto"/>
            <w:shd w:val="clear" w:color="auto" w:fill="auto"/>
            <w:noWrap/>
            <w:hideMark/>
          </w:tcPr>
          <w:p w:rsidR="007F7BE6" w:rsidRPr="00497CE7" w:rsidRDefault="007F7BE6" w:rsidP="007D44FA">
            <w:pPr>
              <w:jc w:val="right"/>
              <w:cnfStyle w:val="000000000000"/>
              <w:rPr>
                <w:rFonts w:ascii="Calibri" w:eastAsia="Times New Roman" w:hAnsi="Calibri" w:cs="Times New Roman"/>
                <w:color w:val="000000"/>
                <w:lang w:eastAsia="nl-NL"/>
              </w:rPr>
            </w:pPr>
            <w:r w:rsidRPr="00497CE7">
              <w:rPr>
                <w:rFonts w:ascii="Calibri" w:eastAsia="Times New Roman" w:hAnsi="Calibri" w:cs="Times New Roman"/>
                <w:color w:val="000000"/>
                <w:lang w:eastAsia="nl-NL"/>
              </w:rPr>
              <w:t>42,9%</w:t>
            </w:r>
          </w:p>
        </w:tc>
        <w:tc>
          <w:tcPr>
            <w:tcW w:w="0" w:type="auto"/>
            <w:shd w:val="clear" w:color="auto" w:fill="auto"/>
          </w:tcPr>
          <w:p w:rsidR="007F7BE6" w:rsidRPr="00497CE7" w:rsidRDefault="007F7BE6" w:rsidP="007D44FA">
            <w:pPr>
              <w:jc w:val="right"/>
              <w:cnfStyle w:val="000000000000"/>
              <w:rPr>
                <w:rFonts w:ascii="Calibri" w:eastAsia="Times New Roman" w:hAnsi="Calibri" w:cs="Times New Roman"/>
                <w:color w:val="000000"/>
                <w:lang w:eastAsia="nl-NL"/>
              </w:rPr>
            </w:pPr>
            <w:r>
              <w:rPr>
                <w:rFonts w:ascii="Calibri" w:eastAsia="Times New Roman" w:hAnsi="Calibri" w:cs="Times New Roman"/>
                <w:color w:val="000000"/>
                <w:lang w:eastAsia="nl-NL"/>
              </w:rPr>
              <w:t>24,9%</w:t>
            </w:r>
          </w:p>
        </w:tc>
        <w:tc>
          <w:tcPr>
            <w:tcW w:w="0" w:type="auto"/>
            <w:shd w:val="clear" w:color="auto" w:fill="auto"/>
            <w:noWrap/>
            <w:hideMark/>
          </w:tcPr>
          <w:p w:rsidR="007F7BE6" w:rsidRPr="00497CE7" w:rsidRDefault="007F7BE6" w:rsidP="007D44FA">
            <w:pPr>
              <w:jc w:val="right"/>
              <w:cnfStyle w:val="000000000000"/>
              <w:rPr>
                <w:rFonts w:ascii="Calibri" w:eastAsia="Times New Roman" w:hAnsi="Calibri" w:cs="Times New Roman"/>
                <w:color w:val="000000"/>
                <w:lang w:eastAsia="nl-NL"/>
              </w:rPr>
            </w:pPr>
            <w:r w:rsidRPr="00497CE7">
              <w:rPr>
                <w:rFonts w:ascii="Calibri" w:eastAsia="Times New Roman" w:hAnsi="Calibri" w:cs="Times New Roman"/>
                <w:color w:val="000000"/>
                <w:lang w:eastAsia="nl-NL"/>
              </w:rPr>
              <w:t>18,0%</w:t>
            </w:r>
          </w:p>
        </w:tc>
      </w:tr>
      <w:tr w:rsidR="007F7BE6" w:rsidRPr="00497CE7" w:rsidTr="007D44FA">
        <w:trPr>
          <w:cnfStyle w:val="000000100000"/>
          <w:trHeight w:val="300"/>
        </w:trPr>
        <w:tc>
          <w:tcPr>
            <w:cnfStyle w:val="001000000000"/>
            <w:tcW w:w="0" w:type="auto"/>
            <w:shd w:val="clear" w:color="auto" w:fill="auto"/>
            <w:noWrap/>
            <w:hideMark/>
          </w:tcPr>
          <w:p w:rsidR="007F7BE6" w:rsidRPr="00497CE7" w:rsidRDefault="007F7BE6" w:rsidP="007D44FA">
            <w:pPr>
              <w:rPr>
                <w:rFonts w:ascii="Calibri" w:eastAsia="Times New Roman" w:hAnsi="Calibri" w:cs="Times New Roman"/>
                <w:color w:val="000000"/>
                <w:lang w:eastAsia="nl-NL"/>
              </w:rPr>
            </w:pPr>
            <w:r>
              <w:rPr>
                <w:rFonts w:ascii="Calibri" w:eastAsia="Times New Roman" w:hAnsi="Calibri" w:cs="Times New Roman"/>
                <w:color w:val="000000"/>
                <w:lang w:eastAsia="nl-NL"/>
              </w:rPr>
              <w:t>Wille</w:t>
            </w:r>
            <w:r w:rsidRPr="00497CE7">
              <w:rPr>
                <w:rFonts w:ascii="Calibri" w:eastAsia="Times New Roman" w:hAnsi="Calibri" w:cs="Times New Roman"/>
                <w:color w:val="000000"/>
                <w:lang w:eastAsia="nl-NL"/>
              </w:rPr>
              <w:t>mshaven</w:t>
            </w:r>
          </w:p>
        </w:tc>
        <w:tc>
          <w:tcPr>
            <w:tcW w:w="0" w:type="auto"/>
            <w:shd w:val="clear" w:color="auto" w:fill="auto"/>
            <w:noWrap/>
            <w:hideMark/>
          </w:tcPr>
          <w:p w:rsidR="007F7BE6" w:rsidRPr="00497CE7" w:rsidRDefault="007F7BE6" w:rsidP="007D44FA">
            <w:pPr>
              <w:jc w:val="right"/>
              <w:cnfStyle w:val="000000100000"/>
              <w:rPr>
                <w:rFonts w:ascii="Calibri" w:eastAsia="Times New Roman" w:hAnsi="Calibri" w:cs="Times New Roman"/>
                <w:color w:val="000000"/>
                <w:lang w:eastAsia="nl-NL"/>
              </w:rPr>
            </w:pPr>
            <w:r w:rsidRPr="00497CE7">
              <w:rPr>
                <w:rFonts w:ascii="Calibri" w:eastAsia="Times New Roman" w:hAnsi="Calibri" w:cs="Times New Roman"/>
                <w:color w:val="000000"/>
                <w:lang w:eastAsia="nl-NL"/>
              </w:rPr>
              <w:t>-77,1%</w:t>
            </w:r>
          </w:p>
        </w:tc>
        <w:tc>
          <w:tcPr>
            <w:tcW w:w="0" w:type="auto"/>
            <w:shd w:val="clear" w:color="auto" w:fill="auto"/>
          </w:tcPr>
          <w:p w:rsidR="007F7BE6" w:rsidRPr="00497CE7" w:rsidRDefault="007F7BE6" w:rsidP="007D44FA">
            <w:pPr>
              <w:jc w:val="right"/>
              <w:cnfStyle w:val="000000100000"/>
              <w:rPr>
                <w:rFonts w:ascii="Calibri" w:eastAsia="Times New Roman" w:hAnsi="Calibri" w:cs="Times New Roman"/>
                <w:color w:val="000000"/>
                <w:lang w:eastAsia="nl-NL"/>
              </w:rPr>
            </w:pPr>
            <w:r>
              <w:rPr>
                <w:rFonts w:ascii="Calibri" w:eastAsia="Times New Roman" w:hAnsi="Calibri" w:cs="Times New Roman"/>
                <w:color w:val="000000"/>
                <w:lang w:eastAsia="nl-NL"/>
              </w:rPr>
              <w:t>24,9%</w:t>
            </w:r>
          </w:p>
        </w:tc>
        <w:tc>
          <w:tcPr>
            <w:tcW w:w="0" w:type="auto"/>
            <w:shd w:val="clear" w:color="auto" w:fill="auto"/>
            <w:noWrap/>
            <w:hideMark/>
          </w:tcPr>
          <w:p w:rsidR="007F7BE6" w:rsidRPr="00497CE7" w:rsidRDefault="007F7BE6" w:rsidP="007D44FA">
            <w:pPr>
              <w:jc w:val="right"/>
              <w:cnfStyle w:val="000000100000"/>
              <w:rPr>
                <w:rFonts w:ascii="Calibri" w:eastAsia="Times New Roman" w:hAnsi="Calibri" w:cs="Times New Roman"/>
                <w:color w:val="000000"/>
                <w:lang w:eastAsia="nl-NL"/>
              </w:rPr>
            </w:pPr>
            <w:r w:rsidRPr="00497CE7">
              <w:rPr>
                <w:rFonts w:ascii="Calibri" w:eastAsia="Times New Roman" w:hAnsi="Calibri" w:cs="Times New Roman"/>
                <w:color w:val="000000"/>
                <w:lang w:eastAsia="nl-NL"/>
              </w:rPr>
              <w:t>-102,0%</w:t>
            </w:r>
          </w:p>
        </w:tc>
      </w:tr>
      <w:tr w:rsidR="007F7BE6" w:rsidRPr="00497CE7" w:rsidTr="007D44FA">
        <w:trPr>
          <w:trHeight w:val="300"/>
        </w:trPr>
        <w:tc>
          <w:tcPr>
            <w:cnfStyle w:val="001000000000"/>
            <w:tcW w:w="0" w:type="auto"/>
            <w:shd w:val="clear" w:color="auto" w:fill="auto"/>
            <w:noWrap/>
            <w:hideMark/>
          </w:tcPr>
          <w:p w:rsidR="007F7BE6" w:rsidRPr="00497CE7" w:rsidRDefault="007F7BE6" w:rsidP="007D44FA">
            <w:pPr>
              <w:rPr>
                <w:rFonts w:ascii="Calibri" w:eastAsia="Times New Roman" w:hAnsi="Calibri" w:cs="Times New Roman"/>
                <w:color w:val="000000"/>
                <w:lang w:eastAsia="nl-NL"/>
              </w:rPr>
            </w:pPr>
            <w:r w:rsidRPr="00497CE7">
              <w:rPr>
                <w:rFonts w:ascii="Calibri" w:eastAsia="Times New Roman" w:hAnsi="Calibri" w:cs="Times New Roman"/>
                <w:color w:val="000000"/>
                <w:lang w:eastAsia="nl-NL"/>
              </w:rPr>
              <w:t>Amsterdam</w:t>
            </w:r>
          </w:p>
        </w:tc>
        <w:tc>
          <w:tcPr>
            <w:tcW w:w="0" w:type="auto"/>
            <w:shd w:val="clear" w:color="auto" w:fill="auto"/>
            <w:noWrap/>
            <w:hideMark/>
          </w:tcPr>
          <w:p w:rsidR="007F7BE6" w:rsidRPr="00497CE7" w:rsidRDefault="007F7BE6" w:rsidP="007D44FA">
            <w:pPr>
              <w:jc w:val="right"/>
              <w:cnfStyle w:val="000000000000"/>
              <w:rPr>
                <w:rFonts w:ascii="Calibri" w:eastAsia="Times New Roman" w:hAnsi="Calibri" w:cs="Times New Roman"/>
                <w:color w:val="000000"/>
                <w:lang w:eastAsia="nl-NL"/>
              </w:rPr>
            </w:pPr>
            <w:r w:rsidRPr="00497CE7">
              <w:rPr>
                <w:rFonts w:ascii="Calibri" w:eastAsia="Times New Roman" w:hAnsi="Calibri" w:cs="Times New Roman"/>
                <w:color w:val="000000"/>
                <w:lang w:eastAsia="nl-NL"/>
              </w:rPr>
              <w:t>33,0%</w:t>
            </w:r>
          </w:p>
        </w:tc>
        <w:tc>
          <w:tcPr>
            <w:tcW w:w="0" w:type="auto"/>
            <w:shd w:val="clear" w:color="auto" w:fill="auto"/>
          </w:tcPr>
          <w:p w:rsidR="007F7BE6" w:rsidRPr="00497CE7" w:rsidRDefault="007F7BE6" w:rsidP="007D44FA">
            <w:pPr>
              <w:jc w:val="right"/>
              <w:cnfStyle w:val="000000000000"/>
              <w:rPr>
                <w:rFonts w:ascii="Calibri" w:eastAsia="Times New Roman" w:hAnsi="Calibri" w:cs="Times New Roman"/>
                <w:color w:val="000000"/>
                <w:lang w:eastAsia="nl-NL"/>
              </w:rPr>
            </w:pPr>
            <w:r>
              <w:rPr>
                <w:rFonts w:ascii="Calibri" w:eastAsia="Times New Roman" w:hAnsi="Calibri" w:cs="Times New Roman"/>
                <w:color w:val="000000"/>
                <w:lang w:eastAsia="nl-NL"/>
              </w:rPr>
              <w:t>24,9%</w:t>
            </w:r>
          </w:p>
        </w:tc>
        <w:tc>
          <w:tcPr>
            <w:tcW w:w="0" w:type="auto"/>
            <w:shd w:val="clear" w:color="auto" w:fill="auto"/>
            <w:noWrap/>
            <w:hideMark/>
          </w:tcPr>
          <w:p w:rsidR="007F7BE6" w:rsidRPr="00497CE7" w:rsidRDefault="007F7BE6" w:rsidP="007D44FA">
            <w:pPr>
              <w:jc w:val="right"/>
              <w:cnfStyle w:val="000000000000"/>
              <w:rPr>
                <w:rFonts w:ascii="Calibri" w:eastAsia="Times New Roman" w:hAnsi="Calibri" w:cs="Times New Roman"/>
                <w:color w:val="000000"/>
                <w:lang w:eastAsia="nl-NL"/>
              </w:rPr>
            </w:pPr>
            <w:r w:rsidRPr="00497CE7">
              <w:rPr>
                <w:rFonts w:ascii="Calibri" w:eastAsia="Times New Roman" w:hAnsi="Calibri" w:cs="Times New Roman"/>
                <w:color w:val="000000"/>
                <w:lang w:eastAsia="nl-NL"/>
              </w:rPr>
              <w:t>8,1%</w:t>
            </w:r>
          </w:p>
        </w:tc>
      </w:tr>
      <w:tr w:rsidR="007F7BE6" w:rsidRPr="00497CE7" w:rsidTr="007D44FA">
        <w:trPr>
          <w:cnfStyle w:val="000000100000"/>
          <w:trHeight w:val="300"/>
        </w:trPr>
        <w:tc>
          <w:tcPr>
            <w:cnfStyle w:val="001000000000"/>
            <w:tcW w:w="0" w:type="auto"/>
            <w:shd w:val="clear" w:color="auto" w:fill="auto"/>
            <w:noWrap/>
            <w:hideMark/>
          </w:tcPr>
          <w:p w:rsidR="007F7BE6" w:rsidRPr="00497CE7" w:rsidRDefault="007F7BE6" w:rsidP="007D44FA">
            <w:pPr>
              <w:rPr>
                <w:rFonts w:ascii="Calibri" w:eastAsia="Times New Roman" w:hAnsi="Calibri" w:cs="Times New Roman"/>
                <w:color w:val="000000"/>
                <w:lang w:eastAsia="nl-NL"/>
              </w:rPr>
            </w:pPr>
            <w:r w:rsidRPr="00497CE7">
              <w:rPr>
                <w:rFonts w:ascii="Calibri" w:eastAsia="Times New Roman" w:hAnsi="Calibri" w:cs="Times New Roman"/>
                <w:color w:val="000000"/>
                <w:lang w:eastAsia="nl-NL"/>
              </w:rPr>
              <w:t>Rotterdam</w:t>
            </w:r>
          </w:p>
        </w:tc>
        <w:tc>
          <w:tcPr>
            <w:tcW w:w="0" w:type="auto"/>
            <w:shd w:val="clear" w:color="auto" w:fill="auto"/>
            <w:noWrap/>
            <w:hideMark/>
          </w:tcPr>
          <w:p w:rsidR="007F7BE6" w:rsidRPr="00497CE7" w:rsidRDefault="007F7BE6" w:rsidP="007D44FA">
            <w:pPr>
              <w:jc w:val="right"/>
              <w:cnfStyle w:val="000000100000"/>
              <w:rPr>
                <w:rFonts w:ascii="Calibri" w:eastAsia="Times New Roman" w:hAnsi="Calibri" w:cs="Times New Roman"/>
                <w:color w:val="000000"/>
                <w:lang w:eastAsia="nl-NL"/>
              </w:rPr>
            </w:pPr>
            <w:r w:rsidRPr="00497CE7">
              <w:rPr>
                <w:rFonts w:ascii="Calibri" w:eastAsia="Times New Roman" w:hAnsi="Calibri" w:cs="Times New Roman"/>
                <w:color w:val="000000"/>
                <w:lang w:eastAsia="nl-NL"/>
              </w:rPr>
              <w:t>26,8%</w:t>
            </w:r>
          </w:p>
        </w:tc>
        <w:tc>
          <w:tcPr>
            <w:tcW w:w="0" w:type="auto"/>
            <w:shd w:val="clear" w:color="auto" w:fill="auto"/>
          </w:tcPr>
          <w:p w:rsidR="007F7BE6" w:rsidRPr="00497CE7" w:rsidRDefault="007F7BE6" w:rsidP="007D44FA">
            <w:pPr>
              <w:jc w:val="right"/>
              <w:cnfStyle w:val="000000100000"/>
              <w:rPr>
                <w:rFonts w:ascii="Calibri" w:eastAsia="Times New Roman" w:hAnsi="Calibri" w:cs="Times New Roman"/>
                <w:color w:val="000000"/>
                <w:lang w:eastAsia="nl-NL"/>
              </w:rPr>
            </w:pPr>
            <w:r>
              <w:rPr>
                <w:rFonts w:ascii="Calibri" w:eastAsia="Times New Roman" w:hAnsi="Calibri" w:cs="Times New Roman"/>
                <w:color w:val="000000"/>
                <w:lang w:eastAsia="nl-NL"/>
              </w:rPr>
              <w:t>24,9%</w:t>
            </w:r>
          </w:p>
        </w:tc>
        <w:tc>
          <w:tcPr>
            <w:tcW w:w="0" w:type="auto"/>
            <w:shd w:val="clear" w:color="auto" w:fill="auto"/>
            <w:noWrap/>
            <w:hideMark/>
          </w:tcPr>
          <w:p w:rsidR="007F7BE6" w:rsidRPr="00497CE7" w:rsidRDefault="007F7BE6" w:rsidP="007D44FA">
            <w:pPr>
              <w:jc w:val="right"/>
              <w:cnfStyle w:val="000000100000"/>
              <w:rPr>
                <w:rFonts w:ascii="Calibri" w:eastAsia="Times New Roman" w:hAnsi="Calibri" w:cs="Times New Roman"/>
                <w:color w:val="000000"/>
                <w:lang w:eastAsia="nl-NL"/>
              </w:rPr>
            </w:pPr>
            <w:r w:rsidRPr="00497CE7">
              <w:rPr>
                <w:rFonts w:ascii="Calibri" w:eastAsia="Times New Roman" w:hAnsi="Calibri" w:cs="Times New Roman"/>
                <w:color w:val="000000"/>
                <w:lang w:eastAsia="nl-NL"/>
              </w:rPr>
              <w:t>1,9%</w:t>
            </w:r>
          </w:p>
        </w:tc>
      </w:tr>
      <w:tr w:rsidR="007F7BE6" w:rsidRPr="00497CE7" w:rsidTr="007D44FA">
        <w:trPr>
          <w:trHeight w:val="300"/>
        </w:trPr>
        <w:tc>
          <w:tcPr>
            <w:cnfStyle w:val="001000000000"/>
            <w:tcW w:w="0" w:type="auto"/>
            <w:shd w:val="clear" w:color="auto" w:fill="auto"/>
            <w:noWrap/>
            <w:hideMark/>
          </w:tcPr>
          <w:p w:rsidR="007F7BE6" w:rsidRPr="00497CE7" w:rsidRDefault="007F7BE6" w:rsidP="007D44FA">
            <w:pPr>
              <w:rPr>
                <w:rFonts w:ascii="Calibri" w:eastAsia="Times New Roman" w:hAnsi="Calibri" w:cs="Times New Roman"/>
                <w:color w:val="1F497D" w:themeColor="text2"/>
                <w:lang w:eastAsia="nl-NL"/>
              </w:rPr>
            </w:pPr>
            <w:r w:rsidRPr="00497CE7">
              <w:rPr>
                <w:rFonts w:ascii="Calibri" w:eastAsia="Times New Roman" w:hAnsi="Calibri" w:cs="Times New Roman"/>
                <w:color w:val="1F497D" w:themeColor="text2"/>
                <w:lang w:eastAsia="nl-NL"/>
              </w:rPr>
              <w:t>Zeeland</w:t>
            </w:r>
          </w:p>
        </w:tc>
        <w:tc>
          <w:tcPr>
            <w:tcW w:w="0" w:type="auto"/>
            <w:shd w:val="clear" w:color="auto" w:fill="auto"/>
            <w:noWrap/>
            <w:hideMark/>
          </w:tcPr>
          <w:p w:rsidR="007F7BE6" w:rsidRPr="00497CE7" w:rsidRDefault="007F7BE6" w:rsidP="007D44FA">
            <w:pPr>
              <w:jc w:val="right"/>
              <w:cnfStyle w:val="000000000000"/>
              <w:rPr>
                <w:rFonts w:ascii="Calibri" w:eastAsia="Times New Roman" w:hAnsi="Calibri" w:cs="Times New Roman"/>
                <w:color w:val="1F497D" w:themeColor="text2"/>
                <w:lang w:eastAsia="nl-NL"/>
              </w:rPr>
            </w:pPr>
            <w:r w:rsidRPr="00497CE7">
              <w:rPr>
                <w:rFonts w:ascii="Calibri" w:eastAsia="Times New Roman" w:hAnsi="Calibri" w:cs="Times New Roman"/>
                <w:color w:val="1F497D" w:themeColor="text2"/>
                <w:lang w:eastAsia="nl-NL"/>
              </w:rPr>
              <w:t>24,8%</w:t>
            </w:r>
          </w:p>
        </w:tc>
        <w:tc>
          <w:tcPr>
            <w:tcW w:w="0" w:type="auto"/>
            <w:shd w:val="clear" w:color="auto" w:fill="auto"/>
          </w:tcPr>
          <w:p w:rsidR="007F7BE6" w:rsidRPr="00497CE7" w:rsidRDefault="007F7BE6" w:rsidP="007D44FA">
            <w:pPr>
              <w:jc w:val="right"/>
              <w:cnfStyle w:val="000000000000"/>
              <w:rPr>
                <w:rFonts w:ascii="Calibri" w:eastAsia="Times New Roman" w:hAnsi="Calibri" w:cs="Times New Roman"/>
                <w:color w:val="1F497D" w:themeColor="text2"/>
                <w:lang w:eastAsia="nl-NL"/>
              </w:rPr>
            </w:pPr>
            <w:r w:rsidRPr="00497CE7">
              <w:rPr>
                <w:rFonts w:ascii="Calibri" w:eastAsia="Times New Roman" w:hAnsi="Calibri" w:cs="Times New Roman"/>
                <w:color w:val="1F497D" w:themeColor="text2"/>
                <w:lang w:eastAsia="nl-NL"/>
              </w:rPr>
              <w:t>24,9%</w:t>
            </w:r>
          </w:p>
        </w:tc>
        <w:tc>
          <w:tcPr>
            <w:tcW w:w="0" w:type="auto"/>
            <w:shd w:val="clear" w:color="auto" w:fill="auto"/>
            <w:noWrap/>
            <w:hideMark/>
          </w:tcPr>
          <w:p w:rsidR="007F7BE6" w:rsidRPr="00497CE7" w:rsidRDefault="007F7BE6" w:rsidP="007D44FA">
            <w:pPr>
              <w:jc w:val="right"/>
              <w:cnfStyle w:val="000000000000"/>
              <w:rPr>
                <w:rFonts w:ascii="Calibri" w:eastAsia="Times New Roman" w:hAnsi="Calibri" w:cs="Times New Roman"/>
                <w:color w:val="1F497D" w:themeColor="text2"/>
                <w:lang w:eastAsia="nl-NL"/>
              </w:rPr>
            </w:pPr>
            <w:r w:rsidRPr="00497CE7">
              <w:rPr>
                <w:rFonts w:ascii="Calibri" w:eastAsia="Times New Roman" w:hAnsi="Calibri" w:cs="Times New Roman"/>
                <w:color w:val="1F497D" w:themeColor="text2"/>
                <w:lang w:eastAsia="nl-NL"/>
              </w:rPr>
              <w:t>-0,1%</w:t>
            </w:r>
          </w:p>
        </w:tc>
      </w:tr>
      <w:tr w:rsidR="007F7BE6" w:rsidRPr="00497CE7" w:rsidTr="007D44FA">
        <w:trPr>
          <w:cnfStyle w:val="000000100000"/>
          <w:trHeight w:val="300"/>
        </w:trPr>
        <w:tc>
          <w:tcPr>
            <w:cnfStyle w:val="001000000000"/>
            <w:tcW w:w="0" w:type="auto"/>
            <w:shd w:val="clear" w:color="auto" w:fill="auto"/>
            <w:noWrap/>
            <w:hideMark/>
          </w:tcPr>
          <w:p w:rsidR="007F7BE6" w:rsidRPr="00497CE7" w:rsidRDefault="007F7BE6" w:rsidP="007D44FA">
            <w:pPr>
              <w:rPr>
                <w:rFonts w:ascii="Calibri" w:eastAsia="Times New Roman" w:hAnsi="Calibri" w:cs="Times New Roman"/>
                <w:color w:val="000000"/>
                <w:lang w:eastAsia="nl-NL"/>
              </w:rPr>
            </w:pPr>
            <w:r w:rsidRPr="00497CE7">
              <w:rPr>
                <w:rFonts w:ascii="Calibri" w:eastAsia="Times New Roman" w:hAnsi="Calibri" w:cs="Times New Roman"/>
                <w:color w:val="000000"/>
                <w:lang w:eastAsia="nl-NL"/>
              </w:rPr>
              <w:t>Antwerpen</w:t>
            </w:r>
          </w:p>
        </w:tc>
        <w:tc>
          <w:tcPr>
            <w:tcW w:w="0" w:type="auto"/>
            <w:shd w:val="clear" w:color="auto" w:fill="auto"/>
            <w:noWrap/>
            <w:hideMark/>
          </w:tcPr>
          <w:p w:rsidR="007F7BE6" w:rsidRPr="00497CE7" w:rsidRDefault="007F7BE6" w:rsidP="007D44FA">
            <w:pPr>
              <w:jc w:val="right"/>
              <w:cnfStyle w:val="000000100000"/>
              <w:rPr>
                <w:rFonts w:ascii="Calibri" w:eastAsia="Times New Roman" w:hAnsi="Calibri" w:cs="Times New Roman"/>
                <w:color w:val="000000"/>
                <w:lang w:eastAsia="nl-NL"/>
              </w:rPr>
            </w:pPr>
            <w:r w:rsidRPr="00497CE7">
              <w:rPr>
                <w:rFonts w:ascii="Calibri" w:eastAsia="Times New Roman" w:hAnsi="Calibri" w:cs="Times New Roman"/>
                <w:color w:val="000000"/>
                <w:lang w:eastAsia="nl-NL"/>
              </w:rPr>
              <w:t>31,6%</w:t>
            </w:r>
          </w:p>
        </w:tc>
        <w:tc>
          <w:tcPr>
            <w:tcW w:w="0" w:type="auto"/>
            <w:shd w:val="clear" w:color="auto" w:fill="auto"/>
          </w:tcPr>
          <w:p w:rsidR="007F7BE6" w:rsidRPr="00497CE7" w:rsidRDefault="007F7BE6" w:rsidP="007D44FA">
            <w:pPr>
              <w:jc w:val="right"/>
              <w:cnfStyle w:val="000000100000"/>
              <w:rPr>
                <w:rFonts w:ascii="Calibri" w:eastAsia="Times New Roman" w:hAnsi="Calibri" w:cs="Times New Roman"/>
                <w:color w:val="000000"/>
                <w:lang w:eastAsia="nl-NL"/>
              </w:rPr>
            </w:pPr>
            <w:r>
              <w:rPr>
                <w:rFonts w:ascii="Calibri" w:eastAsia="Times New Roman" w:hAnsi="Calibri" w:cs="Times New Roman"/>
                <w:color w:val="000000"/>
                <w:lang w:eastAsia="nl-NL"/>
              </w:rPr>
              <w:t>24,9%</w:t>
            </w:r>
          </w:p>
        </w:tc>
        <w:tc>
          <w:tcPr>
            <w:tcW w:w="0" w:type="auto"/>
            <w:shd w:val="clear" w:color="auto" w:fill="auto"/>
            <w:noWrap/>
            <w:hideMark/>
          </w:tcPr>
          <w:p w:rsidR="007F7BE6" w:rsidRPr="00497CE7" w:rsidRDefault="007F7BE6" w:rsidP="007D44FA">
            <w:pPr>
              <w:jc w:val="right"/>
              <w:cnfStyle w:val="000000100000"/>
              <w:rPr>
                <w:rFonts w:ascii="Calibri" w:eastAsia="Times New Roman" w:hAnsi="Calibri" w:cs="Times New Roman"/>
                <w:color w:val="000000"/>
                <w:lang w:eastAsia="nl-NL"/>
              </w:rPr>
            </w:pPr>
            <w:r w:rsidRPr="00497CE7">
              <w:rPr>
                <w:rFonts w:ascii="Calibri" w:eastAsia="Times New Roman" w:hAnsi="Calibri" w:cs="Times New Roman"/>
                <w:color w:val="000000"/>
                <w:lang w:eastAsia="nl-NL"/>
              </w:rPr>
              <w:t>6,7%</w:t>
            </w:r>
          </w:p>
        </w:tc>
      </w:tr>
      <w:tr w:rsidR="007F7BE6" w:rsidRPr="00497CE7" w:rsidTr="007D44FA">
        <w:trPr>
          <w:trHeight w:val="300"/>
        </w:trPr>
        <w:tc>
          <w:tcPr>
            <w:cnfStyle w:val="001000000000"/>
            <w:tcW w:w="0" w:type="auto"/>
            <w:shd w:val="clear" w:color="auto" w:fill="auto"/>
            <w:noWrap/>
            <w:hideMark/>
          </w:tcPr>
          <w:p w:rsidR="007F7BE6" w:rsidRPr="00497CE7" w:rsidRDefault="007F7BE6" w:rsidP="007D44FA">
            <w:pPr>
              <w:rPr>
                <w:rFonts w:ascii="Calibri" w:eastAsia="Times New Roman" w:hAnsi="Calibri" w:cs="Times New Roman"/>
                <w:color w:val="000000"/>
                <w:lang w:eastAsia="nl-NL"/>
              </w:rPr>
            </w:pPr>
            <w:r w:rsidRPr="00497CE7">
              <w:rPr>
                <w:rFonts w:ascii="Calibri" w:eastAsia="Times New Roman" w:hAnsi="Calibri" w:cs="Times New Roman"/>
                <w:color w:val="000000"/>
                <w:lang w:eastAsia="nl-NL"/>
              </w:rPr>
              <w:t>Gent</w:t>
            </w:r>
          </w:p>
        </w:tc>
        <w:tc>
          <w:tcPr>
            <w:tcW w:w="0" w:type="auto"/>
            <w:shd w:val="clear" w:color="auto" w:fill="auto"/>
            <w:noWrap/>
            <w:hideMark/>
          </w:tcPr>
          <w:p w:rsidR="007F7BE6" w:rsidRPr="00497CE7" w:rsidRDefault="007F7BE6" w:rsidP="007D44FA">
            <w:pPr>
              <w:jc w:val="right"/>
              <w:cnfStyle w:val="000000000000"/>
              <w:rPr>
                <w:rFonts w:ascii="Calibri" w:eastAsia="Times New Roman" w:hAnsi="Calibri" w:cs="Times New Roman"/>
                <w:color w:val="000000"/>
                <w:lang w:eastAsia="nl-NL"/>
              </w:rPr>
            </w:pPr>
            <w:r w:rsidRPr="00497CE7">
              <w:rPr>
                <w:rFonts w:ascii="Calibri" w:eastAsia="Times New Roman" w:hAnsi="Calibri" w:cs="Times New Roman"/>
                <w:color w:val="000000"/>
                <w:lang w:eastAsia="nl-NL"/>
              </w:rPr>
              <w:t>7,7%</w:t>
            </w:r>
          </w:p>
        </w:tc>
        <w:tc>
          <w:tcPr>
            <w:tcW w:w="0" w:type="auto"/>
            <w:shd w:val="clear" w:color="auto" w:fill="auto"/>
          </w:tcPr>
          <w:p w:rsidR="007F7BE6" w:rsidRPr="00497CE7" w:rsidRDefault="007F7BE6" w:rsidP="007D44FA">
            <w:pPr>
              <w:jc w:val="right"/>
              <w:cnfStyle w:val="000000000000"/>
              <w:rPr>
                <w:rFonts w:ascii="Calibri" w:eastAsia="Times New Roman" w:hAnsi="Calibri" w:cs="Times New Roman"/>
                <w:color w:val="000000"/>
                <w:lang w:eastAsia="nl-NL"/>
              </w:rPr>
            </w:pPr>
            <w:r>
              <w:rPr>
                <w:rFonts w:ascii="Calibri" w:eastAsia="Times New Roman" w:hAnsi="Calibri" w:cs="Times New Roman"/>
                <w:color w:val="000000"/>
                <w:lang w:eastAsia="nl-NL"/>
              </w:rPr>
              <w:t>24,9%</w:t>
            </w:r>
          </w:p>
        </w:tc>
        <w:tc>
          <w:tcPr>
            <w:tcW w:w="0" w:type="auto"/>
            <w:shd w:val="clear" w:color="auto" w:fill="auto"/>
            <w:noWrap/>
            <w:hideMark/>
          </w:tcPr>
          <w:p w:rsidR="007F7BE6" w:rsidRPr="00497CE7" w:rsidRDefault="007F7BE6" w:rsidP="007D44FA">
            <w:pPr>
              <w:jc w:val="right"/>
              <w:cnfStyle w:val="000000000000"/>
              <w:rPr>
                <w:rFonts w:ascii="Calibri" w:eastAsia="Times New Roman" w:hAnsi="Calibri" w:cs="Times New Roman"/>
                <w:color w:val="000000"/>
                <w:lang w:eastAsia="nl-NL"/>
              </w:rPr>
            </w:pPr>
            <w:r w:rsidRPr="00497CE7">
              <w:rPr>
                <w:rFonts w:ascii="Calibri" w:eastAsia="Times New Roman" w:hAnsi="Calibri" w:cs="Times New Roman"/>
                <w:color w:val="000000"/>
                <w:lang w:eastAsia="nl-NL"/>
              </w:rPr>
              <w:t>-17,2%</w:t>
            </w:r>
          </w:p>
        </w:tc>
      </w:tr>
      <w:tr w:rsidR="007F7BE6" w:rsidRPr="00497CE7" w:rsidTr="007D44FA">
        <w:trPr>
          <w:cnfStyle w:val="000000100000"/>
          <w:trHeight w:val="300"/>
        </w:trPr>
        <w:tc>
          <w:tcPr>
            <w:cnfStyle w:val="001000000000"/>
            <w:tcW w:w="0" w:type="auto"/>
            <w:shd w:val="clear" w:color="auto" w:fill="auto"/>
            <w:noWrap/>
            <w:hideMark/>
          </w:tcPr>
          <w:p w:rsidR="007F7BE6" w:rsidRPr="00497CE7" w:rsidRDefault="007F7BE6" w:rsidP="007D44FA">
            <w:pPr>
              <w:rPr>
                <w:rFonts w:ascii="Calibri" w:eastAsia="Times New Roman" w:hAnsi="Calibri" w:cs="Times New Roman"/>
                <w:color w:val="000000"/>
                <w:lang w:eastAsia="nl-NL"/>
              </w:rPr>
            </w:pPr>
            <w:r w:rsidRPr="00497CE7">
              <w:rPr>
                <w:rFonts w:ascii="Calibri" w:eastAsia="Times New Roman" w:hAnsi="Calibri" w:cs="Times New Roman"/>
                <w:color w:val="000000"/>
                <w:lang w:eastAsia="nl-NL"/>
              </w:rPr>
              <w:t>Zeebrugge</w:t>
            </w:r>
          </w:p>
        </w:tc>
        <w:tc>
          <w:tcPr>
            <w:tcW w:w="0" w:type="auto"/>
            <w:shd w:val="clear" w:color="auto" w:fill="auto"/>
            <w:noWrap/>
            <w:hideMark/>
          </w:tcPr>
          <w:p w:rsidR="007F7BE6" w:rsidRPr="00497CE7" w:rsidRDefault="007F7BE6" w:rsidP="007D44FA">
            <w:pPr>
              <w:jc w:val="right"/>
              <w:cnfStyle w:val="000000100000"/>
              <w:rPr>
                <w:rFonts w:ascii="Calibri" w:eastAsia="Times New Roman" w:hAnsi="Calibri" w:cs="Times New Roman"/>
                <w:color w:val="000000"/>
                <w:lang w:eastAsia="nl-NL"/>
              </w:rPr>
            </w:pPr>
            <w:r w:rsidRPr="00497CE7">
              <w:rPr>
                <w:rFonts w:ascii="Calibri" w:eastAsia="Times New Roman" w:hAnsi="Calibri" w:cs="Times New Roman"/>
                <w:color w:val="000000"/>
                <w:lang w:eastAsia="nl-NL"/>
              </w:rPr>
              <w:t>17,1%</w:t>
            </w:r>
          </w:p>
        </w:tc>
        <w:tc>
          <w:tcPr>
            <w:tcW w:w="0" w:type="auto"/>
            <w:shd w:val="clear" w:color="auto" w:fill="auto"/>
          </w:tcPr>
          <w:p w:rsidR="007F7BE6" w:rsidRPr="00497CE7" w:rsidRDefault="007F7BE6" w:rsidP="007D44FA">
            <w:pPr>
              <w:jc w:val="right"/>
              <w:cnfStyle w:val="000000100000"/>
              <w:rPr>
                <w:rFonts w:ascii="Calibri" w:eastAsia="Times New Roman" w:hAnsi="Calibri" w:cs="Times New Roman"/>
                <w:color w:val="000000"/>
                <w:lang w:eastAsia="nl-NL"/>
              </w:rPr>
            </w:pPr>
            <w:r>
              <w:rPr>
                <w:rFonts w:ascii="Calibri" w:eastAsia="Times New Roman" w:hAnsi="Calibri" w:cs="Times New Roman"/>
                <w:color w:val="000000"/>
                <w:lang w:eastAsia="nl-NL"/>
              </w:rPr>
              <w:t>24,9%</w:t>
            </w:r>
          </w:p>
        </w:tc>
        <w:tc>
          <w:tcPr>
            <w:tcW w:w="0" w:type="auto"/>
            <w:shd w:val="clear" w:color="auto" w:fill="auto"/>
            <w:noWrap/>
            <w:hideMark/>
          </w:tcPr>
          <w:p w:rsidR="007F7BE6" w:rsidRPr="00497CE7" w:rsidRDefault="007F7BE6" w:rsidP="007D44FA">
            <w:pPr>
              <w:jc w:val="right"/>
              <w:cnfStyle w:val="000000100000"/>
              <w:rPr>
                <w:rFonts w:ascii="Calibri" w:eastAsia="Times New Roman" w:hAnsi="Calibri" w:cs="Times New Roman"/>
                <w:color w:val="000000"/>
                <w:lang w:eastAsia="nl-NL"/>
              </w:rPr>
            </w:pPr>
            <w:r w:rsidRPr="00497CE7">
              <w:rPr>
                <w:rFonts w:ascii="Calibri" w:eastAsia="Times New Roman" w:hAnsi="Calibri" w:cs="Times New Roman"/>
                <w:color w:val="000000"/>
                <w:lang w:eastAsia="nl-NL"/>
              </w:rPr>
              <w:t>-7,8%</w:t>
            </w:r>
          </w:p>
        </w:tc>
      </w:tr>
      <w:tr w:rsidR="007F7BE6" w:rsidRPr="00497CE7" w:rsidTr="007D44FA">
        <w:trPr>
          <w:trHeight w:val="300"/>
        </w:trPr>
        <w:tc>
          <w:tcPr>
            <w:cnfStyle w:val="001000000000"/>
            <w:tcW w:w="0" w:type="auto"/>
            <w:shd w:val="clear" w:color="auto" w:fill="auto"/>
            <w:noWrap/>
            <w:hideMark/>
          </w:tcPr>
          <w:p w:rsidR="007F7BE6" w:rsidRPr="00497CE7" w:rsidRDefault="007F7BE6" w:rsidP="007D44FA">
            <w:pPr>
              <w:rPr>
                <w:rFonts w:ascii="Calibri" w:eastAsia="Times New Roman" w:hAnsi="Calibri" w:cs="Times New Roman"/>
                <w:color w:val="000000"/>
                <w:lang w:eastAsia="nl-NL"/>
              </w:rPr>
            </w:pPr>
            <w:r w:rsidRPr="00497CE7">
              <w:rPr>
                <w:rFonts w:ascii="Calibri" w:eastAsia="Times New Roman" w:hAnsi="Calibri" w:cs="Times New Roman"/>
                <w:color w:val="000000"/>
                <w:lang w:eastAsia="nl-NL"/>
              </w:rPr>
              <w:t>Duinkerken</w:t>
            </w:r>
          </w:p>
        </w:tc>
        <w:tc>
          <w:tcPr>
            <w:tcW w:w="0" w:type="auto"/>
            <w:shd w:val="clear" w:color="auto" w:fill="auto"/>
            <w:noWrap/>
            <w:hideMark/>
          </w:tcPr>
          <w:p w:rsidR="007F7BE6" w:rsidRPr="00497CE7" w:rsidRDefault="007F7BE6" w:rsidP="007D44FA">
            <w:pPr>
              <w:jc w:val="right"/>
              <w:cnfStyle w:val="000000000000"/>
              <w:rPr>
                <w:rFonts w:ascii="Calibri" w:eastAsia="Times New Roman" w:hAnsi="Calibri" w:cs="Times New Roman"/>
                <w:color w:val="000000"/>
                <w:lang w:eastAsia="nl-NL"/>
              </w:rPr>
            </w:pPr>
            <w:r w:rsidRPr="00497CE7">
              <w:rPr>
                <w:rFonts w:ascii="Calibri" w:eastAsia="Times New Roman" w:hAnsi="Calibri" w:cs="Times New Roman"/>
                <w:color w:val="000000"/>
                <w:lang w:eastAsia="nl-NL"/>
              </w:rPr>
              <w:t>-3,9%</w:t>
            </w:r>
          </w:p>
        </w:tc>
        <w:tc>
          <w:tcPr>
            <w:tcW w:w="0" w:type="auto"/>
            <w:shd w:val="clear" w:color="auto" w:fill="auto"/>
          </w:tcPr>
          <w:p w:rsidR="007F7BE6" w:rsidRPr="00497CE7" w:rsidRDefault="007F7BE6" w:rsidP="007D44FA">
            <w:pPr>
              <w:jc w:val="right"/>
              <w:cnfStyle w:val="000000000000"/>
              <w:rPr>
                <w:rFonts w:ascii="Calibri" w:eastAsia="Times New Roman" w:hAnsi="Calibri" w:cs="Times New Roman"/>
                <w:color w:val="000000"/>
                <w:lang w:eastAsia="nl-NL"/>
              </w:rPr>
            </w:pPr>
            <w:r>
              <w:rPr>
                <w:rFonts w:ascii="Calibri" w:eastAsia="Times New Roman" w:hAnsi="Calibri" w:cs="Times New Roman"/>
                <w:color w:val="000000"/>
                <w:lang w:eastAsia="nl-NL"/>
              </w:rPr>
              <w:t>24,9%</w:t>
            </w:r>
          </w:p>
        </w:tc>
        <w:tc>
          <w:tcPr>
            <w:tcW w:w="0" w:type="auto"/>
            <w:shd w:val="clear" w:color="auto" w:fill="auto"/>
            <w:noWrap/>
            <w:hideMark/>
          </w:tcPr>
          <w:p w:rsidR="007F7BE6" w:rsidRPr="00497CE7" w:rsidRDefault="007F7BE6" w:rsidP="007D44FA">
            <w:pPr>
              <w:jc w:val="right"/>
              <w:cnfStyle w:val="000000000000"/>
              <w:rPr>
                <w:rFonts w:ascii="Calibri" w:eastAsia="Times New Roman" w:hAnsi="Calibri" w:cs="Times New Roman"/>
                <w:color w:val="000000"/>
                <w:lang w:eastAsia="nl-NL"/>
              </w:rPr>
            </w:pPr>
            <w:r w:rsidRPr="00497CE7">
              <w:rPr>
                <w:rFonts w:ascii="Calibri" w:eastAsia="Times New Roman" w:hAnsi="Calibri" w:cs="Times New Roman"/>
                <w:color w:val="000000"/>
                <w:lang w:eastAsia="nl-NL"/>
              </w:rPr>
              <w:t>-28,8%</w:t>
            </w:r>
          </w:p>
        </w:tc>
      </w:tr>
      <w:tr w:rsidR="007F7BE6" w:rsidRPr="00497CE7" w:rsidTr="007D44FA">
        <w:trPr>
          <w:cnfStyle w:val="000000100000"/>
          <w:trHeight w:val="300"/>
        </w:trPr>
        <w:tc>
          <w:tcPr>
            <w:cnfStyle w:val="001000000000"/>
            <w:tcW w:w="0" w:type="auto"/>
            <w:shd w:val="clear" w:color="auto" w:fill="auto"/>
            <w:noWrap/>
            <w:hideMark/>
          </w:tcPr>
          <w:p w:rsidR="007F7BE6" w:rsidRPr="00497CE7" w:rsidRDefault="007F7BE6" w:rsidP="007D44FA">
            <w:pPr>
              <w:rPr>
                <w:rFonts w:ascii="Calibri" w:eastAsia="Times New Roman" w:hAnsi="Calibri" w:cs="Times New Roman"/>
                <w:color w:val="000000"/>
                <w:lang w:eastAsia="nl-NL"/>
              </w:rPr>
            </w:pPr>
            <w:r w:rsidRPr="00497CE7">
              <w:rPr>
                <w:rFonts w:ascii="Calibri" w:eastAsia="Times New Roman" w:hAnsi="Calibri" w:cs="Times New Roman"/>
                <w:color w:val="000000"/>
                <w:lang w:eastAsia="nl-NL"/>
              </w:rPr>
              <w:t>Le Havre</w:t>
            </w:r>
          </w:p>
        </w:tc>
        <w:tc>
          <w:tcPr>
            <w:tcW w:w="0" w:type="auto"/>
            <w:shd w:val="clear" w:color="auto" w:fill="auto"/>
            <w:noWrap/>
            <w:hideMark/>
          </w:tcPr>
          <w:p w:rsidR="007F7BE6" w:rsidRPr="00497CE7" w:rsidRDefault="007F7BE6" w:rsidP="007D44FA">
            <w:pPr>
              <w:jc w:val="right"/>
              <w:cnfStyle w:val="000000100000"/>
              <w:rPr>
                <w:rFonts w:ascii="Calibri" w:eastAsia="Times New Roman" w:hAnsi="Calibri" w:cs="Times New Roman"/>
                <w:color w:val="000000"/>
                <w:lang w:eastAsia="nl-NL"/>
              </w:rPr>
            </w:pPr>
            <w:r w:rsidRPr="00497CE7">
              <w:rPr>
                <w:rFonts w:ascii="Calibri" w:eastAsia="Times New Roman" w:hAnsi="Calibri" w:cs="Times New Roman"/>
                <w:color w:val="000000"/>
                <w:lang w:eastAsia="nl-NL"/>
              </w:rPr>
              <w:t>-0,4%</w:t>
            </w:r>
          </w:p>
        </w:tc>
        <w:tc>
          <w:tcPr>
            <w:tcW w:w="0" w:type="auto"/>
            <w:shd w:val="clear" w:color="auto" w:fill="auto"/>
          </w:tcPr>
          <w:p w:rsidR="007F7BE6" w:rsidRPr="00497CE7" w:rsidRDefault="007F7BE6" w:rsidP="007D44FA">
            <w:pPr>
              <w:jc w:val="right"/>
              <w:cnfStyle w:val="000000100000"/>
              <w:rPr>
                <w:rFonts w:ascii="Calibri" w:eastAsia="Times New Roman" w:hAnsi="Calibri" w:cs="Times New Roman"/>
                <w:color w:val="000000"/>
                <w:lang w:eastAsia="nl-NL"/>
              </w:rPr>
            </w:pPr>
            <w:r>
              <w:rPr>
                <w:rFonts w:ascii="Calibri" w:eastAsia="Times New Roman" w:hAnsi="Calibri" w:cs="Times New Roman"/>
                <w:color w:val="000000"/>
                <w:lang w:eastAsia="nl-NL"/>
              </w:rPr>
              <w:t>24,9%</w:t>
            </w:r>
          </w:p>
        </w:tc>
        <w:tc>
          <w:tcPr>
            <w:tcW w:w="0" w:type="auto"/>
            <w:shd w:val="clear" w:color="auto" w:fill="auto"/>
            <w:noWrap/>
            <w:hideMark/>
          </w:tcPr>
          <w:p w:rsidR="007F7BE6" w:rsidRPr="00497CE7" w:rsidRDefault="007F7BE6" w:rsidP="007D44FA">
            <w:pPr>
              <w:keepNext/>
              <w:jc w:val="right"/>
              <w:cnfStyle w:val="000000100000"/>
              <w:rPr>
                <w:rFonts w:ascii="Calibri" w:eastAsia="Times New Roman" w:hAnsi="Calibri" w:cs="Times New Roman"/>
                <w:color w:val="000000"/>
                <w:lang w:eastAsia="nl-NL"/>
              </w:rPr>
            </w:pPr>
            <w:r w:rsidRPr="00497CE7">
              <w:rPr>
                <w:rFonts w:ascii="Calibri" w:eastAsia="Times New Roman" w:hAnsi="Calibri" w:cs="Times New Roman"/>
                <w:color w:val="000000"/>
                <w:lang w:eastAsia="nl-NL"/>
              </w:rPr>
              <w:t>-25,3%</w:t>
            </w:r>
          </w:p>
        </w:tc>
      </w:tr>
    </w:tbl>
    <w:p w:rsidR="007F7BE6" w:rsidRDefault="007F7BE6" w:rsidP="007F7BE6">
      <w:pPr>
        <w:pStyle w:val="Caption"/>
        <w:rPr>
          <w:b w:val="0"/>
          <w:color w:val="auto"/>
        </w:rPr>
      </w:pPr>
      <w:r w:rsidRPr="006E5A62">
        <w:rPr>
          <w:color w:val="auto"/>
        </w:rPr>
        <w:t xml:space="preserve">Tabel </w:t>
      </w:r>
      <w:r w:rsidR="006530F6" w:rsidRPr="006E5A62">
        <w:rPr>
          <w:color w:val="auto"/>
        </w:rPr>
        <w:fldChar w:fldCharType="begin"/>
      </w:r>
      <w:r w:rsidRPr="006E5A62">
        <w:rPr>
          <w:color w:val="auto"/>
        </w:rPr>
        <w:instrText xml:space="preserve"> SEQ Tabel \* ARABIC </w:instrText>
      </w:r>
      <w:r w:rsidR="006530F6" w:rsidRPr="006E5A62">
        <w:rPr>
          <w:color w:val="auto"/>
        </w:rPr>
        <w:fldChar w:fldCharType="separate"/>
      </w:r>
      <w:r w:rsidR="00991C40">
        <w:rPr>
          <w:noProof/>
          <w:color w:val="auto"/>
        </w:rPr>
        <w:t>3</w:t>
      </w:r>
      <w:r w:rsidR="006530F6" w:rsidRPr="006E5A62">
        <w:rPr>
          <w:color w:val="auto"/>
        </w:rPr>
        <w:fldChar w:fldCharType="end"/>
      </w:r>
      <w:r w:rsidRPr="006E5A62">
        <w:rPr>
          <w:color w:val="auto"/>
        </w:rPr>
        <w:t xml:space="preserve">: </w:t>
      </w:r>
      <w:r w:rsidRPr="006E5A62">
        <w:rPr>
          <w:b w:val="0"/>
          <w:color w:val="auto"/>
        </w:rPr>
        <w:t>SSA Hamburg-Le Havre-range in periode 2000-2013</w:t>
      </w:r>
    </w:p>
    <w:p w:rsidR="007F7BE6" w:rsidRPr="006E5A62" w:rsidRDefault="007F7BE6" w:rsidP="005D6817">
      <w:pPr>
        <w:pStyle w:val="Heading4"/>
        <w:rPr>
          <w:color w:val="auto"/>
        </w:rPr>
      </w:pPr>
      <w:r w:rsidRPr="006E5A62">
        <w:rPr>
          <w:color w:val="auto"/>
        </w:rPr>
        <w:t>Ontwikkeling categorieën cargo per haven</w:t>
      </w:r>
      <w:r>
        <w:rPr>
          <w:rStyle w:val="FootnoteReference"/>
          <w:color w:val="auto"/>
        </w:rPr>
        <w:footnoteReference w:id="14"/>
      </w:r>
    </w:p>
    <w:p w:rsidR="007F7BE6" w:rsidRDefault="007F7BE6" w:rsidP="007F7BE6">
      <w:pPr>
        <w:pStyle w:val="NoSpacing"/>
        <w:spacing w:before="100" w:line="360" w:lineRule="auto"/>
        <w:jc w:val="both"/>
      </w:pPr>
      <w:r>
        <w:t xml:space="preserve">In Appendix B zijn de vier PPA’s van de Zeeuwse havens en de havens van Amsterdam, Gent en Duinkerken weergegeven </w:t>
      </w:r>
      <w:r>
        <w:rPr>
          <w:rStyle w:val="FootnoteReference"/>
        </w:rPr>
        <w:footnoteReference w:id="15"/>
      </w:r>
      <w:r>
        <w:t xml:space="preserve">. Deze PPA’s zijn gemaakt op </w:t>
      </w:r>
      <w:proofErr w:type="gramStart"/>
      <w:r>
        <w:t>level</w:t>
      </w:r>
      <w:proofErr w:type="gramEnd"/>
      <w:r>
        <w:t xml:space="preserve"> 2, zoals in paragraaf 3 beschreven. Van iedere haven is een weergave gemaakt van de vijf categorieën cargo: nat en droog bulkgoed, containers, roll-on/roll-off en stukgoed. Voor de categorie stukgoed worden de havens van Amsterdam, Gent en Zeeland met elkaar vergeleken en voor de categorie droog bulkgoed de havens van Duinkerken, Gent, Amsterdam en Zeeland. </w:t>
      </w:r>
    </w:p>
    <w:p w:rsidR="007F7BE6" w:rsidRDefault="007F7BE6" w:rsidP="007F7BE6">
      <w:pPr>
        <w:pStyle w:val="NoSpacing"/>
        <w:spacing w:before="100" w:line="360" w:lineRule="auto"/>
        <w:jc w:val="both"/>
        <w:rPr>
          <w:b/>
        </w:rPr>
      </w:pPr>
      <w:r>
        <w:rPr>
          <w:b/>
        </w:rPr>
        <w:t>Stukgoed</w:t>
      </w:r>
    </w:p>
    <w:p w:rsidR="007F7BE6" w:rsidRDefault="007F7BE6" w:rsidP="007F7BE6">
      <w:pPr>
        <w:pStyle w:val="NoSpacing"/>
        <w:spacing w:line="360" w:lineRule="auto"/>
        <w:jc w:val="both"/>
      </w:pPr>
      <w:r>
        <w:t>Bij stukgoed zijn de Zeeuwse havens Star Performers, aangezien ze een hoog groeipercentage en groot aandeel kennen, terwijl Amsterdam een High Potential is en Gent een Minor Performer is. De concurrentiepositie kan dus als sterk worden beschreven voor de categorie stukgoed.</w:t>
      </w:r>
    </w:p>
    <w:p w:rsidR="007F7BE6" w:rsidRDefault="007F7BE6" w:rsidP="007F7BE6">
      <w:pPr>
        <w:pStyle w:val="NoSpacing"/>
        <w:spacing w:before="100" w:line="360" w:lineRule="auto"/>
        <w:jc w:val="both"/>
        <w:rPr>
          <w:b/>
        </w:rPr>
      </w:pPr>
      <w:r>
        <w:rPr>
          <w:b/>
        </w:rPr>
        <w:t>Droog bulkgoed</w:t>
      </w:r>
    </w:p>
    <w:p w:rsidR="00E50399" w:rsidRDefault="007F7BE6" w:rsidP="003E5364">
      <w:pPr>
        <w:pStyle w:val="NoSpacing"/>
        <w:spacing w:line="360" w:lineRule="auto"/>
        <w:jc w:val="both"/>
      </w:pPr>
      <w:r>
        <w:t xml:space="preserve">Bij de categorie droog bulkgoed worden er andere waarnemingen gedaan. Hier is namelijk te zien dat zowel de Zeeuwse havens, Amsterdam als Gent Mature Leaders </w:t>
      </w:r>
      <w:proofErr w:type="gramStart"/>
      <w:r>
        <w:t>zijn</w:t>
      </w:r>
      <w:proofErr w:type="gramEnd"/>
      <w:r>
        <w:t xml:space="preserve"> en Duinkerken in dit geval een Star Performer. Als er echter kritischer wordt gekeken naar de getallen, blijkt duidelijk dat ook al is het droge bulkgoed een Star Performer binnen de haven zelf, de groei blijft sterk achter bij die van de havens van Zeeland, Amsterdam en Gent.</w:t>
      </w:r>
      <w:r w:rsidR="00E50399">
        <w:br w:type="page"/>
      </w:r>
    </w:p>
    <w:p w:rsidR="00E50399" w:rsidRDefault="00E50399" w:rsidP="00E50399">
      <w:pPr>
        <w:pStyle w:val="Heading1"/>
        <w:numPr>
          <w:ilvl w:val="0"/>
          <w:numId w:val="4"/>
        </w:numPr>
        <w:rPr>
          <w:color w:val="595959" w:themeColor="text1" w:themeTint="A6"/>
        </w:rPr>
      </w:pPr>
      <w:bookmarkStart w:id="24" w:name="_Toc391468004"/>
      <w:r>
        <w:rPr>
          <w:color w:val="595959" w:themeColor="text1" w:themeTint="A6"/>
        </w:rPr>
        <w:lastRenderedPageBreak/>
        <w:t>Strategie voor Zeeuwse havens</w:t>
      </w:r>
      <w:bookmarkEnd w:id="24"/>
    </w:p>
    <w:p w:rsidR="00E50399" w:rsidRDefault="00E50399" w:rsidP="00E50399">
      <w:pPr>
        <w:pStyle w:val="Heading2"/>
        <w:numPr>
          <w:ilvl w:val="1"/>
          <w:numId w:val="4"/>
        </w:numPr>
        <w:rPr>
          <w:color w:val="auto"/>
        </w:rPr>
      </w:pPr>
      <w:bookmarkStart w:id="25" w:name="_Toc391468005"/>
      <w:r>
        <w:rPr>
          <w:color w:val="auto"/>
        </w:rPr>
        <w:t>Introductie</w:t>
      </w:r>
      <w:bookmarkEnd w:id="25"/>
    </w:p>
    <w:p w:rsidR="00E50399" w:rsidRDefault="00E50399" w:rsidP="00E50399">
      <w:pPr>
        <w:pStyle w:val="NoSpacing"/>
        <w:spacing w:before="100" w:line="360" w:lineRule="auto"/>
        <w:jc w:val="both"/>
      </w:pPr>
      <w:r>
        <w:t xml:space="preserve">De analyse in het vorige hoofdstuk heeft een duidelijke schets gemaakt van de concurrentiepositie van de Zeeuwse havens ten opzichte van haar belangrijkste concurrenten. Hieruit bleek dat zij sterk zijn in </w:t>
      </w:r>
      <w:proofErr w:type="gramStart"/>
      <w:r>
        <w:t>de</w:t>
      </w:r>
      <w:proofErr w:type="gramEnd"/>
      <w:r>
        <w:t xml:space="preserve"> op- en overslag van stukgoed. De vraag die echter resteert na deze resultaten is of dit ook daadwerkelijk de productgroep is waar de Zeeuwse havens zich op moeten focussen. In dit hoofdstuk wordt er dan ook gekeken naar de markt in zijn geheel. De deelvraag die hiervoor wordt beantwoord luidt als volgt: </w:t>
      </w:r>
      <w:r>
        <w:rPr>
          <w:i/>
        </w:rPr>
        <w:t xml:space="preserve">op welke activiteiten moeten de Zeeuwse havens zich in de toekomst richten om zich te onderscheiden van hun omliggende concurrenten? </w:t>
      </w:r>
    </w:p>
    <w:p w:rsidR="00E50399" w:rsidRDefault="00E50399" w:rsidP="00E50399">
      <w:pPr>
        <w:pStyle w:val="NoSpacing"/>
        <w:spacing w:line="360" w:lineRule="auto"/>
        <w:jc w:val="both"/>
      </w:pPr>
    </w:p>
    <w:p w:rsidR="00E50399" w:rsidRDefault="00E50399" w:rsidP="00E50399">
      <w:pPr>
        <w:pStyle w:val="NoSpacing"/>
        <w:spacing w:line="360" w:lineRule="auto"/>
        <w:jc w:val="both"/>
      </w:pPr>
      <w:r>
        <w:t xml:space="preserve">In de eerste paragraaf worden twee belangrijke bevindingen naar aanleiding van de PPA </w:t>
      </w:r>
      <w:proofErr w:type="gramStart"/>
      <w:r>
        <w:t>level</w:t>
      </w:r>
      <w:proofErr w:type="gramEnd"/>
      <w:r>
        <w:t xml:space="preserve"> 3 besproken, welke de basis vormen voor de daaropvolgende paragrafen. Deze gaan namelijk in op huidige trends of marktonwikkelingen die van invloed zijn op de strategische positie van de Zeeuwse havens. Drie van deze trends zijn de containerisatie, het voordoen van een herstructurering in de supply chain en tot slot de opkomende offshore-industrie. </w:t>
      </w:r>
    </w:p>
    <w:p w:rsidR="00E50399" w:rsidRDefault="00E50399" w:rsidP="00E50399">
      <w:pPr>
        <w:pStyle w:val="Heading2"/>
        <w:numPr>
          <w:ilvl w:val="1"/>
          <w:numId w:val="4"/>
        </w:numPr>
        <w:rPr>
          <w:color w:val="auto"/>
        </w:rPr>
      </w:pPr>
      <w:bookmarkStart w:id="26" w:name="_Toc391468006"/>
      <w:r>
        <w:rPr>
          <w:color w:val="auto"/>
        </w:rPr>
        <w:t xml:space="preserve">Product Portfolio Analyse </w:t>
      </w:r>
      <w:proofErr w:type="gramStart"/>
      <w:r>
        <w:rPr>
          <w:color w:val="auto"/>
        </w:rPr>
        <w:t>level</w:t>
      </w:r>
      <w:proofErr w:type="gramEnd"/>
      <w:r>
        <w:rPr>
          <w:color w:val="auto"/>
        </w:rPr>
        <w:t xml:space="preserve"> 3</w:t>
      </w:r>
      <w:r>
        <w:rPr>
          <w:rStyle w:val="FootnoteReference"/>
          <w:color w:val="auto"/>
        </w:rPr>
        <w:footnoteReference w:id="16"/>
      </w:r>
      <w:bookmarkEnd w:id="26"/>
    </w:p>
    <w:p w:rsidR="00E50399" w:rsidRDefault="00E50399" w:rsidP="00E50399">
      <w:pPr>
        <w:pStyle w:val="NoSpacing"/>
        <w:spacing w:before="100" w:line="360" w:lineRule="auto"/>
        <w:jc w:val="both"/>
      </w:pPr>
      <w:r>
        <w:t xml:space="preserve">In het vorige hoofdstuk zijn </w:t>
      </w:r>
      <w:proofErr w:type="gramStart"/>
      <w:r>
        <w:t>reeds</w:t>
      </w:r>
      <w:proofErr w:type="gramEnd"/>
      <w:r>
        <w:t xml:space="preserve"> PPA’s gemaakt op level 1 en level 2. In de laatste paragraaf kwam echter naar voren dat een PPA met </w:t>
      </w:r>
      <w:proofErr w:type="gramStart"/>
      <w:r>
        <w:t>level</w:t>
      </w:r>
      <w:proofErr w:type="gramEnd"/>
      <w:r>
        <w:t xml:space="preserve"> 2 nog weinig zegt over de strategische positie van een haven voor een bepaald commodity ten opzichte van andere havens. Het middel dat deze relatie wel weer kan geven is een PPA </w:t>
      </w:r>
      <w:proofErr w:type="gramStart"/>
      <w:r>
        <w:t>level</w:t>
      </w:r>
      <w:proofErr w:type="gramEnd"/>
      <w:r>
        <w:t xml:space="preserve"> 3. Deze analyse gaat in op één productgroep en vergelijkt hierbij de groeipercentages en marktaandelen van de havens in de betreffende range. In het geval van de casus van de Zeeuwse havens worden de groeipercentages en marktaandelen van de concurrenten vergeleken binnen de Hamburg-Le Havre range. </w:t>
      </w:r>
    </w:p>
    <w:p w:rsidR="00E50399" w:rsidRDefault="00E50399" w:rsidP="00E50399">
      <w:pPr>
        <w:pStyle w:val="Heading3"/>
        <w:numPr>
          <w:ilvl w:val="2"/>
          <w:numId w:val="4"/>
        </w:numPr>
        <w:rPr>
          <w:color w:val="auto"/>
        </w:rPr>
      </w:pPr>
      <w:bookmarkStart w:id="27" w:name="_Toc391468007"/>
      <w:r>
        <w:rPr>
          <w:color w:val="auto"/>
        </w:rPr>
        <w:t xml:space="preserve">Bevindingen na analyse </w:t>
      </w:r>
      <w:proofErr w:type="gramStart"/>
      <w:r>
        <w:rPr>
          <w:color w:val="auto"/>
        </w:rPr>
        <w:t>level</w:t>
      </w:r>
      <w:proofErr w:type="gramEnd"/>
      <w:r>
        <w:rPr>
          <w:color w:val="auto"/>
        </w:rPr>
        <w:t xml:space="preserve"> 3</w:t>
      </w:r>
      <w:r>
        <w:rPr>
          <w:rStyle w:val="FootnoteReference"/>
          <w:color w:val="auto"/>
        </w:rPr>
        <w:footnoteReference w:id="17"/>
      </w:r>
      <w:bookmarkEnd w:id="27"/>
    </w:p>
    <w:p w:rsidR="00E50399" w:rsidRDefault="00E50399" w:rsidP="00E50399">
      <w:pPr>
        <w:pStyle w:val="NoSpacing"/>
        <w:spacing w:before="100" w:line="360" w:lineRule="auto"/>
        <w:jc w:val="both"/>
      </w:pPr>
      <w:r>
        <w:t xml:space="preserve">Bij het volbrengen van de PPA </w:t>
      </w:r>
      <w:proofErr w:type="gramStart"/>
      <w:r>
        <w:t>level</w:t>
      </w:r>
      <w:proofErr w:type="gramEnd"/>
      <w:r>
        <w:t xml:space="preserve"> 3 zijn een aantal bevindingen gedaan die bijdragen aan het bepalen van de strategische positie van de Zeeuwse havens. Zo bleek dat de commodity containers het sterkst is gegroeid binnen de Hamburg-Le Havre range in de periode van 2000-2012. De </w:t>
      </w:r>
      <w:proofErr w:type="gramStart"/>
      <w:r>
        <w:t>level</w:t>
      </w:r>
      <w:proofErr w:type="gramEnd"/>
      <w:r>
        <w:t xml:space="preserve"> 3 PPA laat zien dat de Zeeuwse havens achter blijven bij deze ontwikkeling (containerisatie). De Zeeuwse havens laten een krimp zien van 2,8 procent, waar de overslag van containers in de hele range een groei kent van 7,1 procent. Deze sterke groei in de overslag van containers kan mede worden verklaard door een verschuiving die plaatsvindt binnen de stukgoedmarkt. Veel van het </w:t>
      </w:r>
      <w:r>
        <w:lastRenderedPageBreak/>
        <w:t xml:space="preserve">stukgoed dat voorheen werd vervoerd op pallets, wordt tegenwoordig vervoerd in containers. Ook de Zeeuwse havens hebben hiermee te maken. Een goederensoort die voor erg veel overslag </w:t>
      </w:r>
      <w:proofErr w:type="gramStart"/>
      <w:r>
        <w:t>zorgt</w:t>
      </w:r>
      <w:proofErr w:type="gramEnd"/>
      <w:r>
        <w:t xml:space="preserve"> is die van agrarische producten en overig voedsel (Appendix A). Producten die voorheen werden gekoeld aan boord van een schip, worden tegenwoordig vervoerd in zogenaamde koelcontainers. Dit is slechts een voorbeeld van de verschuiving van stukgoed naar containers en laat zien dat op korte termijn de Zeeuwse havens moeten investeren in het binnenhalen van containerschepen. </w:t>
      </w:r>
    </w:p>
    <w:p w:rsidR="00E50399" w:rsidRDefault="00E50399" w:rsidP="00E50399">
      <w:pPr>
        <w:pStyle w:val="NoSpacing"/>
        <w:spacing w:line="360" w:lineRule="auto"/>
        <w:jc w:val="both"/>
      </w:pPr>
    </w:p>
    <w:p w:rsidR="00E50399" w:rsidRDefault="00E50399" w:rsidP="00E50399">
      <w:pPr>
        <w:pStyle w:val="NoSpacing"/>
        <w:spacing w:line="360" w:lineRule="auto"/>
        <w:jc w:val="both"/>
      </w:pPr>
      <w:r>
        <w:t xml:space="preserve">Een tweede observatie die de hierboven beschreven verschuiving bevestigd is de krimp in de overslag van stukgoed in de periode 2000-2012 voor de gehele Hamburg-Le Havre range. Een daling van 0,7 procent lijkt mee te vallen, maar </w:t>
      </w:r>
      <w:proofErr w:type="gramStart"/>
      <w:r>
        <w:t>vergeleken</w:t>
      </w:r>
      <w:proofErr w:type="gramEnd"/>
      <w:r>
        <w:t xml:space="preserve"> met de gemiddelde groei van 2,5 procent over de totale overslag, lijkt de trend van containerisatie te worden bevestigd. De Zeeuwse havens, maar ook andere havens in Nederland, hebben hier echter een unieke positie, aangezien er twee zeer stabiele productgroepen worden overgeslagen</w:t>
      </w:r>
      <w:r>
        <w:rPr>
          <w:rStyle w:val="FootnoteReference"/>
        </w:rPr>
        <w:footnoteReference w:id="18"/>
      </w:r>
      <w:r>
        <w:t xml:space="preserve">. Dit is te zien aan het groeipercentage van 9,6 procent, wat in vergelijking met de concurrenten een zeer sterke groei is. De twee productgroepen die hier grotendeels voor verantwoordelijk zijn, is ten eerste de overslag van aluminium, waarin Vlissingen samen met Detroit de grootste ter wereld is. Het tweede product dat veel wordt overgeslagen is cellulose, wat gebruikt wordt voor de fabricage van papierproducten. Ook de groei in de overslag van voedsel draagt bij aan de sterke groei van stukgoed. </w:t>
      </w:r>
    </w:p>
    <w:p w:rsidR="00E50399" w:rsidRDefault="00E50399" w:rsidP="00E50399">
      <w:pPr>
        <w:pStyle w:val="Heading2"/>
        <w:numPr>
          <w:ilvl w:val="1"/>
          <w:numId w:val="4"/>
        </w:numPr>
        <w:rPr>
          <w:color w:val="auto"/>
        </w:rPr>
      </w:pPr>
      <w:bookmarkStart w:id="28" w:name="_Toc391468008"/>
      <w:r>
        <w:rPr>
          <w:color w:val="auto"/>
        </w:rPr>
        <w:t>Positie Zeeuwse havens voor binnenhalen containerschepen</w:t>
      </w:r>
      <w:bookmarkEnd w:id="28"/>
    </w:p>
    <w:p w:rsidR="00E50399" w:rsidRDefault="00E50399" w:rsidP="00E50399">
      <w:pPr>
        <w:pStyle w:val="NoSpacing"/>
        <w:spacing w:before="100" w:line="360" w:lineRule="auto"/>
        <w:jc w:val="both"/>
      </w:pPr>
      <w:r>
        <w:t>De Zeeuwse havens zijn relatief onbekend met de overslag van containers in vergelijking met de veel grotere containerhavens in de nabije omgeving, zoals Antwerpen en Rotterdam</w:t>
      </w:r>
      <w:r>
        <w:rPr>
          <w:rStyle w:val="FootnoteReference"/>
        </w:rPr>
        <w:footnoteReference w:id="19"/>
      </w:r>
      <w:r>
        <w:t xml:space="preserve">. </w:t>
      </w:r>
      <w:r w:rsidR="00FC2848">
        <w:t>Plannen voor de bouw van grote containerterminals zijn er in het verleden wel geweest, waaronder de Westerschelde Container Terminal (WCT). Deze plannen waren vooral gebaseerd op de groeiende containermarkt en de focus op het concurreren met de havens van Antwerpen en Rotterdam. De WCT is er echter nooit gekomen. Een belangrijke reden hiervoor is de sterke positie van het grootste bedrijf uit de haven: Verbrugge. Deze dreigde haar nieuwe activiteiten te verplaatsen naar Zeebrugge</w:t>
      </w:r>
      <w:r w:rsidR="00FC2848">
        <w:rPr>
          <w:rStyle w:val="FootnoteReference"/>
        </w:rPr>
        <w:footnoteReference w:id="20"/>
      </w:r>
      <w:r w:rsidR="00FC2848">
        <w:t>. Een andere reden is de tegenvallende economische groei én de investeringen van andere hav</w:t>
      </w:r>
      <w:r w:rsidR="002D73D4">
        <w:t>ens in grote containerterminals, waardoor op korte termijn overcapaciteit kan ontstaan. De Zeeuwse havens moeten zich dan ook niet focussen op het binnenhalen van grote schepen en een grote containerterminal, maar juist op de kleinere containerschepen en van daaruit haar positie versterken, waardoor op lange termijn ooit een WCT nog kan ontstaan. D</w:t>
      </w:r>
      <w:r>
        <w:t xml:space="preserve">e Zeeuwse havens hebben </w:t>
      </w:r>
      <w:r w:rsidR="002D73D4">
        <w:lastRenderedPageBreak/>
        <w:t>namelijk weldegelijk</w:t>
      </w:r>
      <w:r>
        <w:t xml:space="preserve"> voordelen voor het aantrekken van containersche</w:t>
      </w:r>
      <w:r w:rsidR="002D73D4">
        <w:t xml:space="preserve">pen en op de lange termijn </w:t>
      </w:r>
      <w:r>
        <w:t xml:space="preserve">een containerterminal. De Langen, Nijdam en Van der Lugt beschrijven in hun syllabus over havens en hun USP’s. Zij beschrijven USP’s als ‘oorzaken voor competitieve voordelen geobserveerd door havengebruikers’. Voor de containermarkt </w:t>
      </w:r>
      <w:r w:rsidR="00767649">
        <w:t>is</w:t>
      </w:r>
      <w:r>
        <w:t xml:space="preserve"> er </w:t>
      </w:r>
      <w:r w:rsidR="00767649">
        <w:t xml:space="preserve">een </w:t>
      </w:r>
      <w:r>
        <w:t xml:space="preserve">aantal USP’s van groot belang, te weten een goede infrastructuur en services naar het achterland, beschikbaarheid van locaties, aanwezigheid van multipurpose bedrijven en een locatie welke </w:t>
      </w:r>
      <w:proofErr w:type="gramStart"/>
      <w:r>
        <w:t>dichtbij</w:t>
      </w:r>
      <w:proofErr w:type="gramEnd"/>
      <w:r>
        <w:t xml:space="preserve"> de oorsprong en bestemming van de lading ligt </w:t>
      </w:r>
      <w:sdt>
        <w:sdtPr>
          <w:id w:val="-1847089804"/>
          <w:citation/>
        </w:sdtPr>
        <w:sdtContent>
          <w:r w:rsidR="006530F6">
            <w:fldChar w:fldCharType="begin"/>
          </w:r>
          <w:r>
            <w:instrText xml:space="preserve"> CITATION deL12 \l 1043 </w:instrText>
          </w:r>
          <w:r w:rsidR="006530F6">
            <w:fldChar w:fldCharType="separate"/>
          </w:r>
          <w:r w:rsidR="000145AA">
            <w:rPr>
              <w:noProof/>
            </w:rPr>
            <w:t>(de Langen, Nijdam, &amp; van der Lugt, 2012)</w:t>
          </w:r>
          <w:r w:rsidR="006530F6">
            <w:fldChar w:fldCharType="end"/>
          </w:r>
        </w:sdtContent>
      </w:sdt>
      <w:r>
        <w:t xml:space="preserve">. Wat betreft de Zeeuwse havens zijn er hier zeker voordelen. </w:t>
      </w:r>
      <w:r w:rsidR="005A2E57">
        <w:t>Een van de</w:t>
      </w:r>
      <w:r>
        <w:t xml:space="preserve"> factor</w:t>
      </w:r>
      <w:r w:rsidR="005A2E57">
        <w:t>en</w:t>
      </w:r>
      <w:r>
        <w:t xml:space="preserve"> is de beschikbaarheid van locaties. In tegenstelling</w:t>
      </w:r>
      <w:r w:rsidR="005A2E57">
        <w:t xml:space="preserve"> tot de haven van Antwerpen </w:t>
      </w:r>
      <w:r>
        <w:t xml:space="preserve">is er veel ruimte voor uitbreiding mogelijk en is de nieuwbouw van een containerterminal dus een goede mogelijkheid. </w:t>
      </w:r>
      <w:r w:rsidR="005A2E57">
        <w:t>Rotterdam heeft met de bouw van Maasvlakte 2 ook een gr</w:t>
      </w:r>
      <w:r w:rsidR="002D73D4">
        <w:t xml:space="preserve">ote beschikbaarheid van ruimte en is dus een belangrijke concurrent hierin. </w:t>
      </w:r>
      <w:r>
        <w:t xml:space="preserve">De tweede factor waarin de Zeeuwse havens een sterke positie hebben is de combinatie van een goede infrastructuur naar het Europese achterland en ligging dichtbij zee. In onderstaande figuur zijn de achterlandverbindingen van de Zeeuwse havens weergegeven, welke grotendeels overeenkomen met die van de havens van Antwerpen en Rotterdam. Echter, waar vooral Vlissingen een groot voordeel heeft is de geweldige ligging </w:t>
      </w:r>
      <w:proofErr w:type="gramStart"/>
      <w:r>
        <w:t>dichtbij</w:t>
      </w:r>
      <w:proofErr w:type="gramEnd"/>
      <w:r>
        <w:t xml:space="preserve"> de Noordzee, waardoor een zeer korte turn-around-time (tijd van zee naar het moment van ontladen) mogelijk is. </w:t>
      </w:r>
    </w:p>
    <w:p w:rsidR="00E50399" w:rsidRDefault="00E50399" w:rsidP="00E50399">
      <w:pPr>
        <w:pStyle w:val="NoSpacing"/>
        <w:keepNext/>
        <w:spacing w:before="100" w:line="360" w:lineRule="auto"/>
        <w:jc w:val="both"/>
      </w:pPr>
      <w:r>
        <w:rPr>
          <w:noProof/>
          <w:lang w:val="en-US"/>
        </w:rPr>
        <w:lastRenderedPageBreak/>
        <w:drawing>
          <wp:inline distT="0" distB="0" distL="0" distR="0">
            <wp:extent cx="4120515" cy="4524375"/>
            <wp:effectExtent l="19050" t="19050" r="13335" b="28575"/>
            <wp:docPr id="21" name="Afbeelding 21" descr="Achterland Zeeuwe have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Achterland Zeeuwe havens"/>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20515" cy="4524375"/>
                    </a:xfrm>
                    <a:prstGeom prst="rect">
                      <a:avLst/>
                    </a:prstGeom>
                    <a:noFill/>
                    <a:ln w="9525">
                      <a:solidFill>
                        <a:schemeClr val="tx1"/>
                      </a:solidFill>
                    </a:ln>
                  </pic:spPr>
                </pic:pic>
              </a:graphicData>
            </a:graphic>
          </wp:inline>
        </w:drawing>
      </w:r>
    </w:p>
    <w:p w:rsidR="00E50399" w:rsidRDefault="00E50399" w:rsidP="00E50399">
      <w:pPr>
        <w:pStyle w:val="Caption"/>
        <w:jc w:val="both"/>
        <w:rPr>
          <w:color w:val="auto"/>
        </w:rPr>
      </w:pPr>
      <w:r>
        <w:rPr>
          <w:color w:val="auto"/>
        </w:rPr>
        <w:t xml:space="preserve">Figuur </w:t>
      </w:r>
      <w:r w:rsidR="006530F6">
        <w:rPr>
          <w:color w:val="auto"/>
        </w:rPr>
        <w:fldChar w:fldCharType="begin"/>
      </w:r>
      <w:r>
        <w:rPr>
          <w:color w:val="auto"/>
        </w:rPr>
        <w:instrText xml:space="preserve"> SEQ Figuur \* ARABIC </w:instrText>
      </w:r>
      <w:r w:rsidR="006530F6">
        <w:rPr>
          <w:color w:val="auto"/>
        </w:rPr>
        <w:fldChar w:fldCharType="separate"/>
      </w:r>
      <w:r w:rsidR="00991C40">
        <w:rPr>
          <w:noProof/>
          <w:color w:val="auto"/>
        </w:rPr>
        <w:t>13</w:t>
      </w:r>
      <w:r w:rsidR="006530F6">
        <w:rPr>
          <w:color w:val="auto"/>
        </w:rPr>
        <w:fldChar w:fldCharType="end"/>
      </w:r>
      <w:r>
        <w:rPr>
          <w:color w:val="auto"/>
        </w:rPr>
        <w:t xml:space="preserve">: </w:t>
      </w:r>
      <w:r>
        <w:rPr>
          <w:b w:val="0"/>
          <w:color w:val="auto"/>
        </w:rPr>
        <w:t>Achterlandconnecties Zeeuwse havens</w:t>
      </w:r>
    </w:p>
    <w:p w:rsidR="00E50399" w:rsidRDefault="00E50399" w:rsidP="00E50399">
      <w:pPr>
        <w:pStyle w:val="Heading2"/>
        <w:numPr>
          <w:ilvl w:val="1"/>
          <w:numId w:val="4"/>
        </w:numPr>
        <w:rPr>
          <w:color w:val="auto"/>
        </w:rPr>
      </w:pPr>
      <w:bookmarkStart w:id="29" w:name="_Toc391468009"/>
      <w:r>
        <w:rPr>
          <w:color w:val="auto"/>
        </w:rPr>
        <w:t>Herstructurering van de supply chain door middel van postponement</w:t>
      </w:r>
      <w:bookmarkEnd w:id="29"/>
    </w:p>
    <w:p w:rsidR="00E50399" w:rsidRDefault="00E50399" w:rsidP="00E50399">
      <w:pPr>
        <w:pStyle w:val="NoSpacing"/>
        <w:spacing w:before="100" w:line="360" w:lineRule="auto"/>
        <w:jc w:val="both"/>
      </w:pPr>
      <w:r>
        <w:t xml:space="preserve">China, waar lange tijd veel productie naar toe werd verplaatst door Amerikaanse en Europese bedrijven, is niet meer zo goedkoop als het ooit was. De lonen gaan omhoog waardoor deze bedrijven zich </w:t>
      </w:r>
      <w:proofErr w:type="gramStart"/>
      <w:r>
        <w:t>elders</w:t>
      </w:r>
      <w:proofErr w:type="gramEnd"/>
      <w:r>
        <w:t xml:space="preserve"> in Azië vestigen</w:t>
      </w:r>
      <w:r>
        <w:rPr>
          <w:rStyle w:val="FootnoteReference"/>
        </w:rPr>
        <w:footnoteReference w:id="21"/>
      </w:r>
      <w:r>
        <w:t>. Maar de verplaatsing van productie van het ene Aziatische naar het andere Aziatische land is niet de enige verplaatsing die zich voordoet. Fabrieken die eerst gevestigd waren in Azië worden teruggehaald naar het land van herkomst; Amerika en Europa</w:t>
      </w:r>
      <w:r>
        <w:rPr>
          <w:rStyle w:val="FootnoteReference"/>
        </w:rPr>
        <w:footnoteReference w:id="22"/>
      </w:r>
      <w:r>
        <w:t xml:space="preserve">. </w:t>
      </w:r>
      <w:r w:rsidR="00526687">
        <w:t>Een deel van deze trend kan worden verklaard door de opkomst van de productie van schaliegas in de Verenigde Staten</w:t>
      </w:r>
      <w:r w:rsidR="00526687">
        <w:rPr>
          <w:rStyle w:val="FootnoteReference"/>
        </w:rPr>
        <w:footnoteReference w:id="23"/>
      </w:r>
      <w:r w:rsidR="00526687">
        <w:t xml:space="preserve">. </w:t>
      </w:r>
      <w:r>
        <w:t>Een verschijnsel dat zich echter voordoet door het terughalen van de productie naar de Westerse landen is een herstructurering van de supply chain. De manier waarop dit gebeurt</w:t>
      </w:r>
      <w:r w:rsidR="00767649">
        <w:t>,</w:t>
      </w:r>
      <w:r>
        <w:t xml:space="preserve"> is de </w:t>
      </w:r>
      <w:proofErr w:type="gramStart"/>
      <w:r>
        <w:t>implementatie</w:t>
      </w:r>
      <w:proofErr w:type="gramEnd"/>
      <w:r>
        <w:t xml:space="preserve"> van postponement strategieën</w:t>
      </w:r>
      <w:sdt>
        <w:sdtPr>
          <w:id w:val="59530098"/>
          <w:citation/>
        </w:sdtPr>
        <w:sdtContent>
          <w:r w:rsidR="006530F6">
            <w:fldChar w:fldCharType="begin"/>
          </w:r>
          <w:r>
            <w:instrText xml:space="preserve"> CITATION van99 \l 1043 </w:instrText>
          </w:r>
          <w:r w:rsidR="006530F6">
            <w:fldChar w:fldCharType="separate"/>
          </w:r>
          <w:r w:rsidR="000145AA">
            <w:rPr>
              <w:noProof/>
            </w:rPr>
            <w:t xml:space="preserve"> (van Hoek, Vos, &amp; Commandeur, 1999)</w:t>
          </w:r>
          <w:r w:rsidR="006530F6">
            <w:fldChar w:fldCharType="end"/>
          </w:r>
        </w:sdtContent>
      </w:sdt>
      <w:r>
        <w:t xml:space="preserve">. In de bestaande structuur van de supply chain zijn er meerdere toeleveranciers die leveren aan verscheidene fabrieken/assemblers welke op hun beurt zorgen voor de distributie naar de klanten. </w:t>
      </w:r>
      <w:r>
        <w:lastRenderedPageBreak/>
        <w:t xml:space="preserve">Postponement is er in drie vormen: vorm, tijd en plaats. De belangrijkste voor de haven is die van plaats of ook wel logistieke postponement genoemd. Dit houdt in dat de uiteindelijke verzending zo laat mogelijk in de keten wordt volbracht. </w:t>
      </w:r>
    </w:p>
    <w:p w:rsidR="00E50399" w:rsidRDefault="00E50399" w:rsidP="00E50399">
      <w:pPr>
        <w:pStyle w:val="NoSpacing"/>
        <w:spacing w:line="360" w:lineRule="auto"/>
        <w:jc w:val="both"/>
      </w:pPr>
    </w:p>
    <w:p w:rsidR="00E50399" w:rsidRDefault="006530F6" w:rsidP="00E50399">
      <w:pPr>
        <w:pStyle w:val="NoSpacing"/>
        <w:spacing w:line="360" w:lineRule="auto"/>
        <w:jc w:val="both"/>
      </w:pPr>
      <w:r w:rsidRPr="006530F6">
        <w:rPr>
          <w:noProof/>
          <w:lang w:eastAsia="nl-NL"/>
        </w:rPr>
        <w:pict>
          <v:shapetype id="_x0000_t202" coordsize="21600,21600" o:spt="202" path="m,l,21600r21600,l21600,xe">
            <v:stroke joinstyle="miter"/>
            <v:path gradientshapeok="t" o:connecttype="rect"/>
          </v:shapetype>
          <v:shape id="Tekstvak 23" o:spid="_x0000_s1026" type="#_x0000_t202" style="position:absolute;left:0;text-align:left;margin-left:271.35pt;margin-top:185.95pt;width:184.05pt;height:11.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" stroked="f">
            <v:textbox inset="0,0,0,0">
              <w:txbxContent>
                <w:p w:rsidR="008319DE" w:rsidRDefault="008319DE" w:rsidP="00E50399">
                  <w:pPr>
                    <w:pStyle w:val="Caption"/>
                    <w:jc w:val="right"/>
                    <w:rPr>
                      <w:noProof/>
                      <w:color w:val="auto"/>
                    </w:rPr>
                  </w:pPr>
                  <w:r>
                    <w:rPr>
                      <w:color w:val="auto"/>
                    </w:rPr>
                    <w:t xml:space="preserve">Figuur </w:t>
                  </w:r>
                  <w:r w:rsidR="006530F6">
                    <w:rPr>
                      <w:color w:val="auto"/>
                    </w:rPr>
                    <w:fldChar w:fldCharType="begin"/>
                  </w:r>
                  <w:r>
                    <w:rPr>
                      <w:color w:val="auto"/>
                    </w:rPr>
                    <w:instrText xml:space="preserve"> SEQ Figuur \* ARABIC </w:instrText>
                  </w:r>
                  <w:r w:rsidR="006530F6">
                    <w:rPr>
                      <w:color w:val="auto"/>
                    </w:rPr>
                    <w:fldChar w:fldCharType="separate"/>
                  </w:r>
                  <w:r>
                    <w:rPr>
                      <w:noProof/>
                      <w:color w:val="auto"/>
                    </w:rPr>
                    <w:t>14</w:t>
                  </w:r>
                  <w:r w:rsidR="006530F6">
                    <w:rPr>
                      <w:color w:val="auto"/>
                    </w:rPr>
                    <w:fldChar w:fldCharType="end"/>
                  </w:r>
                  <w:r>
                    <w:rPr>
                      <w:color w:val="auto"/>
                    </w:rPr>
                    <w:t xml:space="preserve">: </w:t>
                  </w:r>
                  <w:r>
                    <w:rPr>
                      <w:b w:val="0"/>
                      <w:color w:val="auto"/>
                    </w:rPr>
                    <w:t>Postponement</w:t>
                  </w:r>
                </w:p>
              </w:txbxContent>
            </v:textbox>
            <w10:wrap type="square"/>
          </v:shape>
        </w:pict>
      </w:r>
      <w:r w:rsidR="00E50399">
        <w:rPr>
          <w:noProof/>
          <w:lang w:val="en-US"/>
        </w:rPr>
        <w:drawing>
          <wp:anchor distT="0" distB="0" distL="114300" distR="114300" simplePos="0" relativeHeight="251660288" behindDoc="0" locked="0" layoutInCell="1" allowOverlap="1">
            <wp:simplePos x="0" y="0"/>
            <wp:positionH relativeFrom="column">
              <wp:posOffset>3446145</wp:posOffset>
            </wp:positionH>
            <wp:positionV relativeFrom="paragraph">
              <wp:posOffset>21590</wp:posOffset>
            </wp:positionV>
            <wp:extent cx="2337435" cy="2287270"/>
            <wp:effectExtent l="19050" t="19050" r="24765" b="17780"/>
            <wp:wrapSquare wrapText="bothSides"/>
            <wp:docPr id="22" name="Afbeelding 22" descr="Postpon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descr="Postponement"/>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37435" cy="2287270"/>
                    </a:xfrm>
                    <a:prstGeom prst="rect">
                      <a:avLst/>
                    </a:prstGeom>
                    <a:noFill/>
                    <a:ln w="9525">
                      <a:solidFill>
                        <a:schemeClr val="tx1"/>
                      </a:solidFill>
                    </a:ln>
                  </pic:spPr>
                </pic:pic>
              </a:graphicData>
            </a:graphic>
          </wp:anchor>
        </w:drawing>
      </w:r>
      <w:r w:rsidR="00E50399">
        <w:t xml:space="preserve">De zeehavens kunnen in deze trend een prominente rol vervullen. Een belangrijk kenmerk, zoals in figuur </w:t>
      </w:r>
      <w:r w:rsidR="00265629">
        <w:t>14</w:t>
      </w:r>
      <w:r w:rsidR="00E50399">
        <w:t xml:space="preserve"> is weergegeven, is dat er door het voordoen van postponement één centrale fabriek is waar de producten worden geassembleerd. De voordelen die een zeehaven heeft ten opzichte van andere productielocaties zijn zeker aanwezig. Ten eerste komen veel grondstoffen binnen via de haven en bevinden de assemblers zich dus </w:t>
      </w:r>
      <w:proofErr w:type="gramStart"/>
      <w:r w:rsidR="00E50399">
        <w:t>dichtbij</w:t>
      </w:r>
      <w:proofErr w:type="gramEnd"/>
      <w:r w:rsidR="00E50399">
        <w:t xml:space="preserve"> de toeleveranciers. Ten tweede is de infrastructuur naar het achterland vaak al aanwezig en van hoge kwaliteit, waardoor de distributie naar de transshipment points gemakkelijk is. Het aantrekken van deze assemblers draagt zodoende bij aan het versterken van de positie van een haven en aan het verhogen van de toegevoegde waarde die in de haven wordt gegenereerd. De Zeeuwse havens hebben door bijvoorbeeld het aantrekken van de productie van sap door Kloosterboer in de haven al enige ervaring met deze trend</w:t>
      </w:r>
      <w:r w:rsidR="00E50399">
        <w:rPr>
          <w:rStyle w:val="FootnoteReference"/>
        </w:rPr>
        <w:footnoteReference w:id="24"/>
      </w:r>
      <w:r w:rsidR="00E50399">
        <w:t xml:space="preserve">. Er is echter dus nog veel ruimte mogelijk voor verbetering hierin en Zeeland Seaports kan hierin een prominente rol aannemen. </w:t>
      </w:r>
    </w:p>
    <w:p w:rsidR="00E50399" w:rsidRDefault="00E50399" w:rsidP="00E50399">
      <w:pPr>
        <w:pStyle w:val="Heading2"/>
        <w:numPr>
          <w:ilvl w:val="1"/>
          <w:numId w:val="4"/>
        </w:numPr>
        <w:rPr>
          <w:color w:val="auto"/>
        </w:rPr>
      </w:pPr>
      <w:bookmarkStart w:id="30" w:name="_Toc391468010"/>
      <w:r>
        <w:rPr>
          <w:color w:val="auto"/>
        </w:rPr>
        <w:t>Opkomende offshore-industrie</w:t>
      </w:r>
      <w:bookmarkEnd w:id="30"/>
    </w:p>
    <w:p w:rsidR="00E50399" w:rsidRDefault="00E50399" w:rsidP="00E50399">
      <w:pPr>
        <w:pStyle w:val="NoSpacing"/>
        <w:spacing w:before="100" w:line="360" w:lineRule="auto"/>
        <w:jc w:val="both"/>
      </w:pPr>
      <w:r>
        <w:t>Een laatste trend die zeer recent is, is de opkomende offshore-industrie. Onderdelen van de offshore-industrie zijn de bouw van windmolenparken in zee, onderhoud aan booreilanden en overige activiteiten die buiten de haven plaatsvinden. Sinds 2009 is deze markt opkomend en sindsdien vervult de haven van Vlissinge</w:t>
      </w:r>
      <w:r w:rsidR="000B4775">
        <w:t xml:space="preserve">n, met concurrenten IJmuiden, Groningen en Den Helder, </w:t>
      </w:r>
      <w:r>
        <w:t>een prominente rol in deze industrie</w:t>
      </w:r>
      <w:r>
        <w:rPr>
          <w:rStyle w:val="FootnoteReference"/>
        </w:rPr>
        <w:footnoteReference w:id="25"/>
      </w:r>
      <w:r>
        <w:t xml:space="preserve">. </w:t>
      </w:r>
      <w:r w:rsidR="00760F83">
        <w:t>De concurrentie tussen deze havens is hard, maar v</w:t>
      </w:r>
      <w:r w:rsidR="00CB099D">
        <w:t xml:space="preserve">anwege een gebrek aan data over de omzet die bedrijven behalen in de offshore-sector is het moeilijk te zeggen hoe de havens in Nederland het ten opzichte van elkaar doen. </w:t>
      </w:r>
      <w:r w:rsidR="00A761C6">
        <w:t xml:space="preserve">Wat wel buiten kijf staat is dat </w:t>
      </w:r>
      <w:r w:rsidR="00CB099D">
        <w:t xml:space="preserve">de sector in Nederland sterk </w:t>
      </w:r>
      <w:r w:rsidR="00A761C6">
        <w:t xml:space="preserve">groeit </w:t>
      </w:r>
      <w:r w:rsidR="00CB099D">
        <w:t>(groei van 22 procent van 2006-2012)</w:t>
      </w:r>
      <w:r w:rsidR="00CB099D">
        <w:rPr>
          <w:rStyle w:val="FootnoteReference"/>
        </w:rPr>
        <w:footnoteReference w:id="26"/>
      </w:r>
      <w:r w:rsidR="00CB099D">
        <w:t xml:space="preserve">. </w:t>
      </w:r>
      <w:r>
        <w:t xml:space="preserve">Het Zeeuws Offshore Wind Project is een voorbeeld van de betrokkenheid van de Zeeuwse havens bij deze relatief nieuwe industrie. De voordelen die de haven van Vlissingen heeft, zijn de open verbinding met de Noordzee </w:t>
      </w:r>
      <w:r>
        <w:lastRenderedPageBreak/>
        <w:t>en de nog beschikbare ruimte in de haven, die zoals eerder gezien belangrijke USP’s zijn voor een zeehaven. De verwachting voor het voortduren van deze markt is echter maar 15 jaar</w:t>
      </w:r>
      <w:r w:rsidR="00E628EC">
        <w:rPr>
          <w:rStyle w:val="FootnoteReference"/>
        </w:rPr>
        <w:footnoteReference w:id="27"/>
      </w:r>
      <w:r>
        <w:t>. De Zeeuwse havens kunnen echter wel inspelen op deze relatief korte levensduur door zich te ontwikkelen in het onderhoud aan de windmolens. Hiervoor zijn zeer belangrijke s</w:t>
      </w:r>
      <w:r w:rsidR="000A4188">
        <w:t>pelers, als Damen Shiprepair, Heerema en Vroon al aanwezig. Ook hier zien we de hoge mate van concurrentie terug, aangezien bijvoorbeeld Vroon vestigingen heeft in zowel Zeeland als Den Helder</w:t>
      </w:r>
      <w:r w:rsidR="000A4188">
        <w:rPr>
          <w:rStyle w:val="FootnoteReference"/>
        </w:rPr>
        <w:footnoteReference w:id="28"/>
      </w:r>
      <w:r w:rsidR="000A4188">
        <w:t xml:space="preserve">. </w:t>
      </w:r>
    </w:p>
    <w:p w:rsidR="00B067C1" w:rsidRDefault="00B067C1">
      <w:r>
        <w:br w:type="page"/>
      </w:r>
    </w:p>
    <w:p w:rsidR="00B067C1" w:rsidRPr="00B067C1" w:rsidRDefault="00B067C1" w:rsidP="00B067C1">
      <w:pPr>
        <w:pStyle w:val="Heading1"/>
        <w:numPr>
          <w:ilvl w:val="0"/>
          <w:numId w:val="9"/>
        </w:numPr>
        <w:rPr>
          <w:color w:val="595959" w:themeColor="text1" w:themeTint="A6"/>
        </w:rPr>
      </w:pPr>
      <w:bookmarkStart w:id="31" w:name="_Toc391468011"/>
      <w:r w:rsidRPr="00B067C1">
        <w:rPr>
          <w:color w:val="595959" w:themeColor="text1" w:themeTint="A6"/>
        </w:rPr>
        <w:lastRenderedPageBreak/>
        <w:t>Conclusies en aanbevelingen</w:t>
      </w:r>
      <w:bookmarkEnd w:id="31"/>
    </w:p>
    <w:p w:rsidR="00B067C1" w:rsidRDefault="00B067C1" w:rsidP="00B067C1">
      <w:pPr>
        <w:pStyle w:val="NoSpacing"/>
        <w:spacing w:before="100" w:line="360" w:lineRule="auto"/>
        <w:jc w:val="both"/>
      </w:pPr>
      <w:r>
        <w:t xml:space="preserve">De hoofddoelstelling van dit onderzoek was het bepalen van de strategische positie van de Zeeuwse havens en daarbij aanbevelingen te doen om deze strategische positie te versterken. Hierbij werd vooral aandacht besteed aan de productgroepen waar de Zeeuwse havens zich op moeten focussen en de daarbij behorende trends die zich op voordoen. Op elke deelvraag zal in dit hoofdstuk een antwoord worden gegeven. </w:t>
      </w:r>
    </w:p>
    <w:p w:rsidR="00B067C1" w:rsidRDefault="00B067C1" w:rsidP="00B067C1">
      <w:pPr>
        <w:pStyle w:val="NoSpacing"/>
        <w:spacing w:line="360" w:lineRule="auto"/>
        <w:jc w:val="both"/>
      </w:pPr>
    </w:p>
    <w:p w:rsidR="00B067C1" w:rsidRPr="005B63A4" w:rsidRDefault="00B067C1" w:rsidP="00B067C1">
      <w:pPr>
        <w:pStyle w:val="NoSpacing"/>
        <w:spacing w:line="360" w:lineRule="auto"/>
        <w:jc w:val="both"/>
        <w:rPr>
          <w:b/>
          <w:sz w:val="24"/>
        </w:rPr>
      </w:pPr>
      <w:r w:rsidRPr="005B63A4">
        <w:rPr>
          <w:b/>
          <w:sz w:val="24"/>
        </w:rPr>
        <w:t>Deelvraag 1: wat is de rol van de Zeeuwse havens in de Zeeuwse economie?</w:t>
      </w:r>
    </w:p>
    <w:p w:rsidR="00B067C1" w:rsidRDefault="00B067C1" w:rsidP="00B067C1">
      <w:pPr>
        <w:pStyle w:val="NoSpacing"/>
        <w:spacing w:line="360" w:lineRule="auto"/>
        <w:jc w:val="both"/>
      </w:pPr>
      <w:r>
        <w:t>Het probleem dat zich in Zeeland voordoet, is de leegloop. De Zeeuwse havens hebben zoals gezegd een sterke invloed op de Zeeuwse economie. Om te beoordelen hoe groot deze invloed was, is er in hoofdstuk 2 een onderzoek gedaan naar de directe en indirecte invloed van de activiteiten in de Zeeuwse havens op de Zeeuwse economie. Hieruit kan een conclusie worden getrokken.</w:t>
      </w:r>
    </w:p>
    <w:p w:rsidR="00B067C1" w:rsidRDefault="00B067C1" w:rsidP="00B067C1">
      <w:pPr>
        <w:pStyle w:val="NoSpacing"/>
        <w:spacing w:line="360" w:lineRule="auto"/>
        <w:jc w:val="both"/>
      </w:pPr>
    </w:p>
    <w:p w:rsidR="00B067C1" w:rsidRDefault="00B067C1" w:rsidP="00B067C1">
      <w:pPr>
        <w:pStyle w:val="NoSpacing"/>
        <w:spacing w:line="360" w:lineRule="auto"/>
        <w:jc w:val="both"/>
      </w:pPr>
      <w:r>
        <w:t>De invloed op zowel de werkgelegenheid als de toegevoegde waarde in Zeeland kan als groot worden beschouwd. Het aandeel in de Zeeuwse economie van zowel de werkgelegenheid als de toegevoegde waarde ligt ver boven het aandeel dat in heel Nederland naar voren komt (</w:t>
      </w:r>
      <w:proofErr w:type="gramStart"/>
      <w:r>
        <w:t>respectievelijk</w:t>
      </w:r>
      <w:proofErr w:type="gramEnd"/>
      <w:r>
        <w:t xml:space="preserve"> 12,6 en 26,0 tegenover 3,3 en 6,0 procent). Wat echter ook waarneembaar is, is het dalende verloop van beide aandelen, waar vooral die van de werkgelegenheid sterk zichtbaar is. De reden hierachter bleek uit het interview met de heer Dirkzwager en luidt dat Zeeland Seaports een andere insteek heeft gekregen. Waar vroeger de hoofddoelstelling voor de Zeeuwse havens was om zoveel mogelijk werkgelegenheid te creëren (ook al hadden de projecten een negatief resultaat). Zeeland Seaports heeft echter de weg van verzelfstandiging ingeslagen, waarbij tegenwoordig dus ook voornamelijk wordt gelet op rendement. Verliesgevende projecten met een hoge werkgelegenheid zullen voortaan ook weinig meer voorkomen.</w:t>
      </w:r>
    </w:p>
    <w:p w:rsidR="00B067C1" w:rsidRDefault="00B067C1" w:rsidP="00B067C1">
      <w:pPr>
        <w:pStyle w:val="NoSpacing"/>
        <w:spacing w:line="360" w:lineRule="auto"/>
        <w:jc w:val="both"/>
      </w:pPr>
    </w:p>
    <w:p w:rsidR="00B067C1" w:rsidRDefault="00B067C1" w:rsidP="00B067C1">
      <w:pPr>
        <w:pStyle w:val="NoSpacing"/>
        <w:spacing w:line="360" w:lineRule="auto"/>
        <w:jc w:val="both"/>
        <w:rPr>
          <w:b/>
          <w:sz w:val="24"/>
        </w:rPr>
      </w:pPr>
      <w:r>
        <w:rPr>
          <w:b/>
          <w:sz w:val="24"/>
        </w:rPr>
        <w:t xml:space="preserve">Deelvraag 2: hoe sterk is de concurrentiepositie van de Zeeuwse havens ten opzichte van omliggende havens? </w:t>
      </w:r>
    </w:p>
    <w:p w:rsidR="00B067C1" w:rsidRDefault="00B067C1" w:rsidP="00B067C1">
      <w:pPr>
        <w:pStyle w:val="NoSpacing"/>
        <w:spacing w:line="360" w:lineRule="auto"/>
        <w:jc w:val="both"/>
      </w:pPr>
      <w:r>
        <w:t>Uit de analyse van de overslag naar goederensoort binnen de Hamburg-Le Havre range kwam naar voren dat de Zeeuwse havens een sterke focus hebben op de overslag van droog bulkgoed en stukgoed. De belangrijkste concurrenten binnen de HLH-range op de overslag van deze goederen zijn Amsterdam, Gent en Duinkerken. Voor het bepalen van de concurrentiepositie is gebruik gemaakt van de Product Portfolio Analyse en de Shift-Share analyse. De volgende conclusie met betrekking tot de concurrentiepositie kan hieruit worden getrokken.</w:t>
      </w:r>
    </w:p>
    <w:p w:rsidR="00B067C1" w:rsidRDefault="00B067C1" w:rsidP="00B067C1">
      <w:pPr>
        <w:pStyle w:val="NoSpacing"/>
        <w:spacing w:line="360" w:lineRule="auto"/>
        <w:jc w:val="both"/>
      </w:pPr>
    </w:p>
    <w:p w:rsidR="00B067C1" w:rsidRDefault="00B067C1" w:rsidP="00B067C1">
      <w:pPr>
        <w:pStyle w:val="NoSpacing"/>
        <w:spacing w:line="360" w:lineRule="auto"/>
        <w:jc w:val="both"/>
      </w:pPr>
      <w:r>
        <w:lastRenderedPageBreak/>
        <w:t xml:space="preserve">Kijkend naar de totale overslag van de Zeeuwse havens is een stabiele groei te zien die meegaat met de gemiddelde groei van de HLH range. </w:t>
      </w:r>
      <w:proofErr w:type="gramStart"/>
      <w:r>
        <w:t xml:space="preserve">Vergeleken met de concurrenten is alleen Amsterdam een speler die harder groeit dan de Zeeuwse havens. </w:t>
      </w:r>
      <w:proofErr w:type="gramEnd"/>
      <w:r>
        <w:t xml:space="preserve">Op het gebied van stukgoed laat Zeeland zien de sterkste speler te zijn van alle concurrenten, waarbij ze een hoog groeipercentage en relatief groot aandeel kennen. In de overslag van droog bulkgoed hebben de Zeeuwse havens ook een sterke concurrentiepositie ten opzichte van de belangrijkste concurrenten. </w:t>
      </w:r>
    </w:p>
    <w:p w:rsidR="00B067C1" w:rsidRDefault="00B067C1" w:rsidP="00B067C1">
      <w:pPr>
        <w:pStyle w:val="NoSpacing"/>
        <w:spacing w:line="360" w:lineRule="auto"/>
        <w:jc w:val="both"/>
      </w:pPr>
    </w:p>
    <w:p w:rsidR="00B067C1" w:rsidRDefault="00B067C1" w:rsidP="00B067C1">
      <w:pPr>
        <w:pStyle w:val="NoSpacing"/>
        <w:spacing w:line="360" w:lineRule="auto"/>
        <w:jc w:val="both"/>
        <w:rPr>
          <w:b/>
          <w:sz w:val="24"/>
        </w:rPr>
      </w:pPr>
      <w:r>
        <w:rPr>
          <w:b/>
          <w:sz w:val="24"/>
        </w:rPr>
        <w:t>Deelvraag 3: op welke activiteiten moeten de Zeeuwse havens zich in de toekomst richten om zich te onderscheiden van hun omliggende concurrenten?</w:t>
      </w:r>
    </w:p>
    <w:p w:rsidR="00B067C1" w:rsidRDefault="00B067C1" w:rsidP="00B067C1">
      <w:pPr>
        <w:pStyle w:val="NoSpacing"/>
        <w:spacing w:line="360" w:lineRule="auto"/>
        <w:jc w:val="both"/>
      </w:pPr>
      <w:r>
        <w:t xml:space="preserve">Tot slot is gekeken naar de marktontwikkelingen en de mogelijkheid voor de Zeeuwse havens om daarop in te spelen. Hiervoor is </w:t>
      </w:r>
      <w:proofErr w:type="gramStart"/>
      <w:r>
        <w:t>met name</w:t>
      </w:r>
      <w:proofErr w:type="gramEnd"/>
      <w:r>
        <w:t xml:space="preserve"> onderzocht wat de trend is met betrekking tot de overslag van stukgoed. Over de afgelopen jaren is de overslag van deze goederensoort afgenomen binnen de HLH range, maar vervult Zeeland nog altijd een zeer grote rol door vooral de overslag van aluminium en cellulose. Op korte termijn zullen de Zeeuwse havens nog weinig te vrezen hebben van deze terugloop in overslag, maar met het oog op de lange termijn is een wijziging van plannen onontkoombaar. Vanwege de containerisatie van onder </w:t>
      </w:r>
      <w:proofErr w:type="gramStart"/>
      <w:r>
        <w:t>andere</w:t>
      </w:r>
      <w:proofErr w:type="gramEnd"/>
      <w:r>
        <w:t xml:space="preserve"> stukgoed zullen de Zeeuwse havens in de toekomst meer ruimte moeten bieden aan containerschepen, te beginnen met de kleine varianten. Dit omdat Antwerpen, Rotterdam en Zeebrugge de markt voor grote containerschepen al in handen hebben. Van hieruit kan worden uitgebreid naar op de lange termijn ook containerschepen van een groter kaliber. </w:t>
      </w:r>
    </w:p>
    <w:p w:rsidR="00B067C1" w:rsidRDefault="00B067C1" w:rsidP="00B067C1">
      <w:pPr>
        <w:pStyle w:val="NoSpacing"/>
        <w:spacing w:line="360" w:lineRule="auto"/>
        <w:jc w:val="both"/>
      </w:pPr>
    </w:p>
    <w:p w:rsidR="00B067C1" w:rsidRDefault="00B067C1" w:rsidP="00B067C1">
      <w:pPr>
        <w:pStyle w:val="NoSpacing"/>
        <w:spacing w:line="360" w:lineRule="auto"/>
        <w:jc w:val="both"/>
      </w:pPr>
      <w:r>
        <w:t xml:space="preserve">Twee andere activiteiten waar de Zeeuwse havens op kunnen inspelen of verder uit kunnen bouwen, zijn de ontwikkeling van de offshore-industrie en het voordoen van postponement. Beide trends zorgen voor een grote bijdrage aan de toegevoegde waarde, waardoor ze aantrekkelijk zijn voor havens om deze binnen te halen. De Zeeuwse havens kunnen hier met hun perfecte ligging dicht aan zee en vele ruimte in de havens een grote slag slaan. </w:t>
      </w:r>
    </w:p>
    <w:p w:rsidR="00B067C1" w:rsidRDefault="00B067C1" w:rsidP="00B067C1">
      <w:pPr>
        <w:pStyle w:val="NoSpacing"/>
        <w:spacing w:line="360" w:lineRule="auto"/>
        <w:jc w:val="both"/>
      </w:pPr>
    </w:p>
    <w:p w:rsidR="00B067C1" w:rsidRPr="00745657" w:rsidRDefault="00B067C1" w:rsidP="00B067C1">
      <w:pPr>
        <w:pStyle w:val="NoSpacing"/>
        <w:spacing w:line="360" w:lineRule="auto"/>
        <w:jc w:val="both"/>
      </w:pPr>
      <w:r>
        <w:t xml:space="preserve">Er is in dit onderzoek weinig aandacht besteed aan de huidige activiteiten van de Zeeuwse havens, zoals de samenwerking met de haven van Gent in de ontwikkeling van de biobased industrie. Voor het volledig formuleren van een </w:t>
      </w:r>
      <w:r w:rsidR="00767649">
        <w:t>strategisch</w:t>
      </w:r>
      <w:r>
        <w:t xml:space="preserve"> plan voor de Zeeuwse havens is het van belang dat ook deze activiteiten worden meegenomen. Hiervoor zou een vervolgonderzoek mogelijkheid kunnen bieden. </w:t>
      </w:r>
    </w:p>
    <w:p w:rsidR="00E037AC" w:rsidRDefault="00E037AC">
      <w:r>
        <w:br w:type="page"/>
      </w:r>
    </w:p>
    <w:bookmarkStart w:id="32" w:name="_Toc391468012" w:displacedByCustomXml="next"/>
    <w:sdt>
      <w:sdtPr>
        <w:rPr>
          <w:rFonts w:asciiTheme="minorHAnsi" w:eastAsiaTheme="minorHAnsi" w:hAnsiTheme="minorHAnsi" w:cstheme="minorBidi"/>
          <w:b w:val="0"/>
          <w:bCs w:val="0"/>
          <w:color w:val="auto"/>
          <w:sz w:val="22"/>
          <w:szCs w:val="22"/>
        </w:rPr>
        <w:id w:val="-924490888"/>
        <w:docPartObj>
          <w:docPartGallery w:val="Bibliographies"/>
          <w:docPartUnique/>
        </w:docPartObj>
      </w:sdtPr>
      <w:sdtContent>
        <w:p w:rsidR="00242A48" w:rsidRPr="005D6817" w:rsidRDefault="00242A48" w:rsidP="005D6817">
          <w:pPr>
            <w:pStyle w:val="Heading1"/>
            <w:numPr>
              <w:ilvl w:val="0"/>
              <w:numId w:val="7"/>
            </w:numPr>
            <w:rPr>
              <w:color w:val="595959" w:themeColor="text1" w:themeTint="A6"/>
            </w:rPr>
          </w:pPr>
          <w:r w:rsidRPr="005D6817">
            <w:rPr>
              <w:color w:val="595959" w:themeColor="text1" w:themeTint="A6"/>
            </w:rPr>
            <w:t>Bibliografie</w:t>
          </w:r>
          <w:bookmarkEnd w:id="32"/>
        </w:p>
        <w:bookmarkStart w:id="33" w:name="_Toc391468013" w:displacedByCustomXml="next"/>
        <w:sdt>
          <w:sdtPr>
            <w:rPr>
              <w:rFonts w:asciiTheme="minorHAnsi" w:eastAsiaTheme="minorHAnsi" w:hAnsiTheme="minorHAnsi" w:cstheme="minorBidi"/>
              <w:b w:val="0"/>
              <w:bCs w:val="0"/>
              <w:color w:val="auto"/>
              <w:sz w:val="22"/>
              <w:szCs w:val="22"/>
            </w:rPr>
            <w:id w:val="111145805"/>
            <w:bibliography/>
          </w:sdtPr>
          <w:sdtContent>
            <w:p w:rsidR="000145AA" w:rsidRPr="000145AA" w:rsidRDefault="000145AA" w:rsidP="000145AA">
              <w:pPr>
                <w:pStyle w:val="Heading2"/>
                <w:numPr>
                  <w:ilvl w:val="0"/>
                  <w:numId w:val="0"/>
                </w:numPr>
                <w:ind w:left="576" w:hanging="576"/>
                <w:rPr>
                  <w:color w:val="auto"/>
                </w:rPr>
              </w:pPr>
              <w:proofErr w:type="gramStart"/>
              <w:r w:rsidRPr="000145AA">
                <w:rPr>
                  <w:color w:val="auto"/>
                </w:rPr>
                <w:t>Papers</w:t>
              </w:r>
              <w:proofErr w:type="gramEnd"/>
              <w:r w:rsidR="005A66A2">
                <w:rPr>
                  <w:color w:val="auto"/>
                </w:rPr>
                <w:t xml:space="preserve"> en rapporten</w:t>
              </w:r>
              <w:bookmarkEnd w:id="33"/>
            </w:p>
            <w:p w:rsidR="000145AA" w:rsidRDefault="000145AA" w:rsidP="000145AA">
              <w:pPr>
                <w:pStyle w:val="NoSpacing"/>
              </w:pPr>
            </w:p>
            <w:p w:rsidR="000145AA" w:rsidRPr="00CD5745" w:rsidRDefault="000145AA" w:rsidP="000145AA">
              <w:pPr>
                <w:ind w:left="720" w:hanging="720"/>
                <w:rPr>
                  <w:lang w:val="en-GB"/>
                </w:rPr>
              </w:pPr>
              <w:proofErr w:type="gramStart"/>
              <w:r w:rsidRPr="00322424">
                <w:rPr>
                  <w:lang w:val="en-GB"/>
                </w:rPr>
                <w:t xml:space="preserve">Conneticut Center </w:t>
              </w:r>
              <w:r>
                <w:rPr>
                  <w:lang w:val="en-GB"/>
                </w:rPr>
                <w:t>for Economic Analysis (2001).</w:t>
              </w:r>
              <w:proofErr w:type="gramEnd"/>
              <w:r>
                <w:rPr>
                  <w:lang w:val="en-GB"/>
                </w:rPr>
                <w:t xml:space="preserve"> </w:t>
              </w:r>
              <w:bookmarkStart w:id="34" w:name="_GoBack"/>
              <w:bookmarkEnd w:id="34"/>
              <w:r w:rsidRPr="00322424">
                <w:rPr>
                  <w:i/>
                  <w:lang w:val="en-GB"/>
                </w:rPr>
                <w:t xml:space="preserve">The Economic Impact of </w:t>
              </w:r>
              <w:r>
                <w:rPr>
                  <w:i/>
                  <w:lang w:val="en-GB"/>
                </w:rPr>
                <w:t>Connecticut’s Deepwater Ports: An IMPLAN and REMI Analysis.</w:t>
              </w:r>
              <w:r>
                <w:rPr>
                  <w:lang w:val="en-GB"/>
                </w:rPr>
                <w:t xml:space="preserve"> </w:t>
              </w:r>
              <w:proofErr w:type="spellStart"/>
              <w:proofErr w:type="gramStart"/>
              <w:r w:rsidRPr="00CD5745">
                <w:rPr>
                  <w:lang w:val="en-GB"/>
                </w:rPr>
                <w:t>Pag</w:t>
              </w:r>
              <w:proofErr w:type="spellEnd"/>
              <w:r w:rsidRPr="00CD5745">
                <w:rPr>
                  <w:lang w:val="en-GB"/>
                </w:rPr>
                <w:t>.</w:t>
              </w:r>
              <w:proofErr w:type="gramEnd"/>
              <w:r w:rsidRPr="00CD5745">
                <w:rPr>
                  <w:lang w:val="en-GB"/>
                </w:rPr>
                <w:t xml:space="preserve"> 19-41</w:t>
              </w:r>
            </w:p>
            <w:p w:rsidR="000145AA" w:rsidRPr="000145AA" w:rsidRDefault="006530F6" w:rsidP="000145AA">
              <w:pPr>
                <w:pStyle w:val="Bibliography"/>
                <w:ind w:left="720" w:hanging="720"/>
                <w:rPr>
                  <w:noProof/>
                  <w:lang w:val="en-GB"/>
                </w:rPr>
              </w:pPr>
              <w:r w:rsidRPr="006530F6">
                <w:fldChar w:fldCharType="begin"/>
              </w:r>
              <w:r w:rsidR="00242A48" w:rsidRPr="003275CA">
                <w:rPr>
                  <w:lang w:val="en-GB"/>
                </w:rPr>
                <w:instrText>BIBLIOGRAPHY</w:instrText>
              </w:r>
              <w:r w:rsidRPr="006530F6">
                <w:fldChar w:fldCharType="separate"/>
              </w:r>
              <w:r w:rsidR="000145AA" w:rsidRPr="000145AA">
                <w:rPr>
                  <w:noProof/>
                  <w:lang w:val="en-GB"/>
                </w:rPr>
                <w:t xml:space="preserve">Davis, H. C. (1983). Regional Port Impact Studies: A Critique and Suggested Methodology. </w:t>
              </w:r>
              <w:r w:rsidR="000145AA" w:rsidRPr="000145AA">
                <w:rPr>
                  <w:i/>
                  <w:iCs/>
                  <w:noProof/>
                  <w:lang w:val="en-GB"/>
                </w:rPr>
                <w:t>Transportation Journal (American Society of Transportation and Logistics Inc)</w:t>
              </w:r>
              <w:r w:rsidR="000145AA" w:rsidRPr="000145AA">
                <w:rPr>
                  <w:noProof/>
                  <w:lang w:val="en-GB"/>
                </w:rPr>
                <w:t>, 61-71.</w:t>
              </w:r>
            </w:p>
            <w:p w:rsidR="000145AA" w:rsidRPr="000145AA" w:rsidRDefault="000145AA" w:rsidP="000145AA">
              <w:pPr>
                <w:pStyle w:val="Bibliography"/>
                <w:ind w:left="720" w:hanging="720"/>
                <w:rPr>
                  <w:noProof/>
                  <w:lang w:val="en-GB"/>
                </w:rPr>
              </w:pPr>
              <w:r w:rsidRPr="000145AA">
                <w:rPr>
                  <w:noProof/>
                  <w:lang w:val="en-GB"/>
                </w:rPr>
                <w:t xml:space="preserve">de Langen, P., Nijdam, M., &amp; van der Lugt, L. (2012). </w:t>
              </w:r>
              <w:r w:rsidRPr="000145AA">
                <w:rPr>
                  <w:i/>
                  <w:iCs/>
                  <w:noProof/>
                  <w:lang w:val="en-GB"/>
                </w:rPr>
                <w:t>Port Economics, Policy and Management.</w:t>
              </w:r>
              <w:r w:rsidRPr="000145AA">
                <w:rPr>
                  <w:noProof/>
                  <w:lang w:val="en-GB"/>
                </w:rPr>
                <w:t xml:space="preserve"> Rotterdam: Erasmus Universiteit Rotterdam.</w:t>
              </w:r>
            </w:p>
            <w:p w:rsidR="000145AA" w:rsidRPr="000145AA" w:rsidRDefault="000145AA" w:rsidP="000145AA">
              <w:pPr>
                <w:pStyle w:val="Bibliography"/>
                <w:ind w:left="720" w:hanging="720"/>
                <w:rPr>
                  <w:noProof/>
                  <w:lang w:val="en-GB"/>
                </w:rPr>
              </w:pPr>
              <w:r w:rsidRPr="000145AA">
                <w:rPr>
                  <w:noProof/>
                  <w:lang w:val="en-GB"/>
                </w:rPr>
                <w:t xml:space="preserve">De Lombaerde, P., &amp; Verbeke, A. (1989). Assessing international seaport competition: A tool for strategic decision making. </w:t>
              </w:r>
              <w:r w:rsidRPr="000145AA">
                <w:rPr>
                  <w:i/>
                  <w:iCs/>
                  <w:noProof/>
                  <w:lang w:val="en-GB"/>
                </w:rPr>
                <w:t>International Journal of Transport Economics, 16</w:t>
              </w:r>
              <w:r w:rsidRPr="000145AA">
                <w:rPr>
                  <w:noProof/>
                  <w:lang w:val="en-GB"/>
                </w:rPr>
                <w:t>(2), 175-192.</w:t>
              </w:r>
            </w:p>
            <w:p w:rsidR="000145AA" w:rsidRPr="000145AA" w:rsidRDefault="000145AA" w:rsidP="000145AA">
              <w:pPr>
                <w:pStyle w:val="Bibliography"/>
                <w:ind w:left="720" w:hanging="720"/>
                <w:rPr>
                  <w:noProof/>
                  <w:lang w:val="en-GB"/>
                </w:rPr>
              </w:pPr>
              <w:r w:rsidRPr="000145AA">
                <w:rPr>
                  <w:noProof/>
                  <w:lang w:val="en-GB"/>
                </w:rPr>
                <w:t xml:space="preserve">Dibb, S., Simkin, L., Pride, W. M., &amp; Ferrel, O. C. (1991). </w:t>
              </w:r>
              <w:r w:rsidRPr="000145AA">
                <w:rPr>
                  <w:i/>
                  <w:iCs/>
                  <w:noProof/>
                  <w:lang w:val="en-GB"/>
                </w:rPr>
                <w:t>Marketing: Concepts and strategies.</w:t>
              </w:r>
              <w:r w:rsidRPr="000145AA">
                <w:rPr>
                  <w:noProof/>
                  <w:lang w:val="en-GB"/>
                </w:rPr>
                <w:t xml:space="preserve"> Boston: Houghton Mifflin.</w:t>
              </w:r>
            </w:p>
            <w:p w:rsidR="005A66A2" w:rsidRPr="00CD5745" w:rsidRDefault="005A66A2" w:rsidP="000145AA">
              <w:pPr>
                <w:pStyle w:val="Bibliography"/>
                <w:ind w:left="720" w:hanging="720"/>
                <w:rPr>
                  <w:lang w:val="en-GB"/>
                </w:rPr>
              </w:pPr>
              <w:r w:rsidRPr="00CD5745">
                <w:rPr>
                  <w:lang w:val="en-GB"/>
                </w:rPr>
                <w:t xml:space="preserve">Dow Terneuzen (2012). </w:t>
              </w:r>
              <w:r w:rsidRPr="00CD5745">
                <w:rPr>
                  <w:i/>
                  <w:lang w:val="en-GB"/>
                </w:rPr>
                <w:t>2012 Annual Report.</w:t>
              </w:r>
              <w:r w:rsidRPr="00CD5745">
                <w:rPr>
                  <w:lang w:val="en-GB"/>
                </w:rPr>
                <w:t xml:space="preserve"> </w:t>
              </w:r>
            </w:p>
            <w:p w:rsidR="000145AA" w:rsidRPr="000145AA" w:rsidRDefault="000145AA" w:rsidP="000145AA">
              <w:pPr>
                <w:pStyle w:val="Bibliography"/>
                <w:ind w:left="720" w:hanging="720"/>
                <w:rPr>
                  <w:noProof/>
                  <w:lang w:val="en-GB"/>
                </w:rPr>
              </w:pPr>
              <w:r w:rsidRPr="000145AA">
                <w:rPr>
                  <w:noProof/>
                  <w:lang w:val="en-GB"/>
                </w:rPr>
                <w:t xml:space="preserve">Dyson, R. G. (1990). </w:t>
              </w:r>
              <w:r w:rsidRPr="000145AA">
                <w:rPr>
                  <w:i/>
                  <w:iCs/>
                  <w:noProof/>
                  <w:lang w:val="en-GB"/>
                </w:rPr>
                <w:t>Strategic planning: Models and analytical techniques.</w:t>
              </w:r>
              <w:r w:rsidRPr="000145AA">
                <w:rPr>
                  <w:noProof/>
                  <w:lang w:val="en-GB"/>
                </w:rPr>
                <w:t xml:space="preserve"> England: Wiley.</w:t>
              </w:r>
            </w:p>
            <w:p w:rsidR="000145AA" w:rsidRPr="000145AA" w:rsidRDefault="000145AA" w:rsidP="000145AA">
              <w:pPr>
                <w:pStyle w:val="Bibliography"/>
                <w:ind w:left="720" w:hanging="720"/>
                <w:rPr>
                  <w:noProof/>
                  <w:lang w:val="en-GB"/>
                </w:rPr>
              </w:pPr>
              <w:r w:rsidRPr="000145AA">
                <w:rPr>
                  <w:noProof/>
                  <w:lang w:val="en-GB"/>
                </w:rPr>
                <w:t xml:space="preserve">Haezendonck, E., Verbeke, A., &amp; Coeck, C. (2006). Strategic Positioning Analysis for Seaports. </w:t>
              </w:r>
              <w:r w:rsidRPr="000145AA">
                <w:rPr>
                  <w:i/>
                  <w:iCs/>
                  <w:noProof/>
                  <w:lang w:val="en-GB"/>
                </w:rPr>
                <w:t>Research in Transportation Economics</w:t>
              </w:r>
              <w:r w:rsidRPr="000145AA">
                <w:rPr>
                  <w:noProof/>
                  <w:lang w:val="en-GB"/>
                </w:rPr>
                <w:t>, 141-169.</w:t>
              </w:r>
            </w:p>
            <w:p w:rsidR="000145AA" w:rsidRPr="000145AA" w:rsidRDefault="000145AA" w:rsidP="000145AA">
              <w:pPr>
                <w:pStyle w:val="Bibliography"/>
                <w:ind w:left="720" w:hanging="720"/>
                <w:rPr>
                  <w:noProof/>
                  <w:lang w:val="en-GB"/>
                </w:rPr>
              </w:pPr>
              <w:r w:rsidRPr="000145AA">
                <w:rPr>
                  <w:noProof/>
                  <w:lang w:val="en-GB"/>
                </w:rPr>
                <w:t xml:space="preserve">Henderson, B. D. (1979). </w:t>
              </w:r>
              <w:r w:rsidRPr="000145AA">
                <w:rPr>
                  <w:i/>
                  <w:iCs/>
                  <w:noProof/>
                  <w:lang w:val="en-GB"/>
                </w:rPr>
                <w:t>Henderson on corporate strategy.</w:t>
              </w:r>
              <w:r w:rsidRPr="000145AA">
                <w:rPr>
                  <w:noProof/>
                  <w:lang w:val="en-GB"/>
                </w:rPr>
                <w:t xml:space="preserve"> Cambridge, MA: Abt Books.</w:t>
              </w:r>
            </w:p>
            <w:p w:rsidR="00CB099D" w:rsidRPr="00CB099D" w:rsidRDefault="00CB099D" w:rsidP="00CB099D">
              <w:pPr>
                <w:pStyle w:val="Bibliography"/>
                <w:rPr>
                  <w:noProof/>
                </w:rPr>
              </w:pPr>
              <w:r>
                <w:t xml:space="preserve">Nederland Maritiem Land (2013). </w:t>
              </w:r>
              <w:r>
                <w:rPr>
                  <w:i/>
                </w:rPr>
                <w:t>De Nederlandse Maritieme Cluster: Monitor 2013.</w:t>
              </w:r>
            </w:p>
            <w:p w:rsidR="000145AA" w:rsidRPr="000145AA" w:rsidRDefault="000145AA" w:rsidP="000145AA">
              <w:pPr>
                <w:pStyle w:val="Bibliography"/>
                <w:ind w:left="720" w:hanging="720"/>
                <w:rPr>
                  <w:noProof/>
                  <w:lang w:val="en-GB"/>
                </w:rPr>
              </w:pPr>
              <w:r w:rsidRPr="000145AA">
                <w:rPr>
                  <w:noProof/>
                  <w:lang w:val="en-GB"/>
                </w:rPr>
                <w:t xml:space="preserve">OECD. (2011). </w:t>
              </w:r>
              <w:r w:rsidRPr="000145AA">
                <w:rPr>
                  <w:i/>
                  <w:iCs/>
                  <w:noProof/>
                  <w:lang w:val="en-GB"/>
                </w:rPr>
                <w:t>Competition in Ports and Port Services.</w:t>
              </w:r>
              <w:r w:rsidRPr="000145AA">
                <w:rPr>
                  <w:noProof/>
                  <w:lang w:val="en-GB"/>
                </w:rPr>
                <w:t xml:space="preserve"> OECD.</w:t>
              </w:r>
            </w:p>
            <w:p w:rsidR="00526687" w:rsidRDefault="00526687" w:rsidP="000145AA">
              <w:pPr>
                <w:pStyle w:val="Bibliography"/>
                <w:ind w:left="720" w:hanging="720"/>
                <w:rPr>
                  <w:noProof/>
                  <w:lang w:val="en-GB"/>
                </w:rPr>
              </w:pPr>
              <w:r w:rsidRPr="00526687">
                <w:rPr>
                  <w:noProof/>
                  <w:lang w:val="en-GB"/>
                </w:rPr>
                <w:t>PriceWaterhouseCoopers (2011). Shale gas: a renaissance in US manufacturing?</w:t>
              </w:r>
            </w:p>
            <w:p w:rsidR="000145AA" w:rsidRPr="000145AA" w:rsidRDefault="000145AA" w:rsidP="000145AA">
              <w:pPr>
                <w:pStyle w:val="Bibliography"/>
                <w:ind w:left="720" w:hanging="720"/>
                <w:rPr>
                  <w:noProof/>
                  <w:lang w:val="en-GB"/>
                </w:rPr>
              </w:pPr>
              <w:r w:rsidRPr="000145AA">
                <w:rPr>
                  <w:noProof/>
                  <w:lang w:val="en-GB"/>
                </w:rPr>
                <w:t xml:space="preserve">RHV Erasmus Universiteit Rotterdam. (2014). </w:t>
              </w:r>
              <w:r w:rsidRPr="000145AA">
                <w:rPr>
                  <w:i/>
                  <w:iCs/>
                  <w:noProof/>
                  <w:lang w:val="en-GB"/>
                </w:rPr>
                <w:t>Havenmonitor 2012.</w:t>
              </w:r>
              <w:r w:rsidRPr="000145AA">
                <w:rPr>
                  <w:noProof/>
                  <w:lang w:val="en-GB"/>
                </w:rPr>
                <w:t xml:space="preserve"> Rotterdam: Erasmus Universiteit Rotterdam.</w:t>
              </w:r>
            </w:p>
            <w:p w:rsidR="000145AA" w:rsidRPr="000145AA" w:rsidRDefault="000145AA" w:rsidP="000145AA">
              <w:pPr>
                <w:pStyle w:val="Bibliography"/>
                <w:ind w:left="720" w:hanging="720"/>
                <w:rPr>
                  <w:noProof/>
                  <w:lang w:val="en-GB"/>
                </w:rPr>
              </w:pPr>
              <w:r w:rsidRPr="000145AA">
                <w:rPr>
                  <w:noProof/>
                  <w:lang w:val="en-GB"/>
                </w:rPr>
                <w:t xml:space="preserve">Teurelincx, D. (2000). Functional Analysis of Port Performance as a Strategic Tool for Strenghtening a Port's Competitive and Economic Potential. </w:t>
              </w:r>
              <w:r w:rsidRPr="000145AA">
                <w:rPr>
                  <w:i/>
                  <w:iCs/>
                  <w:noProof/>
                  <w:lang w:val="en-GB"/>
                </w:rPr>
                <w:t>International Journal of Maritime Engineering, II</w:t>
              </w:r>
              <w:r w:rsidRPr="000145AA">
                <w:rPr>
                  <w:noProof/>
                  <w:lang w:val="en-GB"/>
                </w:rPr>
                <w:t>(2), 119-140.</w:t>
              </w:r>
            </w:p>
            <w:p w:rsidR="000145AA" w:rsidRPr="000145AA" w:rsidRDefault="000145AA" w:rsidP="000145AA">
              <w:pPr>
                <w:pStyle w:val="Bibliography"/>
                <w:ind w:left="720" w:hanging="720"/>
                <w:rPr>
                  <w:noProof/>
                  <w:lang w:val="en-GB"/>
                </w:rPr>
              </w:pPr>
              <w:r w:rsidRPr="000145AA">
                <w:rPr>
                  <w:noProof/>
                  <w:lang w:val="en-GB"/>
                </w:rPr>
                <w:t xml:space="preserve">U.S. Maritime Administration. (1985). </w:t>
              </w:r>
              <w:r w:rsidRPr="000145AA">
                <w:rPr>
                  <w:i/>
                  <w:iCs/>
                  <w:noProof/>
                  <w:lang w:val="en-GB"/>
                </w:rPr>
                <w:t>Port economic impact kit.</w:t>
              </w:r>
              <w:r w:rsidRPr="000145AA">
                <w:rPr>
                  <w:noProof/>
                  <w:lang w:val="en-GB"/>
                </w:rPr>
                <w:t xml:space="preserve"> Oakland, CA: Recht, Hausrath and Associates.</w:t>
              </w:r>
            </w:p>
            <w:p w:rsidR="000145AA" w:rsidRPr="000145AA" w:rsidRDefault="000145AA" w:rsidP="000145AA">
              <w:pPr>
                <w:pStyle w:val="Bibliography"/>
                <w:ind w:left="720" w:hanging="720"/>
                <w:rPr>
                  <w:noProof/>
                  <w:lang w:val="en-GB"/>
                </w:rPr>
              </w:pPr>
              <w:r w:rsidRPr="000145AA">
                <w:rPr>
                  <w:noProof/>
                  <w:lang w:val="en-GB"/>
                </w:rPr>
                <w:t xml:space="preserve">van Hoek, R. I., Vos, B., &amp; Commandeur, H. R. (1999). Restructuring European Supply Chains by Implementing Postponement Strategies. </w:t>
              </w:r>
              <w:r w:rsidRPr="000145AA">
                <w:rPr>
                  <w:i/>
                  <w:iCs/>
                  <w:noProof/>
                  <w:lang w:val="en-GB"/>
                </w:rPr>
                <w:t>Long Range Planning, 32</w:t>
              </w:r>
              <w:r w:rsidRPr="000145AA">
                <w:rPr>
                  <w:noProof/>
                  <w:lang w:val="en-GB"/>
                </w:rPr>
                <w:t>(5), 505-518.</w:t>
              </w:r>
            </w:p>
            <w:p w:rsidR="000145AA" w:rsidRDefault="000145AA" w:rsidP="000145AA">
              <w:pPr>
                <w:pStyle w:val="Bibliography"/>
                <w:ind w:left="720" w:hanging="720"/>
                <w:rPr>
                  <w:noProof/>
                </w:rPr>
              </w:pPr>
              <w:r w:rsidRPr="000145AA">
                <w:rPr>
                  <w:noProof/>
                  <w:lang w:val="en-GB"/>
                </w:rPr>
                <w:t xml:space="preserve">Yochum, G. R., &amp; Agarwal, V. B. (1987). Economic Impact of Port on a Regional Economy: Note. </w:t>
              </w:r>
              <w:r>
                <w:rPr>
                  <w:i/>
                  <w:iCs/>
                  <w:noProof/>
                </w:rPr>
                <w:t>Growth &amp; Change</w:t>
              </w:r>
              <w:r>
                <w:rPr>
                  <w:noProof/>
                </w:rPr>
                <w:t>, 74-87.</w:t>
              </w:r>
            </w:p>
            <w:p w:rsidR="00242A48" w:rsidRDefault="006530F6" w:rsidP="000145AA">
              <w:r>
                <w:rPr>
                  <w:b/>
                  <w:bCs/>
                </w:rPr>
                <w:fldChar w:fldCharType="end"/>
              </w:r>
            </w:p>
          </w:sdtContent>
        </w:sdt>
      </w:sdtContent>
    </w:sdt>
    <w:p w:rsidR="000145AA" w:rsidRDefault="000145AA" w:rsidP="000145AA">
      <w:pPr>
        <w:pStyle w:val="Heading2"/>
        <w:numPr>
          <w:ilvl w:val="0"/>
          <w:numId w:val="0"/>
        </w:numPr>
        <w:ind w:left="576" w:hanging="576"/>
        <w:rPr>
          <w:color w:val="auto"/>
        </w:rPr>
      </w:pPr>
      <w:bookmarkStart w:id="35" w:name="_Toc391468014"/>
      <w:r>
        <w:rPr>
          <w:color w:val="auto"/>
        </w:rPr>
        <w:lastRenderedPageBreak/>
        <w:t>(Kranten)artikelen</w:t>
      </w:r>
      <w:bookmarkEnd w:id="35"/>
    </w:p>
    <w:p w:rsidR="000145AA" w:rsidRDefault="000145AA" w:rsidP="000145AA">
      <w:pPr>
        <w:pStyle w:val="NoSpacing"/>
      </w:pPr>
    </w:p>
    <w:p w:rsidR="000145AA" w:rsidRDefault="000145AA" w:rsidP="000145AA">
      <w:pPr>
        <w:ind w:left="720" w:hanging="720"/>
      </w:pPr>
      <w:r w:rsidRPr="000145AA">
        <w:t xml:space="preserve">Jacob, R. (2011, 6 september). </w:t>
      </w:r>
      <w:r>
        <w:rPr>
          <w:lang w:val="en-GB"/>
        </w:rPr>
        <w:t xml:space="preserve">China wage rises bring shift in production. </w:t>
      </w:r>
      <w:r w:rsidRPr="00991C40">
        <w:rPr>
          <w:i/>
        </w:rPr>
        <w:t>The Financial Times.</w:t>
      </w:r>
      <w:r w:rsidRPr="00991C40">
        <w:t xml:space="preserve"> Opgehaald van ft.com op 25 juni 2014.</w:t>
      </w:r>
    </w:p>
    <w:p w:rsidR="000145AA" w:rsidRDefault="000145AA" w:rsidP="000145AA">
      <w:pPr>
        <w:ind w:left="720" w:hanging="720"/>
      </w:pPr>
      <w:r>
        <w:t xml:space="preserve">Kouwenhoven, A. (12 oktober 2011). </w:t>
      </w:r>
      <w:proofErr w:type="gramStart"/>
      <w:r w:rsidRPr="00C217D6">
        <w:t xml:space="preserve">Help! </w:t>
      </w:r>
      <w:proofErr w:type="gramEnd"/>
      <w:r w:rsidRPr="00C217D6">
        <w:t>De provincie Zeeland loopt leeg!</w:t>
      </w:r>
      <w:r>
        <w:t xml:space="preserve"> </w:t>
      </w:r>
      <w:r>
        <w:rPr>
          <w:i/>
        </w:rPr>
        <w:t xml:space="preserve">NRC Handelsblad. </w:t>
      </w:r>
      <w:r>
        <w:t>Opgehaald van NRC.nl, op 10 juni 2014.</w:t>
      </w:r>
    </w:p>
    <w:p w:rsidR="000145AA" w:rsidRDefault="000145AA" w:rsidP="000145AA">
      <w:pPr>
        <w:ind w:left="720" w:hanging="720"/>
      </w:pPr>
      <w:proofErr w:type="spellStart"/>
      <w:r w:rsidRPr="000145AA">
        <w:t>Weitzman</w:t>
      </w:r>
      <w:proofErr w:type="spellEnd"/>
      <w:r w:rsidRPr="000145AA">
        <w:t xml:space="preserve">, H. (2012, 20 mei). </w:t>
      </w:r>
      <w:r>
        <w:rPr>
          <w:lang w:val="en-GB"/>
        </w:rPr>
        <w:t xml:space="preserve">Factories begin to shift back to US. </w:t>
      </w:r>
      <w:r w:rsidRPr="00991C40">
        <w:rPr>
          <w:i/>
        </w:rPr>
        <w:t>The Financial Times.</w:t>
      </w:r>
      <w:r w:rsidRPr="00991C40">
        <w:t xml:space="preserve"> Opgehaald van ft.com op 25 juni 2014.</w:t>
      </w:r>
    </w:p>
    <w:p w:rsidR="000145AA" w:rsidRDefault="000145AA" w:rsidP="000145AA">
      <w:pPr>
        <w:ind w:left="720" w:hanging="720"/>
        <w:rPr>
          <w:lang w:val="en-GB"/>
        </w:rPr>
      </w:pPr>
      <w:r w:rsidRPr="000145AA">
        <w:t xml:space="preserve">ZPPC (2014). </w:t>
      </w:r>
      <w:proofErr w:type="gramStart"/>
      <w:r>
        <w:rPr>
          <w:lang w:val="en-GB"/>
        </w:rPr>
        <w:t>Clearing the way to containerisation.</w:t>
      </w:r>
      <w:proofErr w:type="gramEnd"/>
      <w:r>
        <w:rPr>
          <w:lang w:val="en-GB"/>
        </w:rPr>
        <w:t xml:space="preserve"> </w:t>
      </w:r>
      <w:r>
        <w:rPr>
          <w:i/>
          <w:lang w:val="en-GB"/>
        </w:rPr>
        <w:t xml:space="preserve">Zeeland </w:t>
      </w:r>
      <w:proofErr w:type="spellStart"/>
      <w:r>
        <w:rPr>
          <w:i/>
          <w:lang w:val="en-GB"/>
        </w:rPr>
        <w:t>PortNews</w:t>
      </w:r>
      <w:proofErr w:type="spellEnd"/>
      <w:r>
        <w:rPr>
          <w:i/>
          <w:lang w:val="en-GB"/>
        </w:rPr>
        <w:t>, 9</w:t>
      </w:r>
      <w:r>
        <w:rPr>
          <w:lang w:val="en-GB"/>
        </w:rPr>
        <w:t>(2), 18-19.</w:t>
      </w:r>
    </w:p>
    <w:p w:rsidR="000145AA" w:rsidRPr="000145AA" w:rsidRDefault="000145AA" w:rsidP="000145AA">
      <w:pPr>
        <w:pStyle w:val="NoSpacing"/>
        <w:rPr>
          <w:lang w:val="en-GB"/>
        </w:rPr>
      </w:pPr>
    </w:p>
    <w:p w:rsidR="000145AA" w:rsidRDefault="000145AA" w:rsidP="000145AA">
      <w:pPr>
        <w:pStyle w:val="Heading2"/>
        <w:numPr>
          <w:ilvl w:val="0"/>
          <w:numId w:val="0"/>
        </w:numPr>
        <w:ind w:left="576" w:hanging="576"/>
        <w:rPr>
          <w:color w:val="auto"/>
          <w:lang w:val="en-GB"/>
        </w:rPr>
      </w:pPr>
      <w:bookmarkStart w:id="36" w:name="_Toc391468015"/>
      <w:proofErr w:type="spellStart"/>
      <w:r w:rsidRPr="000145AA">
        <w:rPr>
          <w:color w:val="auto"/>
          <w:lang w:val="en-GB"/>
        </w:rPr>
        <w:t>Webpagina’s</w:t>
      </w:r>
      <w:bookmarkEnd w:id="36"/>
      <w:proofErr w:type="spellEnd"/>
    </w:p>
    <w:p w:rsidR="000145AA" w:rsidRPr="000145AA" w:rsidRDefault="000145AA" w:rsidP="000145AA">
      <w:pPr>
        <w:pStyle w:val="NoSpacing"/>
        <w:rPr>
          <w:lang w:val="en-GB"/>
        </w:rPr>
      </w:pPr>
    </w:p>
    <w:p w:rsidR="000145AA" w:rsidRDefault="006530F6" w:rsidP="000145AA">
      <w:pPr>
        <w:ind w:left="720" w:hanging="720"/>
      </w:pPr>
      <w:hyperlink r:id="rId24" w:history="1">
        <w:r w:rsidR="000145AA" w:rsidRPr="000145AA">
          <w:rPr>
            <w:rStyle w:val="Hyperlink"/>
            <w:lang w:val="en-GB"/>
          </w:rPr>
          <w:t>http://www.pzc.nl/regio/zeeuws-nieuws/vlissingen-wint-terrein-als-haven-voor-de-offshore-industrie-1.4350258</w:t>
        </w:r>
      </w:hyperlink>
      <w:r w:rsidR="000145AA" w:rsidRPr="000145AA">
        <w:rPr>
          <w:lang w:val="en-GB"/>
        </w:rPr>
        <w:t xml:space="preserve">. </w:t>
      </w:r>
      <w:r w:rsidR="000145AA">
        <w:t>Opgehaald op 24 juni 2014.</w:t>
      </w:r>
    </w:p>
    <w:p w:rsidR="000145AA" w:rsidRDefault="006530F6" w:rsidP="000145AA">
      <w:pPr>
        <w:ind w:left="720" w:hanging="720"/>
      </w:pPr>
      <w:hyperlink r:id="rId25" w:history="1">
        <w:r w:rsidR="000145AA" w:rsidRPr="00056B6D">
          <w:rPr>
            <w:rStyle w:val="Hyperlink"/>
          </w:rPr>
          <w:t>http://www.zeeland.nl/werken_ondernemen/werkgelegenheid/</w:t>
        </w:r>
      </w:hyperlink>
      <w:r w:rsidR="000145AA">
        <w:t>. Opgehaald op 18 juni 2014.</w:t>
      </w:r>
    </w:p>
    <w:p w:rsidR="000145AA" w:rsidRPr="00CD5745" w:rsidRDefault="006530F6" w:rsidP="000145AA">
      <w:pPr>
        <w:ind w:left="720" w:hanging="720"/>
      </w:pPr>
      <w:hyperlink r:id="rId26" w:history="1">
        <w:r w:rsidR="000145AA" w:rsidRPr="00FD23E8">
          <w:rPr>
            <w:rStyle w:val="Hyperlink"/>
          </w:rPr>
          <w:t>http://www.zeelandseaports.nl/nl/het-havenbedrijf/profiel/historie/zeeland-seaports.htm</w:t>
        </w:r>
      </w:hyperlink>
      <w:r w:rsidR="000145AA">
        <w:t xml:space="preserve">. </w:t>
      </w:r>
      <w:r w:rsidR="000145AA" w:rsidRPr="00CD5745">
        <w:t>Opgehaald op 16 mei ’14.</w:t>
      </w:r>
    </w:p>
    <w:p w:rsidR="000145AA" w:rsidRPr="000145AA" w:rsidRDefault="006530F6" w:rsidP="000145AA">
      <w:hyperlink r:id="rId27" w:history="1">
        <w:r w:rsidR="005E5FC9" w:rsidRPr="007836E1">
          <w:rPr>
            <w:rStyle w:val="Hyperlink"/>
          </w:rPr>
          <w:t>http://www.vroon.nl/Company</w:t>
        </w:r>
      </w:hyperlink>
      <w:r w:rsidR="005E5FC9">
        <w:t>. Opgehaald op 29 juni 2014.</w:t>
      </w:r>
    </w:p>
    <w:p w:rsidR="00FC2848" w:rsidRPr="005747BD" w:rsidRDefault="006530F6">
      <w:hyperlink r:id="rId28" w:history="1">
        <w:r w:rsidR="00FC2848" w:rsidRPr="00FC2848">
          <w:rPr>
            <w:rStyle w:val="Hyperlink"/>
          </w:rPr>
          <w:t>http://www.logistiek.nl/Distributie/multimodaal-transport/2012/10/Verbrugge-Terminals-dreigt-met-vertrek-uit-Zeeland-1091471W/</w:t>
        </w:r>
      </w:hyperlink>
      <w:r w:rsidR="00FC2848" w:rsidRPr="00FC2848">
        <w:t xml:space="preserve">. </w:t>
      </w:r>
      <w:r w:rsidR="00FC2848" w:rsidRPr="005747BD">
        <w:t>Opgehaald op 29 juni 2014.</w:t>
      </w:r>
    </w:p>
    <w:p w:rsidR="00242A48" w:rsidRDefault="00242A48">
      <w:pPr>
        <w:rPr>
          <w:rFonts w:asciiTheme="majorHAnsi" w:eastAsiaTheme="majorEastAsia" w:hAnsiTheme="majorHAnsi" w:cstheme="majorBidi"/>
          <w:b/>
          <w:bCs/>
          <w:color w:val="595959" w:themeColor="text1" w:themeTint="A6"/>
          <w:sz w:val="28"/>
          <w:szCs w:val="28"/>
        </w:rPr>
      </w:pPr>
      <w:r>
        <w:rPr>
          <w:color w:val="595959" w:themeColor="text1" w:themeTint="A6"/>
        </w:rPr>
        <w:br w:type="page"/>
      </w:r>
    </w:p>
    <w:p w:rsidR="002423FB" w:rsidRPr="00E54231" w:rsidRDefault="00E037AC" w:rsidP="00E037AC">
      <w:pPr>
        <w:pStyle w:val="Heading1"/>
        <w:numPr>
          <w:ilvl w:val="0"/>
          <w:numId w:val="0"/>
        </w:numPr>
        <w:rPr>
          <w:color w:val="595959" w:themeColor="text1" w:themeTint="A6"/>
        </w:rPr>
      </w:pPr>
      <w:bookmarkStart w:id="37" w:name="_Toc391468016"/>
      <w:r w:rsidRPr="00E54231">
        <w:rPr>
          <w:color w:val="595959" w:themeColor="text1" w:themeTint="A6"/>
        </w:rPr>
        <w:lastRenderedPageBreak/>
        <w:t>Appendices</w:t>
      </w:r>
      <w:bookmarkEnd w:id="37"/>
    </w:p>
    <w:p w:rsidR="00E037AC" w:rsidRPr="00E54231" w:rsidRDefault="00E037AC" w:rsidP="00E037AC">
      <w:pPr>
        <w:pStyle w:val="Heading2"/>
        <w:numPr>
          <w:ilvl w:val="0"/>
          <w:numId w:val="0"/>
        </w:numPr>
        <w:ind w:left="576" w:hanging="576"/>
        <w:rPr>
          <w:color w:val="auto"/>
        </w:rPr>
      </w:pPr>
      <w:bookmarkStart w:id="38" w:name="_Toc391468017"/>
      <w:r w:rsidRPr="00E54231">
        <w:rPr>
          <w:color w:val="auto"/>
        </w:rPr>
        <w:t>Appendix A: Overslag per goederensoort 2013</w:t>
      </w:r>
      <w:bookmarkEnd w:id="38"/>
    </w:p>
    <w:p w:rsidR="00E037AC" w:rsidRPr="00E037AC" w:rsidRDefault="00E037AC" w:rsidP="00E037AC">
      <w:pPr>
        <w:pStyle w:val="NoSpacing"/>
      </w:pPr>
      <w:r>
        <w:t xml:space="preserve">Deze tabel geeft de hoeveelheid ton weer die is overgeslagen per goederensoort. </w:t>
      </w:r>
    </w:p>
    <w:tbl>
      <w:tblPr>
        <w:tblStyle w:val="LightShading"/>
        <w:tblW w:w="0" w:type="auto"/>
        <w:tblLook w:val="04A0"/>
      </w:tblPr>
      <w:tblGrid>
        <w:gridCol w:w="3559"/>
        <w:gridCol w:w="1287"/>
        <w:gridCol w:w="970"/>
      </w:tblGrid>
      <w:tr w:rsidR="007D44FA" w:rsidRPr="00E037AC" w:rsidTr="007D44FA">
        <w:trPr>
          <w:cnfStyle w:val="100000000000"/>
          <w:trHeight w:val="300"/>
        </w:trPr>
        <w:tc>
          <w:tcPr>
            <w:cnfStyle w:val="001000000000"/>
            <w:tcW w:w="0" w:type="auto"/>
            <w:shd w:val="clear" w:color="auto" w:fill="BFBFBF" w:themeFill="background1" w:themeFillShade="BF"/>
            <w:noWrap/>
            <w:hideMark/>
          </w:tcPr>
          <w:p w:rsidR="007D44FA" w:rsidRPr="00E037AC" w:rsidRDefault="007D44FA" w:rsidP="00E037AC">
            <w:pPr>
              <w:rPr>
                <w:rFonts w:ascii="Calibri" w:eastAsia="Times New Roman" w:hAnsi="Calibri" w:cs="Times New Roman"/>
                <w:color w:val="000000"/>
                <w:lang w:eastAsia="nl-NL"/>
              </w:rPr>
            </w:pPr>
            <w:r>
              <w:rPr>
                <w:rFonts w:ascii="Calibri" w:eastAsia="Times New Roman" w:hAnsi="Calibri" w:cs="Times New Roman"/>
                <w:color w:val="000000"/>
                <w:lang w:eastAsia="nl-NL"/>
              </w:rPr>
              <w:t>Goederensoort</w:t>
            </w:r>
          </w:p>
        </w:tc>
        <w:tc>
          <w:tcPr>
            <w:tcW w:w="0" w:type="auto"/>
            <w:shd w:val="clear" w:color="auto" w:fill="BFBFBF" w:themeFill="background1" w:themeFillShade="BF"/>
            <w:noWrap/>
            <w:hideMark/>
          </w:tcPr>
          <w:p w:rsidR="007D44FA" w:rsidRPr="00E037AC" w:rsidRDefault="007D44FA" w:rsidP="00E037AC">
            <w:pPr>
              <w:cnfStyle w:val="100000000000"/>
              <w:rPr>
                <w:rFonts w:ascii="Calibri" w:eastAsia="Times New Roman" w:hAnsi="Calibri" w:cs="Times New Roman"/>
                <w:color w:val="000000"/>
                <w:lang w:eastAsia="nl-NL"/>
              </w:rPr>
            </w:pPr>
            <w:r w:rsidRPr="00E037AC">
              <w:rPr>
                <w:rFonts w:ascii="Calibri" w:eastAsia="Times New Roman" w:hAnsi="Calibri" w:cs="Times New Roman"/>
                <w:color w:val="000000"/>
                <w:lang w:eastAsia="nl-NL"/>
              </w:rPr>
              <w:t>Totaal 2013</w:t>
            </w:r>
          </w:p>
        </w:tc>
        <w:tc>
          <w:tcPr>
            <w:tcW w:w="0" w:type="auto"/>
            <w:shd w:val="clear" w:color="auto" w:fill="BFBFBF" w:themeFill="background1" w:themeFillShade="BF"/>
          </w:tcPr>
          <w:p w:rsidR="007D44FA" w:rsidRDefault="007D44FA" w:rsidP="007D44FA">
            <w:pPr>
              <w:cnfStyle w:val="100000000000"/>
              <w:rPr>
                <w:rFonts w:ascii="Calibri" w:hAnsi="Calibri"/>
                <w:color w:val="000000"/>
              </w:rPr>
            </w:pPr>
            <w:r>
              <w:rPr>
                <w:rFonts w:ascii="Calibri" w:hAnsi="Calibri"/>
                <w:color w:val="000000"/>
              </w:rPr>
              <w:t>Aandeel</w:t>
            </w:r>
          </w:p>
        </w:tc>
      </w:tr>
      <w:tr w:rsidR="007D44FA" w:rsidRPr="00E037AC" w:rsidTr="00334777">
        <w:trPr>
          <w:cnfStyle w:val="000000100000"/>
          <w:trHeight w:val="300"/>
        </w:trPr>
        <w:tc>
          <w:tcPr>
            <w:cnfStyle w:val="001000000000"/>
            <w:tcW w:w="0" w:type="auto"/>
            <w:shd w:val="clear" w:color="auto" w:fill="auto"/>
            <w:noWrap/>
            <w:hideMark/>
          </w:tcPr>
          <w:p w:rsidR="007D44FA" w:rsidRPr="00E037AC" w:rsidRDefault="007D44FA" w:rsidP="00E037AC">
            <w:pPr>
              <w:rPr>
                <w:rFonts w:ascii="Calibri" w:eastAsia="Times New Roman" w:hAnsi="Calibri" w:cs="Times New Roman"/>
                <w:color w:val="000000"/>
                <w:lang w:eastAsia="nl-NL"/>
              </w:rPr>
            </w:pPr>
            <w:r w:rsidRPr="00E037AC">
              <w:rPr>
                <w:rFonts w:ascii="Calibri" w:eastAsia="Times New Roman" w:hAnsi="Calibri" w:cs="Times New Roman"/>
                <w:color w:val="000000"/>
                <w:lang w:eastAsia="nl-NL"/>
              </w:rPr>
              <w:t>Landbouwproducten</w:t>
            </w:r>
          </w:p>
        </w:tc>
        <w:tc>
          <w:tcPr>
            <w:tcW w:w="0" w:type="auto"/>
            <w:shd w:val="clear" w:color="auto" w:fill="auto"/>
            <w:noWrap/>
            <w:hideMark/>
          </w:tcPr>
          <w:p w:rsidR="007D44FA" w:rsidRPr="00E037AC" w:rsidRDefault="007D44FA" w:rsidP="00E037AC">
            <w:pPr>
              <w:jc w:val="right"/>
              <w:cnfStyle w:val="000000100000"/>
              <w:rPr>
                <w:rFonts w:ascii="Calibri" w:eastAsia="Times New Roman" w:hAnsi="Calibri" w:cs="Times New Roman"/>
                <w:color w:val="000000"/>
                <w:lang w:eastAsia="nl-NL"/>
              </w:rPr>
            </w:pPr>
            <w:r w:rsidRPr="00E037AC">
              <w:rPr>
                <w:rFonts w:ascii="Calibri" w:eastAsia="Times New Roman" w:hAnsi="Calibri" w:cs="Times New Roman"/>
                <w:color w:val="000000"/>
                <w:lang w:eastAsia="nl-NL"/>
              </w:rPr>
              <w:t>5.090.524</w:t>
            </w:r>
          </w:p>
        </w:tc>
        <w:tc>
          <w:tcPr>
            <w:tcW w:w="0" w:type="auto"/>
            <w:shd w:val="clear" w:color="auto" w:fill="auto"/>
          </w:tcPr>
          <w:p w:rsidR="007D44FA" w:rsidRDefault="007D44FA" w:rsidP="00334777">
            <w:pPr>
              <w:jc w:val="right"/>
              <w:cnfStyle w:val="000000100000"/>
              <w:rPr>
                <w:rFonts w:ascii="Calibri" w:hAnsi="Calibri"/>
                <w:color w:val="000000"/>
              </w:rPr>
            </w:pPr>
            <w:r>
              <w:rPr>
                <w:rFonts w:ascii="Calibri" w:hAnsi="Calibri"/>
                <w:color w:val="000000"/>
              </w:rPr>
              <w:t>15,4%</w:t>
            </w:r>
          </w:p>
        </w:tc>
      </w:tr>
      <w:tr w:rsidR="007D44FA" w:rsidRPr="00E037AC" w:rsidTr="00334777">
        <w:trPr>
          <w:trHeight w:val="300"/>
        </w:trPr>
        <w:tc>
          <w:tcPr>
            <w:cnfStyle w:val="001000000000"/>
            <w:tcW w:w="0" w:type="auto"/>
            <w:shd w:val="clear" w:color="auto" w:fill="auto"/>
            <w:noWrap/>
            <w:hideMark/>
          </w:tcPr>
          <w:p w:rsidR="007D44FA" w:rsidRPr="00E037AC" w:rsidRDefault="007D44FA" w:rsidP="00E037AC">
            <w:pPr>
              <w:rPr>
                <w:rFonts w:ascii="Calibri" w:eastAsia="Times New Roman" w:hAnsi="Calibri" w:cs="Times New Roman"/>
                <w:color w:val="000000"/>
                <w:lang w:eastAsia="nl-NL"/>
              </w:rPr>
            </w:pPr>
            <w:r w:rsidRPr="00E037AC">
              <w:rPr>
                <w:rFonts w:ascii="Calibri" w:eastAsia="Times New Roman" w:hAnsi="Calibri" w:cs="Times New Roman"/>
                <w:color w:val="000000"/>
                <w:lang w:eastAsia="nl-NL"/>
              </w:rPr>
              <w:t>Voedingsproducten overig</w:t>
            </w:r>
          </w:p>
        </w:tc>
        <w:tc>
          <w:tcPr>
            <w:tcW w:w="0" w:type="auto"/>
            <w:shd w:val="clear" w:color="auto" w:fill="auto"/>
            <w:noWrap/>
            <w:hideMark/>
          </w:tcPr>
          <w:p w:rsidR="007D44FA" w:rsidRPr="00E037AC" w:rsidRDefault="007D44FA" w:rsidP="00E037AC">
            <w:pPr>
              <w:jc w:val="right"/>
              <w:cnfStyle w:val="000000000000"/>
              <w:rPr>
                <w:rFonts w:ascii="Calibri" w:eastAsia="Times New Roman" w:hAnsi="Calibri" w:cs="Times New Roman"/>
                <w:color w:val="000000"/>
                <w:lang w:eastAsia="nl-NL"/>
              </w:rPr>
            </w:pPr>
            <w:r w:rsidRPr="00E037AC">
              <w:rPr>
                <w:rFonts w:ascii="Calibri" w:eastAsia="Times New Roman" w:hAnsi="Calibri" w:cs="Times New Roman"/>
                <w:color w:val="000000"/>
                <w:lang w:eastAsia="nl-NL"/>
              </w:rPr>
              <w:t>295.658</w:t>
            </w:r>
          </w:p>
        </w:tc>
        <w:tc>
          <w:tcPr>
            <w:tcW w:w="0" w:type="auto"/>
            <w:shd w:val="clear" w:color="auto" w:fill="auto"/>
          </w:tcPr>
          <w:p w:rsidR="007D44FA" w:rsidRDefault="007D44FA" w:rsidP="00334777">
            <w:pPr>
              <w:jc w:val="right"/>
              <w:cnfStyle w:val="000000000000"/>
              <w:rPr>
                <w:rFonts w:ascii="Calibri" w:hAnsi="Calibri"/>
                <w:color w:val="000000"/>
              </w:rPr>
            </w:pPr>
            <w:r>
              <w:rPr>
                <w:rFonts w:ascii="Calibri" w:hAnsi="Calibri"/>
                <w:color w:val="000000"/>
              </w:rPr>
              <w:t>0,9%</w:t>
            </w:r>
          </w:p>
        </w:tc>
      </w:tr>
      <w:tr w:rsidR="007D44FA" w:rsidRPr="00E037AC" w:rsidTr="00334777">
        <w:trPr>
          <w:cnfStyle w:val="000000100000"/>
          <w:trHeight w:val="300"/>
        </w:trPr>
        <w:tc>
          <w:tcPr>
            <w:cnfStyle w:val="001000000000"/>
            <w:tcW w:w="0" w:type="auto"/>
            <w:shd w:val="clear" w:color="auto" w:fill="auto"/>
            <w:noWrap/>
            <w:hideMark/>
          </w:tcPr>
          <w:p w:rsidR="007D44FA" w:rsidRPr="00E037AC" w:rsidRDefault="007D44FA" w:rsidP="00E037AC">
            <w:pPr>
              <w:rPr>
                <w:rFonts w:ascii="Calibri" w:eastAsia="Times New Roman" w:hAnsi="Calibri" w:cs="Times New Roman"/>
                <w:color w:val="000000"/>
                <w:lang w:eastAsia="nl-NL"/>
              </w:rPr>
            </w:pPr>
            <w:r w:rsidRPr="00E037AC">
              <w:rPr>
                <w:rFonts w:ascii="Calibri" w:eastAsia="Times New Roman" w:hAnsi="Calibri" w:cs="Times New Roman"/>
                <w:color w:val="000000"/>
                <w:lang w:eastAsia="nl-NL"/>
              </w:rPr>
              <w:t>Vaste brandstoffen</w:t>
            </w:r>
          </w:p>
        </w:tc>
        <w:tc>
          <w:tcPr>
            <w:tcW w:w="0" w:type="auto"/>
            <w:shd w:val="clear" w:color="auto" w:fill="auto"/>
            <w:noWrap/>
            <w:hideMark/>
          </w:tcPr>
          <w:p w:rsidR="007D44FA" w:rsidRPr="00E037AC" w:rsidRDefault="007D44FA" w:rsidP="00E037AC">
            <w:pPr>
              <w:jc w:val="right"/>
              <w:cnfStyle w:val="000000100000"/>
              <w:rPr>
                <w:rFonts w:ascii="Calibri" w:eastAsia="Times New Roman" w:hAnsi="Calibri" w:cs="Times New Roman"/>
                <w:color w:val="000000"/>
                <w:lang w:eastAsia="nl-NL"/>
              </w:rPr>
            </w:pPr>
            <w:r w:rsidRPr="00E037AC">
              <w:rPr>
                <w:rFonts w:ascii="Calibri" w:eastAsia="Times New Roman" w:hAnsi="Calibri" w:cs="Times New Roman"/>
                <w:color w:val="000000"/>
                <w:lang w:eastAsia="nl-NL"/>
              </w:rPr>
              <w:t>3.852.141</w:t>
            </w:r>
          </w:p>
        </w:tc>
        <w:tc>
          <w:tcPr>
            <w:tcW w:w="0" w:type="auto"/>
            <w:shd w:val="clear" w:color="auto" w:fill="auto"/>
          </w:tcPr>
          <w:p w:rsidR="007D44FA" w:rsidRDefault="007D44FA" w:rsidP="00334777">
            <w:pPr>
              <w:jc w:val="right"/>
              <w:cnfStyle w:val="000000100000"/>
              <w:rPr>
                <w:rFonts w:ascii="Calibri" w:hAnsi="Calibri"/>
                <w:color w:val="000000"/>
              </w:rPr>
            </w:pPr>
            <w:r>
              <w:rPr>
                <w:rFonts w:ascii="Calibri" w:hAnsi="Calibri"/>
                <w:color w:val="000000"/>
              </w:rPr>
              <w:t>11,7%</w:t>
            </w:r>
          </w:p>
        </w:tc>
      </w:tr>
      <w:tr w:rsidR="007D44FA" w:rsidRPr="00E037AC" w:rsidTr="00334777">
        <w:trPr>
          <w:trHeight w:val="300"/>
        </w:trPr>
        <w:tc>
          <w:tcPr>
            <w:cnfStyle w:val="001000000000"/>
            <w:tcW w:w="0" w:type="auto"/>
            <w:shd w:val="clear" w:color="auto" w:fill="auto"/>
            <w:noWrap/>
            <w:hideMark/>
          </w:tcPr>
          <w:p w:rsidR="007D44FA" w:rsidRPr="00E037AC" w:rsidRDefault="007D44FA" w:rsidP="00E037AC">
            <w:pPr>
              <w:rPr>
                <w:rFonts w:ascii="Calibri" w:eastAsia="Times New Roman" w:hAnsi="Calibri" w:cs="Times New Roman"/>
                <w:color w:val="000000"/>
                <w:lang w:eastAsia="nl-NL"/>
              </w:rPr>
            </w:pPr>
            <w:r w:rsidRPr="00E037AC">
              <w:rPr>
                <w:rFonts w:ascii="Calibri" w:eastAsia="Times New Roman" w:hAnsi="Calibri" w:cs="Times New Roman"/>
                <w:color w:val="000000"/>
                <w:lang w:eastAsia="nl-NL"/>
              </w:rPr>
              <w:t>Aardolie en aardolieproducten</w:t>
            </w:r>
          </w:p>
        </w:tc>
        <w:tc>
          <w:tcPr>
            <w:tcW w:w="0" w:type="auto"/>
            <w:shd w:val="clear" w:color="auto" w:fill="auto"/>
            <w:noWrap/>
            <w:hideMark/>
          </w:tcPr>
          <w:p w:rsidR="007D44FA" w:rsidRPr="00E037AC" w:rsidRDefault="007D44FA" w:rsidP="00E037AC">
            <w:pPr>
              <w:jc w:val="right"/>
              <w:cnfStyle w:val="000000000000"/>
              <w:rPr>
                <w:rFonts w:ascii="Calibri" w:eastAsia="Times New Roman" w:hAnsi="Calibri" w:cs="Times New Roman"/>
                <w:color w:val="000000"/>
                <w:lang w:eastAsia="nl-NL"/>
              </w:rPr>
            </w:pPr>
            <w:r w:rsidRPr="00E037AC">
              <w:rPr>
                <w:rFonts w:ascii="Calibri" w:eastAsia="Times New Roman" w:hAnsi="Calibri" w:cs="Times New Roman"/>
                <w:color w:val="000000"/>
                <w:lang w:eastAsia="nl-NL"/>
              </w:rPr>
              <w:t>9.594.040</w:t>
            </w:r>
          </w:p>
        </w:tc>
        <w:tc>
          <w:tcPr>
            <w:tcW w:w="0" w:type="auto"/>
            <w:shd w:val="clear" w:color="auto" w:fill="auto"/>
          </w:tcPr>
          <w:p w:rsidR="007D44FA" w:rsidRDefault="007D44FA" w:rsidP="00334777">
            <w:pPr>
              <w:jc w:val="right"/>
              <w:cnfStyle w:val="000000000000"/>
              <w:rPr>
                <w:rFonts w:ascii="Calibri" w:hAnsi="Calibri"/>
                <w:color w:val="000000"/>
              </w:rPr>
            </w:pPr>
            <w:r>
              <w:rPr>
                <w:rFonts w:ascii="Calibri" w:hAnsi="Calibri"/>
                <w:color w:val="000000"/>
              </w:rPr>
              <w:t>29,0%</w:t>
            </w:r>
          </w:p>
        </w:tc>
      </w:tr>
      <w:tr w:rsidR="007D44FA" w:rsidRPr="00E037AC" w:rsidTr="00334777">
        <w:trPr>
          <w:cnfStyle w:val="000000100000"/>
          <w:trHeight w:val="300"/>
        </w:trPr>
        <w:tc>
          <w:tcPr>
            <w:cnfStyle w:val="001000000000"/>
            <w:tcW w:w="0" w:type="auto"/>
            <w:shd w:val="clear" w:color="auto" w:fill="auto"/>
            <w:noWrap/>
            <w:hideMark/>
          </w:tcPr>
          <w:p w:rsidR="007D44FA" w:rsidRPr="00E037AC" w:rsidRDefault="007D44FA" w:rsidP="00E037AC">
            <w:pPr>
              <w:rPr>
                <w:rFonts w:ascii="Calibri" w:eastAsia="Times New Roman" w:hAnsi="Calibri" w:cs="Times New Roman"/>
                <w:color w:val="000000"/>
                <w:lang w:eastAsia="nl-NL"/>
              </w:rPr>
            </w:pPr>
            <w:r w:rsidRPr="00E037AC">
              <w:rPr>
                <w:rFonts w:ascii="Calibri" w:eastAsia="Times New Roman" w:hAnsi="Calibri" w:cs="Times New Roman"/>
                <w:color w:val="000000"/>
                <w:lang w:eastAsia="nl-NL"/>
              </w:rPr>
              <w:t>Ertsen en metaalafval</w:t>
            </w:r>
          </w:p>
        </w:tc>
        <w:tc>
          <w:tcPr>
            <w:tcW w:w="0" w:type="auto"/>
            <w:shd w:val="clear" w:color="auto" w:fill="auto"/>
            <w:noWrap/>
            <w:hideMark/>
          </w:tcPr>
          <w:p w:rsidR="007D44FA" w:rsidRPr="00E037AC" w:rsidRDefault="007D44FA" w:rsidP="00E037AC">
            <w:pPr>
              <w:jc w:val="right"/>
              <w:cnfStyle w:val="000000100000"/>
              <w:rPr>
                <w:rFonts w:ascii="Calibri" w:eastAsia="Times New Roman" w:hAnsi="Calibri" w:cs="Times New Roman"/>
                <w:color w:val="000000"/>
                <w:lang w:eastAsia="nl-NL"/>
              </w:rPr>
            </w:pPr>
            <w:r w:rsidRPr="00E037AC">
              <w:rPr>
                <w:rFonts w:ascii="Calibri" w:eastAsia="Times New Roman" w:hAnsi="Calibri" w:cs="Times New Roman"/>
                <w:color w:val="000000"/>
                <w:lang w:eastAsia="nl-NL"/>
              </w:rPr>
              <w:t>273.162</w:t>
            </w:r>
          </w:p>
        </w:tc>
        <w:tc>
          <w:tcPr>
            <w:tcW w:w="0" w:type="auto"/>
            <w:shd w:val="clear" w:color="auto" w:fill="auto"/>
          </w:tcPr>
          <w:p w:rsidR="007D44FA" w:rsidRDefault="007D44FA" w:rsidP="00334777">
            <w:pPr>
              <w:jc w:val="right"/>
              <w:cnfStyle w:val="000000100000"/>
              <w:rPr>
                <w:rFonts w:ascii="Calibri" w:hAnsi="Calibri"/>
                <w:color w:val="000000"/>
              </w:rPr>
            </w:pPr>
            <w:r>
              <w:rPr>
                <w:rFonts w:ascii="Calibri" w:hAnsi="Calibri"/>
                <w:color w:val="000000"/>
              </w:rPr>
              <w:t>0,8%</w:t>
            </w:r>
          </w:p>
        </w:tc>
      </w:tr>
      <w:tr w:rsidR="007D44FA" w:rsidRPr="00E037AC" w:rsidTr="00334777">
        <w:trPr>
          <w:trHeight w:val="300"/>
        </w:trPr>
        <w:tc>
          <w:tcPr>
            <w:cnfStyle w:val="001000000000"/>
            <w:tcW w:w="0" w:type="auto"/>
            <w:shd w:val="clear" w:color="auto" w:fill="auto"/>
            <w:noWrap/>
            <w:hideMark/>
          </w:tcPr>
          <w:p w:rsidR="007D44FA" w:rsidRPr="00E037AC" w:rsidRDefault="007D44FA" w:rsidP="00E037AC">
            <w:pPr>
              <w:rPr>
                <w:rFonts w:ascii="Calibri" w:eastAsia="Times New Roman" w:hAnsi="Calibri" w:cs="Times New Roman"/>
                <w:color w:val="000000"/>
                <w:lang w:eastAsia="nl-NL"/>
              </w:rPr>
            </w:pPr>
            <w:r w:rsidRPr="00E037AC">
              <w:rPr>
                <w:rFonts w:ascii="Calibri" w:eastAsia="Times New Roman" w:hAnsi="Calibri" w:cs="Times New Roman"/>
                <w:color w:val="000000"/>
                <w:lang w:eastAsia="nl-NL"/>
              </w:rPr>
              <w:t>Metalen en halffabricaten</w:t>
            </w:r>
          </w:p>
        </w:tc>
        <w:tc>
          <w:tcPr>
            <w:tcW w:w="0" w:type="auto"/>
            <w:shd w:val="clear" w:color="auto" w:fill="auto"/>
            <w:noWrap/>
            <w:hideMark/>
          </w:tcPr>
          <w:p w:rsidR="007D44FA" w:rsidRPr="00E037AC" w:rsidRDefault="007D44FA" w:rsidP="00E037AC">
            <w:pPr>
              <w:jc w:val="right"/>
              <w:cnfStyle w:val="000000000000"/>
              <w:rPr>
                <w:rFonts w:ascii="Calibri" w:eastAsia="Times New Roman" w:hAnsi="Calibri" w:cs="Times New Roman"/>
                <w:color w:val="000000"/>
                <w:lang w:eastAsia="nl-NL"/>
              </w:rPr>
            </w:pPr>
            <w:r w:rsidRPr="00E037AC">
              <w:rPr>
                <w:rFonts w:ascii="Calibri" w:eastAsia="Times New Roman" w:hAnsi="Calibri" w:cs="Times New Roman"/>
                <w:color w:val="000000"/>
                <w:lang w:eastAsia="nl-NL"/>
              </w:rPr>
              <w:t>2.123.398</w:t>
            </w:r>
          </w:p>
        </w:tc>
        <w:tc>
          <w:tcPr>
            <w:tcW w:w="0" w:type="auto"/>
            <w:shd w:val="clear" w:color="auto" w:fill="auto"/>
          </w:tcPr>
          <w:p w:rsidR="007D44FA" w:rsidRDefault="007D44FA" w:rsidP="00334777">
            <w:pPr>
              <w:jc w:val="right"/>
              <w:cnfStyle w:val="000000000000"/>
              <w:rPr>
                <w:rFonts w:ascii="Calibri" w:hAnsi="Calibri"/>
                <w:color w:val="000000"/>
              </w:rPr>
            </w:pPr>
            <w:r>
              <w:rPr>
                <w:rFonts w:ascii="Calibri" w:hAnsi="Calibri"/>
                <w:color w:val="000000"/>
              </w:rPr>
              <w:t>6,4%</w:t>
            </w:r>
          </w:p>
        </w:tc>
      </w:tr>
      <w:tr w:rsidR="007D44FA" w:rsidRPr="00E037AC" w:rsidTr="00334777">
        <w:trPr>
          <w:cnfStyle w:val="000000100000"/>
          <w:trHeight w:val="300"/>
        </w:trPr>
        <w:tc>
          <w:tcPr>
            <w:cnfStyle w:val="001000000000"/>
            <w:tcW w:w="0" w:type="auto"/>
            <w:shd w:val="clear" w:color="auto" w:fill="auto"/>
            <w:noWrap/>
            <w:hideMark/>
          </w:tcPr>
          <w:p w:rsidR="007D44FA" w:rsidRPr="00E037AC" w:rsidRDefault="007D44FA" w:rsidP="00E037AC">
            <w:pPr>
              <w:rPr>
                <w:rFonts w:ascii="Calibri" w:eastAsia="Times New Roman" w:hAnsi="Calibri" w:cs="Times New Roman"/>
                <w:color w:val="000000"/>
                <w:lang w:eastAsia="nl-NL"/>
              </w:rPr>
            </w:pPr>
            <w:r w:rsidRPr="00E037AC">
              <w:rPr>
                <w:rFonts w:ascii="Calibri" w:eastAsia="Times New Roman" w:hAnsi="Calibri" w:cs="Times New Roman"/>
                <w:color w:val="000000"/>
                <w:lang w:eastAsia="nl-NL"/>
              </w:rPr>
              <w:t>Ruwe mineralen en bouwmaterialen</w:t>
            </w:r>
          </w:p>
        </w:tc>
        <w:tc>
          <w:tcPr>
            <w:tcW w:w="0" w:type="auto"/>
            <w:shd w:val="clear" w:color="auto" w:fill="auto"/>
            <w:noWrap/>
            <w:hideMark/>
          </w:tcPr>
          <w:p w:rsidR="007D44FA" w:rsidRPr="00E037AC" w:rsidRDefault="007D44FA" w:rsidP="00E037AC">
            <w:pPr>
              <w:jc w:val="right"/>
              <w:cnfStyle w:val="000000100000"/>
              <w:rPr>
                <w:rFonts w:ascii="Calibri" w:eastAsia="Times New Roman" w:hAnsi="Calibri" w:cs="Times New Roman"/>
                <w:color w:val="000000"/>
                <w:lang w:eastAsia="nl-NL"/>
              </w:rPr>
            </w:pPr>
            <w:r w:rsidRPr="00E037AC">
              <w:rPr>
                <w:rFonts w:ascii="Calibri" w:eastAsia="Times New Roman" w:hAnsi="Calibri" w:cs="Times New Roman"/>
                <w:color w:val="000000"/>
                <w:lang w:eastAsia="nl-NL"/>
              </w:rPr>
              <w:t>2.133.412</w:t>
            </w:r>
          </w:p>
        </w:tc>
        <w:tc>
          <w:tcPr>
            <w:tcW w:w="0" w:type="auto"/>
            <w:shd w:val="clear" w:color="auto" w:fill="auto"/>
          </w:tcPr>
          <w:p w:rsidR="007D44FA" w:rsidRDefault="007D44FA" w:rsidP="00334777">
            <w:pPr>
              <w:jc w:val="right"/>
              <w:cnfStyle w:val="000000100000"/>
              <w:rPr>
                <w:rFonts w:ascii="Calibri" w:hAnsi="Calibri"/>
                <w:color w:val="000000"/>
              </w:rPr>
            </w:pPr>
            <w:r>
              <w:rPr>
                <w:rFonts w:ascii="Calibri" w:hAnsi="Calibri"/>
                <w:color w:val="000000"/>
              </w:rPr>
              <w:t>6,5%</w:t>
            </w:r>
          </w:p>
        </w:tc>
      </w:tr>
      <w:tr w:rsidR="007D44FA" w:rsidRPr="00E037AC" w:rsidTr="00334777">
        <w:trPr>
          <w:trHeight w:val="300"/>
        </w:trPr>
        <w:tc>
          <w:tcPr>
            <w:cnfStyle w:val="001000000000"/>
            <w:tcW w:w="0" w:type="auto"/>
            <w:shd w:val="clear" w:color="auto" w:fill="auto"/>
            <w:noWrap/>
            <w:hideMark/>
          </w:tcPr>
          <w:p w:rsidR="007D44FA" w:rsidRPr="00E037AC" w:rsidRDefault="007D44FA" w:rsidP="00E037AC">
            <w:pPr>
              <w:rPr>
                <w:rFonts w:ascii="Calibri" w:eastAsia="Times New Roman" w:hAnsi="Calibri" w:cs="Times New Roman"/>
                <w:color w:val="000000"/>
                <w:lang w:eastAsia="nl-NL"/>
              </w:rPr>
            </w:pPr>
            <w:r w:rsidRPr="00E037AC">
              <w:rPr>
                <w:rFonts w:ascii="Calibri" w:eastAsia="Times New Roman" w:hAnsi="Calibri" w:cs="Times New Roman"/>
                <w:color w:val="000000"/>
                <w:lang w:eastAsia="nl-NL"/>
              </w:rPr>
              <w:t>Meststoffen</w:t>
            </w:r>
          </w:p>
        </w:tc>
        <w:tc>
          <w:tcPr>
            <w:tcW w:w="0" w:type="auto"/>
            <w:shd w:val="clear" w:color="auto" w:fill="auto"/>
            <w:noWrap/>
            <w:hideMark/>
          </w:tcPr>
          <w:p w:rsidR="007D44FA" w:rsidRPr="00E037AC" w:rsidRDefault="007D44FA" w:rsidP="00E037AC">
            <w:pPr>
              <w:jc w:val="right"/>
              <w:cnfStyle w:val="000000000000"/>
              <w:rPr>
                <w:rFonts w:ascii="Calibri" w:eastAsia="Times New Roman" w:hAnsi="Calibri" w:cs="Times New Roman"/>
                <w:color w:val="000000"/>
                <w:lang w:eastAsia="nl-NL"/>
              </w:rPr>
            </w:pPr>
            <w:r w:rsidRPr="00E037AC">
              <w:rPr>
                <w:rFonts w:ascii="Calibri" w:eastAsia="Times New Roman" w:hAnsi="Calibri" w:cs="Times New Roman"/>
                <w:color w:val="000000"/>
                <w:lang w:eastAsia="nl-NL"/>
              </w:rPr>
              <w:t>3.792.565</w:t>
            </w:r>
          </w:p>
        </w:tc>
        <w:tc>
          <w:tcPr>
            <w:tcW w:w="0" w:type="auto"/>
            <w:shd w:val="clear" w:color="auto" w:fill="auto"/>
          </w:tcPr>
          <w:p w:rsidR="007D44FA" w:rsidRDefault="007D44FA" w:rsidP="00334777">
            <w:pPr>
              <w:jc w:val="right"/>
              <w:cnfStyle w:val="000000000000"/>
              <w:rPr>
                <w:rFonts w:ascii="Calibri" w:hAnsi="Calibri"/>
                <w:color w:val="000000"/>
              </w:rPr>
            </w:pPr>
            <w:r>
              <w:rPr>
                <w:rFonts w:ascii="Calibri" w:hAnsi="Calibri"/>
                <w:color w:val="000000"/>
              </w:rPr>
              <w:t>11,5%</w:t>
            </w:r>
          </w:p>
        </w:tc>
      </w:tr>
      <w:tr w:rsidR="007D44FA" w:rsidRPr="00E037AC" w:rsidTr="00334777">
        <w:trPr>
          <w:cnfStyle w:val="000000100000"/>
          <w:trHeight w:val="300"/>
        </w:trPr>
        <w:tc>
          <w:tcPr>
            <w:cnfStyle w:val="001000000000"/>
            <w:tcW w:w="0" w:type="auto"/>
            <w:shd w:val="clear" w:color="auto" w:fill="auto"/>
            <w:noWrap/>
            <w:hideMark/>
          </w:tcPr>
          <w:p w:rsidR="007D44FA" w:rsidRPr="00E037AC" w:rsidRDefault="007D44FA" w:rsidP="00E037AC">
            <w:pPr>
              <w:rPr>
                <w:rFonts w:ascii="Calibri" w:eastAsia="Times New Roman" w:hAnsi="Calibri" w:cs="Times New Roman"/>
                <w:color w:val="000000"/>
                <w:lang w:eastAsia="nl-NL"/>
              </w:rPr>
            </w:pPr>
            <w:r w:rsidRPr="00E037AC">
              <w:rPr>
                <w:rFonts w:ascii="Calibri" w:eastAsia="Times New Roman" w:hAnsi="Calibri" w:cs="Times New Roman"/>
                <w:color w:val="000000"/>
                <w:lang w:eastAsia="nl-NL"/>
              </w:rPr>
              <w:t>Chemische producten</w:t>
            </w:r>
          </w:p>
        </w:tc>
        <w:tc>
          <w:tcPr>
            <w:tcW w:w="0" w:type="auto"/>
            <w:shd w:val="clear" w:color="auto" w:fill="auto"/>
            <w:noWrap/>
            <w:hideMark/>
          </w:tcPr>
          <w:p w:rsidR="007D44FA" w:rsidRPr="00E037AC" w:rsidRDefault="007D44FA" w:rsidP="00E037AC">
            <w:pPr>
              <w:jc w:val="right"/>
              <w:cnfStyle w:val="000000100000"/>
              <w:rPr>
                <w:rFonts w:ascii="Calibri" w:eastAsia="Times New Roman" w:hAnsi="Calibri" w:cs="Times New Roman"/>
                <w:color w:val="000000"/>
                <w:lang w:eastAsia="nl-NL"/>
              </w:rPr>
            </w:pPr>
            <w:r w:rsidRPr="00E037AC">
              <w:rPr>
                <w:rFonts w:ascii="Calibri" w:eastAsia="Times New Roman" w:hAnsi="Calibri" w:cs="Times New Roman"/>
                <w:color w:val="000000"/>
                <w:lang w:eastAsia="nl-NL"/>
              </w:rPr>
              <w:t>3.417.292</w:t>
            </w:r>
          </w:p>
        </w:tc>
        <w:tc>
          <w:tcPr>
            <w:tcW w:w="0" w:type="auto"/>
            <w:shd w:val="clear" w:color="auto" w:fill="auto"/>
          </w:tcPr>
          <w:p w:rsidR="007D44FA" w:rsidRDefault="007D44FA" w:rsidP="00334777">
            <w:pPr>
              <w:jc w:val="right"/>
              <w:cnfStyle w:val="000000100000"/>
              <w:rPr>
                <w:rFonts w:ascii="Calibri" w:hAnsi="Calibri"/>
                <w:color w:val="000000"/>
              </w:rPr>
            </w:pPr>
            <w:r>
              <w:rPr>
                <w:rFonts w:ascii="Calibri" w:hAnsi="Calibri"/>
                <w:color w:val="000000"/>
              </w:rPr>
              <w:t>10,3%</w:t>
            </w:r>
          </w:p>
        </w:tc>
      </w:tr>
      <w:tr w:rsidR="007D44FA" w:rsidRPr="00E037AC" w:rsidTr="00334777">
        <w:trPr>
          <w:trHeight w:val="300"/>
        </w:trPr>
        <w:tc>
          <w:tcPr>
            <w:cnfStyle w:val="001000000000"/>
            <w:tcW w:w="0" w:type="auto"/>
            <w:tcBorders>
              <w:bottom w:val="single" w:sz="4" w:space="0" w:color="auto"/>
            </w:tcBorders>
            <w:shd w:val="clear" w:color="auto" w:fill="auto"/>
            <w:noWrap/>
            <w:hideMark/>
          </w:tcPr>
          <w:p w:rsidR="007D44FA" w:rsidRPr="00E037AC" w:rsidRDefault="007D44FA" w:rsidP="00E037AC">
            <w:pPr>
              <w:rPr>
                <w:rFonts w:ascii="Calibri" w:eastAsia="Times New Roman" w:hAnsi="Calibri" w:cs="Times New Roman"/>
                <w:color w:val="000000"/>
                <w:lang w:eastAsia="nl-NL"/>
              </w:rPr>
            </w:pPr>
            <w:r w:rsidRPr="00E037AC">
              <w:rPr>
                <w:rFonts w:ascii="Calibri" w:eastAsia="Times New Roman" w:hAnsi="Calibri" w:cs="Times New Roman"/>
                <w:color w:val="000000"/>
                <w:lang w:eastAsia="nl-NL"/>
              </w:rPr>
              <w:t>Overige producten</w:t>
            </w:r>
          </w:p>
        </w:tc>
        <w:tc>
          <w:tcPr>
            <w:tcW w:w="0" w:type="auto"/>
            <w:tcBorders>
              <w:bottom w:val="single" w:sz="4" w:space="0" w:color="auto"/>
            </w:tcBorders>
            <w:shd w:val="clear" w:color="auto" w:fill="auto"/>
            <w:noWrap/>
            <w:hideMark/>
          </w:tcPr>
          <w:p w:rsidR="007D44FA" w:rsidRPr="00E037AC" w:rsidRDefault="007D44FA" w:rsidP="00E037AC">
            <w:pPr>
              <w:jc w:val="right"/>
              <w:cnfStyle w:val="000000000000"/>
              <w:rPr>
                <w:rFonts w:ascii="Calibri" w:eastAsia="Times New Roman" w:hAnsi="Calibri" w:cs="Times New Roman"/>
                <w:color w:val="000000"/>
                <w:lang w:eastAsia="nl-NL"/>
              </w:rPr>
            </w:pPr>
            <w:r w:rsidRPr="00E037AC">
              <w:rPr>
                <w:rFonts w:ascii="Calibri" w:eastAsia="Times New Roman" w:hAnsi="Calibri" w:cs="Times New Roman"/>
                <w:color w:val="000000"/>
                <w:lang w:eastAsia="nl-NL"/>
              </w:rPr>
              <w:t>2.456.249</w:t>
            </w:r>
          </w:p>
        </w:tc>
        <w:tc>
          <w:tcPr>
            <w:tcW w:w="0" w:type="auto"/>
            <w:tcBorders>
              <w:bottom w:val="single" w:sz="4" w:space="0" w:color="auto"/>
            </w:tcBorders>
            <w:shd w:val="clear" w:color="auto" w:fill="auto"/>
          </w:tcPr>
          <w:p w:rsidR="007D44FA" w:rsidRDefault="007D44FA" w:rsidP="00334777">
            <w:pPr>
              <w:jc w:val="right"/>
              <w:cnfStyle w:val="000000000000"/>
              <w:rPr>
                <w:rFonts w:ascii="Calibri" w:hAnsi="Calibri"/>
                <w:color w:val="000000"/>
              </w:rPr>
            </w:pPr>
            <w:r>
              <w:rPr>
                <w:rFonts w:ascii="Calibri" w:hAnsi="Calibri"/>
                <w:color w:val="000000"/>
              </w:rPr>
              <w:t>7,4%</w:t>
            </w:r>
          </w:p>
        </w:tc>
      </w:tr>
      <w:tr w:rsidR="007D44FA" w:rsidRPr="00E037AC" w:rsidTr="007D44FA">
        <w:trPr>
          <w:cnfStyle w:val="000000100000"/>
          <w:trHeight w:val="300"/>
        </w:trPr>
        <w:tc>
          <w:tcPr>
            <w:cnfStyle w:val="001000000000"/>
            <w:tcW w:w="0" w:type="auto"/>
            <w:tcBorders>
              <w:top w:val="single" w:sz="4" w:space="0" w:color="auto"/>
              <w:bottom w:val="single" w:sz="8" w:space="0" w:color="000000" w:themeColor="text1"/>
            </w:tcBorders>
            <w:shd w:val="clear" w:color="auto" w:fill="BFBFBF" w:themeFill="background1" w:themeFillShade="BF"/>
            <w:noWrap/>
            <w:hideMark/>
          </w:tcPr>
          <w:p w:rsidR="007D44FA" w:rsidRPr="00E037AC" w:rsidRDefault="007D44FA" w:rsidP="00E037AC">
            <w:pPr>
              <w:rPr>
                <w:rFonts w:ascii="Calibri" w:eastAsia="Times New Roman" w:hAnsi="Calibri" w:cs="Times New Roman"/>
                <w:color w:val="000000"/>
                <w:lang w:eastAsia="nl-NL"/>
              </w:rPr>
            </w:pPr>
            <w:r w:rsidRPr="00E037AC">
              <w:rPr>
                <w:rFonts w:ascii="Calibri" w:eastAsia="Times New Roman" w:hAnsi="Calibri" w:cs="Times New Roman"/>
                <w:color w:val="000000"/>
                <w:lang w:eastAsia="nl-NL"/>
              </w:rPr>
              <w:t>Totaal</w:t>
            </w:r>
          </w:p>
        </w:tc>
        <w:tc>
          <w:tcPr>
            <w:tcW w:w="0" w:type="auto"/>
            <w:tcBorders>
              <w:top w:val="single" w:sz="4" w:space="0" w:color="auto"/>
              <w:bottom w:val="single" w:sz="8" w:space="0" w:color="000000" w:themeColor="text1"/>
            </w:tcBorders>
            <w:shd w:val="clear" w:color="auto" w:fill="BFBFBF" w:themeFill="background1" w:themeFillShade="BF"/>
            <w:noWrap/>
            <w:hideMark/>
          </w:tcPr>
          <w:p w:rsidR="007D44FA" w:rsidRPr="00E037AC" w:rsidRDefault="007D44FA" w:rsidP="00E037AC">
            <w:pPr>
              <w:jc w:val="right"/>
              <w:cnfStyle w:val="000000100000"/>
              <w:rPr>
                <w:rFonts w:ascii="Calibri" w:eastAsia="Times New Roman" w:hAnsi="Calibri" w:cs="Times New Roman"/>
                <w:b/>
                <w:color w:val="000000"/>
                <w:lang w:eastAsia="nl-NL"/>
              </w:rPr>
            </w:pPr>
            <w:r w:rsidRPr="00E037AC">
              <w:rPr>
                <w:rFonts w:ascii="Calibri" w:eastAsia="Times New Roman" w:hAnsi="Calibri" w:cs="Times New Roman"/>
                <w:b/>
                <w:color w:val="000000"/>
                <w:lang w:eastAsia="nl-NL"/>
              </w:rPr>
              <w:t>33.028.441</w:t>
            </w:r>
          </w:p>
        </w:tc>
        <w:tc>
          <w:tcPr>
            <w:tcW w:w="0" w:type="auto"/>
            <w:tcBorders>
              <w:top w:val="single" w:sz="4" w:space="0" w:color="auto"/>
              <w:bottom w:val="single" w:sz="8" w:space="0" w:color="000000" w:themeColor="text1"/>
            </w:tcBorders>
            <w:shd w:val="clear" w:color="auto" w:fill="BFBFBF" w:themeFill="background1" w:themeFillShade="BF"/>
            <w:vAlign w:val="bottom"/>
          </w:tcPr>
          <w:p w:rsidR="007D44FA" w:rsidRDefault="007D44FA">
            <w:pPr>
              <w:cnfStyle w:val="000000100000"/>
              <w:rPr>
                <w:rFonts w:ascii="Calibri" w:hAnsi="Calibri"/>
                <w:color w:val="000000"/>
              </w:rPr>
            </w:pPr>
          </w:p>
        </w:tc>
      </w:tr>
    </w:tbl>
    <w:p w:rsidR="005027BD" w:rsidRDefault="005027BD" w:rsidP="00E037AC">
      <w:pPr>
        <w:pStyle w:val="NoSpacing"/>
      </w:pPr>
    </w:p>
    <w:p w:rsidR="005027BD" w:rsidRDefault="005027BD">
      <w:r>
        <w:br w:type="page"/>
      </w:r>
    </w:p>
    <w:p w:rsidR="005027BD" w:rsidRPr="005747BD" w:rsidRDefault="005027BD" w:rsidP="005027BD">
      <w:pPr>
        <w:pStyle w:val="Heading2"/>
        <w:numPr>
          <w:ilvl w:val="0"/>
          <w:numId w:val="0"/>
        </w:numPr>
        <w:ind w:left="576" w:hanging="576"/>
        <w:rPr>
          <w:color w:val="auto"/>
          <w:lang w:val="en-US"/>
        </w:rPr>
      </w:pPr>
      <w:bookmarkStart w:id="39" w:name="_Toc391468018"/>
      <w:r w:rsidRPr="005747BD">
        <w:rPr>
          <w:color w:val="auto"/>
          <w:lang w:val="en-US"/>
        </w:rPr>
        <w:lastRenderedPageBreak/>
        <w:t>Appendix B: Product Portfolio Analyses level 2</w:t>
      </w:r>
      <w:bookmarkEnd w:id="39"/>
    </w:p>
    <w:p w:rsidR="00E037AC" w:rsidRDefault="00E54231" w:rsidP="00E037AC">
      <w:pPr>
        <w:pStyle w:val="NoSpacing"/>
      </w:pPr>
      <w:r>
        <w:rPr>
          <w:noProof/>
          <w:lang w:val="en-US"/>
        </w:rPr>
        <w:drawing>
          <wp:inline distT="0" distB="0" distL="0" distR="0">
            <wp:extent cx="5760720" cy="3764128"/>
            <wp:effectExtent l="0" t="0" r="11430" b="27305"/>
            <wp:docPr id="13" name="Grafiek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395DFC" w:rsidRDefault="00395DFC" w:rsidP="00E037AC">
      <w:pPr>
        <w:pStyle w:val="NoSpacing"/>
      </w:pPr>
    </w:p>
    <w:p w:rsidR="00E54231" w:rsidRDefault="00E54231" w:rsidP="00E037AC">
      <w:pPr>
        <w:pStyle w:val="NoSpacing"/>
      </w:pPr>
      <w:r>
        <w:rPr>
          <w:noProof/>
          <w:lang w:val="en-US"/>
        </w:rPr>
        <w:drawing>
          <wp:inline distT="0" distB="0" distL="0" distR="0">
            <wp:extent cx="5760720" cy="3764128"/>
            <wp:effectExtent l="0" t="0" r="11430" b="27305"/>
            <wp:docPr id="14" name="Grafiek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E54231" w:rsidRDefault="00E54231" w:rsidP="00E037AC">
      <w:pPr>
        <w:pStyle w:val="NoSpacing"/>
      </w:pPr>
      <w:r>
        <w:rPr>
          <w:noProof/>
          <w:lang w:val="en-US"/>
        </w:rPr>
        <w:lastRenderedPageBreak/>
        <w:drawing>
          <wp:inline distT="0" distB="0" distL="0" distR="0">
            <wp:extent cx="5760720" cy="3764128"/>
            <wp:effectExtent l="0" t="0" r="11430" b="27305"/>
            <wp:docPr id="15" name="Grafiek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395DFC" w:rsidRDefault="00395DFC" w:rsidP="00E037AC">
      <w:pPr>
        <w:pStyle w:val="NoSpacing"/>
      </w:pPr>
    </w:p>
    <w:p w:rsidR="00EA24A2" w:rsidRDefault="00E54231" w:rsidP="00E037AC">
      <w:pPr>
        <w:pStyle w:val="NoSpacing"/>
      </w:pPr>
      <w:r>
        <w:rPr>
          <w:noProof/>
          <w:lang w:val="en-US"/>
        </w:rPr>
        <w:drawing>
          <wp:inline distT="0" distB="0" distL="0" distR="0">
            <wp:extent cx="5760720" cy="3764128"/>
            <wp:effectExtent l="0" t="0" r="11430" b="27305"/>
            <wp:docPr id="16" name="Grafiek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EA24A2" w:rsidRDefault="00EA24A2" w:rsidP="00EA24A2"/>
    <w:p w:rsidR="00E54231" w:rsidRDefault="00E54231" w:rsidP="00EA24A2"/>
    <w:p w:rsidR="00EA24A2" w:rsidRDefault="00EA24A2">
      <w:r>
        <w:br w:type="page"/>
      </w:r>
    </w:p>
    <w:p w:rsidR="00EA24A2" w:rsidRPr="005747BD" w:rsidRDefault="00EA24A2" w:rsidP="00EA24A2">
      <w:pPr>
        <w:pStyle w:val="Heading2"/>
        <w:numPr>
          <w:ilvl w:val="0"/>
          <w:numId w:val="0"/>
        </w:numPr>
        <w:ind w:left="576" w:hanging="576"/>
        <w:rPr>
          <w:color w:val="auto"/>
          <w:lang w:val="en-US"/>
        </w:rPr>
      </w:pPr>
      <w:bookmarkStart w:id="40" w:name="_Toc391468019"/>
      <w:r w:rsidRPr="005747BD">
        <w:rPr>
          <w:color w:val="auto"/>
          <w:lang w:val="en-US"/>
        </w:rPr>
        <w:lastRenderedPageBreak/>
        <w:t>Appendix C: Product Portfolio Analyses level 3</w:t>
      </w:r>
      <w:bookmarkEnd w:id="40"/>
    </w:p>
    <w:p w:rsidR="00EA24A2" w:rsidRDefault="00EA24A2" w:rsidP="00EA24A2">
      <w:pPr>
        <w:pStyle w:val="NoSpacing"/>
      </w:pPr>
      <w:r>
        <w:rPr>
          <w:noProof/>
          <w:lang w:val="en-US"/>
        </w:rPr>
        <w:drawing>
          <wp:inline distT="0" distB="0" distL="0" distR="0">
            <wp:extent cx="5760720" cy="3765353"/>
            <wp:effectExtent l="0" t="0" r="11430" b="26035"/>
            <wp:docPr id="17" name="Grafiek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EA24A2" w:rsidRDefault="00EA24A2" w:rsidP="00EA24A2">
      <w:pPr>
        <w:pStyle w:val="NoSpacing"/>
      </w:pPr>
    </w:p>
    <w:p w:rsidR="00EA24A2" w:rsidRDefault="00EA24A2" w:rsidP="00EA24A2">
      <w:pPr>
        <w:pStyle w:val="NoSpacing"/>
      </w:pPr>
      <w:r>
        <w:rPr>
          <w:noProof/>
          <w:lang w:val="en-US"/>
        </w:rPr>
        <w:drawing>
          <wp:inline distT="0" distB="0" distL="0" distR="0">
            <wp:extent cx="5760720" cy="3764128"/>
            <wp:effectExtent l="0" t="0" r="11430" b="27305"/>
            <wp:docPr id="18" name="Grafiek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EA24A2" w:rsidRDefault="00EA24A2">
      <w:r>
        <w:br w:type="page"/>
      </w:r>
    </w:p>
    <w:p w:rsidR="00EA24A2" w:rsidRDefault="00EA24A2" w:rsidP="00EA24A2">
      <w:pPr>
        <w:pStyle w:val="NoSpacing"/>
      </w:pPr>
      <w:r>
        <w:rPr>
          <w:noProof/>
          <w:lang w:val="en-US"/>
        </w:rPr>
        <w:lastRenderedPageBreak/>
        <w:drawing>
          <wp:inline distT="0" distB="0" distL="0" distR="0">
            <wp:extent cx="5760720" cy="3764128"/>
            <wp:effectExtent l="0" t="0" r="11430" b="27305"/>
            <wp:docPr id="19" name="Grafiek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rsidR="00EA24A2" w:rsidRDefault="00EA24A2" w:rsidP="00EA24A2">
      <w:pPr>
        <w:pStyle w:val="NoSpacing"/>
      </w:pPr>
    </w:p>
    <w:p w:rsidR="00EA24A2" w:rsidRPr="00EA24A2" w:rsidRDefault="00EA24A2" w:rsidP="00EA24A2">
      <w:pPr>
        <w:pStyle w:val="NoSpacing"/>
      </w:pPr>
      <w:r>
        <w:rPr>
          <w:noProof/>
          <w:lang w:val="en-US"/>
        </w:rPr>
        <w:drawing>
          <wp:inline distT="0" distB="0" distL="0" distR="0">
            <wp:extent cx="5760720" cy="3764128"/>
            <wp:effectExtent l="0" t="0" r="11430" b="27305"/>
            <wp:docPr id="20" name="Grafiek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sectPr w:rsidR="00EA24A2" w:rsidRPr="00EA24A2" w:rsidSect="0003473D">
      <w:pgSz w:w="11906" w:h="16838"/>
      <w:pgMar w:top="1417" w:right="1417" w:bottom="1417" w:left="1417"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4C9F" w:rsidRDefault="003D4C9F" w:rsidP="007F7BE6">
      <w:pPr>
        <w:spacing w:after="0" w:line="240" w:lineRule="auto"/>
      </w:pPr>
      <w:r>
        <w:separator/>
      </w:r>
    </w:p>
  </w:endnote>
  <w:endnote w:type="continuationSeparator" w:id="0">
    <w:p w:rsidR="003D4C9F" w:rsidRDefault="003D4C9F" w:rsidP="007F7BE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5866363"/>
      <w:docPartObj>
        <w:docPartGallery w:val="Page Numbers (Bottom of Page)"/>
        <w:docPartUnique/>
      </w:docPartObj>
    </w:sdtPr>
    <w:sdtContent>
      <w:p w:rsidR="008319DE" w:rsidRDefault="006530F6">
        <w:pPr>
          <w:pStyle w:val="Footer"/>
        </w:pPr>
        <w:r w:rsidRPr="006530F6">
          <w:rPr>
            <w:noProof/>
            <w:lang w:eastAsia="nl-NL"/>
          </w:rPr>
          <w:pict>
            <v:rect id="Rechthoek 650" o:spid="_x0000_s4097" style="position:absolute;margin-left:0;margin-top:0;width:44.55pt;height:15.1pt;rotation:180;flip:x;z-index:251659264;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" filled="f" fillcolor="#c0504d" stroked="f" strokecolor="#5c83b4" strokeweight="2.25pt">
              <v:textbox inset=",0,,0">
                <w:txbxContent>
                  <w:p w:rsidR="008319DE" w:rsidRPr="006C4067" w:rsidRDefault="006530F6">
                    <w:pPr>
                      <w:pBdr>
                        <w:top w:val="single" w:sz="4" w:space="1" w:color="7F7F7F" w:themeColor="background1" w:themeShade="7F"/>
                      </w:pBdr>
                      <w:jc w:val="center"/>
                    </w:pPr>
                    <w:r w:rsidRPr="006C4067">
                      <w:fldChar w:fldCharType="begin"/>
                    </w:r>
                    <w:r w:rsidR="008319DE" w:rsidRPr="006C4067">
                      <w:instrText>PAGE   \* MERGEFORMAT</w:instrText>
                    </w:r>
                    <w:r w:rsidRPr="006C4067">
                      <w:fldChar w:fldCharType="separate"/>
                    </w:r>
                    <w:r w:rsidR="005747BD">
                      <w:rPr>
                        <w:noProof/>
                      </w:rPr>
                      <w:t>34</w:t>
                    </w:r>
                    <w:r w:rsidRPr="006C4067">
                      <w:fldChar w:fldCharType="end"/>
                    </w:r>
                  </w:p>
                </w:txbxContent>
              </v:textbox>
              <w10:wrap anchorx="margin" anchory="margin"/>
            </v:rect>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4C9F" w:rsidRDefault="003D4C9F" w:rsidP="007F7BE6">
      <w:pPr>
        <w:spacing w:after="0" w:line="240" w:lineRule="auto"/>
      </w:pPr>
      <w:r>
        <w:separator/>
      </w:r>
    </w:p>
  </w:footnote>
  <w:footnote w:type="continuationSeparator" w:id="0">
    <w:p w:rsidR="003D4C9F" w:rsidRDefault="003D4C9F" w:rsidP="007F7BE6">
      <w:pPr>
        <w:spacing w:after="0" w:line="240" w:lineRule="auto"/>
      </w:pPr>
      <w:r>
        <w:continuationSeparator/>
      </w:r>
    </w:p>
  </w:footnote>
  <w:footnote w:id="1">
    <w:p w:rsidR="008319DE" w:rsidRDefault="008319DE" w:rsidP="000663D0">
      <w:pPr>
        <w:pStyle w:val="FootnoteText"/>
      </w:pPr>
      <w:r>
        <w:rPr>
          <w:rStyle w:val="FootnoteReference"/>
        </w:rPr>
        <w:footnoteRef/>
      </w:r>
      <w:r>
        <w:t xml:space="preserve"> Kouwenhoven, A. (12 oktober 2011). </w:t>
      </w:r>
      <w:proofErr w:type="gramStart"/>
      <w:r w:rsidRPr="00C217D6">
        <w:t xml:space="preserve">Help! </w:t>
      </w:r>
      <w:proofErr w:type="gramEnd"/>
      <w:r w:rsidRPr="00C217D6">
        <w:t>De provincie Zeeland loopt leeg!</w:t>
      </w:r>
      <w:r>
        <w:t xml:space="preserve"> </w:t>
      </w:r>
      <w:r>
        <w:rPr>
          <w:i/>
        </w:rPr>
        <w:t xml:space="preserve">NRC Handelsblad. </w:t>
      </w:r>
      <w:r>
        <w:t>Opgehaald van NRC.nl, op 10 juni 2014.</w:t>
      </w:r>
    </w:p>
  </w:footnote>
  <w:footnote w:id="2">
    <w:p w:rsidR="00E16E8C" w:rsidRPr="00E16E8C" w:rsidRDefault="00E16E8C">
      <w:pPr>
        <w:pStyle w:val="FootnoteText"/>
      </w:pPr>
      <w:r>
        <w:rPr>
          <w:rStyle w:val="FootnoteReference"/>
        </w:rPr>
        <w:footnoteRef/>
      </w:r>
      <w:r>
        <w:t xml:space="preserve"> </w:t>
      </w:r>
      <w:r>
        <w:rPr>
          <w:b/>
        </w:rPr>
        <w:t>Bron:</w:t>
      </w:r>
      <w:r>
        <w:t xml:space="preserve"> </w:t>
      </w:r>
      <w:hyperlink r:id="rId1" w:history="1">
        <w:r w:rsidRPr="00056B6D">
          <w:rPr>
            <w:rStyle w:val="Hyperlink"/>
          </w:rPr>
          <w:t>http://www.zeeland.nl/werken_ondernemen/werkgelegenheid/</w:t>
        </w:r>
      </w:hyperlink>
      <w:r>
        <w:t xml:space="preserve">. Opgehaald op 18 juni 2014. </w:t>
      </w:r>
    </w:p>
  </w:footnote>
  <w:footnote w:id="3">
    <w:p w:rsidR="008319DE" w:rsidRPr="00A24625" w:rsidRDefault="008319DE" w:rsidP="007F7BE6">
      <w:pPr>
        <w:pStyle w:val="FootnoteText"/>
        <w:rPr>
          <w:lang w:val="en-GB"/>
        </w:rPr>
      </w:pPr>
      <w:r>
        <w:rPr>
          <w:rStyle w:val="FootnoteReference"/>
        </w:rPr>
        <w:footnoteRef/>
      </w:r>
      <w:r>
        <w:t xml:space="preserve"> </w:t>
      </w:r>
      <w:r w:rsidRPr="00987BBE">
        <w:rPr>
          <w:b/>
        </w:rPr>
        <w:t>Bron</w:t>
      </w:r>
      <w:r>
        <w:t xml:space="preserve">: </w:t>
      </w:r>
      <w:hyperlink r:id="rId2" w:history="1">
        <w:r w:rsidRPr="00FD23E8">
          <w:rPr>
            <w:rStyle w:val="Hyperlink"/>
          </w:rPr>
          <w:t>http://www.zeelandseaports.nl/nl/het-havenbedrijf/profiel/historie/zeeland-seaports.htm</w:t>
        </w:r>
      </w:hyperlink>
      <w:r>
        <w:t xml:space="preserve">. </w:t>
      </w:r>
      <w:proofErr w:type="spellStart"/>
      <w:r w:rsidRPr="00A24625">
        <w:rPr>
          <w:lang w:val="en-GB"/>
        </w:rPr>
        <w:t>Opgehaald</w:t>
      </w:r>
      <w:proofErr w:type="spellEnd"/>
      <w:r w:rsidRPr="00A24625">
        <w:rPr>
          <w:lang w:val="en-GB"/>
        </w:rPr>
        <w:t xml:space="preserve"> op 16 </w:t>
      </w:r>
      <w:proofErr w:type="spellStart"/>
      <w:proofErr w:type="gramStart"/>
      <w:r w:rsidRPr="00A24625">
        <w:rPr>
          <w:lang w:val="en-GB"/>
        </w:rPr>
        <w:t>mei</w:t>
      </w:r>
      <w:proofErr w:type="spellEnd"/>
      <w:proofErr w:type="gramEnd"/>
      <w:r w:rsidRPr="00A24625">
        <w:rPr>
          <w:lang w:val="en-GB"/>
        </w:rPr>
        <w:t xml:space="preserve"> ’14. </w:t>
      </w:r>
    </w:p>
  </w:footnote>
  <w:footnote w:id="4">
    <w:p w:rsidR="008319DE" w:rsidRPr="007F7BE6" w:rsidRDefault="008319DE" w:rsidP="007F7BE6">
      <w:pPr>
        <w:pStyle w:val="FootnoteText"/>
      </w:pPr>
      <w:r>
        <w:rPr>
          <w:rStyle w:val="FootnoteReference"/>
        </w:rPr>
        <w:footnoteRef/>
      </w:r>
      <w:r w:rsidRPr="00322424">
        <w:rPr>
          <w:lang w:val="en-GB"/>
        </w:rPr>
        <w:t xml:space="preserve"> </w:t>
      </w:r>
      <w:proofErr w:type="gramStart"/>
      <w:r w:rsidRPr="00322424">
        <w:rPr>
          <w:lang w:val="en-GB"/>
        </w:rPr>
        <w:t xml:space="preserve">Conneticut Center </w:t>
      </w:r>
      <w:r>
        <w:rPr>
          <w:lang w:val="en-GB"/>
        </w:rPr>
        <w:t>for Economic Analysis (2001).</w:t>
      </w:r>
      <w:proofErr w:type="gramEnd"/>
      <w:r>
        <w:rPr>
          <w:lang w:val="en-GB"/>
        </w:rPr>
        <w:t xml:space="preserve"> </w:t>
      </w:r>
      <w:r w:rsidRPr="00322424">
        <w:rPr>
          <w:i/>
          <w:lang w:val="en-GB"/>
        </w:rPr>
        <w:t xml:space="preserve">The Economic Impact of </w:t>
      </w:r>
      <w:r>
        <w:rPr>
          <w:i/>
          <w:lang w:val="en-GB"/>
        </w:rPr>
        <w:t>Connecticut’s Deepwater Ports: An IMPLAN and REMI Analysis.</w:t>
      </w:r>
      <w:r>
        <w:rPr>
          <w:lang w:val="en-GB"/>
        </w:rPr>
        <w:t xml:space="preserve"> </w:t>
      </w:r>
      <w:r w:rsidRPr="007F7BE6">
        <w:t>Pag. 19-41</w:t>
      </w:r>
    </w:p>
  </w:footnote>
  <w:footnote w:id="5">
    <w:p w:rsidR="008319DE" w:rsidRDefault="008319DE">
      <w:pPr>
        <w:pStyle w:val="FootnoteText"/>
      </w:pPr>
      <w:r>
        <w:rPr>
          <w:rStyle w:val="FootnoteReference"/>
        </w:rPr>
        <w:footnoteRef/>
      </w:r>
      <w:r>
        <w:t xml:space="preserve"> RHV Erasmus Universiteit Rotterdam (2014). </w:t>
      </w:r>
      <w:r>
        <w:rPr>
          <w:i/>
        </w:rPr>
        <w:t>Havenmonitor 2012.</w:t>
      </w:r>
      <w:r>
        <w:t xml:space="preserve"> Rotterdam: Erasmus Universiteit Rotterdam. Pag. 7</w:t>
      </w:r>
    </w:p>
  </w:footnote>
  <w:footnote w:id="6">
    <w:p w:rsidR="005019CE" w:rsidRDefault="005019CE">
      <w:pPr>
        <w:pStyle w:val="FootnoteText"/>
      </w:pPr>
      <w:r>
        <w:rPr>
          <w:rStyle w:val="FootnoteReference"/>
        </w:rPr>
        <w:footnoteRef/>
      </w:r>
      <w:r>
        <w:t xml:space="preserve"> RHV Erasmus Universiteit Rotterdam (2014). </w:t>
      </w:r>
      <w:r>
        <w:rPr>
          <w:i/>
        </w:rPr>
        <w:t>Havenmonitor 2012.</w:t>
      </w:r>
      <w:r>
        <w:t xml:space="preserve"> Rotterdam: Erasmus Universiteit Rotterdam. Pag. 4</w:t>
      </w:r>
    </w:p>
  </w:footnote>
  <w:footnote w:id="7">
    <w:p w:rsidR="005019CE" w:rsidRPr="005019CE" w:rsidRDefault="005019CE">
      <w:pPr>
        <w:pStyle w:val="FootnoteText"/>
      </w:pPr>
      <w:r>
        <w:rPr>
          <w:rStyle w:val="FootnoteReference"/>
        </w:rPr>
        <w:footnoteRef/>
      </w:r>
      <w:r>
        <w:t xml:space="preserve"> Dow Terneuzen (2012). </w:t>
      </w:r>
      <w:r>
        <w:rPr>
          <w:i/>
        </w:rPr>
        <w:t xml:space="preserve">2012 </w:t>
      </w:r>
      <w:proofErr w:type="spellStart"/>
      <w:r>
        <w:rPr>
          <w:i/>
        </w:rPr>
        <w:t>Annual</w:t>
      </w:r>
      <w:proofErr w:type="spellEnd"/>
      <w:r>
        <w:rPr>
          <w:i/>
        </w:rPr>
        <w:t xml:space="preserve"> Report.</w:t>
      </w:r>
      <w:r>
        <w:t xml:space="preserve"> </w:t>
      </w:r>
    </w:p>
  </w:footnote>
  <w:footnote w:id="8">
    <w:p w:rsidR="008319DE" w:rsidRPr="00F54190" w:rsidRDefault="008319DE" w:rsidP="007F7BE6">
      <w:pPr>
        <w:pStyle w:val="FootnoteText"/>
      </w:pPr>
      <w:r>
        <w:rPr>
          <w:rStyle w:val="FootnoteReference"/>
        </w:rPr>
        <w:footnoteRef/>
      </w:r>
      <w:r>
        <w:t xml:space="preserve"> RHV Erasmus Universiteit Rotterdam (2014). </w:t>
      </w:r>
      <w:r>
        <w:rPr>
          <w:i/>
        </w:rPr>
        <w:t>Havenmonitor 2012.</w:t>
      </w:r>
      <w:r>
        <w:t xml:space="preserve"> Rotterdam: Erasmus Universiteit Rotterdam. Pag. 4</w:t>
      </w:r>
    </w:p>
  </w:footnote>
  <w:footnote w:id="9">
    <w:p w:rsidR="008319DE" w:rsidRDefault="008319DE" w:rsidP="007F7BE6">
      <w:pPr>
        <w:pStyle w:val="FootnoteText"/>
      </w:pPr>
      <w:r>
        <w:rPr>
          <w:rStyle w:val="FootnoteReference"/>
        </w:rPr>
        <w:footnoteRef/>
      </w:r>
      <w:r>
        <w:t xml:space="preserve"> Het onderscheid binnen stukgoed in </w:t>
      </w:r>
      <w:proofErr w:type="spellStart"/>
      <w:r>
        <w:t>neo-bulkgoed</w:t>
      </w:r>
      <w:proofErr w:type="spellEnd"/>
      <w:r>
        <w:t xml:space="preserve">, algemeen cargo en projectcargo wordt in de literatuur nog niet als vanzelfsprekend beschouwd en de samenstellers van de data, zoals havenbedrijven en de EU, maken hier dan ook nog vrijwel geen onderscheid in. </w:t>
      </w:r>
    </w:p>
  </w:footnote>
  <w:footnote w:id="10">
    <w:p w:rsidR="008319DE" w:rsidRDefault="008319DE" w:rsidP="007F7BE6">
      <w:pPr>
        <w:pStyle w:val="FootnoteText"/>
      </w:pPr>
      <w:r>
        <w:rPr>
          <w:rStyle w:val="FootnoteReference"/>
        </w:rPr>
        <w:footnoteRef/>
      </w:r>
      <w:r>
        <w:t xml:space="preserve"> </w:t>
      </w:r>
      <w:proofErr w:type="spellStart"/>
      <w:r>
        <w:t>Haezendonck</w:t>
      </w:r>
      <w:proofErr w:type="spellEnd"/>
      <w:r>
        <w:t xml:space="preserve">, </w:t>
      </w:r>
      <w:proofErr w:type="spellStart"/>
      <w:r>
        <w:t>Verbeke</w:t>
      </w:r>
      <w:proofErr w:type="spellEnd"/>
      <w:r>
        <w:t xml:space="preserve"> en </w:t>
      </w:r>
      <w:proofErr w:type="spellStart"/>
      <w:r>
        <w:t>Coeck</w:t>
      </w:r>
      <w:proofErr w:type="spellEnd"/>
      <w:r>
        <w:t xml:space="preserve"> herschrijven deze vier begrippen in hun artikel over </w:t>
      </w:r>
      <w:proofErr w:type="spellStart"/>
      <w:r>
        <w:t>Strategic</w:t>
      </w:r>
      <w:proofErr w:type="spellEnd"/>
      <w:r>
        <w:t xml:space="preserve"> </w:t>
      </w:r>
      <w:proofErr w:type="spellStart"/>
      <w:r>
        <w:t>Positioning</w:t>
      </w:r>
      <w:proofErr w:type="spellEnd"/>
      <w:r>
        <w:t xml:space="preserve"> </w:t>
      </w:r>
      <w:proofErr w:type="spellStart"/>
      <w:r>
        <w:t>Analysis</w:t>
      </w:r>
      <w:proofErr w:type="spellEnd"/>
      <w:r>
        <w:t xml:space="preserve"> </w:t>
      </w:r>
      <w:proofErr w:type="spellStart"/>
      <w:r>
        <w:t>for</w:t>
      </w:r>
      <w:proofErr w:type="spellEnd"/>
      <w:r>
        <w:t xml:space="preserve"> </w:t>
      </w:r>
      <w:proofErr w:type="spellStart"/>
      <w:r>
        <w:t>Seaports</w:t>
      </w:r>
      <w:proofErr w:type="spellEnd"/>
      <w:r>
        <w:t xml:space="preserve"> als volgt: Question Marks worden High </w:t>
      </w:r>
      <w:proofErr w:type="spellStart"/>
      <w:r>
        <w:t>Potentials</w:t>
      </w:r>
      <w:proofErr w:type="spellEnd"/>
      <w:r>
        <w:t xml:space="preserve">, Stars worden Star Performers, </w:t>
      </w:r>
      <w:proofErr w:type="spellStart"/>
      <w:r>
        <w:t>Dogs</w:t>
      </w:r>
      <w:proofErr w:type="spellEnd"/>
      <w:r>
        <w:t xml:space="preserve"> worden Minor Performers en Cash </w:t>
      </w:r>
      <w:proofErr w:type="spellStart"/>
      <w:r>
        <w:t>Cows</w:t>
      </w:r>
      <w:proofErr w:type="spellEnd"/>
      <w:r>
        <w:t xml:space="preserve"> </w:t>
      </w:r>
      <w:proofErr w:type="spellStart"/>
      <w:r>
        <w:t>Mature</w:t>
      </w:r>
      <w:proofErr w:type="spellEnd"/>
      <w:r>
        <w:t xml:space="preserve"> Leaders </w:t>
      </w:r>
      <w:sdt>
        <w:sdtPr>
          <w:id w:val="1835642645"/>
          <w:citation/>
        </w:sdtPr>
        <w:sdtContent>
          <w:r w:rsidR="006530F6">
            <w:fldChar w:fldCharType="begin"/>
          </w:r>
          <w:r>
            <w:instrText xml:space="preserve"> CITATION Hae06 \l 1043 </w:instrText>
          </w:r>
          <w:r w:rsidR="006530F6">
            <w:fldChar w:fldCharType="separate"/>
          </w:r>
          <w:r w:rsidR="000145AA">
            <w:rPr>
              <w:noProof/>
            </w:rPr>
            <w:t>(Haezendonck, Verbeke, &amp; Coeck, 2006)</w:t>
          </w:r>
          <w:r w:rsidR="006530F6">
            <w:fldChar w:fldCharType="end"/>
          </w:r>
        </w:sdtContent>
      </w:sdt>
      <w:r>
        <w:t>.</w:t>
      </w:r>
    </w:p>
  </w:footnote>
  <w:footnote w:id="11">
    <w:p w:rsidR="008319DE" w:rsidRDefault="008319DE" w:rsidP="007F7BE6">
      <w:pPr>
        <w:pStyle w:val="FootnoteText"/>
      </w:pPr>
      <w:r>
        <w:rPr>
          <w:rStyle w:val="FootnoteReference"/>
        </w:rPr>
        <w:footnoteRef/>
      </w:r>
      <w:r>
        <w:t xml:space="preserve"> Zie Appendix A: Overslag per goederensoort 2013.</w:t>
      </w:r>
    </w:p>
  </w:footnote>
  <w:footnote w:id="12">
    <w:p w:rsidR="008319DE" w:rsidRDefault="008319DE" w:rsidP="007F7BE6">
      <w:pPr>
        <w:pStyle w:val="FootnoteText"/>
      </w:pPr>
      <w:r>
        <w:rPr>
          <w:rStyle w:val="FootnoteReference"/>
        </w:rPr>
        <w:footnoteRef/>
      </w:r>
      <w:r>
        <w:t xml:space="preserve"> De gegevens uit deze tabel zijn gebaseerd op het document ‘Aan- en afvoer van goederen Hamburg-Le Havre range 4</w:t>
      </w:r>
      <w:r w:rsidRPr="003467DF">
        <w:rPr>
          <w:vertAlign w:val="superscript"/>
        </w:rPr>
        <w:t>e</w:t>
      </w:r>
      <w:r>
        <w:t xml:space="preserve"> kwartaal 2012-2013’ afkomstig van het Havenbedrijf Rotterdam N.V</w:t>
      </w:r>
      <w:proofErr w:type="gramStart"/>
      <w:r>
        <w:t>..</w:t>
      </w:r>
      <w:proofErr w:type="gramEnd"/>
      <w:r>
        <w:t xml:space="preserve"> </w:t>
      </w:r>
    </w:p>
  </w:footnote>
  <w:footnote w:id="13">
    <w:p w:rsidR="008319DE" w:rsidRDefault="008319DE" w:rsidP="007F7BE6">
      <w:pPr>
        <w:pStyle w:val="FootnoteText"/>
      </w:pPr>
      <w:r>
        <w:rPr>
          <w:rStyle w:val="FootnoteReference"/>
        </w:rPr>
        <w:footnoteRef/>
      </w:r>
      <w:r>
        <w:t xml:space="preserve"> De gegevens uit deze sub paragraaf zijn gebaseerd op het document ‘Goederenoverslag Hamburg – Le Havre range, Tijdreeks’ afkomstig van het Havenbedrijf Rotterdam N.V</w:t>
      </w:r>
      <w:proofErr w:type="gramStart"/>
      <w:r>
        <w:t>..</w:t>
      </w:r>
      <w:proofErr w:type="gramEnd"/>
      <w:r>
        <w:t xml:space="preserve"> </w:t>
      </w:r>
    </w:p>
  </w:footnote>
  <w:footnote w:id="14">
    <w:p w:rsidR="008319DE" w:rsidRDefault="008319DE" w:rsidP="007F7BE6">
      <w:pPr>
        <w:pStyle w:val="FootnoteText"/>
      </w:pPr>
      <w:r>
        <w:rPr>
          <w:rStyle w:val="FootnoteReference"/>
        </w:rPr>
        <w:footnoteRef/>
      </w:r>
      <w:r>
        <w:t xml:space="preserve"> De gegevens uit deze sub paragraaf zijn gebaseerd op de database van de Europese Unie (</w:t>
      </w:r>
      <w:proofErr w:type="spellStart"/>
      <w:proofErr w:type="gramStart"/>
      <w:r>
        <w:t>eurostat</w:t>
      </w:r>
      <w:proofErr w:type="spellEnd"/>
      <w:proofErr w:type="gramEnd"/>
      <w:r>
        <w:t>).</w:t>
      </w:r>
    </w:p>
  </w:footnote>
  <w:footnote w:id="15">
    <w:p w:rsidR="008319DE" w:rsidRPr="005747BD" w:rsidRDefault="008319DE" w:rsidP="007F7BE6">
      <w:pPr>
        <w:pStyle w:val="FootnoteText"/>
        <w:rPr>
          <w:lang w:val="en-US"/>
        </w:rPr>
      </w:pPr>
      <w:r>
        <w:rPr>
          <w:rStyle w:val="FootnoteReference"/>
        </w:rPr>
        <w:footnoteRef/>
      </w:r>
      <w:r w:rsidRPr="005747BD">
        <w:rPr>
          <w:lang w:val="en-US"/>
        </w:rPr>
        <w:t xml:space="preserve"> Zie Appendix B: Product Portfolio Analyses level 2.</w:t>
      </w:r>
    </w:p>
  </w:footnote>
  <w:footnote w:id="16">
    <w:p w:rsidR="008319DE" w:rsidRDefault="008319DE" w:rsidP="00E50399">
      <w:pPr>
        <w:pStyle w:val="FootnoteText"/>
      </w:pPr>
      <w:r>
        <w:rPr>
          <w:rStyle w:val="FootnoteReference"/>
        </w:rPr>
        <w:footnoteRef/>
      </w:r>
      <w:r>
        <w:t xml:space="preserve"> De gegevens uit deze paragraaf zijn gebaseerd op de database van de Europese Unie (</w:t>
      </w:r>
      <w:proofErr w:type="spellStart"/>
      <w:proofErr w:type="gramStart"/>
      <w:r>
        <w:t>eurostat</w:t>
      </w:r>
      <w:proofErr w:type="spellEnd"/>
      <w:proofErr w:type="gramEnd"/>
      <w:r>
        <w:t>).</w:t>
      </w:r>
    </w:p>
  </w:footnote>
  <w:footnote w:id="17">
    <w:p w:rsidR="008319DE" w:rsidRDefault="008319DE" w:rsidP="00E50399">
      <w:pPr>
        <w:pStyle w:val="FootnoteText"/>
        <w:rPr>
          <w:lang w:val="en-GB"/>
        </w:rPr>
      </w:pPr>
      <w:r>
        <w:rPr>
          <w:rStyle w:val="FootnoteReference"/>
        </w:rPr>
        <w:footnoteRef/>
      </w:r>
      <w:r>
        <w:rPr>
          <w:lang w:val="en-GB"/>
        </w:rPr>
        <w:t xml:space="preserve"> </w:t>
      </w:r>
      <w:proofErr w:type="spellStart"/>
      <w:r>
        <w:rPr>
          <w:lang w:val="en-GB"/>
        </w:rPr>
        <w:t>Zie</w:t>
      </w:r>
      <w:proofErr w:type="spellEnd"/>
      <w:r>
        <w:rPr>
          <w:lang w:val="en-GB"/>
        </w:rPr>
        <w:t xml:space="preserve"> Appendix C: Product Portfolio Analyse level 3.</w:t>
      </w:r>
    </w:p>
  </w:footnote>
  <w:footnote w:id="18">
    <w:p w:rsidR="008319DE" w:rsidRDefault="008319DE" w:rsidP="00E50399">
      <w:pPr>
        <w:pStyle w:val="FootnoteText"/>
        <w:rPr>
          <w:lang w:val="en-GB"/>
        </w:rPr>
      </w:pPr>
      <w:r>
        <w:rPr>
          <w:rStyle w:val="FootnoteReference"/>
        </w:rPr>
        <w:footnoteRef/>
      </w:r>
      <w:r>
        <w:rPr>
          <w:lang w:val="en-GB"/>
        </w:rPr>
        <w:t xml:space="preserve"> </w:t>
      </w:r>
      <w:proofErr w:type="spellStart"/>
      <w:r>
        <w:rPr>
          <w:b/>
          <w:lang w:val="en-GB"/>
        </w:rPr>
        <w:t>Bron</w:t>
      </w:r>
      <w:proofErr w:type="spellEnd"/>
      <w:r>
        <w:rPr>
          <w:b/>
          <w:lang w:val="en-GB"/>
        </w:rPr>
        <w:t xml:space="preserve">: </w:t>
      </w:r>
      <w:r>
        <w:rPr>
          <w:lang w:val="en-GB"/>
        </w:rPr>
        <w:t xml:space="preserve">Interview met Arno </w:t>
      </w:r>
      <w:proofErr w:type="spellStart"/>
      <w:r>
        <w:rPr>
          <w:lang w:val="en-GB"/>
        </w:rPr>
        <w:t>Dirkzwager</w:t>
      </w:r>
      <w:proofErr w:type="spellEnd"/>
      <w:r>
        <w:rPr>
          <w:lang w:val="en-GB"/>
        </w:rPr>
        <w:t xml:space="preserve"> van Zeeland Seaports. </w:t>
      </w:r>
    </w:p>
  </w:footnote>
  <w:footnote w:id="19">
    <w:p w:rsidR="008319DE" w:rsidRDefault="008319DE" w:rsidP="00E50399">
      <w:pPr>
        <w:pStyle w:val="FootnoteText"/>
        <w:rPr>
          <w:i/>
          <w:lang w:val="en-GB"/>
        </w:rPr>
      </w:pPr>
      <w:r>
        <w:rPr>
          <w:rStyle w:val="FootnoteReference"/>
        </w:rPr>
        <w:footnoteRef/>
      </w:r>
      <w:r>
        <w:rPr>
          <w:lang w:val="en-GB"/>
        </w:rPr>
        <w:t xml:space="preserve"> </w:t>
      </w:r>
      <w:proofErr w:type="gramStart"/>
      <w:r>
        <w:rPr>
          <w:lang w:val="en-GB"/>
        </w:rPr>
        <w:t>ZPPC (2014).</w:t>
      </w:r>
      <w:proofErr w:type="gramEnd"/>
      <w:r>
        <w:rPr>
          <w:lang w:val="en-GB"/>
        </w:rPr>
        <w:t xml:space="preserve"> </w:t>
      </w:r>
      <w:proofErr w:type="gramStart"/>
      <w:r>
        <w:rPr>
          <w:lang w:val="en-GB"/>
        </w:rPr>
        <w:t>Clearing the way to containerisation.</w:t>
      </w:r>
      <w:proofErr w:type="gramEnd"/>
      <w:r>
        <w:rPr>
          <w:lang w:val="en-GB"/>
        </w:rPr>
        <w:t xml:space="preserve"> </w:t>
      </w:r>
      <w:r>
        <w:rPr>
          <w:i/>
          <w:lang w:val="en-GB"/>
        </w:rPr>
        <w:t xml:space="preserve">Zeeland </w:t>
      </w:r>
      <w:proofErr w:type="spellStart"/>
      <w:r>
        <w:rPr>
          <w:i/>
          <w:lang w:val="en-GB"/>
        </w:rPr>
        <w:t>PortNews</w:t>
      </w:r>
      <w:proofErr w:type="spellEnd"/>
      <w:r>
        <w:rPr>
          <w:i/>
          <w:lang w:val="en-GB"/>
        </w:rPr>
        <w:t>, 9</w:t>
      </w:r>
      <w:r>
        <w:rPr>
          <w:lang w:val="en-GB"/>
        </w:rPr>
        <w:t>(2), 18-19.</w:t>
      </w:r>
    </w:p>
  </w:footnote>
  <w:footnote w:id="20">
    <w:p w:rsidR="00FC2848" w:rsidRPr="00FC2848" w:rsidRDefault="00FC2848">
      <w:pPr>
        <w:pStyle w:val="FootnoteText"/>
        <w:rPr>
          <w:lang w:val="en-GB"/>
        </w:rPr>
      </w:pPr>
      <w:r>
        <w:rPr>
          <w:rStyle w:val="FootnoteReference"/>
        </w:rPr>
        <w:footnoteRef/>
      </w:r>
      <w:r w:rsidRPr="00FC2848">
        <w:rPr>
          <w:lang w:val="en-GB"/>
        </w:rPr>
        <w:t xml:space="preserve"> </w:t>
      </w:r>
      <w:r w:rsidR="006530F6">
        <w:fldChar w:fldCharType="begin"/>
      </w:r>
      <w:r w:rsidR="006530F6" w:rsidRPr="005747BD">
        <w:rPr>
          <w:lang w:val="en-US"/>
        </w:rPr>
        <w:instrText>HYPERLINK "http://www.logistiek.nl/Distributie/multimodaal-transport/2012/10/Verbrugge-Terminals-dreigt-met-vertrek-uit-Zeeland-1091471W/"</w:instrText>
      </w:r>
      <w:r w:rsidR="006530F6">
        <w:fldChar w:fldCharType="separate"/>
      </w:r>
      <w:r w:rsidRPr="007836E1">
        <w:rPr>
          <w:rStyle w:val="Hyperlink"/>
          <w:lang w:val="en-GB"/>
        </w:rPr>
        <w:t>http://www.logistiek.nl/Distributie/multimodaal-transport/2012/10/Verbrugge-Terminals-dreigt-met-vertrek-uit-Zeeland-1091471W/</w:t>
      </w:r>
      <w:r w:rsidR="006530F6">
        <w:fldChar w:fldCharType="end"/>
      </w:r>
      <w:r>
        <w:rPr>
          <w:lang w:val="en-GB"/>
        </w:rPr>
        <w:t xml:space="preserve">. </w:t>
      </w:r>
      <w:proofErr w:type="spellStart"/>
      <w:proofErr w:type="gramStart"/>
      <w:r>
        <w:rPr>
          <w:lang w:val="en-GB"/>
        </w:rPr>
        <w:t>Opgehaald</w:t>
      </w:r>
      <w:proofErr w:type="spellEnd"/>
      <w:r>
        <w:rPr>
          <w:lang w:val="en-GB"/>
        </w:rPr>
        <w:t xml:space="preserve"> op 29 </w:t>
      </w:r>
      <w:proofErr w:type="spellStart"/>
      <w:r>
        <w:rPr>
          <w:lang w:val="en-GB"/>
        </w:rPr>
        <w:t>juni</w:t>
      </w:r>
      <w:proofErr w:type="spellEnd"/>
      <w:r>
        <w:rPr>
          <w:lang w:val="en-GB"/>
        </w:rPr>
        <w:t xml:space="preserve"> 2014.</w:t>
      </w:r>
      <w:proofErr w:type="gramEnd"/>
    </w:p>
  </w:footnote>
  <w:footnote w:id="21">
    <w:p w:rsidR="008319DE" w:rsidRPr="00991C40" w:rsidRDefault="008319DE" w:rsidP="00E50399">
      <w:pPr>
        <w:pStyle w:val="FootnoteText"/>
      </w:pPr>
      <w:r>
        <w:rPr>
          <w:rStyle w:val="FootnoteReference"/>
        </w:rPr>
        <w:footnoteRef/>
      </w:r>
      <w:r>
        <w:rPr>
          <w:lang w:val="en-GB"/>
        </w:rPr>
        <w:t xml:space="preserve"> Jacob, R. (2011, 6 </w:t>
      </w:r>
      <w:proofErr w:type="spellStart"/>
      <w:proofErr w:type="gramStart"/>
      <w:r>
        <w:rPr>
          <w:lang w:val="en-GB"/>
        </w:rPr>
        <w:t>september</w:t>
      </w:r>
      <w:proofErr w:type="spellEnd"/>
      <w:proofErr w:type="gramEnd"/>
      <w:r>
        <w:rPr>
          <w:lang w:val="en-GB"/>
        </w:rPr>
        <w:t xml:space="preserve">). China wage rises bring shift in production. </w:t>
      </w:r>
      <w:r w:rsidRPr="00991C40">
        <w:rPr>
          <w:i/>
        </w:rPr>
        <w:t>The Financial Times.</w:t>
      </w:r>
      <w:r w:rsidRPr="00991C40">
        <w:t xml:space="preserve"> Opgehaald van ft.com op 25 juni 2014. </w:t>
      </w:r>
    </w:p>
  </w:footnote>
  <w:footnote w:id="22">
    <w:p w:rsidR="008319DE" w:rsidRPr="00991C40" w:rsidRDefault="008319DE" w:rsidP="00E50399">
      <w:pPr>
        <w:pStyle w:val="FootnoteText"/>
      </w:pPr>
      <w:r>
        <w:rPr>
          <w:rStyle w:val="FootnoteReference"/>
        </w:rPr>
        <w:footnoteRef/>
      </w:r>
      <w:r w:rsidRPr="00991C40">
        <w:t xml:space="preserve"> </w:t>
      </w:r>
      <w:proofErr w:type="spellStart"/>
      <w:r w:rsidRPr="00991C40">
        <w:t>Weitzman</w:t>
      </w:r>
      <w:proofErr w:type="spellEnd"/>
      <w:r w:rsidRPr="00991C40">
        <w:t xml:space="preserve">, H. (2012, 20 mei). </w:t>
      </w:r>
      <w:r>
        <w:rPr>
          <w:lang w:val="en-GB"/>
        </w:rPr>
        <w:t xml:space="preserve">Factories begin to shift back to US. </w:t>
      </w:r>
      <w:r w:rsidRPr="00991C40">
        <w:rPr>
          <w:i/>
        </w:rPr>
        <w:t>The Financial Times.</w:t>
      </w:r>
      <w:r w:rsidRPr="00991C40">
        <w:t xml:space="preserve"> Opgehaald van ft.com op 25 juni 2014. </w:t>
      </w:r>
    </w:p>
  </w:footnote>
  <w:footnote w:id="23">
    <w:p w:rsidR="00526687" w:rsidRPr="00526687" w:rsidRDefault="00526687">
      <w:pPr>
        <w:pStyle w:val="FootnoteText"/>
        <w:rPr>
          <w:lang w:val="en-GB"/>
        </w:rPr>
      </w:pPr>
      <w:r>
        <w:rPr>
          <w:rStyle w:val="FootnoteReference"/>
        </w:rPr>
        <w:footnoteRef/>
      </w:r>
      <w:r w:rsidRPr="005747BD">
        <w:t xml:space="preserve"> </w:t>
      </w:r>
      <w:r w:rsidRPr="005747BD">
        <w:t xml:space="preserve">PriceWaterhouseCoopers (2011). </w:t>
      </w:r>
      <w:r w:rsidRPr="00526687">
        <w:rPr>
          <w:i/>
          <w:lang w:val="en-GB"/>
        </w:rPr>
        <w:t>Shale gas: a renaissance in US manufacturing?</w:t>
      </w:r>
    </w:p>
  </w:footnote>
  <w:footnote w:id="24">
    <w:p w:rsidR="008319DE" w:rsidRPr="005747BD" w:rsidRDefault="008319DE" w:rsidP="00E50399">
      <w:pPr>
        <w:pStyle w:val="FootnoteText"/>
        <w:rPr>
          <w:lang w:val="en-GB"/>
        </w:rPr>
      </w:pPr>
      <w:r>
        <w:rPr>
          <w:rStyle w:val="FootnoteReference"/>
        </w:rPr>
        <w:footnoteRef/>
      </w:r>
      <w:r w:rsidRPr="005747BD">
        <w:rPr>
          <w:lang w:val="en-GB"/>
        </w:rPr>
        <w:t xml:space="preserve"> </w:t>
      </w:r>
      <w:r w:rsidRPr="005747BD">
        <w:rPr>
          <w:b/>
          <w:lang w:val="en-GB"/>
        </w:rPr>
        <w:t xml:space="preserve">Bron: </w:t>
      </w:r>
      <w:r w:rsidRPr="005747BD">
        <w:rPr>
          <w:lang w:val="en-GB"/>
        </w:rPr>
        <w:t xml:space="preserve">Interview met Arno Dirkzwager van Zeeland Seaports. </w:t>
      </w:r>
    </w:p>
  </w:footnote>
  <w:footnote w:id="25">
    <w:p w:rsidR="008319DE" w:rsidRDefault="008319DE" w:rsidP="00E50399">
      <w:pPr>
        <w:pStyle w:val="FootnoteText"/>
      </w:pPr>
      <w:r>
        <w:rPr>
          <w:rStyle w:val="FootnoteReference"/>
        </w:rPr>
        <w:footnoteRef/>
      </w:r>
      <w:r w:rsidRPr="005747BD">
        <w:rPr>
          <w:lang w:val="en-GB"/>
        </w:rPr>
        <w:t xml:space="preserve"> </w:t>
      </w:r>
      <w:r w:rsidRPr="005747BD">
        <w:rPr>
          <w:b/>
          <w:lang w:val="en-GB"/>
        </w:rPr>
        <w:t>Bron:</w:t>
      </w:r>
      <w:r w:rsidRPr="005747BD">
        <w:rPr>
          <w:lang w:val="en-GB"/>
        </w:rPr>
        <w:t xml:space="preserve"> </w:t>
      </w:r>
      <w:hyperlink r:id="rId3" w:history="1">
        <w:r w:rsidRPr="005747BD">
          <w:rPr>
            <w:rStyle w:val="Hyperlink"/>
            <w:lang w:val="en-GB"/>
          </w:rPr>
          <w:t>http://www.pzc.nl/regio/zeeuws-nieuws/vlissingen-wint-terrein-als-haven-voor-de-offshore-industrie-1.4350258</w:t>
        </w:r>
      </w:hyperlink>
      <w:r w:rsidRPr="005747BD">
        <w:rPr>
          <w:lang w:val="en-GB"/>
        </w:rPr>
        <w:t xml:space="preserve">. </w:t>
      </w:r>
      <w:r>
        <w:t xml:space="preserve">Opgehaald op 24 juni 2014. </w:t>
      </w:r>
    </w:p>
  </w:footnote>
  <w:footnote w:id="26">
    <w:p w:rsidR="00CB099D" w:rsidRPr="00CB099D" w:rsidRDefault="00CB099D">
      <w:pPr>
        <w:pStyle w:val="FootnoteText"/>
        <w:rPr>
          <w:i/>
        </w:rPr>
      </w:pPr>
      <w:r>
        <w:rPr>
          <w:rStyle w:val="FootnoteReference"/>
        </w:rPr>
        <w:footnoteRef/>
      </w:r>
      <w:r>
        <w:t xml:space="preserve"> Nederland Maritiem Land (2013). </w:t>
      </w:r>
      <w:r>
        <w:rPr>
          <w:i/>
        </w:rPr>
        <w:t>De Nederlandse Maritieme Cluster: Monitor 2013.</w:t>
      </w:r>
    </w:p>
  </w:footnote>
  <w:footnote w:id="27">
    <w:p w:rsidR="00E628EC" w:rsidRDefault="00E628EC">
      <w:pPr>
        <w:pStyle w:val="FootnoteText"/>
      </w:pPr>
      <w:r>
        <w:rPr>
          <w:rStyle w:val="FootnoteReference"/>
        </w:rPr>
        <w:footnoteRef/>
      </w:r>
      <w:r>
        <w:t xml:space="preserve"> </w:t>
      </w:r>
      <w:r w:rsidRPr="00991C40">
        <w:rPr>
          <w:b/>
        </w:rPr>
        <w:t xml:space="preserve">Bron: </w:t>
      </w:r>
      <w:r w:rsidRPr="00991C40">
        <w:t>Interview met Arno D</w:t>
      </w:r>
      <w:r>
        <w:t>irkzwager van Zeeland Seaports.</w:t>
      </w:r>
    </w:p>
  </w:footnote>
  <w:footnote w:id="28">
    <w:p w:rsidR="000A4188" w:rsidRPr="005E5FC9" w:rsidRDefault="000A4188">
      <w:pPr>
        <w:pStyle w:val="FootnoteText"/>
      </w:pPr>
      <w:r>
        <w:rPr>
          <w:rStyle w:val="FootnoteReference"/>
        </w:rPr>
        <w:footnoteRef/>
      </w:r>
      <w:r>
        <w:t xml:space="preserve"> </w:t>
      </w:r>
      <w:r w:rsidR="005E5FC9">
        <w:rPr>
          <w:b/>
        </w:rPr>
        <w:t>Bron:</w:t>
      </w:r>
      <w:r w:rsidR="005E5FC9">
        <w:t xml:space="preserve"> </w:t>
      </w:r>
      <w:hyperlink r:id="rId4" w:history="1">
        <w:r w:rsidR="005E5FC9" w:rsidRPr="007836E1">
          <w:rPr>
            <w:rStyle w:val="Hyperlink"/>
          </w:rPr>
          <w:t>http://www.vroon.nl/Company</w:t>
        </w:r>
      </w:hyperlink>
      <w:r w:rsidR="005E5FC9">
        <w:t>. Opgehaald op 29 juni 2014.</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EF22ED"/>
    <w:multiLevelType w:val="multilevel"/>
    <w:tmpl w:val="87146992"/>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color w:val="auto"/>
        <w:sz w:val="22"/>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
    <w:nsid w:val="267106E3"/>
    <w:multiLevelType w:val="multilevel"/>
    <w:tmpl w:val="433CC50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
    <w:nsid w:val="2E147439"/>
    <w:multiLevelType w:val="multilevel"/>
    <w:tmpl w:val="1F2AF6F0"/>
    <w:lvl w:ilvl="0">
      <w:start w:val="4"/>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color w:val="auto"/>
        <w:sz w:val="22"/>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
    <w:nsid w:val="5D1707A2"/>
    <w:multiLevelType w:val="multilevel"/>
    <w:tmpl w:val="1F2AF6F0"/>
    <w:lvl w:ilvl="0">
      <w:start w:val="4"/>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abstractNumId w:val="1"/>
  </w:num>
  <w:num w:numId="2">
    <w:abstractNumId w:val="2"/>
  </w:num>
  <w:num w:numId="3">
    <w:abstractNumId w:val="0"/>
  </w:num>
  <w:num w:numId="4">
    <w:abstractNumId w:val="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0"/>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hyphenationZone w:val="425"/>
  <w:characterSpacingControl w:val="doNotCompress"/>
  <w:hdrShapeDefaults>
    <o:shapedefaults v:ext="edit" spidmax="4099"/>
    <o:shapelayout v:ext="edit">
      <o:idmap v:ext="edit" data="4"/>
    </o:shapelayout>
  </w:hdrShapeDefaults>
  <w:footnotePr>
    <w:footnote w:id="-1"/>
    <w:footnote w:id="0"/>
  </w:footnotePr>
  <w:endnotePr>
    <w:endnote w:id="-1"/>
    <w:endnote w:id="0"/>
  </w:endnotePr>
  <w:compat/>
  <w:rsids>
    <w:rsidRoot w:val="007F7BE6"/>
    <w:rsid w:val="000145AA"/>
    <w:rsid w:val="000226D9"/>
    <w:rsid w:val="0003064D"/>
    <w:rsid w:val="0003473D"/>
    <w:rsid w:val="000663D0"/>
    <w:rsid w:val="00074B0F"/>
    <w:rsid w:val="00074DD7"/>
    <w:rsid w:val="000A4188"/>
    <w:rsid w:val="000B4775"/>
    <w:rsid w:val="00103B47"/>
    <w:rsid w:val="001C0EDB"/>
    <w:rsid w:val="001C2CEF"/>
    <w:rsid w:val="001C4C9C"/>
    <w:rsid w:val="001E65AB"/>
    <w:rsid w:val="00210694"/>
    <w:rsid w:val="002423FB"/>
    <w:rsid w:val="00242A48"/>
    <w:rsid w:val="00260701"/>
    <w:rsid w:val="002631DC"/>
    <w:rsid w:val="00265629"/>
    <w:rsid w:val="002A4FAF"/>
    <w:rsid w:val="002A7835"/>
    <w:rsid w:val="002B6AE2"/>
    <w:rsid w:val="002C117A"/>
    <w:rsid w:val="002D73D4"/>
    <w:rsid w:val="003074CD"/>
    <w:rsid w:val="00321251"/>
    <w:rsid w:val="003275CA"/>
    <w:rsid w:val="00334777"/>
    <w:rsid w:val="00364D27"/>
    <w:rsid w:val="00394FF3"/>
    <w:rsid w:val="00395DFC"/>
    <w:rsid w:val="003D24A6"/>
    <w:rsid w:val="003D4C9F"/>
    <w:rsid w:val="003E5364"/>
    <w:rsid w:val="00416F04"/>
    <w:rsid w:val="00441FEA"/>
    <w:rsid w:val="00472281"/>
    <w:rsid w:val="00483395"/>
    <w:rsid w:val="004C3727"/>
    <w:rsid w:val="004D55B1"/>
    <w:rsid w:val="005019CE"/>
    <w:rsid w:val="005027BD"/>
    <w:rsid w:val="00526687"/>
    <w:rsid w:val="005612B6"/>
    <w:rsid w:val="00571D30"/>
    <w:rsid w:val="00574296"/>
    <w:rsid w:val="005747BD"/>
    <w:rsid w:val="0059382D"/>
    <w:rsid w:val="005A2E57"/>
    <w:rsid w:val="005A66A2"/>
    <w:rsid w:val="005D6817"/>
    <w:rsid w:val="005E5FC9"/>
    <w:rsid w:val="0060083A"/>
    <w:rsid w:val="00624A40"/>
    <w:rsid w:val="00632026"/>
    <w:rsid w:val="006530F6"/>
    <w:rsid w:val="00677575"/>
    <w:rsid w:val="006C0E53"/>
    <w:rsid w:val="00743AAB"/>
    <w:rsid w:val="00760F83"/>
    <w:rsid w:val="00767649"/>
    <w:rsid w:val="00783F48"/>
    <w:rsid w:val="007B6E4F"/>
    <w:rsid w:val="007D44FA"/>
    <w:rsid w:val="007F7BE6"/>
    <w:rsid w:val="00806407"/>
    <w:rsid w:val="008319DE"/>
    <w:rsid w:val="0088028B"/>
    <w:rsid w:val="008A3754"/>
    <w:rsid w:val="008A62AA"/>
    <w:rsid w:val="008D1D8D"/>
    <w:rsid w:val="008E48C4"/>
    <w:rsid w:val="00947671"/>
    <w:rsid w:val="00991C40"/>
    <w:rsid w:val="009A0A31"/>
    <w:rsid w:val="009F3835"/>
    <w:rsid w:val="00A21BE4"/>
    <w:rsid w:val="00A24625"/>
    <w:rsid w:val="00A404E2"/>
    <w:rsid w:val="00A761C6"/>
    <w:rsid w:val="00A940BF"/>
    <w:rsid w:val="00AC0F60"/>
    <w:rsid w:val="00AF69FB"/>
    <w:rsid w:val="00B067C1"/>
    <w:rsid w:val="00B52148"/>
    <w:rsid w:val="00B971CC"/>
    <w:rsid w:val="00BF2B72"/>
    <w:rsid w:val="00C41B80"/>
    <w:rsid w:val="00CB099D"/>
    <w:rsid w:val="00CD5745"/>
    <w:rsid w:val="00D05FAF"/>
    <w:rsid w:val="00D06BAA"/>
    <w:rsid w:val="00D806B3"/>
    <w:rsid w:val="00D82AF4"/>
    <w:rsid w:val="00D8752A"/>
    <w:rsid w:val="00DA216B"/>
    <w:rsid w:val="00E037AC"/>
    <w:rsid w:val="00E05EF3"/>
    <w:rsid w:val="00E16E8C"/>
    <w:rsid w:val="00E16FA5"/>
    <w:rsid w:val="00E50399"/>
    <w:rsid w:val="00E54231"/>
    <w:rsid w:val="00E628EC"/>
    <w:rsid w:val="00EA24A2"/>
    <w:rsid w:val="00EA6FBD"/>
    <w:rsid w:val="00F27014"/>
    <w:rsid w:val="00F94A0B"/>
    <w:rsid w:val="00FB1FE7"/>
    <w:rsid w:val="00FC2848"/>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BE6"/>
  </w:style>
  <w:style w:type="paragraph" w:styleId="Heading1">
    <w:name w:val="heading 1"/>
    <w:basedOn w:val="Normal"/>
    <w:next w:val="Normal"/>
    <w:link w:val="Heading1Char"/>
    <w:uiPriority w:val="9"/>
    <w:qFormat/>
    <w:rsid w:val="007F7BE6"/>
    <w:pPr>
      <w:keepNext/>
      <w:keepLines/>
      <w:numPr>
        <w:numId w:val="3"/>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F7BE6"/>
    <w:pPr>
      <w:keepNext/>
      <w:keepLines/>
      <w:numPr>
        <w:ilvl w:val="1"/>
        <w:numId w:val="3"/>
      </w:numPr>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7F7BE6"/>
    <w:pPr>
      <w:keepNext/>
      <w:keepLines/>
      <w:numPr>
        <w:ilvl w:val="2"/>
        <w:numId w:val="3"/>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7F7BE6"/>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7F7BE6"/>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7F7BE6"/>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7F7BE6"/>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7F7BE6"/>
    <w:pPr>
      <w:keepNext/>
      <w:keepLines/>
      <w:numPr>
        <w:ilvl w:val="7"/>
        <w:numId w:val="3"/>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7F7BE6"/>
    <w:pPr>
      <w:keepNext/>
      <w:keepLines/>
      <w:numPr>
        <w:ilvl w:val="8"/>
        <w:numId w:val="3"/>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7BE6"/>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F7BE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7F7BE6"/>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7F7BE6"/>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7F7BE6"/>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7F7BE6"/>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7F7BE6"/>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7F7BE6"/>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7F7BE6"/>
    <w:rPr>
      <w:rFonts w:asciiTheme="majorHAnsi" w:eastAsiaTheme="majorEastAsia" w:hAnsiTheme="majorHAnsi" w:cstheme="majorBidi"/>
      <w:i/>
      <w:iCs/>
      <w:color w:val="404040" w:themeColor="text1" w:themeTint="BF"/>
      <w:sz w:val="20"/>
      <w:szCs w:val="20"/>
    </w:rPr>
  </w:style>
  <w:style w:type="paragraph" w:styleId="NoSpacing">
    <w:name w:val="No Spacing"/>
    <w:link w:val="NoSpacingChar"/>
    <w:uiPriority w:val="1"/>
    <w:qFormat/>
    <w:rsid w:val="007F7BE6"/>
    <w:pPr>
      <w:spacing w:after="0" w:line="240" w:lineRule="auto"/>
    </w:pPr>
  </w:style>
  <w:style w:type="paragraph" w:styleId="Footer">
    <w:name w:val="footer"/>
    <w:basedOn w:val="Normal"/>
    <w:link w:val="FooterChar"/>
    <w:uiPriority w:val="99"/>
    <w:unhideWhenUsed/>
    <w:rsid w:val="007F7BE6"/>
    <w:pPr>
      <w:tabs>
        <w:tab w:val="center" w:pos="4536"/>
        <w:tab w:val="right" w:pos="9072"/>
      </w:tabs>
      <w:spacing w:after="0" w:line="240" w:lineRule="auto"/>
    </w:pPr>
  </w:style>
  <w:style w:type="character" w:customStyle="1" w:styleId="FooterChar">
    <w:name w:val="Footer Char"/>
    <w:basedOn w:val="DefaultParagraphFont"/>
    <w:link w:val="Footer"/>
    <w:uiPriority w:val="99"/>
    <w:rsid w:val="007F7BE6"/>
  </w:style>
  <w:style w:type="paragraph" w:styleId="FootnoteText">
    <w:name w:val="footnote text"/>
    <w:basedOn w:val="Normal"/>
    <w:link w:val="FootnoteTextChar"/>
    <w:uiPriority w:val="99"/>
    <w:semiHidden/>
    <w:unhideWhenUsed/>
    <w:rsid w:val="007F7BE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F7BE6"/>
    <w:rPr>
      <w:sz w:val="20"/>
      <w:szCs w:val="20"/>
    </w:rPr>
  </w:style>
  <w:style w:type="character" w:styleId="FootnoteReference">
    <w:name w:val="footnote reference"/>
    <w:basedOn w:val="DefaultParagraphFont"/>
    <w:uiPriority w:val="99"/>
    <w:semiHidden/>
    <w:unhideWhenUsed/>
    <w:rsid w:val="007F7BE6"/>
    <w:rPr>
      <w:vertAlign w:val="superscript"/>
    </w:rPr>
  </w:style>
  <w:style w:type="paragraph" w:styleId="Caption">
    <w:name w:val="caption"/>
    <w:basedOn w:val="Normal"/>
    <w:next w:val="Normal"/>
    <w:uiPriority w:val="35"/>
    <w:unhideWhenUsed/>
    <w:qFormat/>
    <w:rsid w:val="007F7BE6"/>
    <w:pPr>
      <w:spacing w:line="240" w:lineRule="auto"/>
    </w:pPr>
    <w:rPr>
      <w:b/>
      <w:bCs/>
      <w:color w:val="4F81BD" w:themeColor="accent1"/>
      <w:sz w:val="18"/>
      <w:szCs w:val="18"/>
    </w:rPr>
  </w:style>
  <w:style w:type="character" w:styleId="Hyperlink">
    <w:name w:val="Hyperlink"/>
    <w:basedOn w:val="DefaultParagraphFont"/>
    <w:uiPriority w:val="99"/>
    <w:unhideWhenUsed/>
    <w:rsid w:val="007F7BE6"/>
    <w:rPr>
      <w:color w:val="0000FF" w:themeColor="hyperlink"/>
      <w:u w:val="single"/>
    </w:rPr>
  </w:style>
  <w:style w:type="paragraph" w:styleId="BalloonText">
    <w:name w:val="Balloon Text"/>
    <w:basedOn w:val="Normal"/>
    <w:link w:val="BalloonTextChar"/>
    <w:uiPriority w:val="99"/>
    <w:semiHidden/>
    <w:unhideWhenUsed/>
    <w:rsid w:val="007F7B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7BE6"/>
    <w:rPr>
      <w:rFonts w:ascii="Tahoma" w:hAnsi="Tahoma" w:cs="Tahoma"/>
      <w:sz w:val="16"/>
      <w:szCs w:val="16"/>
    </w:rPr>
  </w:style>
  <w:style w:type="table" w:styleId="TableGrid">
    <w:name w:val="Table Grid"/>
    <w:basedOn w:val="TableNormal"/>
    <w:uiPriority w:val="59"/>
    <w:rsid w:val="007F7BE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7F7BE6"/>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Header">
    <w:name w:val="header"/>
    <w:basedOn w:val="Normal"/>
    <w:link w:val="HeaderChar"/>
    <w:uiPriority w:val="99"/>
    <w:unhideWhenUsed/>
    <w:rsid w:val="00394FF3"/>
    <w:pPr>
      <w:tabs>
        <w:tab w:val="center" w:pos="4536"/>
        <w:tab w:val="right" w:pos="9072"/>
      </w:tabs>
      <w:spacing w:after="0" w:line="240" w:lineRule="auto"/>
    </w:pPr>
  </w:style>
  <w:style w:type="character" w:customStyle="1" w:styleId="HeaderChar">
    <w:name w:val="Header Char"/>
    <w:basedOn w:val="DefaultParagraphFont"/>
    <w:link w:val="Header"/>
    <w:uiPriority w:val="99"/>
    <w:rsid w:val="00394FF3"/>
  </w:style>
  <w:style w:type="paragraph" w:styleId="Bibliography">
    <w:name w:val="Bibliography"/>
    <w:basedOn w:val="Normal"/>
    <w:next w:val="Normal"/>
    <w:uiPriority w:val="37"/>
    <w:unhideWhenUsed/>
    <w:rsid w:val="00242A48"/>
  </w:style>
  <w:style w:type="paragraph" w:styleId="TOCHeading">
    <w:name w:val="TOC Heading"/>
    <w:basedOn w:val="Heading1"/>
    <w:next w:val="Normal"/>
    <w:uiPriority w:val="39"/>
    <w:unhideWhenUsed/>
    <w:qFormat/>
    <w:rsid w:val="00074B0F"/>
    <w:pPr>
      <w:numPr>
        <w:numId w:val="0"/>
      </w:numPr>
      <w:outlineLvl w:val="9"/>
    </w:pPr>
    <w:rPr>
      <w:lang w:eastAsia="nl-NL"/>
    </w:rPr>
  </w:style>
  <w:style w:type="paragraph" w:styleId="TOC1">
    <w:name w:val="toc 1"/>
    <w:basedOn w:val="Normal"/>
    <w:next w:val="Normal"/>
    <w:autoRedefine/>
    <w:uiPriority w:val="39"/>
    <w:unhideWhenUsed/>
    <w:rsid w:val="005612B6"/>
    <w:pPr>
      <w:tabs>
        <w:tab w:val="left" w:pos="440"/>
        <w:tab w:val="right" w:leader="dot" w:pos="9062"/>
      </w:tabs>
      <w:spacing w:after="100"/>
    </w:pPr>
    <w:rPr>
      <w:noProof/>
    </w:rPr>
  </w:style>
  <w:style w:type="paragraph" w:styleId="TOC2">
    <w:name w:val="toc 2"/>
    <w:basedOn w:val="Normal"/>
    <w:next w:val="Normal"/>
    <w:autoRedefine/>
    <w:uiPriority w:val="39"/>
    <w:unhideWhenUsed/>
    <w:rsid w:val="00074B0F"/>
    <w:pPr>
      <w:spacing w:after="100"/>
      <w:ind w:left="220"/>
    </w:pPr>
  </w:style>
  <w:style w:type="paragraph" w:styleId="TOC3">
    <w:name w:val="toc 3"/>
    <w:basedOn w:val="Normal"/>
    <w:next w:val="Normal"/>
    <w:autoRedefine/>
    <w:uiPriority w:val="39"/>
    <w:unhideWhenUsed/>
    <w:rsid w:val="00074B0F"/>
    <w:pPr>
      <w:spacing w:after="100"/>
      <w:ind w:left="440"/>
    </w:pPr>
  </w:style>
  <w:style w:type="character" w:customStyle="1" w:styleId="NoSpacingChar">
    <w:name w:val="No Spacing Char"/>
    <w:basedOn w:val="DefaultParagraphFont"/>
    <w:link w:val="NoSpacing"/>
    <w:uiPriority w:val="1"/>
    <w:rsid w:val="00B5214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7F7BE6"/>
  </w:style>
  <w:style w:type="paragraph" w:styleId="Kop1">
    <w:name w:val="heading 1"/>
    <w:basedOn w:val="Standaard"/>
    <w:next w:val="Standaard"/>
    <w:link w:val="Kop1Char"/>
    <w:uiPriority w:val="9"/>
    <w:qFormat/>
    <w:rsid w:val="007F7BE6"/>
    <w:pPr>
      <w:keepNext/>
      <w:keepLines/>
      <w:numPr>
        <w:numId w:val="3"/>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7F7BE6"/>
    <w:pPr>
      <w:keepNext/>
      <w:keepLines/>
      <w:numPr>
        <w:ilvl w:val="1"/>
        <w:numId w:val="3"/>
      </w:numPr>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7F7BE6"/>
    <w:pPr>
      <w:keepNext/>
      <w:keepLines/>
      <w:numPr>
        <w:ilvl w:val="2"/>
        <w:numId w:val="3"/>
      </w:numPr>
      <w:spacing w:before="200" w:after="0"/>
      <w:outlineLvl w:val="2"/>
    </w:pPr>
    <w:rPr>
      <w:rFonts w:asciiTheme="majorHAnsi" w:eastAsiaTheme="majorEastAsia" w:hAnsiTheme="majorHAnsi" w:cstheme="majorBidi"/>
      <w:b/>
      <w:bCs/>
      <w:color w:val="4F81BD" w:themeColor="accent1"/>
    </w:rPr>
  </w:style>
  <w:style w:type="paragraph" w:styleId="Kop4">
    <w:name w:val="heading 4"/>
    <w:basedOn w:val="Standaard"/>
    <w:next w:val="Standaard"/>
    <w:link w:val="Kop4Char"/>
    <w:uiPriority w:val="9"/>
    <w:semiHidden/>
    <w:unhideWhenUsed/>
    <w:qFormat/>
    <w:rsid w:val="007F7BE6"/>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Kop5">
    <w:name w:val="heading 5"/>
    <w:basedOn w:val="Standaard"/>
    <w:next w:val="Standaard"/>
    <w:link w:val="Kop5Char"/>
    <w:uiPriority w:val="9"/>
    <w:semiHidden/>
    <w:unhideWhenUsed/>
    <w:qFormat/>
    <w:rsid w:val="007F7BE6"/>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Kop6">
    <w:name w:val="heading 6"/>
    <w:basedOn w:val="Standaard"/>
    <w:next w:val="Standaard"/>
    <w:link w:val="Kop6Char"/>
    <w:uiPriority w:val="9"/>
    <w:semiHidden/>
    <w:unhideWhenUsed/>
    <w:qFormat/>
    <w:rsid w:val="007F7BE6"/>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Kop7">
    <w:name w:val="heading 7"/>
    <w:basedOn w:val="Standaard"/>
    <w:next w:val="Standaard"/>
    <w:link w:val="Kop7Char"/>
    <w:uiPriority w:val="9"/>
    <w:semiHidden/>
    <w:unhideWhenUsed/>
    <w:qFormat/>
    <w:rsid w:val="007F7BE6"/>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Kop8">
    <w:name w:val="heading 8"/>
    <w:basedOn w:val="Standaard"/>
    <w:next w:val="Standaard"/>
    <w:link w:val="Kop8Char"/>
    <w:uiPriority w:val="9"/>
    <w:semiHidden/>
    <w:unhideWhenUsed/>
    <w:qFormat/>
    <w:rsid w:val="007F7BE6"/>
    <w:pPr>
      <w:keepNext/>
      <w:keepLines/>
      <w:numPr>
        <w:ilvl w:val="7"/>
        <w:numId w:val="3"/>
      </w:numPr>
      <w:spacing w:before="200" w:after="0"/>
      <w:outlineLvl w:val="7"/>
    </w:pPr>
    <w:rPr>
      <w:rFonts w:asciiTheme="majorHAnsi" w:eastAsiaTheme="majorEastAsia" w:hAnsiTheme="majorHAnsi" w:cstheme="majorBidi"/>
      <w:color w:val="404040" w:themeColor="text1" w:themeTint="BF"/>
      <w:sz w:val="20"/>
      <w:szCs w:val="20"/>
    </w:rPr>
  </w:style>
  <w:style w:type="paragraph" w:styleId="Kop9">
    <w:name w:val="heading 9"/>
    <w:basedOn w:val="Standaard"/>
    <w:next w:val="Standaard"/>
    <w:link w:val="Kop9Char"/>
    <w:uiPriority w:val="9"/>
    <w:semiHidden/>
    <w:unhideWhenUsed/>
    <w:qFormat/>
    <w:rsid w:val="007F7BE6"/>
    <w:pPr>
      <w:keepNext/>
      <w:keepLines/>
      <w:numPr>
        <w:ilvl w:val="8"/>
        <w:numId w:val="3"/>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7F7BE6"/>
    <w:rPr>
      <w:rFonts w:asciiTheme="majorHAnsi" w:eastAsiaTheme="majorEastAsia" w:hAnsiTheme="majorHAnsi" w:cstheme="majorBidi"/>
      <w:b/>
      <w:bCs/>
      <w:color w:val="365F91" w:themeColor="accent1" w:themeShade="BF"/>
      <w:sz w:val="28"/>
      <w:szCs w:val="28"/>
    </w:rPr>
  </w:style>
  <w:style w:type="character" w:customStyle="1" w:styleId="Kop2Char">
    <w:name w:val="Kop 2 Char"/>
    <w:basedOn w:val="Standaardalinea-lettertype"/>
    <w:link w:val="Kop2"/>
    <w:uiPriority w:val="9"/>
    <w:rsid w:val="007F7BE6"/>
    <w:rPr>
      <w:rFonts w:asciiTheme="majorHAnsi" w:eastAsiaTheme="majorEastAsia" w:hAnsiTheme="majorHAnsi" w:cstheme="majorBidi"/>
      <w:b/>
      <w:bCs/>
      <w:color w:val="4F81BD" w:themeColor="accent1"/>
      <w:sz w:val="26"/>
      <w:szCs w:val="26"/>
    </w:rPr>
  </w:style>
  <w:style w:type="character" w:customStyle="1" w:styleId="Kop3Char">
    <w:name w:val="Kop 3 Char"/>
    <w:basedOn w:val="Standaardalinea-lettertype"/>
    <w:link w:val="Kop3"/>
    <w:uiPriority w:val="9"/>
    <w:rsid w:val="007F7BE6"/>
    <w:rPr>
      <w:rFonts w:asciiTheme="majorHAnsi" w:eastAsiaTheme="majorEastAsia" w:hAnsiTheme="majorHAnsi" w:cstheme="majorBidi"/>
      <w:b/>
      <w:bCs/>
      <w:color w:val="4F81BD" w:themeColor="accent1"/>
    </w:rPr>
  </w:style>
  <w:style w:type="character" w:customStyle="1" w:styleId="Kop4Char">
    <w:name w:val="Kop 4 Char"/>
    <w:basedOn w:val="Standaardalinea-lettertype"/>
    <w:link w:val="Kop4"/>
    <w:uiPriority w:val="9"/>
    <w:semiHidden/>
    <w:rsid w:val="007F7BE6"/>
    <w:rPr>
      <w:rFonts w:asciiTheme="majorHAnsi" w:eastAsiaTheme="majorEastAsia" w:hAnsiTheme="majorHAnsi" w:cstheme="majorBidi"/>
      <w:b/>
      <w:bCs/>
      <w:i/>
      <w:iCs/>
      <w:color w:val="4F81BD" w:themeColor="accent1"/>
    </w:rPr>
  </w:style>
  <w:style w:type="character" w:customStyle="1" w:styleId="Kop5Char">
    <w:name w:val="Kop 5 Char"/>
    <w:basedOn w:val="Standaardalinea-lettertype"/>
    <w:link w:val="Kop5"/>
    <w:uiPriority w:val="9"/>
    <w:semiHidden/>
    <w:rsid w:val="007F7BE6"/>
    <w:rPr>
      <w:rFonts w:asciiTheme="majorHAnsi" w:eastAsiaTheme="majorEastAsia" w:hAnsiTheme="majorHAnsi" w:cstheme="majorBidi"/>
      <w:color w:val="243F60" w:themeColor="accent1" w:themeShade="7F"/>
    </w:rPr>
  </w:style>
  <w:style w:type="character" w:customStyle="1" w:styleId="Kop6Char">
    <w:name w:val="Kop 6 Char"/>
    <w:basedOn w:val="Standaardalinea-lettertype"/>
    <w:link w:val="Kop6"/>
    <w:uiPriority w:val="9"/>
    <w:semiHidden/>
    <w:rsid w:val="007F7BE6"/>
    <w:rPr>
      <w:rFonts w:asciiTheme="majorHAnsi" w:eastAsiaTheme="majorEastAsia" w:hAnsiTheme="majorHAnsi" w:cstheme="majorBidi"/>
      <w:i/>
      <w:iCs/>
      <w:color w:val="243F60" w:themeColor="accent1" w:themeShade="7F"/>
    </w:rPr>
  </w:style>
  <w:style w:type="character" w:customStyle="1" w:styleId="Kop7Char">
    <w:name w:val="Kop 7 Char"/>
    <w:basedOn w:val="Standaardalinea-lettertype"/>
    <w:link w:val="Kop7"/>
    <w:uiPriority w:val="9"/>
    <w:semiHidden/>
    <w:rsid w:val="007F7BE6"/>
    <w:rPr>
      <w:rFonts w:asciiTheme="majorHAnsi" w:eastAsiaTheme="majorEastAsia" w:hAnsiTheme="majorHAnsi" w:cstheme="majorBidi"/>
      <w:i/>
      <w:iCs/>
      <w:color w:val="404040" w:themeColor="text1" w:themeTint="BF"/>
    </w:rPr>
  </w:style>
  <w:style w:type="character" w:customStyle="1" w:styleId="Kop8Char">
    <w:name w:val="Kop 8 Char"/>
    <w:basedOn w:val="Standaardalinea-lettertype"/>
    <w:link w:val="Kop8"/>
    <w:uiPriority w:val="9"/>
    <w:semiHidden/>
    <w:rsid w:val="007F7BE6"/>
    <w:rPr>
      <w:rFonts w:asciiTheme="majorHAnsi" w:eastAsiaTheme="majorEastAsia" w:hAnsiTheme="majorHAnsi" w:cstheme="majorBidi"/>
      <w:color w:val="404040" w:themeColor="text1" w:themeTint="BF"/>
      <w:sz w:val="20"/>
      <w:szCs w:val="20"/>
    </w:rPr>
  </w:style>
  <w:style w:type="character" w:customStyle="1" w:styleId="Kop9Char">
    <w:name w:val="Kop 9 Char"/>
    <w:basedOn w:val="Standaardalinea-lettertype"/>
    <w:link w:val="Kop9"/>
    <w:uiPriority w:val="9"/>
    <w:semiHidden/>
    <w:rsid w:val="007F7BE6"/>
    <w:rPr>
      <w:rFonts w:asciiTheme="majorHAnsi" w:eastAsiaTheme="majorEastAsia" w:hAnsiTheme="majorHAnsi" w:cstheme="majorBidi"/>
      <w:i/>
      <w:iCs/>
      <w:color w:val="404040" w:themeColor="text1" w:themeTint="BF"/>
      <w:sz w:val="20"/>
      <w:szCs w:val="20"/>
    </w:rPr>
  </w:style>
  <w:style w:type="paragraph" w:styleId="Geenafstand">
    <w:name w:val="No Spacing"/>
    <w:link w:val="GeenafstandChar"/>
    <w:uiPriority w:val="1"/>
    <w:qFormat/>
    <w:rsid w:val="007F7BE6"/>
    <w:pPr>
      <w:spacing w:after="0" w:line="240" w:lineRule="auto"/>
    </w:pPr>
  </w:style>
  <w:style w:type="paragraph" w:styleId="Voettekst">
    <w:name w:val="footer"/>
    <w:basedOn w:val="Standaard"/>
    <w:link w:val="VoettekstChar"/>
    <w:uiPriority w:val="99"/>
    <w:unhideWhenUsed/>
    <w:rsid w:val="007F7BE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7F7BE6"/>
  </w:style>
  <w:style w:type="paragraph" w:styleId="Voetnoottekst">
    <w:name w:val="footnote text"/>
    <w:basedOn w:val="Standaard"/>
    <w:link w:val="VoetnoottekstChar"/>
    <w:uiPriority w:val="99"/>
    <w:semiHidden/>
    <w:unhideWhenUsed/>
    <w:rsid w:val="007F7BE6"/>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7F7BE6"/>
    <w:rPr>
      <w:sz w:val="20"/>
      <w:szCs w:val="20"/>
    </w:rPr>
  </w:style>
  <w:style w:type="character" w:styleId="Voetnootmarkering">
    <w:name w:val="footnote reference"/>
    <w:basedOn w:val="Standaardalinea-lettertype"/>
    <w:uiPriority w:val="99"/>
    <w:semiHidden/>
    <w:unhideWhenUsed/>
    <w:rsid w:val="007F7BE6"/>
    <w:rPr>
      <w:vertAlign w:val="superscript"/>
    </w:rPr>
  </w:style>
  <w:style w:type="paragraph" w:styleId="Bijschrift">
    <w:name w:val="caption"/>
    <w:basedOn w:val="Standaard"/>
    <w:next w:val="Standaard"/>
    <w:uiPriority w:val="35"/>
    <w:unhideWhenUsed/>
    <w:qFormat/>
    <w:rsid w:val="007F7BE6"/>
    <w:pPr>
      <w:spacing w:line="240" w:lineRule="auto"/>
    </w:pPr>
    <w:rPr>
      <w:b/>
      <w:bCs/>
      <w:color w:val="4F81BD" w:themeColor="accent1"/>
      <w:sz w:val="18"/>
      <w:szCs w:val="18"/>
    </w:rPr>
  </w:style>
  <w:style w:type="character" w:styleId="Hyperlink">
    <w:name w:val="Hyperlink"/>
    <w:basedOn w:val="Standaardalinea-lettertype"/>
    <w:uiPriority w:val="99"/>
    <w:unhideWhenUsed/>
    <w:rsid w:val="007F7BE6"/>
    <w:rPr>
      <w:color w:val="0000FF" w:themeColor="hyperlink"/>
      <w:u w:val="single"/>
    </w:rPr>
  </w:style>
  <w:style w:type="paragraph" w:styleId="Ballontekst">
    <w:name w:val="Balloon Text"/>
    <w:basedOn w:val="Standaard"/>
    <w:link w:val="BallontekstChar"/>
    <w:uiPriority w:val="99"/>
    <w:semiHidden/>
    <w:unhideWhenUsed/>
    <w:rsid w:val="007F7BE6"/>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7F7BE6"/>
    <w:rPr>
      <w:rFonts w:ascii="Tahoma" w:hAnsi="Tahoma" w:cs="Tahoma"/>
      <w:sz w:val="16"/>
      <w:szCs w:val="16"/>
    </w:rPr>
  </w:style>
  <w:style w:type="table" w:styleId="Tabelraster">
    <w:name w:val="Table Grid"/>
    <w:basedOn w:val="Standaardtabel"/>
    <w:uiPriority w:val="59"/>
    <w:rsid w:val="007F7B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chtearcering">
    <w:name w:val="Light Shading"/>
    <w:basedOn w:val="Standaardtabel"/>
    <w:uiPriority w:val="60"/>
    <w:rsid w:val="007F7BE6"/>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Koptekst">
    <w:name w:val="header"/>
    <w:basedOn w:val="Standaard"/>
    <w:link w:val="KoptekstChar"/>
    <w:uiPriority w:val="99"/>
    <w:unhideWhenUsed/>
    <w:rsid w:val="00394FF3"/>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394FF3"/>
  </w:style>
  <w:style w:type="paragraph" w:styleId="Bibliografie">
    <w:name w:val="Bibliography"/>
    <w:basedOn w:val="Standaard"/>
    <w:next w:val="Standaard"/>
    <w:uiPriority w:val="37"/>
    <w:unhideWhenUsed/>
    <w:rsid w:val="00242A48"/>
  </w:style>
  <w:style w:type="paragraph" w:styleId="Kopvaninhoudsopgave">
    <w:name w:val="TOC Heading"/>
    <w:basedOn w:val="Kop1"/>
    <w:next w:val="Standaard"/>
    <w:uiPriority w:val="39"/>
    <w:unhideWhenUsed/>
    <w:qFormat/>
    <w:rsid w:val="00074B0F"/>
    <w:pPr>
      <w:numPr>
        <w:numId w:val="0"/>
      </w:numPr>
      <w:outlineLvl w:val="9"/>
    </w:pPr>
    <w:rPr>
      <w:lang w:eastAsia="nl-NL"/>
    </w:rPr>
  </w:style>
  <w:style w:type="paragraph" w:styleId="Inhopg1">
    <w:name w:val="toc 1"/>
    <w:basedOn w:val="Standaard"/>
    <w:next w:val="Standaard"/>
    <w:autoRedefine/>
    <w:uiPriority w:val="39"/>
    <w:unhideWhenUsed/>
    <w:rsid w:val="005612B6"/>
    <w:pPr>
      <w:tabs>
        <w:tab w:val="left" w:pos="440"/>
        <w:tab w:val="right" w:leader="dot" w:pos="9062"/>
      </w:tabs>
      <w:spacing w:after="100"/>
    </w:pPr>
    <w:rPr>
      <w:noProof/>
    </w:rPr>
  </w:style>
  <w:style w:type="paragraph" w:styleId="Inhopg2">
    <w:name w:val="toc 2"/>
    <w:basedOn w:val="Standaard"/>
    <w:next w:val="Standaard"/>
    <w:autoRedefine/>
    <w:uiPriority w:val="39"/>
    <w:unhideWhenUsed/>
    <w:rsid w:val="00074B0F"/>
    <w:pPr>
      <w:spacing w:after="100"/>
      <w:ind w:left="220"/>
    </w:pPr>
  </w:style>
  <w:style w:type="paragraph" w:styleId="Inhopg3">
    <w:name w:val="toc 3"/>
    <w:basedOn w:val="Standaard"/>
    <w:next w:val="Standaard"/>
    <w:autoRedefine/>
    <w:uiPriority w:val="39"/>
    <w:unhideWhenUsed/>
    <w:rsid w:val="00074B0F"/>
    <w:pPr>
      <w:spacing w:after="100"/>
      <w:ind w:left="440"/>
    </w:pPr>
  </w:style>
  <w:style w:type="character" w:customStyle="1" w:styleId="GeenafstandChar">
    <w:name w:val="Geen afstand Char"/>
    <w:basedOn w:val="Standaardalinea-lettertype"/>
    <w:link w:val="Geenafstand"/>
    <w:uiPriority w:val="1"/>
    <w:rsid w:val="00B52148"/>
  </w:style>
</w:styles>
</file>

<file path=word/webSettings.xml><?xml version="1.0" encoding="utf-8"?>
<w:webSettings xmlns:r="http://schemas.openxmlformats.org/officeDocument/2006/relationships" xmlns:w="http://schemas.openxmlformats.org/wordprocessingml/2006/main">
  <w:divs>
    <w:div w:id="329023231">
      <w:bodyDiv w:val="1"/>
      <w:marLeft w:val="0"/>
      <w:marRight w:val="0"/>
      <w:marTop w:val="0"/>
      <w:marBottom w:val="0"/>
      <w:divBdr>
        <w:top w:val="none" w:sz="0" w:space="0" w:color="auto"/>
        <w:left w:val="none" w:sz="0" w:space="0" w:color="auto"/>
        <w:bottom w:val="none" w:sz="0" w:space="0" w:color="auto"/>
        <w:right w:val="none" w:sz="0" w:space="0" w:color="auto"/>
      </w:divBdr>
    </w:div>
    <w:div w:id="854076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3.xml"/><Relationship Id="rId18" Type="http://schemas.openxmlformats.org/officeDocument/2006/relationships/image" Target="media/image3.png"/><Relationship Id="rId26" Type="http://schemas.openxmlformats.org/officeDocument/2006/relationships/hyperlink" Target="http://www.zeelandseaports.nl/nl/het-havenbedrijf/profiel/historie/zeeland-seaports.htm" TargetMode="External"/><Relationship Id="rId39" Type="http://schemas.microsoft.com/office/2007/relationships/stylesWithEffects" Target="stylesWithEffects.xml"/><Relationship Id="rId3" Type="http://schemas.openxmlformats.org/officeDocument/2006/relationships/numbering" Target="numbering.xml"/><Relationship Id="rId21" Type="http://schemas.openxmlformats.org/officeDocument/2006/relationships/chart" Target="charts/chart8.xml"/><Relationship Id="rId34" Type="http://schemas.openxmlformats.org/officeDocument/2006/relationships/chart" Target="charts/chart14.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image" Target="media/image2.png"/><Relationship Id="rId25" Type="http://schemas.openxmlformats.org/officeDocument/2006/relationships/hyperlink" Target="http://www.zeeland.nl/werken_ondernemen/werkgelegenheid/" TargetMode="External"/><Relationship Id="rId33" Type="http://schemas.openxmlformats.org/officeDocument/2006/relationships/chart" Target="charts/chart13.xm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chart" Target="charts/chart6.xml"/><Relationship Id="rId20" Type="http://schemas.openxmlformats.org/officeDocument/2006/relationships/chart" Target="charts/chart7.xml"/><Relationship Id="rId29" Type="http://schemas.openxmlformats.org/officeDocument/2006/relationships/chart" Target="charts/chart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24" Type="http://schemas.openxmlformats.org/officeDocument/2006/relationships/hyperlink" Target="http://www.pzc.nl/regio/zeeuws-nieuws/vlissingen-wint-terrein-als-haven-voor-de-offshore-industrie-1.4350258" TargetMode="External"/><Relationship Id="rId32" Type="http://schemas.openxmlformats.org/officeDocument/2006/relationships/chart" Target="charts/chart12.xml"/><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hart" Target="charts/chart5.xml"/><Relationship Id="rId23" Type="http://schemas.openxmlformats.org/officeDocument/2006/relationships/image" Target="media/image6.jpeg"/><Relationship Id="rId28" Type="http://schemas.openxmlformats.org/officeDocument/2006/relationships/hyperlink" Target="http://www.logistiek.nl/Distributie/multimodaal-transport/2012/10/Verbrugge-Terminals-dreigt-met-vertrek-uit-Zeeland-1091471W/" TargetMode="External"/><Relationship Id="rId36" Type="http://schemas.openxmlformats.org/officeDocument/2006/relationships/chart" Target="charts/chart16.xml"/><Relationship Id="rId10" Type="http://schemas.openxmlformats.org/officeDocument/2006/relationships/image" Target="media/image1.png"/><Relationship Id="rId19" Type="http://schemas.openxmlformats.org/officeDocument/2006/relationships/image" Target="media/image4.png"/><Relationship Id="rId31" Type="http://schemas.openxmlformats.org/officeDocument/2006/relationships/chart" Target="charts/chart11.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chart" Target="charts/chart4.xml"/><Relationship Id="rId22" Type="http://schemas.openxmlformats.org/officeDocument/2006/relationships/image" Target="media/image5.jpeg"/><Relationship Id="rId27" Type="http://schemas.openxmlformats.org/officeDocument/2006/relationships/hyperlink" Target="http://www.vroon.nl/Company" TargetMode="External"/><Relationship Id="rId30" Type="http://schemas.openxmlformats.org/officeDocument/2006/relationships/chart" Target="charts/chart10.xml"/><Relationship Id="rId35" Type="http://schemas.openxmlformats.org/officeDocument/2006/relationships/chart" Target="charts/chart15.xml"/></Relationships>
</file>

<file path=word/_rels/footnotes.xml.rels><?xml version="1.0" encoding="UTF-8" standalone="yes"?>
<Relationships xmlns="http://schemas.openxmlformats.org/package/2006/relationships"><Relationship Id="rId3" Type="http://schemas.openxmlformats.org/officeDocument/2006/relationships/hyperlink" Target="http://www.pzc.nl/regio/zeeuws-nieuws/vlissingen-wint-terrein-als-haven-voor-de-offshore-industrie-1.4350258" TargetMode="External"/><Relationship Id="rId2" Type="http://schemas.openxmlformats.org/officeDocument/2006/relationships/hyperlink" Target="http://www.zeelandseaports.nl/nl/het-havenbedrijf/profiel/historie/zeeland-seaports.htm" TargetMode="External"/><Relationship Id="rId1" Type="http://schemas.openxmlformats.org/officeDocument/2006/relationships/hyperlink" Target="http://www.zeeland.nl/werken_ondernemen/werkgelegenheid/" TargetMode="External"/><Relationship Id="rId4" Type="http://schemas.openxmlformats.org/officeDocument/2006/relationships/hyperlink" Target="http://www.vroon.nl/Company"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Map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Map1"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Map1"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Map1"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Map1"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Map1"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Yannick\Documents\Studie\Economie%20en%20Bedrijfseconomie\Jaar%203%20-%20Bachelor\Bachelorscriptie\Hoofdstuk%203\Shift-share%20analyse.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Yannick\Documents\Studie\Economie%20en%20Bedrijfseconomie\Jaar%203%20-%20Bachelor\Bachelorscriptie\Hoofdstuk%203\Shift-share%20analyse.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Yannick\Documents\Studie\Economie%20en%20Bedrijfseconomie\Jaar%203%20-%20Bachelor\Bachelorscriptie\Hoofdstuk%203\Shift-share%20analyse.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Yannick\Documents\Studie\Economie%20en%20Bedrijfseconomie\Jaar%203%20-%20Bachelor\Bachelorscriptie\Hoofdstuk%203\Shift-share%20analyse.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Users\Yannick\Documents\Studie\Economie%20en%20Bedrijfseconomie\Jaar%203%20-%20Bachelor\Bachelorscriptie\Hoofdstuk%203\Shift-share%20analyse.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C:\Users\Yannick\Documents\Studie\Economie%20en%20Bedrijfseconomie\Jaar%203%20-%20Bachelor\Bachelorscriptie\Hoofdstuk%203\Shift-share%20analyse.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C:\Users\Yannick\Documents\Studie\Economie%20en%20Bedrijfseconomie\Jaar%203%20-%20Bachelor\Bachelorscriptie\Hoofdstuk%204\Shift-share%20analyse.xlsx"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C:\Users\Yannick\Documents\Studie\Economie%20en%20Bedrijfseconomie\Jaar%203%20-%20Bachelor\Bachelorscriptie\Hoofdstuk%204\Shift-share%20analyse.xlsx"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file:///C:\Users\Yannick\Documents\Studie\Economie%20en%20Bedrijfseconomie\Jaar%203%20-%20Bachelor\Bachelorscriptie\Hoofdstuk%204\Shift-share%20analyse.xlsx" TargetMode="External"/></Relationships>
</file>

<file path=word/charts/_rels/chart16.xml.rels><?xml version="1.0" encoding="UTF-8" standalone="yes"?>
<Relationships xmlns="http://schemas.openxmlformats.org/package/2006/relationships"><Relationship Id="rId1" Type="http://schemas.openxmlformats.org/officeDocument/2006/relationships/oleObject" Target="file:///C:\Users\Yannick\Documents\Studie\Economie%20en%20Bedrijfseconomie\Jaar%203%20-%20Bachelor\Bachelorscriptie\Hoofdstuk%204\Shift-share%20analyse.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lang val="en-US"/>
  <c:chart>
    <c:title>
      <c:tx>
        <c:rich>
          <a:bodyPr/>
          <a:lstStyle/>
          <a:p>
            <a:pPr>
              <a:defRPr sz="1100"/>
            </a:pPr>
            <a:r>
              <a:rPr lang="nl-NL" sz="1100"/>
              <a:t>Directe werkgelegenheid</a:t>
            </a:r>
            <a:r>
              <a:rPr lang="nl-NL" sz="1100" baseline="0"/>
              <a:t> (arbeidsplaatsen)</a:t>
            </a:r>
            <a:endParaRPr lang="nl-NL" sz="1100"/>
          </a:p>
        </c:rich>
      </c:tx>
    </c:title>
    <c:plotArea>
      <c:layout/>
      <c:barChart>
        <c:barDir val="col"/>
        <c:grouping val="clustered"/>
        <c:ser>
          <c:idx val="0"/>
          <c:order val="0"/>
          <c:tx>
            <c:strRef>
              <c:f>Direct!$A$2</c:f>
              <c:strCache>
                <c:ptCount val="1"/>
                <c:pt idx="0">
                  <c:v>Vlissingen</c:v>
                </c:pt>
              </c:strCache>
            </c:strRef>
          </c:tx>
          <c:cat>
            <c:numRef>
              <c:f>Direct!$B$1:$H$1</c:f>
              <c:numCache>
                <c:formatCode>Standaard</c:formatCode>
                <c:ptCount val="7"/>
                <c:pt idx="0">
                  <c:v>2006</c:v>
                </c:pt>
                <c:pt idx="1">
                  <c:v>2007</c:v>
                </c:pt>
                <c:pt idx="2">
                  <c:v>2008</c:v>
                </c:pt>
                <c:pt idx="3">
                  <c:v>2009</c:v>
                </c:pt>
                <c:pt idx="4">
                  <c:v>2010</c:v>
                </c:pt>
                <c:pt idx="5">
                  <c:v>2011</c:v>
                </c:pt>
                <c:pt idx="6">
                  <c:v>2012</c:v>
                </c:pt>
              </c:numCache>
            </c:numRef>
          </c:cat>
          <c:val>
            <c:numRef>
              <c:f>Direct!$B$2:$H$2</c:f>
              <c:numCache>
                <c:formatCode>Standaard</c:formatCode>
                <c:ptCount val="7"/>
                <c:pt idx="0">
                  <c:v>6424</c:v>
                </c:pt>
                <c:pt idx="1">
                  <c:v>6863</c:v>
                </c:pt>
                <c:pt idx="2">
                  <c:v>7027</c:v>
                </c:pt>
                <c:pt idx="3">
                  <c:v>6562</c:v>
                </c:pt>
                <c:pt idx="4">
                  <c:v>6273</c:v>
                </c:pt>
                <c:pt idx="5">
                  <c:v>6524</c:v>
                </c:pt>
                <c:pt idx="6">
                  <c:v>5828</c:v>
                </c:pt>
              </c:numCache>
            </c:numRef>
          </c:val>
        </c:ser>
        <c:ser>
          <c:idx val="1"/>
          <c:order val="1"/>
          <c:tx>
            <c:strRef>
              <c:f>Direct!$A$3</c:f>
              <c:strCache>
                <c:ptCount val="1"/>
                <c:pt idx="0">
                  <c:v>Terneuzen</c:v>
                </c:pt>
              </c:strCache>
            </c:strRef>
          </c:tx>
          <c:cat>
            <c:numRef>
              <c:f>Direct!$B$1:$H$1</c:f>
              <c:numCache>
                <c:formatCode>Standaard</c:formatCode>
                <c:ptCount val="7"/>
                <c:pt idx="0">
                  <c:v>2006</c:v>
                </c:pt>
                <c:pt idx="1">
                  <c:v>2007</c:v>
                </c:pt>
                <c:pt idx="2">
                  <c:v>2008</c:v>
                </c:pt>
                <c:pt idx="3">
                  <c:v>2009</c:v>
                </c:pt>
                <c:pt idx="4">
                  <c:v>2010</c:v>
                </c:pt>
                <c:pt idx="5">
                  <c:v>2011</c:v>
                </c:pt>
                <c:pt idx="6">
                  <c:v>2012</c:v>
                </c:pt>
              </c:numCache>
            </c:numRef>
          </c:cat>
          <c:val>
            <c:numRef>
              <c:f>Direct!$B$3:$H$3</c:f>
              <c:numCache>
                <c:formatCode>Standaard</c:formatCode>
                <c:ptCount val="7"/>
                <c:pt idx="0">
                  <c:v>7168</c:v>
                </c:pt>
                <c:pt idx="1">
                  <c:v>7221</c:v>
                </c:pt>
                <c:pt idx="2">
                  <c:v>7331</c:v>
                </c:pt>
                <c:pt idx="3">
                  <c:v>7241</c:v>
                </c:pt>
                <c:pt idx="4">
                  <c:v>7133</c:v>
                </c:pt>
                <c:pt idx="5">
                  <c:v>7082</c:v>
                </c:pt>
                <c:pt idx="6">
                  <c:v>7111</c:v>
                </c:pt>
              </c:numCache>
            </c:numRef>
          </c:val>
        </c:ser>
        <c:ser>
          <c:idx val="2"/>
          <c:order val="2"/>
          <c:tx>
            <c:strRef>
              <c:f>Direct!$A$4</c:f>
              <c:strCache>
                <c:ptCount val="1"/>
                <c:pt idx="0">
                  <c:v>Totaal</c:v>
                </c:pt>
              </c:strCache>
            </c:strRef>
          </c:tx>
          <c:cat>
            <c:numRef>
              <c:f>Direct!$B$1:$H$1</c:f>
              <c:numCache>
                <c:formatCode>Standaard</c:formatCode>
                <c:ptCount val="7"/>
                <c:pt idx="0">
                  <c:v>2006</c:v>
                </c:pt>
                <c:pt idx="1">
                  <c:v>2007</c:v>
                </c:pt>
                <c:pt idx="2">
                  <c:v>2008</c:v>
                </c:pt>
                <c:pt idx="3">
                  <c:v>2009</c:v>
                </c:pt>
                <c:pt idx="4">
                  <c:v>2010</c:v>
                </c:pt>
                <c:pt idx="5">
                  <c:v>2011</c:v>
                </c:pt>
                <c:pt idx="6">
                  <c:v>2012</c:v>
                </c:pt>
              </c:numCache>
            </c:numRef>
          </c:cat>
          <c:val>
            <c:numRef>
              <c:f>Direct!$B$4:$H$4</c:f>
              <c:numCache>
                <c:formatCode>Standaard</c:formatCode>
                <c:ptCount val="7"/>
                <c:pt idx="0">
                  <c:v>13592</c:v>
                </c:pt>
                <c:pt idx="1">
                  <c:v>14084</c:v>
                </c:pt>
                <c:pt idx="2">
                  <c:v>14358</c:v>
                </c:pt>
                <c:pt idx="3">
                  <c:v>13803</c:v>
                </c:pt>
                <c:pt idx="4">
                  <c:v>13406</c:v>
                </c:pt>
                <c:pt idx="5">
                  <c:v>13606</c:v>
                </c:pt>
                <c:pt idx="6">
                  <c:v>12939</c:v>
                </c:pt>
              </c:numCache>
            </c:numRef>
          </c:val>
        </c:ser>
        <c:dLbls/>
        <c:axId val="133559040"/>
        <c:axId val="133560576"/>
      </c:barChart>
      <c:catAx>
        <c:axId val="133559040"/>
        <c:scaling>
          <c:orientation val="minMax"/>
        </c:scaling>
        <c:axPos val="b"/>
        <c:numFmt formatCode="Standaard" sourceLinked="1"/>
        <c:tickLblPos val="nextTo"/>
        <c:crossAx val="133560576"/>
        <c:crosses val="autoZero"/>
        <c:auto val="1"/>
        <c:lblAlgn val="ctr"/>
        <c:lblOffset val="100"/>
      </c:catAx>
      <c:valAx>
        <c:axId val="133560576"/>
        <c:scaling>
          <c:orientation val="minMax"/>
        </c:scaling>
        <c:axPos val="l"/>
        <c:majorGridlines/>
        <c:numFmt formatCode="Standaard" sourceLinked="1"/>
        <c:tickLblPos val="nextTo"/>
        <c:crossAx val="133559040"/>
        <c:crosses val="autoZero"/>
        <c:crossBetween val="between"/>
      </c:valAx>
    </c:plotArea>
    <c:legend>
      <c:legendPos val="r"/>
    </c:legend>
    <c:plotVisOnly val="1"/>
    <c:dispBlanksAs val="gap"/>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en-US"/>
  <c:chart>
    <c:title>
      <c:tx>
        <c:rich>
          <a:bodyPr/>
          <a:lstStyle/>
          <a:p>
            <a:pPr>
              <a:defRPr sz="1100"/>
            </a:pPr>
            <a:r>
              <a:rPr lang="nl-NL" sz="1100"/>
              <a:t>Directe toegevoegde waarde (in miljoen €) </a:t>
            </a:r>
          </a:p>
        </c:rich>
      </c:tx>
    </c:title>
    <c:plotArea>
      <c:layout/>
      <c:barChart>
        <c:barDir val="col"/>
        <c:grouping val="clustered"/>
        <c:ser>
          <c:idx val="0"/>
          <c:order val="0"/>
          <c:tx>
            <c:strRef>
              <c:f>Direct!$J$2</c:f>
              <c:strCache>
                <c:ptCount val="1"/>
                <c:pt idx="0">
                  <c:v>Vlissingen</c:v>
                </c:pt>
              </c:strCache>
            </c:strRef>
          </c:tx>
          <c:cat>
            <c:numRef>
              <c:f>Direct!$K$1:$Q$1</c:f>
              <c:numCache>
                <c:formatCode>Standaard</c:formatCode>
                <c:ptCount val="7"/>
                <c:pt idx="0">
                  <c:v>2006</c:v>
                </c:pt>
                <c:pt idx="1">
                  <c:v>2007</c:v>
                </c:pt>
                <c:pt idx="2">
                  <c:v>2008</c:v>
                </c:pt>
                <c:pt idx="3">
                  <c:v>2009</c:v>
                </c:pt>
                <c:pt idx="4">
                  <c:v>2010</c:v>
                </c:pt>
                <c:pt idx="5">
                  <c:v>2011</c:v>
                </c:pt>
                <c:pt idx="6">
                  <c:v>2012</c:v>
                </c:pt>
              </c:numCache>
            </c:numRef>
          </c:cat>
          <c:val>
            <c:numRef>
              <c:f>Direct!$K$2:$Q$2</c:f>
              <c:numCache>
                <c:formatCode>Standaard</c:formatCode>
                <c:ptCount val="7"/>
                <c:pt idx="0">
                  <c:v>714</c:v>
                </c:pt>
                <c:pt idx="1">
                  <c:v>783</c:v>
                </c:pt>
                <c:pt idx="2">
                  <c:v>836</c:v>
                </c:pt>
                <c:pt idx="3">
                  <c:v>693</c:v>
                </c:pt>
                <c:pt idx="4">
                  <c:v>760</c:v>
                </c:pt>
                <c:pt idx="5">
                  <c:v>752</c:v>
                </c:pt>
                <c:pt idx="6">
                  <c:v>635</c:v>
                </c:pt>
              </c:numCache>
            </c:numRef>
          </c:val>
        </c:ser>
        <c:ser>
          <c:idx val="1"/>
          <c:order val="1"/>
          <c:tx>
            <c:strRef>
              <c:f>Direct!$J$3</c:f>
              <c:strCache>
                <c:ptCount val="1"/>
                <c:pt idx="0">
                  <c:v>Terneuzen</c:v>
                </c:pt>
              </c:strCache>
            </c:strRef>
          </c:tx>
          <c:cat>
            <c:numRef>
              <c:f>Direct!$K$1:$Q$1</c:f>
              <c:numCache>
                <c:formatCode>Standaard</c:formatCode>
                <c:ptCount val="7"/>
                <c:pt idx="0">
                  <c:v>2006</c:v>
                </c:pt>
                <c:pt idx="1">
                  <c:v>2007</c:v>
                </c:pt>
                <c:pt idx="2">
                  <c:v>2008</c:v>
                </c:pt>
                <c:pt idx="3">
                  <c:v>2009</c:v>
                </c:pt>
                <c:pt idx="4">
                  <c:v>2010</c:v>
                </c:pt>
                <c:pt idx="5">
                  <c:v>2011</c:v>
                </c:pt>
                <c:pt idx="6">
                  <c:v>2012</c:v>
                </c:pt>
              </c:numCache>
            </c:numRef>
          </c:cat>
          <c:val>
            <c:numRef>
              <c:f>Direct!$K$3:$Q$3</c:f>
              <c:numCache>
                <c:formatCode>Standaard</c:formatCode>
                <c:ptCount val="7"/>
                <c:pt idx="0">
                  <c:v>1881</c:v>
                </c:pt>
                <c:pt idx="1">
                  <c:v>2070</c:v>
                </c:pt>
                <c:pt idx="2">
                  <c:v>2159</c:v>
                </c:pt>
                <c:pt idx="3">
                  <c:v>1594</c:v>
                </c:pt>
                <c:pt idx="4">
                  <c:v>2104</c:v>
                </c:pt>
                <c:pt idx="5">
                  <c:v>2271</c:v>
                </c:pt>
                <c:pt idx="6">
                  <c:v>2032</c:v>
                </c:pt>
              </c:numCache>
            </c:numRef>
          </c:val>
        </c:ser>
        <c:ser>
          <c:idx val="2"/>
          <c:order val="2"/>
          <c:tx>
            <c:strRef>
              <c:f>Direct!$J$4</c:f>
              <c:strCache>
                <c:ptCount val="1"/>
                <c:pt idx="0">
                  <c:v>Totaal</c:v>
                </c:pt>
              </c:strCache>
            </c:strRef>
          </c:tx>
          <c:cat>
            <c:numRef>
              <c:f>Direct!$K$1:$Q$1</c:f>
              <c:numCache>
                <c:formatCode>Standaard</c:formatCode>
                <c:ptCount val="7"/>
                <c:pt idx="0">
                  <c:v>2006</c:v>
                </c:pt>
                <c:pt idx="1">
                  <c:v>2007</c:v>
                </c:pt>
                <c:pt idx="2">
                  <c:v>2008</c:v>
                </c:pt>
                <c:pt idx="3">
                  <c:v>2009</c:v>
                </c:pt>
                <c:pt idx="4">
                  <c:v>2010</c:v>
                </c:pt>
                <c:pt idx="5">
                  <c:v>2011</c:v>
                </c:pt>
                <c:pt idx="6">
                  <c:v>2012</c:v>
                </c:pt>
              </c:numCache>
            </c:numRef>
          </c:cat>
          <c:val>
            <c:numRef>
              <c:f>Direct!$K$4:$Q$4</c:f>
              <c:numCache>
                <c:formatCode>Standaard</c:formatCode>
                <c:ptCount val="7"/>
                <c:pt idx="0">
                  <c:v>2595</c:v>
                </c:pt>
                <c:pt idx="1">
                  <c:v>2853</c:v>
                </c:pt>
                <c:pt idx="2">
                  <c:v>2995</c:v>
                </c:pt>
                <c:pt idx="3">
                  <c:v>2287</c:v>
                </c:pt>
                <c:pt idx="4">
                  <c:v>2864</c:v>
                </c:pt>
                <c:pt idx="5">
                  <c:v>3023</c:v>
                </c:pt>
                <c:pt idx="6">
                  <c:v>2667</c:v>
                </c:pt>
              </c:numCache>
            </c:numRef>
          </c:val>
        </c:ser>
        <c:dLbls/>
        <c:axId val="138466048"/>
        <c:axId val="138467584"/>
      </c:barChart>
      <c:catAx>
        <c:axId val="138466048"/>
        <c:scaling>
          <c:orientation val="minMax"/>
        </c:scaling>
        <c:axPos val="b"/>
        <c:numFmt formatCode="Standaard" sourceLinked="1"/>
        <c:tickLblPos val="nextTo"/>
        <c:crossAx val="138467584"/>
        <c:crosses val="autoZero"/>
        <c:auto val="1"/>
        <c:lblAlgn val="ctr"/>
        <c:lblOffset val="100"/>
      </c:catAx>
      <c:valAx>
        <c:axId val="138467584"/>
        <c:scaling>
          <c:orientation val="minMax"/>
        </c:scaling>
        <c:axPos val="l"/>
        <c:majorGridlines/>
        <c:numFmt formatCode="Standaard" sourceLinked="1"/>
        <c:tickLblPos val="nextTo"/>
        <c:crossAx val="138466048"/>
        <c:crosses val="autoZero"/>
        <c:crossBetween val="between"/>
      </c:valAx>
    </c:plotArea>
    <c:legend>
      <c:legendPos val="r"/>
    </c:legend>
    <c:plotVisOnly val="1"/>
    <c:dispBlanksAs val="gap"/>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en-US"/>
  <c:chart>
    <c:title>
      <c:tx>
        <c:rich>
          <a:bodyPr/>
          <a:lstStyle/>
          <a:p>
            <a:pPr>
              <a:defRPr sz="1100"/>
            </a:pPr>
            <a:r>
              <a:rPr lang="nl-NL" sz="1100"/>
              <a:t>Indirecte werkgelegenheid</a:t>
            </a:r>
            <a:r>
              <a:rPr lang="nl-NL" sz="1100" baseline="0"/>
              <a:t> (arbeidsplaatsen)</a:t>
            </a:r>
            <a:endParaRPr lang="nl-NL" sz="1100"/>
          </a:p>
        </c:rich>
      </c:tx>
    </c:title>
    <c:plotArea>
      <c:layout/>
      <c:barChart>
        <c:barDir val="col"/>
        <c:grouping val="clustered"/>
        <c:ser>
          <c:idx val="0"/>
          <c:order val="0"/>
          <c:tx>
            <c:strRef>
              <c:f>Indirect!$A$2</c:f>
              <c:strCache>
                <c:ptCount val="1"/>
                <c:pt idx="0">
                  <c:v>Vlissingen</c:v>
                </c:pt>
              </c:strCache>
            </c:strRef>
          </c:tx>
          <c:cat>
            <c:numRef>
              <c:f>Indirect!$B$1:$H$1</c:f>
              <c:numCache>
                <c:formatCode>Standaard</c:formatCode>
                <c:ptCount val="7"/>
                <c:pt idx="0">
                  <c:v>2006</c:v>
                </c:pt>
                <c:pt idx="1">
                  <c:v>2007</c:v>
                </c:pt>
                <c:pt idx="2">
                  <c:v>2008</c:v>
                </c:pt>
                <c:pt idx="3">
                  <c:v>2009</c:v>
                </c:pt>
                <c:pt idx="4">
                  <c:v>2010</c:v>
                </c:pt>
                <c:pt idx="5">
                  <c:v>2011</c:v>
                </c:pt>
                <c:pt idx="6">
                  <c:v>2012</c:v>
                </c:pt>
              </c:numCache>
            </c:numRef>
          </c:cat>
          <c:val>
            <c:numRef>
              <c:f>Indirect!$B$2:$H$2</c:f>
              <c:numCache>
                <c:formatCode>Standaard</c:formatCode>
                <c:ptCount val="7"/>
                <c:pt idx="0">
                  <c:v>3877</c:v>
                </c:pt>
                <c:pt idx="1">
                  <c:v>4556</c:v>
                </c:pt>
                <c:pt idx="2">
                  <c:v>4426</c:v>
                </c:pt>
                <c:pt idx="3">
                  <c:v>4221</c:v>
                </c:pt>
                <c:pt idx="4">
                  <c:v>3801</c:v>
                </c:pt>
                <c:pt idx="5">
                  <c:v>3845</c:v>
                </c:pt>
                <c:pt idx="6">
                  <c:v>3214</c:v>
                </c:pt>
              </c:numCache>
            </c:numRef>
          </c:val>
        </c:ser>
        <c:ser>
          <c:idx val="1"/>
          <c:order val="1"/>
          <c:tx>
            <c:strRef>
              <c:f>Indirect!$A$3</c:f>
              <c:strCache>
                <c:ptCount val="1"/>
                <c:pt idx="0">
                  <c:v>Terneuzen</c:v>
                </c:pt>
              </c:strCache>
            </c:strRef>
          </c:tx>
          <c:cat>
            <c:numRef>
              <c:f>Indirect!$B$1:$H$1</c:f>
              <c:numCache>
                <c:formatCode>Standaard</c:formatCode>
                <c:ptCount val="7"/>
                <c:pt idx="0">
                  <c:v>2006</c:v>
                </c:pt>
                <c:pt idx="1">
                  <c:v>2007</c:v>
                </c:pt>
                <c:pt idx="2">
                  <c:v>2008</c:v>
                </c:pt>
                <c:pt idx="3">
                  <c:v>2009</c:v>
                </c:pt>
                <c:pt idx="4">
                  <c:v>2010</c:v>
                </c:pt>
                <c:pt idx="5">
                  <c:v>2011</c:v>
                </c:pt>
                <c:pt idx="6">
                  <c:v>2012</c:v>
                </c:pt>
              </c:numCache>
            </c:numRef>
          </c:cat>
          <c:val>
            <c:numRef>
              <c:f>Indirect!$B$3:$H$3</c:f>
              <c:numCache>
                <c:formatCode>Standaard</c:formatCode>
                <c:ptCount val="7"/>
                <c:pt idx="0">
                  <c:v>2190</c:v>
                </c:pt>
                <c:pt idx="1">
                  <c:v>2413</c:v>
                </c:pt>
                <c:pt idx="2">
                  <c:v>2431</c:v>
                </c:pt>
                <c:pt idx="3">
                  <c:v>2336</c:v>
                </c:pt>
                <c:pt idx="4">
                  <c:v>2570</c:v>
                </c:pt>
                <c:pt idx="5">
                  <c:v>2612</c:v>
                </c:pt>
                <c:pt idx="6">
                  <c:v>3021</c:v>
                </c:pt>
              </c:numCache>
            </c:numRef>
          </c:val>
        </c:ser>
        <c:ser>
          <c:idx val="2"/>
          <c:order val="2"/>
          <c:tx>
            <c:strRef>
              <c:f>Indirect!$A$4</c:f>
              <c:strCache>
                <c:ptCount val="1"/>
                <c:pt idx="0">
                  <c:v>Totaal</c:v>
                </c:pt>
              </c:strCache>
            </c:strRef>
          </c:tx>
          <c:cat>
            <c:numRef>
              <c:f>Indirect!$B$1:$H$1</c:f>
              <c:numCache>
                <c:formatCode>Standaard</c:formatCode>
                <c:ptCount val="7"/>
                <c:pt idx="0">
                  <c:v>2006</c:v>
                </c:pt>
                <c:pt idx="1">
                  <c:v>2007</c:v>
                </c:pt>
                <c:pt idx="2">
                  <c:v>2008</c:v>
                </c:pt>
                <c:pt idx="3">
                  <c:v>2009</c:v>
                </c:pt>
                <c:pt idx="4">
                  <c:v>2010</c:v>
                </c:pt>
                <c:pt idx="5">
                  <c:v>2011</c:v>
                </c:pt>
                <c:pt idx="6">
                  <c:v>2012</c:v>
                </c:pt>
              </c:numCache>
            </c:numRef>
          </c:cat>
          <c:val>
            <c:numRef>
              <c:f>Indirect!$B$4:$H$4</c:f>
              <c:numCache>
                <c:formatCode>Standaard</c:formatCode>
                <c:ptCount val="7"/>
                <c:pt idx="0">
                  <c:v>6067</c:v>
                </c:pt>
                <c:pt idx="1">
                  <c:v>6969</c:v>
                </c:pt>
                <c:pt idx="2">
                  <c:v>6857</c:v>
                </c:pt>
                <c:pt idx="3">
                  <c:v>6557</c:v>
                </c:pt>
                <c:pt idx="4">
                  <c:v>6371</c:v>
                </c:pt>
                <c:pt idx="5">
                  <c:v>6457</c:v>
                </c:pt>
                <c:pt idx="6">
                  <c:v>6235</c:v>
                </c:pt>
              </c:numCache>
            </c:numRef>
          </c:val>
        </c:ser>
        <c:dLbls/>
        <c:axId val="45974272"/>
        <c:axId val="45975808"/>
      </c:barChart>
      <c:catAx>
        <c:axId val="45974272"/>
        <c:scaling>
          <c:orientation val="minMax"/>
        </c:scaling>
        <c:axPos val="b"/>
        <c:numFmt formatCode="Standaard" sourceLinked="1"/>
        <c:tickLblPos val="nextTo"/>
        <c:crossAx val="45975808"/>
        <c:crosses val="autoZero"/>
        <c:auto val="1"/>
        <c:lblAlgn val="ctr"/>
        <c:lblOffset val="100"/>
      </c:catAx>
      <c:valAx>
        <c:axId val="45975808"/>
        <c:scaling>
          <c:orientation val="minMax"/>
        </c:scaling>
        <c:axPos val="l"/>
        <c:majorGridlines/>
        <c:numFmt formatCode="Standaard" sourceLinked="1"/>
        <c:tickLblPos val="nextTo"/>
        <c:crossAx val="45974272"/>
        <c:crosses val="autoZero"/>
        <c:crossBetween val="between"/>
      </c:valAx>
    </c:plotArea>
    <c:legend>
      <c:legendPos val="r"/>
    </c:legend>
    <c:plotVisOnly val="1"/>
    <c:dispBlanksAs val="gap"/>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lang val="en-US"/>
  <c:chart>
    <c:title>
      <c:tx>
        <c:rich>
          <a:bodyPr/>
          <a:lstStyle/>
          <a:p>
            <a:pPr>
              <a:defRPr sz="1100"/>
            </a:pPr>
            <a:r>
              <a:rPr lang="nl-NL" sz="1100"/>
              <a:t>Indirecte toegevoegde waarde (in miljoen €) </a:t>
            </a:r>
          </a:p>
        </c:rich>
      </c:tx>
    </c:title>
    <c:plotArea>
      <c:layout/>
      <c:barChart>
        <c:barDir val="col"/>
        <c:grouping val="clustered"/>
        <c:ser>
          <c:idx val="0"/>
          <c:order val="0"/>
          <c:tx>
            <c:strRef>
              <c:f>Indirect!$J$2</c:f>
              <c:strCache>
                <c:ptCount val="1"/>
                <c:pt idx="0">
                  <c:v>Vlissingen</c:v>
                </c:pt>
              </c:strCache>
            </c:strRef>
          </c:tx>
          <c:cat>
            <c:numRef>
              <c:f>Indirect!$K$1:$Q$1</c:f>
              <c:numCache>
                <c:formatCode>Standaard</c:formatCode>
                <c:ptCount val="7"/>
                <c:pt idx="0">
                  <c:v>2006</c:v>
                </c:pt>
                <c:pt idx="1">
                  <c:v>2007</c:v>
                </c:pt>
                <c:pt idx="2">
                  <c:v>2008</c:v>
                </c:pt>
                <c:pt idx="3">
                  <c:v>2009</c:v>
                </c:pt>
                <c:pt idx="4">
                  <c:v>2010</c:v>
                </c:pt>
                <c:pt idx="5">
                  <c:v>2011</c:v>
                </c:pt>
                <c:pt idx="6">
                  <c:v>2012</c:v>
                </c:pt>
              </c:numCache>
            </c:numRef>
          </c:cat>
          <c:val>
            <c:numRef>
              <c:f>Indirect!$K$2:$Q$2</c:f>
              <c:numCache>
                <c:formatCode>Standaard</c:formatCode>
                <c:ptCount val="7"/>
                <c:pt idx="0">
                  <c:v>386</c:v>
                </c:pt>
                <c:pt idx="1">
                  <c:v>432</c:v>
                </c:pt>
                <c:pt idx="2">
                  <c:v>466</c:v>
                </c:pt>
                <c:pt idx="3">
                  <c:v>436</c:v>
                </c:pt>
                <c:pt idx="4">
                  <c:v>429</c:v>
                </c:pt>
                <c:pt idx="5">
                  <c:v>476</c:v>
                </c:pt>
                <c:pt idx="6">
                  <c:v>329</c:v>
                </c:pt>
              </c:numCache>
            </c:numRef>
          </c:val>
        </c:ser>
        <c:ser>
          <c:idx val="1"/>
          <c:order val="1"/>
          <c:tx>
            <c:strRef>
              <c:f>Indirect!$J$3</c:f>
              <c:strCache>
                <c:ptCount val="1"/>
                <c:pt idx="0">
                  <c:v>Terneuzen</c:v>
                </c:pt>
              </c:strCache>
            </c:strRef>
          </c:tx>
          <c:cat>
            <c:numRef>
              <c:f>Indirect!$K$1:$Q$1</c:f>
              <c:numCache>
                <c:formatCode>Standaard</c:formatCode>
                <c:ptCount val="7"/>
                <c:pt idx="0">
                  <c:v>2006</c:v>
                </c:pt>
                <c:pt idx="1">
                  <c:v>2007</c:v>
                </c:pt>
                <c:pt idx="2">
                  <c:v>2008</c:v>
                </c:pt>
                <c:pt idx="3">
                  <c:v>2009</c:v>
                </c:pt>
                <c:pt idx="4">
                  <c:v>2010</c:v>
                </c:pt>
                <c:pt idx="5">
                  <c:v>2011</c:v>
                </c:pt>
                <c:pt idx="6">
                  <c:v>2012</c:v>
                </c:pt>
              </c:numCache>
            </c:numRef>
          </c:cat>
          <c:val>
            <c:numRef>
              <c:f>Indirect!$K$3:$Q$3</c:f>
              <c:numCache>
                <c:formatCode>Standaard</c:formatCode>
                <c:ptCount val="7"/>
                <c:pt idx="0">
                  <c:v>254</c:v>
                </c:pt>
                <c:pt idx="1">
                  <c:v>271</c:v>
                </c:pt>
                <c:pt idx="2">
                  <c:v>324</c:v>
                </c:pt>
                <c:pt idx="3">
                  <c:v>267</c:v>
                </c:pt>
                <c:pt idx="4">
                  <c:v>217</c:v>
                </c:pt>
                <c:pt idx="5">
                  <c:v>252</c:v>
                </c:pt>
                <c:pt idx="6">
                  <c:v>296</c:v>
                </c:pt>
              </c:numCache>
            </c:numRef>
          </c:val>
        </c:ser>
        <c:ser>
          <c:idx val="2"/>
          <c:order val="2"/>
          <c:tx>
            <c:strRef>
              <c:f>Indirect!$J$4</c:f>
              <c:strCache>
                <c:ptCount val="1"/>
                <c:pt idx="0">
                  <c:v>Totaal</c:v>
                </c:pt>
              </c:strCache>
            </c:strRef>
          </c:tx>
          <c:cat>
            <c:numRef>
              <c:f>Indirect!$K$1:$Q$1</c:f>
              <c:numCache>
                <c:formatCode>Standaard</c:formatCode>
                <c:ptCount val="7"/>
                <c:pt idx="0">
                  <c:v>2006</c:v>
                </c:pt>
                <c:pt idx="1">
                  <c:v>2007</c:v>
                </c:pt>
                <c:pt idx="2">
                  <c:v>2008</c:v>
                </c:pt>
                <c:pt idx="3">
                  <c:v>2009</c:v>
                </c:pt>
                <c:pt idx="4">
                  <c:v>2010</c:v>
                </c:pt>
                <c:pt idx="5">
                  <c:v>2011</c:v>
                </c:pt>
                <c:pt idx="6">
                  <c:v>2012</c:v>
                </c:pt>
              </c:numCache>
            </c:numRef>
          </c:cat>
          <c:val>
            <c:numRef>
              <c:f>Indirect!$K$4:$Q$4</c:f>
              <c:numCache>
                <c:formatCode>Standaard</c:formatCode>
                <c:ptCount val="7"/>
                <c:pt idx="0">
                  <c:v>640</c:v>
                </c:pt>
                <c:pt idx="1">
                  <c:v>703</c:v>
                </c:pt>
                <c:pt idx="2">
                  <c:v>790</c:v>
                </c:pt>
                <c:pt idx="3">
                  <c:v>703</c:v>
                </c:pt>
                <c:pt idx="4">
                  <c:v>646</c:v>
                </c:pt>
                <c:pt idx="5">
                  <c:v>728</c:v>
                </c:pt>
                <c:pt idx="6">
                  <c:v>625</c:v>
                </c:pt>
              </c:numCache>
            </c:numRef>
          </c:val>
        </c:ser>
        <c:dLbls/>
        <c:axId val="47395584"/>
        <c:axId val="47397120"/>
      </c:barChart>
      <c:catAx>
        <c:axId val="47395584"/>
        <c:scaling>
          <c:orientation val="minMax"/>
        </c:scaling>
        <c:axPos val="b"/>
        <c:numFmt formatCode="Standaard" sourceLinked="1"/>
        <c:tickLblPos val="nextTo"/>
        <c:crossAx val="47397120"/>
        <c:crosses val="autoZero"/>
        <c:auto val="1"/>
        <c:lblAlgn val="ctr"/>
        <c:lblOffset val="100"/>
      </c:catAx>
      <c:valAx>
        <c:axId val="47397120"/>
        <c:scaling>
          <c:orientation val="minMax"/>
        </c:scaling>
        <c:axPos val="l"/>
        <c:majorGridlines/>
        <c:numFmt formatCode="Standaard" sourceLinked="1"/>
        <c:tickLblPos val="nextTo"/>
        <c:crossAx val="47395584"/>
        <c:crosses val="autoZero"/>
        <c:crossBetween val="between"/>
      </c:valAx>
    </c:plotArea>
    <c:legend>
      <c:legendPos val="r"/>
    </c:legend>
    <c:plotVisOnly val="1"/>
    <c:dispBlanksAs val="gap"/>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lang val="en-US"/>
  <c:chart>
    <c:title>
      <c:tx>
        <c:rich>
          <a:bodyPr/>
          <a:lstStyle/>
          <a:p>
            <a:pPr>
              <a:defRPr sz="1100"/>
            </a:pPr>
            <a:r>
              <a:rPr lang="en-US" sz="1100"/>
              <a:t>Aandeel werkgelegenheid Zeeuwse</a:t>
            </a:r>
            <a:r>
              <a:rPr lang="en-US" sz="1100" baseline="0"/>
              <a:t> havens in Zeeland</a:t>
            </a:r>
          </a:p>
        </c:rich>
      </c:tx>
    </c:title>
    <c:plotArea>
      <c:layout/>
      <c:lineChart>
        <c:grouping val="standard"/>
        <c:ser>
          <c:idx val="0"/>
          <c:order val="0"/>
          <c:tx>
            <c:strRef>
              <c:f>Blad3!$A$2</c:f>
              <c:strCache>
                <c:ptCount val="1"/>
                <c:pt idx="0">
                  <c:v>Zeeland</c:v>
                </c:pt>
              </c:strCache>
            </c:strRef>
          </c:tx>
          <c:cat>
            <c:numRef>
              <c:f>Blad3!$B$1:$F$1</c:f>
              <c:numCache>
                <c:formatCode>Standaard</c:formatCode>
                <c:ptCount val="5"/>
                <c:pt idx="0">
                  <c:v>2008</c:v>
                </c:pt>
                <c:pt idx="1">
                  <c:v>2009</c:v>
                </c:pt>
                <c:pt idx="2">
                  <c:v>2010</c:v>
                </c:pt>
                <c:pt idx="3">
                  <c:v>2011</c:v>
                </c:pt>
                <c:pt idx="4">
                  <c:v>2012</c:v>
                </c:pt>
              </c:numCache>
            </c:numRef>
          </c:cat>
          <c:val>
            <c:numRef>
              <c:f>Blad3!$B$2:$F$2</c:f>
            </c:numRef>
          </c:val>
        </c:ser>
        <c:ser>
          <c:idx val="1"/>
          <c:order val="1"/>
          <c:tx>
            <c:strRef>
              <c:f>Blad3!$A$3</c:f>
              <c:strCache>
                <c:ptCount val="1"/>
                <c:pt idx="0">
                  <c:v>direct</c:v>
                </c:pt>
              </c:strCache>
            </c:strRef>
          </c:tx>
          <c:cat>
            <c:numRef>
              <c:f>Blad3!$B$1:$F$1</c:f>
              <c:numCache>
                <c:formatCode>Standaard</c:formatCode>
                <c:ptCount val="5"/>
                <c:pt idx="0">
                  <c:v>2008</c:v>
                </c:pt>
                <c:pt idx="1">
                  <c:v>2009</c:v>
                </c:pt>
                <c:pt idx="2">
                  <c:v>2010</c:v>
                </c:pt>
                <c:pt idx="3">
                  <c:v>2011</c:v>
                </c:pt>
                <c:pt idx="4">
                  <c:v>2012</c:v>
                </c:pt>
              </c:numCache>
            </c:numRef>
          </c:cat>
          <c:val>
            <c:numRef>
              <c:f>Blad3!$B$3:$F$3</c:f>
            </c:numRef>
          </c:val>
        </c:ser>
        <c:ser>
          <c:idx val="2"/>
          <c:order val="2"/>
          <c:tx>
            <c:strRef>
              <c:f>Blad3!$A$4</c:f>
              <c:strCache>
                <c:ptCount val="1"/>
                <c:pt idx="0">
                  <c:v>indirect</c:v>
                </c:pt>
              </c:strCache>
            </c:strRef>
          </c:tx>
          <c:cat>
            <c:numRef>
              <c:f>Blad3!$B$1:$F$1</c:f>
              <c:numCache>
                <c:formatCode>Standaard</c:formatCode>
                <c:ptCount val="5"/>
                <c:pt idx="0">
                  <c:v>2008</c:v>
                </c:pt>
                <c:pt idx="1">
                  <c:v>2009</c:v>
                </c:pt>
                <c:pt idx="2">
                  <c:v>2010</c:v>
                </c:pt>
                <c:pt idx="3">
                  <c:v>2011</c:v>
                </c:pt>
                <c:pt idx="4">
                  <c:v>2012</c:v>
                </c:pt>
              </c:numCache>
            </c:numRef>
          </c:cat>
          <c:val>
            <c:numRef>
              <c:f>Blad3!$B$4:$F$4</c:f>
            </c:numRef>
          </c:val>
        </c:ser>
        <c:ser>
          <c:idx val="3"/>
          <c:order val="3"/>
          <c:tx>
            <c:strRef>
              <c:f>Blad3!$A$5</c:f>
              <c:strCache>
                <c:ptCount val="1"/>
                <c:pt idx="0">
                  <c:v>Havens</c:v>
                </c:pt>
              </c:strCache>
            </c:strRef>
          </c:tx>
          <c:cat>
            <c:numRef>
              <c:f>Blad3!$B$1:$F$1</c:f>
              <c:numCache>
                <c:formatCode>Standaard</c:formatCode>
                <c:ptCount val="5"/>
                <c:pt idx="0">
                  <c:v>2008</c:v>
                </c:pt>
                <c:pt idx="1">
                  <c:v>2009</c:v>
                </c:pt>
                <c:pt idx="2">
                  <c:v>2010</c:v>
                </c:pt>
                <c:pt idx="3">
                  <c:v>2011</c:v>
                </c:pt>
                <c:pt idx="4">
                  <c:v>2012</c:v>
                </c:pt>
              </c:numCache>
            </c:numRef>
          </c:cat>
          <c:val>
            <c:numRef>
              <c:f>Blad3!$B$5:$F$5</c:f>
            </c:numRef>
          </c:val>
        </c:ser>
        <c:ser>
          <c:idx val="4"/>
          <c:order val="4"/>
          <c:tx>
            <c:strRef>
              <c:f>Blad3!$A$6</c:f>
              <c:strCache>
                <c:ptCount val="1"/>
                <c:pt idx="0">
                  <c:v>Aandeel</c:v>
                </c:pt>
              </c:strCache>
            </c:strRef>
          </c:tx>
          <c:marker>
            <c:symbol val="square"/>
            <c:size val="5"/>
          </c:marker>
          <c:cat>
            <c:numRef>
              <c:f>Blad3!$B$1:$F$1</c:f>
              <c:numCache>
                <c:formatCode>Standaard</c:formatCode>
                <c:ptCount val="5"/>
                <c:pt idx="0">
                  <c:v>2008</c:v>
                </c:pt>
                <c:pt idx="1">
                  <c:v>2009</c:v>
                </c:pt>
                <c:pt idx="2">
                  <c:v>2010</c:v>
                </c:pt>
                <c:pt idx="3">
                  <c:v>2011</c:v>
                </c:pt>
                <c:pt idx="4">
                  <c:v>2012</c:v>
                </c:pt>
              </c:numCache>
            </c:numRef>
          </c:cat>
          <c:val>
            <c:numRef>
              <c:f>Blad3!$B$6:$F$6</c:f>
              <c:numCache>
                <c:formatCode>0.0%</c:formatCode>
                <c:ptCount val="5"/>
                <c:pt idx="0">
                  <c:v>0.13884162303664918</c:v>
                </c:pt>
                <c:pt idx="1">
                  <c:v>0.13438943894389441</c:v>
                </c:pt>
                <c:pt idx="2">
                  <c:v>0.12817239144523654</c:v>
                </c:pt>
                <c:pt idx="3">
                  <c:v>0.12867496151872757</c:v>
                </c:pt>
                <c:pt idx="4">
                  <c:v>0.1259541483281876</c:v>
                </c:pt>
              </c:numCache>
            </c:numRef>
          </c:val>
        </c:ser>
        <c:dLbls/>
        <c:marker val="1"/>
        <c:axId val="47434752"/>
        <c:axId val="46859008"/>
      </c:lineChart>
      <c:catAx>
        <c:axId val="47434752"/>
        <c:scaling>
          <c:orientation val="minMax"/>
        </c:scaling>
        <c:axPos val="b"/>
        <c:numFmt formatCode="Standaard" sourceLinked="1"/>
        <c:tickLblPos val="nextTo"/>
        <c:crossAx val="46859008"/>
        <c:crosses val="autoZero"/>
        <c:auto val="1"/>
        <c:lblAlgn val="ctr"/>
        <c:lblOffset val="100"/>
      </c:catAx>
      <c:valAx>
        <c:axId val="46859008"/>
        <c:scaling>
          <c:orientation val="minMax"/>
        </c:scaling>
        <c:axPos val="l"/>
        <c:majorGridlines/>
        <c:numFmt formatCode="0.0%" sourceLinked="1"/>
        <c:tickLblPos val="nextTo"/>
        <c:crossAx val="47434752"/>
        <c:crosses val="autoZero"/>
        <c:crossBetween val="between"/>
      </c:valAx>
    </c:plotArea>
    <c:plotVisOnly val="1"/>
    <c:dispBlanksAs val="gap"/>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lang val="en-US"/>
  <c:chart>
    <c:title>
      <c:tx>
        <c:rich>
          <a:bodyPr/>
          <a:lstStyle/>
          <a:p>
            <a:pPr>
              <a:defRPr sz="1100"/>
            </a:pPr>
            <a:r>
              <a:rPr lang="en-US" sz="1100"/>
              <a:t>Aandeel toegevoegde</a:t>
            </a:r>
            <a:r>
              <a:rPr lang="en-US" sz="1100" baseline="0"/>
              <a:t> waarde Zeeuwse havens in Zeeland</a:t>
            </a:r>
            <a:endParaRPr lang="en-US" sz="1100"/>
          </a:p>
        </c:rich>
      </c:tx>
    </c:title>
    <c:plotArea>
      <c:layout/>
      <c:lineChart>
        <c:grouping val="standard"/>
        <c:ser>
          <c:idx val="0"/>
          <c:order val="0"/>
          <c:tx>
            <c:strRef>
              <c:f>Blad3!$I$2</c:f>
              <c:strCache>
                <c:ptCount val="1"/>
                <c:pt idx="0">
                  <c:v>Zeeland</c:v>
                </c:pt>
              </c:strCache>
            </c:strRef>
          </c:tx>
          <c:cat>
            <c:numRef>
              <c:f>Blad3!$J$1:$N$1</c:f>
              <c:numCache>
                <c:formatCode>Standaard</c:formatCode>
                <c:ptCount val="5"/>
                <c:pt idx="0">
                  <c:v>2008</c:v>
                </c:pt>
                <c:pt idx="1">
                  <c:v>2009</c:v>
                </c:pt>
                <c:pt idx="2">
                  <c:v>2010</c:v>
                </c:pt>
                <c:pt idx="3">
                  <c:v>2011</c:v>
                </c:pt>
                <c:pt idx="4">
                  <c:v>2012</c:v>
                </c:pt>
              </c:numCache>
            </c:numRef>
          </c:cat>
          <c:val>
            <c:numRef>
              <c:f>Blad3!$J$2:$N$2</c:f>
            </c:numRef>
          </c:val>
        </c:ser>
        <c:ser>
          <c:idx val="1"/>
          <c:order val="1"/>
          <c:tx>
            <c:strRef>
              <c:f>Blad3!$I$3</c:f>
              <c:strCache>
                <c:ptCount val="1"/>
                <c:pt idx="0">
                  <c:v>direct</c:v>
                </c:pt>
              </c:strCache>
            </c:strRef>
          </c:tx>
          <c:cat>
            <c:numRef>
              <c:f>Blad3!$J$1:$N$1</c:f>
              <c:numCache>
                <c:formatCode>Standaard</c:formatCode>
                <c:ptCount val="5"/>
                <c:pt idx="0">
                  <c:v>2008</c:v>
                </c:pt>
                <c:pt idx="1">
                  <c:v>2009</c:v>
                </c:pt>
                <c:pt idx="2">
                  <c:v>2010</c:v>
                </c:pt>
                <c:pt idx="3">
                  <c:v>2011</c:v>
                </c:pt>
                <c:pt idx="4">
                  <c:v>2012</c:v>
                </c:pt>
              </c:numCache>
            </c:numRef>
          </c:cat>
          <c:val>
            <c:numRef>
              <c:f>Blad3!$J$3:$N$3</c:f>
            </c:numRef>
          </c:val>
        </c:ser>
        <c:ser>
          <c:idx val="2"/>
          <c:order val="2"/>
          <c:tx>
            <c:strRef>
              <c:f>Blad3!$I$4</c:f>
              <c:strCache>
                <c:ptCount val="1"/>
                <c:pt idx="0">
                  <c:v>indirect</c:v>
                </c:pt>
              </c:strCache>
            </c:strRef>
          </c:tx>
          <c:cat>
            <c:numRef>
              <c:f>Blad3!$J$1:$N$1</c:f>
              <c:numCache>
                <c:formatCode>Standaard</c:formatCode>
                <c:ptCount val="5"/>
                <c:pt idx="0">
                  <c:v>2008</c:v>
                </c:pt>
                <c:pt idx="1">
                  <c:v>2009</c:v>
                </c:pt>
                <c:pt idx="2">
                  <c:v>2010</c:v>
                </c:pt>
                <c:pt idx="3">
                  <c:v>2011</c:v>
                </c:pt>
                <c:pt idx="4">
                  <c:v>2012</c:v>
                </c:pt>
              </c:numCache>
            </c:numRef>
          </c:cat>
          <c:val>
            <c:numRef>
              <c:f>Blad3!$J$4:$N$4</c:f>
            </c:numRef>
          </c:val>
        </c:ser>
        <c:ser>
          <c:idx val="3"/>
          <c:order val="3"/>
          <c:tx>
            <c:strRef>
              <c:f>Blad3!$I$5</c:f>
              <c:strCache>
                <c:ptCount val="1"/>
                <c:pt idx="0">
                  <c:v>Havens</c:v>
                </c:pt>
              </c:strCache>
            </c:strRef>
          </c:tx>
          <c:cat>
            <c:numRef>
              <c:f>Blad3!$J$1:$N$1</c:f>
              <c:numCache>
                <c:formatCode>Standaard</c:formatCode>
                <c:ptCount val="5"/>
                <c:pt idx="0">
                  <c:v>2008</c:v>
                </c:pt>
                <c:pt idx="1">
                  <c:v>2009</c:v>
                </c:pt>
                <c:pt idx="2">
                  <c:v>2010</c:v>
                </c:pt>
                <c:pt idx="3">
                  <c:v>2011</c:v>
                </c:pt>
                <c:pt idx="4">
                  <c:v>2012</c:v>
                </c:pt>
              </c:numCache>
            </c:numRef>
          </c:cat>
          <c:val>
            <c:numRef>
              <c:f>Blad3!$J$5:$N$5</c:f>
            </c:numRef>
          </c:val>
        </c:ser>
        <c:ser>
          <c:idx val="4"/>
          <c:order val="4"/>
          <c:tx>
            <c:strRef>
              <c:f>Blad3!$I$6</c:f>
              <c:strCache>
                <c:ptCount val="1"/>
                <c:pt idx="0">
                  <c:v>Aandeel</c:v>
                </c:pt>
              </c:strCache>
            </c:strRef>
          </c:tx>
          <c:marker>
            <c:symbol val="square"/>
            <c:size val="5"/>
          </c:marker>
          <c:cat>
            <c:numRef>
              <c:f>Blad3!$J$1:$N$1</c:f>
              <c:numCache>
                <c:formatCode>Standaard</c:formatCode>
                <c:ptCount val="5"/>
                <c:pt idx="0">
                  <c:v>2008</c:v>
                </c:pt>
                <c:pt idx="1">
                  <c:v>2009</c:v>
                </c:pt>
                <c:pt idx="2">
                  <c:v>2010</c:v>
                </c:pt>
                <c:pt idx="3">
                  <c:v>2011</c:v>
                </c:pt>
                <c:pt idx="4">
                  <c:v>2012</c:v>
                </c:pt>
              </c:numCache>
            </c:numRef>
          </c:cat>
          <c:val>
            <c:numRef>
              <c:f>Blad3!$J$6:$N$6</c:f>
              <c:numCache>
                <c:formatCode>0.0%</c:formatCode>
                <c:ptCount val="5"/>
                <c:pt idx="0">
                  <c:v>0.28336451512316813</c:v>
                </c:pt>
                <c:pt idx="1">
                  <c:v>0.24807101966315437</c:v>
                </c:pt>
                <c:pt idx="2">
                  <c:v>0.28294873780393376</c:v>
                </c:pt>
                <c:pt idx="3">
                  <c:v>0.28468826405867981</c:v>
                </c:pt>
                <c:pt idx="4">
                  <c:v>0.25829861284367051</c:v>
                </c:pt>
              </c:numCache>
            </c:numRef>
          </c:val>
        </c:ser>
        <c:dLbls/>
        <c:marker val="1"/>
        <c:axId val="133084288"/>
        <c:axId val="133085824"/>
      </c:lineChart>
      <c:catAx>
        <c:axId val="133084288"/>
        <c:scaling>
          <c:orientation val="minMax"/>
        </c:scaling>
        <c:axPos val="b"/>
        <c:numFmt formatCode="Standaard" sourceLinked="1"/>
        <c:tickLblPos val="nextTo"/>
        <c:crossAx val="133085824"/>
        <c:crosses val="autoZero"/>
        <c:auto val="1"/>
        <c:lblAlgn val="ctr"/>
        <c:lblOffset val="100"/>
      </c:catAx>
      <c:valAx>
        <c:axId val="133085824"/>
        <c:scaling>
          <c:orientation val="minMax"/>
        </c:scaling>
        <c:axPos val="l"/>
        <c:majorGridlines/>
        <c:numFmt formatCode="0.0%" sourceLinked="1"/>
        <c:tickLblPos val="nextTo"/>
        <c:crossAx val="133084288"/>
        <c:crosses val="autoZero"/>
        <c:crossBetween val="between"/>
      </c:valAx>
    </c:plotArea>
    <c:plotVisOnly val="1"/>
    <c:dispBlanksAs val="gap"/>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lang val="en-US"/>
  <c:chart>
    <c:title>
      <c:tx>
        <c:rich>
          <a:bodyPr/>
          <a:lstStyle/>
          <a:p>
            <a:pPr>
              <a:defRPr sz="1100"/>
            </a:pPr>
            <a:r>
              <a:rPr lang="nl-NL" sz="1100"/>
              <a:t>Ontwikkeling marktaandeel havens in </a:t>
            </a:r>
            <a:r>
              <a:rPr lang="nl-NL" sz="1100" baseline="0"/>
              <a:t>Hamburg-Le Havre range</a:t>
            </a:r>
            <a:endParaRPr lang="nl-NL" sz="1100"/>
          </a:p>
        </c:rich>
      </c:tx>
    </c:title>
    <c:plotArea>
      <c:layout/>
      <c:lineChart>
        <c:grouping val="standard"/>
        <c:ser>
          <c:idx val="3"/>
          <c:order val="0"/>
          <c:tx>
            <c:strRef>
              <c:f>'Analyse HLH-range'!$A$19</c:f>
              <c:strCache>
                <c:ptCount val="1"/>
                <c:pt idx="0">
                  <c:v>Amsterdam</c:v>
                </c:pt>
              </c:strCache>
            </c:strRef>
          </c:tx>
          <c:marker>
            <c:symbol val="none"/>
          </c:marker>
          <c:cat>
            <c:numRef>
              <c:f>'Analyse HLH-range'!$B$15:$O$15</c:f>
              <c:numCache>
                <c:formatCode>Standaard</c:formatCode>
                <c:ptCount val="14"/>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numCache>
            </c:numRef>
          </c:cat>
          <c:val>
            <c:numRef>
              <c:f>'Analyse HLH-range'!$B$19:$O$19</c:f>
              <c:numCache>
                <c:formatCode>0.0%</c:formatCode>
                <c:ptCount val="14"/>
                <c:pt idx="0">
                  <c:v>7.2225352112676056E-2</c:v>
                </c:pt>
                <c:pt idx="1">
                  <c:v>7.7009809448641345E-2</c:v>
                </c:pt>
                <c:pt idx="2">
                  <c:v>7.766990291262138E-2</c:v>
                </c:pt>
                <c:pt idx="3">
                  <c:v>7.0001068718606382E-2</c:v>
                </c:pt>
                <c:pt idx="4">
                  <c:v>7.2835820895522402E-2</c:v>
                </c:pt>
                <c:pt idx="5">
                  <c:v>7.1544560129907342E-2</c:v>
                </c:pt>
                <c:pt idx="6">
                  <c:v>7.6657584014532265E-2</c:v>
                </c:pt>
                <c:pt idx="7">
                  <c:v>7.4948665297741288E-2</c:v>
                </c:pt>
                <c:pt idx="8">
                  <c:v>7.8927649654483373E-2</c:v>
                </c:pt>
                <c:pt idx="9">
                  <c:v>8.2604562737642634E-2</c:v>
                </c:pt>
                <c:pt idx="10">
                  <c:v>7.9817158931083002E-2</c:v>
                </c:pt>
                <c:pt idx="11">
                  <c:v>7.9122001020929075E-2</c:v>
                </c:pt>
                <c:pt idx="12">
                  <c:v>8.022118247554233E-2</c:v>
                </c:pt>
                <c:pt idx="13">
                  <c:v>8.0964467005076188E-2</c:v>
                </c:pt>
              </c:numCache>
            </c:numRef>
          </c:val>
        </c:ser>
        <c:ser>
          <c:idx val="5"/>
          <c:order val="1"/>
          <c:tx>
            <c:strRef>
              <c:f>'Analyse HLH-range'!$A$21</c:f>
              <c:strCache>
                <c:ptCount val="1"/>
                <c:pt idx="0">
                  <c:v>Zeeland</c:v>
                </c:pt>
              </c:strCache>
            </c:strRef>
          </c:tx>
          <c:marker>
            <c:symbol val="none"/>
          </c:marker>
          <c:cat>
            <c:numRef>
              <c:f>'Analyse HLH-range'!$B$15:$O$15</c:f>
              <c:numCache>
                <c:formatCode>Standaard</c:formatCode>
                <c:ptCount val="14"/>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numCache>
            </c:numRef>
          </c:cat>
          <c:val>
            <c:numRef>
              <c:f>'Analyse HLH-range'!$B$21:$O$21</c:f>
              <c:numCache>
                <c:formatCode>0.0%</c:formatCode>
                <c:ptCount val="14"/>
                <c:pt idx="0">
                  <c:v>2.7943661971830992E-2</c:v>
                </c:pt>
                <c:pt idx="1">
                  <c:v>2.8639079941368811E-2</c:v>
                </c:pt>
                <c:pt idx="2">
                  <c:v>3.0119152691968229E-2</c:v>
                </c:pt>
                <c:pt idx="3">
                  <c:v>3.0779095864058997E-2</c:v>
                </c:pt>
                <c:pt idx="4">
                  <c:v>3.0945273631840804E-2</c:v>
                </c:pt>
                <c:pt idx="5">
                  <c:v>2.9038112522686028E-2</c:v>
                </c:pt>
                <c:pt idx="6">
                  <c:v>2.7429609445958219E-2</c:v>
                </c:pt>
                <c:pt idx="7">
                  <c:v>2.8234086242299797E-2</c:v>
                </c:pt>
                <c:pt idx="8">
                  <c:v>2.772458579635334E-2</c:v>
                </c:pt>
                <c:pt idx="9">
                  <c:v>2.7376425855513316E-2</c:v>
                </c:pt>
                <c:pt idx="10">
                  <c:v>2.9008438818565407E-2</c:v>
                </c:pt>
                <c:pt idx="11">
                  <c:v>3.0202484260677218E-2</c:v>
                </c:pt>
                <c:pt idx="12">
                  <c:v>2.8583581454700132E-2</c:v>
                </c:pt>
                <c:pt idx="13">
                  <c:v>2.7918781725888329E-2</c:v>
                </c:pt>
              </c:numCache>
            </c:numRef>
          </c:val>
        </c:ser>
        <c:ser>
          <c:idx val="7"/>
          <c:order val="2"/>
          <c:tx>
            <c:strRef>
              <c:f>'Analyse HLH-range'!$A$23</c:f>
              <c:strCache>
                <c:ptCount val="1"/>
                <c:pt idx="0">
                  <c:v>Gent</c:v>
                </c:pt>
              </c:strCache>
            </c:strRef>
          </c:tx>
          <c:marker>
            <c:symbol val="none"/>
          </c:marker>
          <c:cat>
            <c:numRef>
              <c:f>'Analyse HLH-range'!$B$15:$O$15</c:f>
              <c:numCache>
                <c:formatCode>Standaard</c:formatCode>
                <c:ptCount val="14"/>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numCache>
            </c:numRef>
          </c:cat>
          <c:val>
            <c:numRef>
              <c:f>'Analyse HLH-range'!$B$23:$O$23</c:f>
              <c:numCache>
                <c:formatCode>0.0%</c:formatCode>
                <c:ptCount val="14"/>
                <c:pt idx="0">
                  <c:v>2.7042253521126776E-2</c:v>
                </c:pt>
                <c:pt idx="1">
                  <c:v>2.6496786559927842E-2</c:v>
                </c:pt>
                <c:pt idx="2">
                  <c:v>2.6478375992939108E-2</c:v>
                </c:pt>
                <c:pt idx="3">
                  <c:v>2.5114887250187023E-2</c:v>
                </c:pt>
                <c:pt idx="4">
                  <c:v>2.4875621890547265E-2</c:v>
                </c:pt>
                <c:pt idx="5">
                  <c:v>2.1205463750119405E-2</c:v>
                </c:pt>
                <c:pt idx="6">
                  <c:v>2.1889191643960044E-2</c:v>
                </c:pt>
                <c:pt idx="7">
                  <c:v>2.1475017111567431E-2</c:v>
                </c:pt>
                <c:pt idx="8">
                  <c:v>2.2479393888935151E-2</c:v>
                </c:pt>
                <c:pt idx="9">
                  <c:v>1.9771863117870728E-2</c:v>
                </c:pt>
                <c:pt idx="10">
                  <c:v>2.3997890295358645E-2</c:v>
                </c:pt>
                <c:pt idx="11">
                  <c:v>2.3141058363110433E-2</c:v>
                </c:pt>
                <c:pt idx="12">
                  <c:v>2.237345810293493E-2</c:v>
                </c:pt>
                <c:pt idx="13">
                  <c:v>2.1996615905245352E-2</c:v>
                </c:pt>
              </c:numCache>
            </c:numRef>
          </c:val>
        </c:ser>
        <c:ser>
          <c:idx val="9"/>
          <c:order val="3"/>
          <c:tx>
            <c:strRef>
              <c:f>'Analyse HLH-range'!$A$25</c:f>
              <c:strCache>
                <c:ptCount val="1"/>
                <c:pt idx="0">
                  <c:v>Duinkerken</c:v>
                </c:pt>
              </c:strCache>
            </c:strRef>
          </c:tx>
          <c:marker>
            <c:symbol val="none"/>
          </c:marker>
          <c:cat>
            <c:numRef>
              <c:f>'Analyse HLH-range'!$B$15:$O$15</c:f>
              <c:numCache>
                <c:formatCode>Standaard</c:formatCode>
                <c:ptCount val="14"/>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numCache>
            </c:numRef>
          </c:cat>
          <c:val>
            <c:numRef>
              <c:f>'Analyse HLH-range'!$B$25:$O$25</c:f>
              <c:numCache>
                <c:formatCode>0.0%</c:formatCode>
                <c:ptCount val="14"/>
                <c:pt idx="0">
                  <c:v>5.1042253521126769E-2</c:v>
                </c:pt>
                <c:pt idx="1">
                  <c:v>5.0062013755778567E-2</c:v>
                </c:pt>
                <c:pt idx="2">
                  <c:v>5.2515445719329222E-2</c:v>
                </c:pt>
                <c:pt idx="3">
                  <c:v>5.354280218018595E-2</c:v>
                </c:pt>
                <c:pt idx="4">
                  <c:v>5.0746268656716428E-2</c:v>
                </c:pt>
                <c:pt idx="5">
                  <c:v>5.1007737128665583E-2</c:v>
                </c:pt>
                <c:pt idx="6">
                  <c:v>5.1407811080835621E-2</c:v>
                </c:pt>
                <c:pt idx="7">
                  <c:v>4.885352498288844E-2</c:v>
                </c:pt>
                <c:pt idx="8">
                  <c:v>4.8039297310798437E-2</c:v>
                </c:pt>
                <c:pt idx="9">
                  <c:v>4.2775665399239542E-2</c:v>
                </c:pt>
                <c:pt idx="10">
                  <c:v>3.7535161744022515E-2</c:v>
                </c:pt>
                <c:pt idx="11">
                  <c:v>4.0411774714990661E-2</c:v>
                </c:pt>
                <c:pt idx="12">
                  <c:v>4.0493407060825187E-2</c:v>
                </c:pt>
                <c:pt idx="13">
                  <c:v>3.6886632825719141E-2</c:v>
                </c:pt>
              </c:numCache>
            </c:numRef>
          </c:val>
        </c:ser>
        <c:dLbls/>
        <c:marker val="1"/>
        <c:axId val="47512960"/>
        <c:axId val="47522944"/>
      </c:lineChart>
      <c:catAx>
        <c:axId val="47512960"/>
        <c:scaling>
          <c:orientation val="minMax"/>
        </c:scaling>
        <c:axPos val="b"/>
        <c:numFmt formatCode="Standaard" sourceLinked="0"/>
        <c:majorTickMark val="none"/>
        <c:tickLblPos val="nextTo"/>
        <c:txPr>
          <a:bodyPr rot="-2700000" vert="horz"/>
          <a:lstStyle/>
          <a:p>
            <a:pPr>
              <a:defRPr sz="900"/>
            </a:pPr>
            <a:endParaRPr lang="en-US"/>
          </a:p>
        </c:txPr>
        <c:crossAx val="47522944"/>
        <c:crosses val="autoZero"/>
        <c:auto val="1"/>
        <c:lblAlgn val="ctr"/>
        <c:lblOffset val="100"/>
      </c:catAx>
      <c:valAx>
        <c:axId val="47522944"/>
        <c:scaling>
          <c:orientation val="minMax"/>
        </c:scaling>
        <c:axPos val="l"/>
        <c:majorGridlines/>
        <c:title>
          <c:tx>
            <c:rich>
              <a:bodyPr/>
              <a:lstStyle/>
              <a:p>
                <a:pPr>
                  <a:defRPr sz="900"/>
                </a:pPr>
                <a:r>
                  <a:rPr lang="nl-NL" sz="900"/>
                  <a:t>Marktaandeel in % van totale overslag</a:t>
                </a:r>
              </a:p>
            </c:rich>
          </c:tx>
          <c:layout>
            <c:manualLayout>
              <c:xMode val="edge"/>
              <c:yMode val="edge"/>
              <c:x val="1.5435303632304118E-2"/>
              <c:y val="0.13959755030621174"/>
            </c:manualLayout>
          </c:layout>
        </c:title>
        <c:numFmt formatCode="0.0%" sourceLinked="1"/>
        <c:majorTickMark val="none"/>
        <c:tickLblPos val="nextTo"/>
        <c:crossAx val="47512960"/>
        <c:crosses val="autoZero"/>
        <c:crossBetween val="between"/>
      </c:valAx>
    </c:plotArea>
    <c:legend>
      <c:legendPos val="r"/>
    </c:legend>
    <c:plotVisOnly val="1"/>
    <c:dispBlanksAs val="gap"/>
  </c:chart>
  <c:externalData r:id="rId1"/>
</c:chartSpace>
</file>

<file path=word/charts/chart8.xml><?xml version="1.0" encoding="utf-8"?>
<c:chartSpace xmlns:c="http://schemas.openxmlformats.org/drawingml/2006/chart" xmlns:a="http://schemas.openxmlformats.org/drawingml/2006/main" xmlns:r="http://schemas.openxmlformats.org/officeDocument/2006/relationships">
  <c:lang val="en-US"/>
  <c:chart>
    <c:title>
      <c:tx>
        <c:rich>
          <a:bodyPr/>
          <a:lstStyle/>
          <a:p>
            <a:pPr>
              <a:defRPr sz="1200"/>
            </a:pPr>
            <a:r>
              <a:rPr lang="nl-NL" sz="1200"/>
              <a:t>Structuur van totale overslag in periode 2000-2013</a:t>
            </a:r>
          </a:p>
        </c:rich>
      </c:tx>
    </c:title>
    <c:plotArea>
      <c:layout/>
      <c:scatterChart>
        <c:scatterStyle val="lineMarker"/>
        <c:ser>
          <c:idx val="0"/>
          <c:order val="0"/>
          <c:tx>
            <c:strRef>
              <c:f>'Portfolio 1'!$A$2</c:f>
              <c:strCache>
                <c:ptCount val="1"/>
                <c:pt idx="0">
                  <c:v>Hamburg</c:v>
                </c:pt>
              </c:strCache>
            </c:strRef>
          </c:tx>
          <c:spPr>
            <a:ln w="28575">
              <a:noFill/>
            </a:ln>
          </c:spPr>
          <c:xVal>
            <c:numRef>
              <c:f>'Portfolio 1'!$B$2</c:f>
              <c:numCache>
                <c:formatCode>0.0%</c:formatCode>
                <c:ptCount val="1"/>
                <c:pt idx="0">
                  <c:v>2.7729280065728668E-2</c:v>
                </c:pt>
              </c:numCache>
            </c:numRef>
          </c:xVal>
          <c:yVal>
            <c:numRef>
              <c:f>'Portfolio 1'!$C$2</c:f>
              <c:numCache>
                <c:formatCode>0.0%</c:formatCode>
                <c:ptCount val="1"/>
                <c:pt idx="0">
                  <c:v>0.112</c:v>
                </c:pt>
              </c:numCache>
            </c:numRef>
          </c:yVal>
        </c:ser>
        <c:ser>
          <c:idx val="1"/>
          <c:order val="1"/>
          <c:tx>
            <c:strRef>
              <c:f>'Portfolio 1'!$A$3</c:f>
              <c:strCache>
                <c:ptCount val="1"/>
                <c:pt idx="0">
                  <c:v>Bremerhaven</c:v>
                </c:pt>
              </c:strCache>
            </c:strRef>
          </c:tx>
          <c:spPr>
            <a:ln w="28575">
              <a:noFill/>
            </a:ln>
          </c:spPr>
          <c:xVal>
            <c:numRef>
              <c:f>'Portfolio 1'!$B$3</c:f>
              <c:numCache>
                <c:formatCode>0.0%</c:formatCode>
                <c:ptCount val="1"/>
                <c:pt idx="0">
                  <c:v>3.0638143582306022E-2</c:v>
                </c:pt>
              </c:numCache>
            </c:numRef>
          </c:xVal>
          <c:yVal>
            <c:numRef>
              <c:f>'Portfolio 1'!$C$3</c:f>
              <c:numCache>
                <c:formatCode>0.0%</c:formatCode>
                <c:ptCount val="1"/>
                <c:pt idx="0">
                  <c:v>5.8000000000000003E-2</c:v>
                </c:pt>
              </c:numCache>
            </c:numRef>
          </c:yVal>
        </c:ser>
        <c:ser>
          <c:idx val="2"/>
          <c:order val="2"/>
          <c:tx>
            <c:strRef>
              <c:f>'Portfolio 1'!$A$4</c:f>
              <c:strCache>
                <c:ptCount val="1"/>
                <c:pt idx="0">
                  <c:v>Willemshaven</c:v>
                </c:pt>
              </c:strCache>
            </c:strRef>
          </c:tx>
          <c:spPr>
            <a:ln w="28575">
              <a:noFill/>
            </a:ln>
          </c:spPr>
          <c:xVal>
            <c:numRef>
              <c:f>'Portfolio 1'!$B$4</c:f>
              <c:numCache>
                <c:formatCode>0.0%</c:formatCode>
                <c:ptCount val="1"/>
                <c:pt idx="0">
                  <c:v>-5.5102040816326539E-2</c:v>
                </c:pt>
              </c:numCache>
            </c:numRef>
          </c:xVal>
          <c:yVal>
            <c:numRef>
              <c:f>'Portfolio 1'!$C$4</c:f>
              <c:numCache>
                <c:formatCode>0.0%</c:formatCode>
                <c:ptCount val="1"/>
                <c:pt idx="0">
                  <c:v>3.500000000000001E-2</c:v>
                </c:pt>
              </c:numCache>
            </c:numRef>
          </c:yVal>
        </c:ser>
        <c:ser>
          <c:idx val="3"/>
          <c:order val="3"/>
          <c:tx>
            <c:strRef>
              <c:f>'Portfolio 1'!$A$5</c:f>
              <c:strCache>
                <c:ptCount val="1"/>
                <c:pt idx="0">
                  <c:v>Amsterdam</c:v>
                </c:pt>
              </c:strCache>
            </c:strRef>
          </c:tx>
          <c:spPr>
            <a:ln w="28575">
              <a:noFill/>
            </a:ln>
          </c:spPr>
          <c:xVal>
            <c:numRef>
              <c:f>'Portfolio 1'!$B$5</c:f>
              <c:numCache>
                <c:formatCode>0.0%</c:formatCode>
                <c:ptCount val="1"/>
                <c:pt idx="0">
                  <c:v>2.3585609792506349E-2</c:v>
                </c:pt>
              </c:numCache>
            </c:numRef>
          </c:xVal>
          <c:yVal>
            <c:numRef>
              <c:f>'Portfolio 1'!$B$5:$C$5</c:f>
              <c:numCache>
                <c:formatCode>0.0%</c:formatCode>
                <c:ptCount val="2"/>
                <c:pt idx="0">
                  <c:v>2.3585609792506349E-2</c:v>
                </c:pt>
                <c:pt idx="1">
                  <c:v>7.6999999999999999E-2</c:v>
                </c:pt>
              </c:numCache>
            </c:numRef>
          </c:yVal>
        </c:ser>
        <c:ser>
          <c:idx val="4"/>
          <c:order val="4"/>
          <c:tx>
            <c:strRef>
              <c:f>'Portfolio 1'!$A$6</c:f>
              <c:strCache>
                <c:ptCount val="1"/>
                <c:pt idx="0">
                  <c:v>Rotterdam</c:v>
                </c:pt>
              </c:strCache>
            </c:strRef>
          </c:tx>
          <c:spPr>
            <a:ln w="28575">
              <a:noFill/>
            </a:ln>
          </c:spPr>
          <c:xVal>
            <c:numRef>
              <c:f>'Portfolio 1'!$B$6</c:f>
              <c:numCache>
                <c:formatCode>0.0%</c:formatCode>
                <c:ptCount val="1"/>
                <c:pt idx="0">
                  <c:v>1.9166531538835744E-2</c:v>
                </c:pt>
              </c:numCache>
            </c:numRef>
          </c:xVal>
          <c:yVal>
            <c:numRef>
              <c:f>'Portfolio 1'!$C$6</c:f>
              <c:numCache>
                <c:formatCode>0.0%</c:formatCode>
                <c:ptCount val="1"/>
                <c:pt idx="0">
                  <c:v>0.36000000000000004</c:v>
                </c:pt>
              </c:numCache>
            </c:numRef>
          </c:yVal>
        </c:ser>
        <c:ser>
          <c:idx val="5"/>
          <c:order val="5"/>
          <c:tx>
            <c:strRef>
              <c:f>'Portfolio 1'!$A$7</c:f>
              <c:strCache>
                <c:ptCount val="1"/>
                <c:pt idx="0">
                  <c:v>Zeeland</c:v>
                </c:pt>
              </c:strCache>
            </c:strRef>
          </c:tx>
          <c:spPr>
            <a:ln w="28575">
              <a:noFill/>
            </a:ln>
          </c:spPr>
          <c:xVal>
            <c:numRef>
              <c:f>'Portfolio 1'!$B$7</c:f>
              <c:numCache>
                <c:formatCode>0.0%</c:formatCode>
                <c:ptCount val="1"/>
                <c:pt idx="0">
                  <c:v>1.774891774891775E-2</c:v>
                </c:pt>
              </c:numCache>
            </c:numRef>
          </c:xVal>
          <c:yVal>
            <c:numRef>
              <c:f>'Portfolio 1'!$C$7</c:f>
              <c:numCache>
                <c:formatCode>0.0%</c:formatCode>
                <c:ptCount val="1"/>
                <c:pt idx="0">
                  <c:v>2.9000000000000001E-2</c:v>
                </c:pt>
              </c:numCache>
            </c:numRef>
          </c:yVal>
        </c:ser>
        <c:ser>
          <c:idx val="6"/>
          <c:order val="6"/>
          <c:tx>
            <c:strRef>
              <c:f>'Portfolio 1'!$A$8</c:f>
              <c:strCache>
                <c:ptCount val="1"/>
                <c:pt idx="0">
                  <c:v>Antwerpen</c:v>
                </c:pt>
              </c:strCache>
            </c:strRef>
          </c:tx>
          <c:spPr>
            <a:ln w="28575">
              <a:noFill/>
            </a:ln>
          </c:spPr>
          <c:xVal>
            <c:numRef>
              <c:f>'Portfolio 1'!$B$8</c:f>
              <c:numCache>
                <c:formatCode>0.0%</c:formatCode>
                <c:ptCount val="1"/>
                <c:pt idx="0">
                  <c:v>2.2574123989218337E-2</c:v>
                </c:pt>
              </c:numCache>
            </c:numRef>
          </c:xVal>
          <c:yVal>
            <c:numRef>
              <c:f>'Portfolio 1'!$C$8</c:f>
              <c:numCache>
                <c:formatCode>0.0%</c:formatCode>
                <c:ptCount val="1"/>
                <c:pt idx="0">
                  <c:v>0.15300000000000002</c:v>
                </c:pt>
              </c:numCache>
            </c:numRef>
          </c:yVal>
        </c:ser>
        <c:ser>
          <c:idx val="7"/>
          <c:order val="7"/>
          <c:tx>
            <c:strRef>
              <c:f>'Portfolio 1'!$A$9</c:f>
              <c:strCache>
                <c:ptCount val="1"/>
                <c:pt idx="0">
                  <c:v>Gent</c:v>
                </c:pt>
              </c:strCache>
            </c:strRef>
          </c:tx>
          <c:spPr>
            <a:ln w="28575">
              <a:noFill/>
            </a:ln>
          </c:spPr>
          <c:xVal>
            <c:numRef>
              <c:f>'Portfolio 1'!$B$9</c:f>
              <c:numCache>
                <c:formatCode>0.0%</c:formatCode>
                <c:ptCount val="1"/>
                <c:pt idx="0">
                  <c:v>5.4945054945054958E-3</c:v>
                </c:pt>
              </c:numCache>
            </c:numRef>
          </c:xVal>
          <c:yVal>
            <c:numRef>
              <c:f>'Portfolio 1'!$C$9</c:f>
              <c:numCache>
                <c:formatCode>0.0%</c:formatCode>
                <c:ptCount val="1"/>
                <c:pt idx="0">
                  <c:v>2.3E-2</c:v>
                </c:pt>
              </c:numCache>
            </c:numRef>
          </c:yVal>
        </c:ser>
        <c:ser>
          <c:idx val="8"/>
          <c:order val="8"/>
          <c:tx>
            <c:strRef>
              <c:f>'Portfolio 1'!$A$10</c:f>
              <c:strCache>
                <c:ptCount val="1"/>
                <c:pt idx="0">
                  <c:v>Zeebrugge</c:v>
                </c:pt>
              </c:strCache>
            </c:strRef>
          </c:tx>
          <c:spPr>
            <a:ln w="28575">
              <a:noFill/>
            </a:ln>
          </c:spPr>
          <c:xVal>
            <c:numRef>
              <c:f>'Portfolio 1'!$B$10</c:f>
              <c:numCache>
                <c:formatCode>0.0%</c:formatCode>
                <c:ptCount val="1"/>
                <c:pt idx="0">
                  <c:v>1.2182910547396522E-2</c:v>
                </c:pt>
              </c:numCache>
            </c:numRef>
          </c:xVal>
          <c:yVal>
            <c:numRef>
              <c:f>'Portfolio 1'!$C$10</c:f>
              <c:numCache>
                <c:formatCode>0.0%</c:formatCode>
                <c:ptCount val="1"/>
                <c:pt idx="0">
                  <c:v>3.6999999999999998E-2</c:v>
                </c:pt>
              </c:numCache>
            </c:numRef>
          </c:yVal>
        </c:ser>
        <c:ser>
          <c:idx val="9"/>
          <c:order val="9"/>
          <c:tx>
            <c:strRef>
              <c:f>'Portfolio 1'!$A$11</c:f>
              <c:strCache>
                <c:ptCount val="1"/>
                <c:pt idx="0">
                  <c:v>Duinkerken</c:v>
                </c:pt>
              </c:strCache>
            </c:strRef>
          </c:tx>
          <c:spPr>
            <a:ln w="28575">
              <a:noFill/>
            </a:ln>
          </c:spPr>
          <c:xVal>
            <c:numRef>
              <c:f>'Portfolio 1'!$B$11</c:f>
              <c:numCache>
                <c:formatCode>0.0%</c:formatCode>
                <c:ptCount val="1"/>
                <c:pt idx="0">
                  <c:v>-2.7850589777195212E-3</c:v>
                </c:pt>
              </c:numCache>
            </c:numRef>
          </c:xVal>
          <c:yVal>
            <c:numRef>
              <c:f>'Portfolio 1'!$C$11</c:f>
              <c:numCache>
                <c:formatCode>0.0%</c:formatCode>
                <c:ptCount val="1"/>
                <c:pt idx="0">
                  <c:v>4.7000000000000007E-2</c:v>
                </c:pt>
              </c:numCache>
            </c:numRef>
          </c:yVal>
        </c:ser>
        <c:ser>
          <c:idx val="10"/>
          <c:order val="10"/>
          <c:tx>
            <c:strRef>
              <c:f>'Portfolio 1'!$A$12</c:f>
              <c:strCache>
                <c:ptCount val="1"/>
                <c:pt idx="0">
                  <c:v>Le Havre</c:v>
                </c:pt>
              </c:strCache>
            </c:strRef>
          </c:tx>
          <c:spPr>
            <a:ln w="28575">
              <a:noFill/>
            </a:ln>
          </c:spPr>
          <c:xVal>
            <c:numRef>
              <c:f>'Portfolio 1'!$B$12</c:f>
              <c:numCache>
                <c:formatCode>0.0%</c:formatCode>
                <c:ptCount val="1"/>
                <c:pt idx="0">
                  <c:v>-3.1887755102040521E-4</c:v>
                </c:pt>
              </c:numCache>
            </c:numRef>
          </c:xVal>
          <c:yVal>
            <c:numRef>
              <c:f>'Portfolio 1'!$C$12</c:f>
              <c:numCache>
                <c:formatCode>0.0%</c:formatCode>
                <c:ptCount val="1"/>
                <c:pt idx="0">
                  <c:v>6.8000000000000019E-2</c:v>
                </c:pt>
              </c:numCache>
            </c:numRef>
          </c:yVal>
        </c:ser>
        <c:dLbls/>
        <c:axId val="47620480"/>
        <c:axId val="47622400"/>
      </c:scatterChart>
      <c:valAx>
        <c:axId val="47620480"/>
        <c:scaling>
          <c:orientation val="minMax"/>
        </c:scaling>
        <c:axPos val="b"/>
        <c:majorGridlines>
          <c:spPr>
            <a:ln>
              <a:prstDash val="sysDash"/>
            </a:ln>
          </c:spPr>
        </c:majorGridlines>
        <c:title>
          <c:tx>
            <c:rich>
              <a:bodyPr/>
              <a:lstStyle/>
              <a:p>
                <a:pPr>
                  <a:defRPr/>
                </a:pPr>
                <a:r>
                  <a:rPr lang="nl-NL"/>
                  <a:t>Gemiddelde jaarlijkse</a:t>
                </a:r>
                <a:r>
                  <a:rPr lang="nl-NL" baseline="0"/>
                  <a:t> groei in %</a:t>
                </a:r>
                <a:endParaRPr lang="nl-NL"/>
              </a:p>
            </c:rich>
          </c:tx>
        </c:title>
        <c:numFmt formatCode="0.0%" sourceLinked="1"/>
        <c:majorTickMark val="none"/>
        <c:tickLblPos val="low"/>
        <c:spPr>
          <a:ln w="25400" cmpd="sng"/>
        </c:spPr>
        <c:crossAx val="47622400"/>
        <c:crossesAt val="9.1000000000000025E-2"/>
        <c:crossBetween val="midCat"/>
      </c:valAx>
      <c:valAx>
        <c:axId val="47622400"/>
        <c:scaling>
          <c:orientation val="minMax"/>
        </c:scaling>
        <c:axPos val="l"/>
        <c:majorGridlines>
          <c:spPr>
            <a:ln>
              <a:prstDash val="sysDash"/>
            </a:ln>
          </c:spPr>
        </c:majorGridlines>
        <c:title>
          <c:tx>
            <c:rich>
              <a:bodyPr/>
              <a:lstStyle/>
              <a:p>
                <a:pPr>
                  <a:defRPr/>
                </a:pPr>
                <a:r>
                  <a:rPr lang="nl-NL"/>
                  <a:t>Gemiddelde marktaandeel</a:t>
                </a:r>
                <a:r>
                  <a:rPr lang="nl-NL" baseline="0"/>
                  <a:t> </a:t>
                </a:r>
                <a:r>
                  <a:rPr lang="nl-NL"/>
                  <a:t>in %</a:t>
                </a:r>
              </a:p>
            </c:rich>
          </c:tx>
        </c:title>
        <c:numFmt formatCode="0.0%" sourceLinked="1"/>
        <c:majorTickMark val="none"/>
        <c:tickLblPos val="low"/>
        <c:spPr>
          <a:ln w="25400"/>
        </c:spPr>
        <c:crossAx val="47620480"/>
        <c:crossesAt val="1.8000000000000006E-2"/>
        <c:crossBetween val="midCat"/>
      </c:valAx>
    </c:plotArea>
    <c:legend>
      <c:legendPos val="r"/>
    </c:legend>
    <c:plotVisOnly val="1"/>
    <c:dispBlanksAs val="gap"/>
  </c:chart>
  <c:externalData r:id="rId1"/>
</c:chartSpace>
</file>

<file path=word/charts/chart9.xml><?xml version="1.0" encoding="utf-8"?>
<c:chartSpace xmlns:c="http://schemas.openxmlformats.org/drawingml/2006/chart" xmlns:a="http://schemas.openxmlformats.org/drawingml/2006/main" xmlns:r="http://schemas.openxmlformats.org/officeDocument/2006/relationships">
  <c:lang val="en-US"/>
  <c:chart>
    <c:title>
      <c:tx>
        <c:rich>
          <a:bodyPr/>
          <a:lstStyle/>
          <a:p>
            <a:pPr>
              <a:defRPr sz="1100"/>
            </a:pPr>
            <a:r>
              <a:rPr lang="nl-NL" sz="1100"/>
              <a:t>Structuur van haven van Amsterdam in periode 2000-2012</a:t>
            </a:r>
          </a:p>
        </c:rich>
      </c:tx>
    </c:title>
    <c:plotArea>
      <c:layout/>
      <c:scatterChart>
        <c:scatterStyle val="lineMarker"/>
        <c:ser>
          <c:idx val="1"/>
          <c:order val="0"/>
          <c:tx>
            <c:v>Nat</c:v>
          </c:tx>
          <c:spPr>
            <a:ln w="28575">
              <a:noFill/>
            </a:ln>
          </c:spPr>
          <c:xVal>
            <c:numRef>
              <c:f>'Portfolio 2'!$P$12</c:f>
              <c:numCache>
                <c:formatCode>0.0%</c:formatCode>
                <c:ptCount val="1"/>
                <c:pt idx="0">
                  <c:v>0.42767959998003641</c:v>
                </c:pt>
              </c:numCache>
            </c:numRef>
          </c:xVal>
          <c:yVal>
            <c:numRef>
              <c:f>'Portfolio 2'!$P$3</c:f>
              <c:numCache>
                <c:formatCode>0.0%</c:formatCode>
                <c:ptCount val="1"/>
                <c:pt idx="0">
                  <c:v>0.17391009137974936</c:v>
                </c:pt>
              </c:numCache>
            </c:numRef>
          </c:yVal>
        </c:ser>
        <c:ser>
          <c:idx val="0"/>
          <c:order val="1"/>
          <c:tx>
            <c:v>Droog</c:v>
          </c:tx>
          <c:spPr>
            <a:ln w="28575">
              <a:noFill/>
            </a:ln>
          </c:spPr>
          <c:xVal>
            <c:numRef>
              <c:f>'Portfolio 2'!$P$13</c:f>
              <c:numCache>
                <c:formatCode>0.0%</c:formatCode>
                <c:ptCount val="1"/>
                <c:pt idx="0">
                  <c:v>0.49848480424918923</c:v>
                </c:pt>
              </c:numCache>
            </c:numRef>
          </c:xVal>
          <c:yVal>
            <c:numRef>
              <c:f>'Portfolio 2'!$P$4</c:f>
              <c:numCache>
                <c:formatCode>0.0%</c:formatCode>
                <c:ptCount val="1"/>
                <c:pt idx="0">
                  <c:v>-1.6650161306981465E-2</c:v>
                </c:pt>
              </c:numCache>
            </c:numRef>
          </c:yVal>
        </c:ser>
        <c:ser>
          <c:idx val="2"/>
          <c:order val="2"/>
          <c:tx>
            <c:v>Container</c:v>
          </c:tx>
          <c:spPr>
            <a:ln w="28575">
              <a:noFill/>
            </a:ln>
          </c:spPr>
          <c:xVal>
            <c:numRef>
              <c:f>'Portfolio 2'!$P$14</c:f>
              <c:numCache>
                <c:formatCode>0.0%</c:formatCode>
                <c:ptCount val="1"/>
                <c:pt idx="0">
                  <c:v>1.9225523230876812E-2</c:v>
                </c:pt>
              </c:numCache>
            </c:numRef>
          </c:xVal>
          <c:yVal>
            <c:numRef>
              <c:f>'Portfolio 2'!$P$5</c:f>
              <c:numCache>
                <c:formatCode>0.0%</c:formatCode>
                <c:ptCount val="1"/>
                <c:pt idx="0">
                  <c:v>-4.2077580539119003E-2</c:v>
                </c:pt>
              </c:numCache>
            </c:numRef>
          </c:yVal>
        </c:ser>
        <c:ser>
          <c:idx val="3"/>
          <c:order val="3"/>
          <c:tx>
            <c:v>Ro-Ro</c:v>
          </c:tx>
          <c:spPr>
            <a:ln w="28575">
              <a:noFill/>
            </a:ln>
          </c:spPr>
          <c:xVal>
            <c:numRef>
              <c:f>'Portfolio 2'!$P$15</c:f>
              <c:numCache>
                <c:formatCode>0.0%</c:formatCode>
                <c:ptCount val="1"/>
                <c:pt idx="0">
                  <c:v>9.8549021026165425E-3</c:v>
                </c:pt>
              </c:numCache>
            </c:numRef>
          </c:xVal>
          <c:yVal>
            <c:numRef>
              <c:f>'Portfolio 2'!$P$6</c:f>
              <c:numCache>
                <c:formatCode>0.0%</c:formatCode>
                <c:ptCount val="1"/>
                <c:pt idx="0">
                  <c:v>0.15364635364635371</c:v>
                </c:pt>
              </c:numCache>
            </c:numRef>
          </c:yVal>
        </c:ser>
        <c:ser>
          <c:idx val="4"/>
          <c:order val="4"/>
          <c:tx>
            <c:v>Stuk</c:v>
          </c:tx>
          <c:spPr>
            <a:ln w="28575">
              <a:noFill/>
            </a:ln>
          </c:spPr>
          <c:xVal>
            <c:numRef>
              <c:f>'Portfolio 2'!$P$16</c:f>
              <c:numCache>
                <c:formatCode>0.0%</c:formatCode>
                <c:ptCount val="1"/>
                <c:pt idx="0">
                  <c:v>4.4753231151215933E-2</c:v>
                </c:pt>
              </c:numCache>
            </c:numRef>
          </c:xVal>
          <c:yVal>
            <c:numRef>
              <c:f>'Portfolio 2'!$P$7</c:f>
              <c:numCache>
                <c:formatCode>0.0%</c:formatCode>
                <c:ptCount val="1"/>
                <c:pt idx="0">
                  <c:v>0.12384044526901672</c:v>
                </c:pt>
              </c:numCache>
            </c:numRef>
          </c:yVal>
        </c:ser>
        <c:dLbls/>
        <c:axId val="47678592"/>
        <c:axId val="47680512"/>
      </c:scatterChart>
      <c:valAx>
        <c:axId val="47678592"/>
        <c:scaling>
          <c:orientation val="minMax"/>
        </c:scaling>
        <c:axPos val="b"/>
        <c:majorGridlines>
          <c:spPr>
            <a:ln>
              <a:prstDash val="sysDash"/>
            </a:ln>
          </c:spPr>
        </c:majorGridlines>
        <c:title>
          <c:tx>
            <c:rich>
              <a:bodyPr/>
              <a:lstStyle/>
              <a:p>
                <a:pPr>
                  <a:defRPr/>
                </a:pPr>
                <a:r>
                  <a:rPr lang="nl-NL"/>
                  <a:t>Gemiddelde aandeel commodity </a:t>
                </a:r>
                <a:r>
                  <a:rPr lang="nl-NL" baseline="0"/>
                  <a:t>in % van totale overslag</a:t>
                </a:r>
                <a:endParaRPr lang="nl-NL"/>
              </a:p>
            </c:rich>
          </c:tx>
        </c:title>
        <c:numFmt formatCode="0.0%" sourceLinked="1"/>
        <c:majorTickMark val="none"/>
        <c:tickLblPos val="low"/>
        <c:spPr>
          <a:ln w="25400" cmpd="sng"/>
        </c:spPr>
        <c:crossAx val="47680512"/>
        <c:crossesAt val="0.11600000000000002"/>
        <c:crossBetween val="midCat"/>
      </c:valAx>
      <c:valAx>
        <c:axId val="47680512"/>
        <c:scaling>
          <c:orientation val="minMax"/>
        </c:scaling>
        <c:axPos val="l"/>
        <c:majorGridlines>
          <c:spPr>
            <a:ln>
              <a:prstDash val="sysDash"/>
            </a:ln>
          </c:spPr>
        </c:majorGridlines>
        <c:title>
          <c:tx>
            <c:rich>
              <a:bodyPr/>
              <a:lstStyle/>
              <a:p>
                <a:pPr>
                  <a:defRPr/>
                </a:pPr>
                <a:r>
                  <a:rPr lang="nl-NL"/>
                  <a:t>Gemiddelde groei van commodity in %</a:t>
                </a:r>
              </a:p>
            </c:rich>
          </c:tx>
        </c:title>
        <c:numFmt formatCode="0.0%" sourceLinked="1"/>
        <c:majorTickMark val="none"/>
        <c:tickLblPos val="low"/>
        <c:spPr>
          <a:ln w="25400"/>
        </c:spPr>
        <c:crossAx val="47678592"/>
        <c:crossesAt val="0.2"/>
        <c:crossBetween val="midCat"/>
      </c:valAx>
    </c:plotArea>
    <c:legend>
      <c:legendPos val="r"/>
    </c:legend>
    <c:plotVisOnly val="1"/>
    <c:dispBlanksAs val="gap"/>
  </c:chart>
  <c:externalData r:id="rId1"/>
</c:chartSpace>
</file>

<file path=word/charts/chart10.xml><?xml version="1.0" encoding="utf-8"?>
<c:chartSpace xmlns:c="http://schemas.openxmlformats.org/drawingml/2006/chart" xmlns:a="http://schemas.openxmlformats.org/drawingml/2006/main" xmlns:r="http://schemas.openxmlformats.org/officeDocument/2006/relationships">
  <c:lang val="en-US"/>
  <c:chart>
    <c:title>
      <c:tx>
        <c:rich>
          <a:bodyPr/>
          <a:lstStyle/>
          <a:p>
            <a:pPr>
              <a:defRPr sz="1100"/>
            </a:pPr>
            <a:r>
              <a:rPr lang="nl-NL" sz="1100"/>
              <a:t>Structuur van haven van Zeeland in periode 2000-2012</a:t>
            </a:r>
          </a:p>
        </c:rich>
      </c:tx>
    </c:title>
    <c:plotArea>
      <c:layout/>
      <c:scatterChart>
        <c:scatterStyle val="lineMarker"/>
        <c:ser>
          <c:idx val="1"/>
          <c:order val="0"/>
          <c:tx>
            <c:v>Nat</c:v>
          </c:tx>
          <c:spPr>
            <a:ln w="28575">
              <a:noFill/>
            </a:ln>
          </c:spPr>
          <c:xVal>
            <c:numRef>
              <c:f>'Portfolio 2'!$P$30</c:f>
              <c:numCache>
                <c:formatCode>0.0%</c:formatCode>
                <c:ptCount val="1"/>
                <c:pt idx="0">
                  <c:v>0.3824624097127382</c:v>
                </c:pt>
              </c:numCache>
            </c:numRef>
          </c:xVal>
          <c:yVal>
            <c:numRef>
              <c:f>'Portfolio 2'!$P$21</c:f>
              <c:numCache>
                <c:formatCode>0.0%</c:formatCode>
                <c:ptCount val="1"/>
                <c:pt idx="0">
                  <c:v>1.4940461029037193E-2</c:v>
                </c:pt>
              </c:numCache>
            </c:numRef>
          </c:yVal>
        </c:ser>
        <c:ser>
          <c:idx val="0"/>
          <c:order val="1"/>
          <c:tx>
            <c:v>Droog</c:v>
          </c:tx>
          <c:spPr>
            <a:ln w="28575">
              <a:noFill/>
            </a:ln>
          </c:spPr>
          <c:xVal>
            <c:numRef>
              <c:f>'Portfolio 2'!$P$31</c:f>
              <c:numCache>
                <c:formatCode>0.0%</c:formatCode>
                <c:ptCount val="1"/>
                <c:pt idx="0">
                  <c:v>0.33370854796271887</c:v>
                </c:pt>
              </c:numCache>
            </c:numRef>
          </c:xVal>
          <c:yVal>
            <c:numRef>
              <c:f>'Portfolio 2'!$P$22</c:f>
              <c:numCache>
                <c:formatCode>0.0%</c:formatCode>
                <c:ptCount val="1"/>
                <c:pt idx="0">
                  <c:v>4.2438424186496182E-2</c:v>
                </c:pt>
              </c:numCache>
            </c:numRef>
          </c:yVal>
        </c:ser>
        <c:ser>
          <c:idx val="2"/>
          <c:order val="2"/>
          <c:tx>
            <c:v>Container</c:v>
          </c:tx>
          <c:spPr>
            <a:ln w="28575">
              <a:noFill/>
            </a:ln>
          </c:spPr>
          <c:xVal>
            <c:numRef>
              <c:f>'Portfolio 2'!$P$14</c:f>
              <c:numCache>
                <c:formatCode>0.0%</c:formatCode>
                <c:ptCount val="1"/>
                <c:pt idx="0">
                  <c:v>1.9225523230876812E-2</c:v>
                </c:pt>
              </c:numCache>
            </c:numRef>
          </c:xVal>
          <c:yVal>
            <c:numRef>
              <c:f>'Portfolio 2'!$P$23</c:f>
              <c:numCache>
                <c:formatCode>0.0%</c:formatCode>
                <c:ptCount val="1"/>
                <c:pt idx="0">
                  <c:v>-2.8301886792452827E-2</c:v>
                </c:pt>
              </c:numCache>
            </c:numRef>
          </c:yVal>
        </c:ser>
        <c:ser>
          <c:idx val="3"/>
          <c:order val="3"/>
          <c:tx>
            <c:v>Ro-Ro</c:v>
          </c:tx>
          <c:spPr>
            <a:ln w="28575">
              <a:noFill/>
            </a:ln>
          </c:spPr>
          <c:xVal>
            <c:numRef>
              <c:f>'Portfolio 2'!$P$33</c:f>
              <c:numCache>
                <c:formatCode>0.0%</c:formatCode>
                <c:ptCount val="1"/>
                <c:pt idx="0">
                  <c:v>5.3020630446303466E-2</c:v>
                </c:pt>
              </c:numCache>
            </c:numRef>
          </c:xVal>
          <c:yVal>
            <c:numRef>
              <c:f>'Portfolio 2'!$P$24</c:f>
              <c:numCache>
                <c:formatCode>0.0%</c:formatCode>
                <c:ptCount val="1"/>
                <c:pt idx="0">
                  <c:v>-2.2051282051282057E-2</c:v>
                </c:pt>
              </c:numCache>
            </c:numRef>
          </c:yVal>
        </c:ser>
        <c:ser>
          <c:idx val="4"/>
          <c:order val="4"/>
          <c:tx>
            <c:v>Stuk</c:v>
          </c:tx>
          <c:spPr>
            <a:ln w="28575">
              <a:noFill/>
            </a:ln>
          </c:spPr>
          <c:xVal>
            <c:numRef>
              <c:f>'Portfolio 2'!$P$34</c:f>
              <c:numCache>
                <c:formatCode>0.0%</c:formatCode>
                <c:ptCount val="1"/>
                <c:pt idx="0">
                  <c:v>0.22181398110278955</c:v>
                </c:pt>
              </c:numCache>
            </c:numRef>
          </c:xVal>
          <c:yVal>
            <c:numRef>
              <c:f>'Portfolio 2'!$P$25</c:f>
              <c:numCache>
                <c:formatCode>0.0%</c:formatCode>
                <c:ptCount val="1"/>
                <c:pt idx="0">
                  <c:v>9.6289337717238133E-2</c:v>
                </c:pt>
              </c:numCache>
            </c:numRef>
          </c:yVal>
        </c:ser>
        <c:dLbls/>
        <c:axId val="48009216"/>
        <c:axId val="48011136"/>
      </c:scatterChart>
      <c:valAx>
        <c:axId val="48009216"/>
        <c:scaling>
          <c:orientation val="minMax"/>
        </c:scaling>
        <c:axPos val="b"/>
        <c:majorGridlines>
          <c:spPr>
            <a:ln>
              <a:prstDash val="sysDash"/>
            </a:ln>
          </c:spPr>
        </c:majorGridlines>
        <c:title>
          <c:tx>
            <c:rich>
              <a:bodyPr/>
              <a:lstStyle/>
              <a:p>
                <a:pPr>
                  <a:defRPr/>
                </a:pPr>
                <a:r>
                  <a:rPr lang="nl-NL"/>
                  <a:t>Gemiddelde aandeel commodity </a:t>
                </a:r>
                <a:r>
                  <a:rPr lang="nl-NL" baseline="0"/>
                  <a:t>in % van totale overslag</a:t>
                </a:r>
                <a:endParaRPr lang="nl-NL"/>
              </a:p>
            </c:rich>
          </c:tx>
        </c:title>
        <c:numFmt formatCode="0.0%" sourceLinked="1"/>
        <c:majorTickMark val="none"/>
        <c:tickLblPos val="low"/>
        <c:spPr>
          <a:ln w="25400" cmpd="sng"/>
        </c:spPr>
        <c:crossAx val="48011136"/>
        <c:crossesAt val="4.7000000000000014E-2"/>
        <c:crossBetween val="midCat"/>
      </c:valAx>
      <c:valAx>
        <c:axId val="48011136"/>
        <c:scaling>
          <c:orientation val="minMax"/>
        </c:scaling>
        <c:axPos val="l"/>
        <c:majorGridlines>
          <c:spPr>
            <a:ln>
              <a:prstDash val="sysDash"/>
            </a:ln>
          </c:spPr>
        </c:majorGridlines>
        <c:title>
          <c:tx>
            <c:rich>
              <a:bodyPr/>
              <a:lstStyle/>
              <a:p>
                <a:pPr>
                  <a:defRPr/>
                </a:pPr>
                <a:r>
                  <a:rPr lang="nl-NL"/>
                  <a:t>Gemiddelde groei van commodity in %</a:t>
                </a:r>
              </a:p>
            </c:rich>
          </c:tx>
        </c:title>
        <c:numFmt formatCode="0.0%" sourceLinked="1"/>
        <c:majorTickMark val="none"/>
        <c:tickLblPos val="low"/>
        <c:spPr>
          <a:ln w="25400"/>
        </c:spPr>
        <c:crossAx val="48009216"/>
        <c:crossesAt val="0.2"/>
        <c:crossBetween val="midCat"/>
      </c:valAx>
    </c:plotArea>
    <c:legend>
      <c:legendPos val="r"/>
    </c:legend>
    <c:plotVisOnly val="1"/>
    <c:dispBlanksAs val="gap"/>
  </c:chart>
  <c:externalData r:id="rId1"/>
</c:chartSpace>
</file>

<file path=word/charts/chart11.xml><?xml version="1.0" encoding="utf-8"?>
<c:chartSpace xmlns:c="http://schemas.openxmlformats.org/drawingml/2006/chart" xmlns:a="http://schemas.openxmlformats.org/drawingml/2006/main" xmlns:r="http://schemas.openxmlformats.org/officeDocument/2006/relationships">
  <c:lang val="en-US"/>
  <c:chart>
    <c:title>
      <c:tx>
        <c:rich>
          <a:bodyPr/>
          <a:lstStyle/>
          <a:p>
            <a:pPr>
              <a:defRPr sz="1100"/>
            </a:pPr>
            <a:r>
              <a:rPr lang="nl-NL" sz="1100"/>
              <a:t>Structuur van haven van Gent in periode 2000-2012</a:t>
            </a:r>
          </a:p>
        </c:rich>
      </c:tx>
    </c:title>
    <c:plotArea>
      <c:layout/>
      <c:scatterChart>
        <c:scatterStyle val="lineMarker"/>
        <c:ser>
          <c:idx val="1"/>
          <c:order val="0"/>
          <c:tx>
            <c:v>Nat</c:v>
          </c:tx>
          <c:spPr>
            <a:ln w="28575">
              <a:noFill/>
            </a:ln>
          </c:spPr>
          <c:xVal>
            <c:numRef>
              <c:f>'Portfolio 2'!$P$48</c:f>
              <c:numCache>
                <c:formatCode>0.0%</c:formatCode>
                <c:ptCount val="1"/>
                <c:pt idx="0">
                  <c:v>0.12796332869212662</c:v>
                </c:pt>
              </c:numCache>
            </c:numRef>
          </c:xVal>
          <c:yVal>
            <c:numRef>
              <c:f>'Portfolio 2'!$P$39</c:f>
              <c:numCache>
                <c:formatCode>0.0%</c:formatCode>
                <c:ptCount val="1"/>
                <c:pt idx="0">
                  <c:v>2.7487529535311108E-2</c:v>
                </c:pt>
              </c:numCache>
            </c:numRef>
          </c:yVal>
        </c:ser>
        <c:ser>
          <c:idx val="0"/>
          <c:order val="1"/>
          <c:tx>
            <c:v>Droog</c:v>
          </c:tx>
          <c:spPr>
            <a:ln w="28575">
              <a:noFill/>
            </a:ln>
          </c:spPr>
          <c:xVal>
            <c:numRef>
              <c:f>'Portfolio 2'!$P$49</c:f>
              <c:numCache>
                <c:formatCode>0.0%</c:formatCode>
                <c:ptCount val="1"/>
                <c:pt idx="0">
                  <c:v>0.65434265724747609</c:v>
                </c:pt>
              </c:numCache>
            </c:numRef>
          </c:xVal>
          <c:yVal>
            <c:numRef>
              <c:f>'Portfolio 2'!$P$40</c:f>
              <c:numCache>
                <c:formatCode>0.0%</c:formatCode>
                <c:ptCount val="1"/>
                <c:pt idx="0">
                  <c:v>2.841097735659335E-3</c:v>
                </c:pt>
              </c:numCache>
            </c:numRef>
          </c:yVal>
        </c:ser>
        <c:ser>
          <c:idx val="2"/>
          <c:order val="2"/>
          <c:tx>
            <c:v>Container</c:v>
          </c:tx>
          <c:spPr>
            <a:ln w="28575">
              <a:noFill/>
            </a:ln>
          </c:spPr>
          <c:xVal>
            <c:numRef>
              <c:f>'Portfolio 2'!$P$32</c:f>
              <c:numCache>
                <c:formatCode>0.0%</c:formatCode>
                <c:ptCount val="1"/>
                <c:pt idx="0">
                  <c:v>9.0070264052537711E-3</c:v>
                </c:pt>
              </c:numCache>
            </c:numRef>
          </c:xVal>
          <c:yVal>
            <c:numRef>
              <c:f>'Portfolio 2'!$P$41</c:f>
              <c:numCache>
                <c:formatCode>0.0%</c:formatCode>
                <c:ptCount val="1"/>
                <c:pt idx="0">
                  <c:v>0.35946745562130178</c:v>
                </c:pt>
              </c:numCache>
            </c:numRef>
          </c:yVal>
        </c:ser>
        <c:ser>
          <c:idx val="3"/>
          <c:order val="3"/>
          <c:tx>
            <c:v>Ro-Ro</c:v>
          </c:tx>
          <c:spPr>
            <a:ln w="28575">
              <a:noFill/>
            </a:ln>
          </c:spPr>
          <c:xVal>
            <c:numRef>
              <c:f>'Portfolio 2'!$P$51</c:f>
              <c:numCache>
                <c:formatCode>0.0%</c:formatCode>
                <c:ptCount val="1"/>
                <c:pt idx="0">
                  <c:v>6.7453186933209452E-2</c:v>
                </c:pt>
              </c:numCache>
            </c:numRef>
          </c:xVal>
          <c:yVal>
            <c:numRef>
              <c:f>'Portfolio 2'!$P$42</c:f>
              <c:numCache>
                <c:formatCode>0.0%</c:formatCode>
                <c:ptCount val="1"/>
                <c:pt idx="0">
                  <c:v>2.2994589508350979E-2</c:v>
                </c:pt>
              </c:numCache>
            </c:numRef>
          </c:yVal>
        </c:ser>
        <c:ser>
          <c:idx val="4"/>
          <c:order val="4"/>
          <c:tx>
            <c:v>Stuk</c:v>
          </c:tx>
          <c:spPr>
            <a:ln w="28575">
              <a:noFill/>
            </a:ln>
          </c:spPr>
          <c:xVal>
            <c:numRef>
              <c:f>'Portfolio 2'!$P$52</c:f>
              <c:numCache>
                <c:formatCode>0.0%</c:formatCode>
                <c:ptCount val="1"/>
                <c:pt idx="0">
                  <c:v>0.1356721458943437</c:v>
                </c:pt>
              </c:numCache>
            </c:numRef>
          </c:xVal>
          <c:yVal>
            <c:numRef>
              <c:f>'Portfolio 2'!$P$43</c:f>
              <c:numCache>
                <c:formatCode>0.0%</c:formatCode>
                <c:ptCount val="1"/>
                <c:pt idx="0">
                  <c:v>-1.8696200449586056E-2</c:v>
                </c:pt>
              </c:numCache>
            </c:numRef>
          </c:yVal>
        </c:ser>
        <c:dLbls/>
        <c:axId val="49630208"/>
        <c:axId val="49636480"/>
      </c:scatterChart>
      <c:valAx>
        <c:axId val="49630208"/>
        <c:scaling>
          <c:orientation val="minMax"/>
        </c:scaling>
        <c:axPos val="b"/>
        <c:majorGridlines>
          <c:spPr>
            <a:ln>
              <a:prstDash val="sysDash"/>
            </a:ln>
          </c:spPr>
        </c:majorGridlines>
        <c:title>
          <c:tx>
            <c:rich>
              <a:bodyPr/>
              <a:lstStyle/>
              <a:p>
                <a:pPr>
                  <a:defRPr/>
                </a:pPr>
                <a:r>
                  <a:rPr lang="nl-NL"/>
                  <a:t>Gemiddelde aandeel commodity </a:t>
                </a:r>
                <a:r>
                  <a:rPr lang="nl-NL" baseline="0"/>
                  <a:t>in % van totale overslag</a:t>
                </a:r>
                <a:endParaRPr lang="nl-NL"/>
              </a:p>
            </c:rich>
          </c:tx>
        </c:title>
        <c:numFmt formatCode="0.0%" sourceLinked="1"/>
        <c:majorTickMark val="none"/>
        <c:tickLblPos val="low"/>
        <c:spPr>
          <a:ln w="25400" cmpd="sng"/>
        </c:spPr>
        <c:crossAx val="49636480"/>
        <c:crossesAt val="9.0000000000000028E-3"/>
        <c:crossBetween val="midCat"/>
      </c:valAx>
      <c:valAx>
        <c:axId val="49636480"/>
        <c:scaling>
          <c:orientation val="minMax"/>
        </c:scaling>
        <c:axPos val="l"/>
        <c:majorGridlines>
          <c:spPr>
            <a:ln>
              <a:prstDash val="sysDash"/>
            </a:ln>
          </c:spPr>
        </c:majorGridlines>
        <c:title>
          <c:tx>
            <c:rich>
              <a:bodyPr/>
              <a:lstStyle/>
              <a:p>
                <a:pPr>
                  <a:defRPr/>
                </a:pPr>
                <a:r>
                  <a:rPr lang="nl-NL"/>
                  <a:t>Gemiddelde groei van commodity in %</a:t>
                </a:r>
              </a:p>
            </c:rich>
          </c:tx>
        </c:title>
        <c:numFmt formatCode="0.0%" sourceLinked="1"/>
        <c:majorTickMark val="none"/>
        <c:tickLblPos val="low"/>
        <c:spPr>
          <a:ln w="25400"/>
        </c:spPr>
        <c:crossAx val="49630208"/>
        <c:crossesAt val="0.2"/>
        <c:crossBetween val="midCat"/>
      </c:valAx>
    </c:plotArea>
    <c:legend>
      <c:legendPos val="r"/>
    </c:legend>
    <c:plotVisOnly val="1"/>
    <c:dispBlanksAs val="gap"/>
  </c:chart>
  <c:externalData r:id="rId1"/>
</c:chartSpace>
</file>

<file path=word/charts/chart12.xml><?xml version="1.0" encoding="utf-8"?>
<c:chartSpace xmlns:c="http://schemas.openxmlformats.org/drawingml/2006/chart" xmlns:a="http://schemas.openxmlformats.org/drawingml/2006/main" xmlns:r="http://schemas.openxmlformats.org/officeDocument/2006/relationships">
  <c:lang val="en-US"/>
  <c:chart>
    <c:title>
      <c:tx>
        <c:rich>
          <a:bodyPr/>
          <a:lstStyle/>
          <a:p>
            <a:pPr>
              <a:defRPr sz="1100"/>
            </a:pPr>
            <a:r>
              <a:rPr lang="nl-NL" sz="1100"/>
              <a:t>Structuur van haven van Duinkerken in periode 2000-2012</a:t>
            </a:r>
          </a:p>
        </c:rich>
      </c:tx>
      <c:spPr>
        <a:noFill/>
      </c:spPr>
    </c:title>
    <c:plotArea>
      <c:layout/>
      <c:scatterChart>
        <c:scatterStyle val="lineMarker"/>
        <c:ser>
          <c:idx val="1"/>
          <c:order val="0"/>
          <c:tx>
            <c:v>Nat</c:v>
          </c:tx>
          <c:spPr>
            <a:ln w="28575">
              <a:noFill/>
            </a:ln>
          </c:spPr>
          <c:xVal>
            <c:numRef>
              <c:f>'Portfolio 2'!$P$66</c:f>
              <c:numCache>
                <c:formatCode>0.0%</c:formatCode>
                <c:ptCount val="1"/>
                <c:pt idx="0">
                  <c:v>0.27239160130614637</c:v>
                </c:pt>
              </c:numCache>
            </c:numRef>
          </c:xVal>
          <c:yVal>
            <c:numRef>
              <c:f>'Portfolio 2'!$P$57</c:f>
              <c:numCache>
                <c:formatCode>0.0%</c:formatCode>
                <c:ptCount val="1"/>
                <c:pt idx="0">
                  <c:v>-4.4821156832499764E-2</c:v>
                </c:pt>
              </c:numCache>
            </c:numRef>
          </c:yVal>
        </c:ser>
        <c:ser>
          <c:idx val="0"/>
          <c:order val="1"/>
          <c:tx>
            <c:v>Droog</c:v>
          </c:tx>
          <c:spPr>
            <a:ln w="28575">
              <a:noFill/>
            </a:ln>
          </c:spPr>
          <c:xVal>
            <c:numRef>
              <c:f>'Portfolio 2'!$P$67</c:f>
              <c:numCache>
                <c:formatCode>0.0%</c:formatCode>
                <c:ptCount val="1"/>
                <c:pt idx="0">
                  <c:v>0.56851416496006668</c:v>
                </c:pt>
              </c:numCache>
            </c:numRef>
          </c:xVal>
          <c:yVal>
            <c:numRef>
              <c:f>'Portfolio 2'!$P$58</c:f>
              <c:numCache>
                <c:formatCode>0.0%</c:formatCode>
                <c:ptCount val="1"/>
                <c:pt idx="0">
                  <c:v>-1.2597690423422372E-2</c:v>
                </c:pt>
              </c:numCache>
            </c:numRef>
          </c:yVal>
        </c:ser>
        <c:ser>
          <c:idx val="2"/>
          <c:order val="2"/>
          <c:tx>
            <c:v>Container</c:v>
          </c:tx>
          <c:spPr>
            <a:ln w="28575">
              <a:noFill/>
            </a:ln>
          </c:spPr>
          <c:xVal>
            <c:numRef>
              <c:f>'Portfolio 2'!$P$50</c:f>
              <c:numCache>
                <c:formatCode>0.0%</c:formatCode>
                <c:ptCount val="1"/>
                <c:pt idx="0">
                  <c:v>4.2155426711609203E-3</c:v>
                </c:pt>
              </c:numCache>
            </c:numRef>
          </c:xVal>
          <c:yVal>
            <c:numRef>
              <c:f>'Portfolio 2'!$P$59</c:f>
              <c:numCache>
                <c:formatCode>0.0%</c:formatCode>
                <c:ptCount val="1"/>
                <c:pt idx="0">
                  <c:v>4.295615178755232E-2</c:v>
                </c:pt>
              </c:numCache>
            </c:numRef>
          </c:yVal>
        </c:ser>
        <c:ser>
          <c:idx val="3"/>
          <c:order val="3"/>
          <c:tx>
            <c:v>Ro-Ro</c:v>
          </c:tx>
          <c:spPr>
            <a:ln w="28575">
              <a:noFill/>
            </a:ln>
          </c:spPr>
          <c:xVal>
            <c:numRef>
              <c:f>'Portfolio 2'!$P$69</c:f>
              <c:numCache>
                <c:formatCode>0.0%</c:formatCode>
                <c:ptCount val="1"/>
                <c:pt idx="0">
                  <c:v>0</c:v>
                </c:pt>
              </c:numCache>
            </c:numRef>
          </c:xVal>
          <c:yVal>
            <c:numRef>
              <c:f>'Portfolio 2'!$P$60</c:f>
              <c:numCache>
                <c:formatCode>Standaard</c:formatCode>
                <c:ptCount val="1"/>
              </c:numCache>
            </c:numRef>
          </c:yVal>
        </c:ser>
        <c:ser>
          <c:idx val="4"/>
          <c:order val="4"/>
          <c:tx>
            <c:v>Stuk</c:v>
          </c:tx>
          <c:spPr>
            <a:ln w="28575">
              <a:noFill/>
            </a:ln>
          </c:spPr>
          <c:xVal>
            <c:numRef>
              <c:f>'Portfolio 2'!$P$70</c:f>
              <c:numCache>
                <c:formatCode>0.0%</c:formatCode>
                <c:ptCount val="1"/>
                <c:pt idx="0">
                  <c:v>0.12424440126016222</c:v>
                </c:pt>
              </c:numCache>
            </c:numRef>
          </c:xVal>
          <c:yVal>
            <c:numRef>
              <c:f>'Portfolio 2'!$P$61</c:f>
              <c:numCache>
                <c:formatCode>0.0%</c:formatCode>
                <c:ptCount val="1"/>
                <c:pt idx="0">
                  <c:v>-4.8859277205733909E-2</c:v>
                </c:pt>
              </c:numCache>
            </c:numRef>
          </c:yVal>
        </c:ser>
        <c:dLbls/>
        <c:axId val="49694592"/>
        <c:axId val="49713152"/>
      </c:scatterChart>
      <c:valAx>
        <c:axId val="49694592"/>
        <c:scaling>
          <c:orientation val="minMax"/>
        </c:scaling>
        <c:axPos val="b"/>
        <c:majorGridlines>
          <c:spPr>
            <a:ln>
              <a:prstDash val="sysDash"/>
            </a:ln>
          </c:spPr>
        </c:majorGridlines>
        <c:title>
          <c:tx>
            <c:rich>
              <a:bodyPr/>
              <a:lstStyle/>
              <a:p>
                <a:pPr>
                  <a:defRPr/>
                </a:pPr>
                <a:r>
                  <a:rPr lang="nl-NL"/>
                  <a:t>Gemiddelde aandeel commodity </a:t>
                </a:r>
                <a:r>
                  <a:rPr lang="nl-NL" baseline="0"/>
                  <a:t>in % van totale overslag</a:t>
                </a:r>
                <a:endParaRPr lang="nl-NL"/>
              </a:p>
            </c:rich>
          </c:tx>
        </c:title>
        <c:numFmt formatCode="0.0%" sourceLinked="1"/>
        <c:majorTickMark val="none"/>
        <c:tickLblPos val="low"/>
        <c:spPr>
          <a:ln w="25400" cmpd="sng"/>
        </c:spPr>
        <c:crossAx val="49713152"/>
        <c:crossesAt val="-2.0000000000000007E-2"/>
        <c:crossBetween val="midCat"/>
      </c:valAx>
      <c:valAx>
        <c:axId val="49713152"/>
        <c:scaling>
          <c:orientation val="minMax"/>
        </c:scaling>
        <c:axPos val="l"/>
        <c:majorGridlines>
          <c:spPr>
            <a:ln>
              <a:prstDash val="sysDash"/>
            </a:ln>
          </c:spPr>
        </c:majorGridlines>
        <c:title>
          <c:tx>
            <c:rich>
              <a:bodyPr/>
              <a:lstStyle/>
              <a:p>
                <a:pPr>
                  <a:defRPr/>
                </a:pPr>
                <a:r>
                  <a:rPr lang="nl-NL"/>
                  <a:t>Gemiddelde groei van commodity in %</a:t>
                </a:r>
              </a:p>
            </c:rich>
          </c:tx>
        </c:title>
        <c:numFmt formatCode="0.0%" sourceLinked="1"/>
        <c:majorTickMark val="none"/>
        <c:tickLblPos val="low"/>
        <c:spPr>
          <a:ln w="25400"/>
        </c:spPr>
        <c:crossAx val="49694592"/>
        <c:crossesAt val="0.2"/>
        <c:crossBetween val="midCat"/>
      </c:valAx>
    </c:plotArea>
    <c:legend>
      <c:legendPos val="r"/>
    </c:legend>
    <c:plotVisOnly val="1"/>
    <c:dispBlanksAs val="gap"/>
  </c:chart>
  <c:externalData r:id="rId1"/>
</c:chartSpace>
</file>

<file path=word/charts/chart13.xml><?xml version="1.0" encoding="utf-8"?>
<c:chartSpace xmlns:c="http://schemas.openxmlformats.org/drawingml/2006/chart" xmlns:a="http://schemas.openxmlformats.org/drawingml/2006/main" xmlns:r="http://schemas.openxmlformats.org/officeDocument/2006/relationships">
  <c:lang val="en-US"/>
  <c:chart>
    <c:title>
      <c:tx>
        <c:rich>
          <a:bodyPr/>
          <a:lstStyle/>
          <a:p>
            <a:pPr>
              <a:defRPr sz="1100"/>
            </a:pPr>
            <a:r>
              <a:rPr lang="nl-NL" sz="1100"/>
              <a:t>Structuur van commodity stukgoed in periode 2000-2012</a:t>
            </a:r>
          </a:p>
        </c:rich>
      </c:tx>
      <c:spPr>
        <a:noFill/>
      </c:spPr>
    </c:title>
    <c:plotArea>
      <c:layout/>
      <c:scatterChart>
        <c:scatterStyle val="lineMarker"/>
        <c:ser>
          <c:idx val="0"/>
          <c:order val="0"/>
          <c:tx>
            <c:v>Zeeland</c:v>
          </c:tx>
          <c:spPr>
            <a:ln w="28575">
              <a:noFill/>
            </a:ln>
          </c:spPr>
          <c:xVal>
            <c:numRef>
              <c:f>'Portfolio 2 + 3'!$P$214</c:f>
              <c:numCache>
                <c:formatCode>0.0%</c:formatCode>
                <c:ptCount val="1"/>
                <c:pt idx="0">
                  <c:v>9.8290984168880435E-2</c:v>
                </c:pt>
              </c:numCache>
            </c:numRef>
          </c:xVal>
          <c:yVal>
            <c:numRef>
              <c:f>'Portfolio 2 + 3'!$P$208</c:f>
              <c:numCache>
                <c:formatCode>0.0%</c:formatCode>
                <c:ptCount val="1"/>
                <c:pt idx="0">
                  <c:v>9.6289337717238133E-2</c:v>
                </c:pt>
              </c:numCache>
            </c:numRef>
          </c:yVal>
        </c:ser>
        <c:ser>
          <c:idx val="1"/>
          <c:order val="1"/>
          <c:tx>
            <c:v>Duinkerken</c:v>
          </c:tx>
          <c:spPr>
            <a:ln w="28575">
              <a:noFill/>
            </a:ln>
          </c:spPr>
          <c:xVal>
            <c:numRef>
              <c:f>'Portfolio 2 + 3'!$P$215</c:f>
              <c:numCache>
                <c:formatCode>0.0%</c:formatCode>
                <c:ptCount val="1"/>
                <c:pt idx="0">
                  <c:v>9.4068326893712417E-2</c:v>
                </c:pt>
              </c:numCache>
            </c:numRef>
          </c:xVal>
          <c:yVal>
            <c:numRef>
              <c:f>'Portfolio 2 + 3'!$P$209</c:f>
              <c:numCache>
                <c:formatCode>0.0%</c:formatCode>
                <c:ptCount val="1"/>
                <c:pt idx="0">
                  <c:v>9.613221424245047E-2</c:v>
                </c:pt>
              </c:numCache>
            </c:numRef>
          </c:yVal>
        </c:ser>
        <c:ser>
          <c:idx val="2"/>
          <c:order val="2"/>
          <c:tx>
            <c:v>Gent</c:v>
          </c:tx>
          <c:spPr>
            <a:ln w="28575">
              <a:noFill/>
            </a:ln>
          </c:spPr>
          <c:xVal>
            <c:numRef>
              <c:f>'Portfolio 2 + 3'!$P$216</c:f>
              <c:numCache>
                <c:formatCode>0.0%</c:formatCode>
                <c:ptCount val="1"/>
                <c:pt idx="0">
                  <c:v>5.2013766113593686E-2</c:v>
                </c:pt>
              </c:numCache>
            </c:numRef>
          </c:xVal>
          <c:yVal>
            <c:numRef>
              <c:f>'Portfolio 2 + 3'!$P$210</c:f>
              <c:numCache>
                <c:formatCode>0.0%</c:formatCode>
                <c:ptCount val="1"/>
                <c:pt idx="0">
                  <c:v>-1.8696200449586056E-2</c:v>
                </c:pt>
              </c:numCache>
            </c:numRef>
          </c:yVal>
        </c:ser>
        <c:ser>
          <c:idx val="3"/>
          <c:order val="3"/>
          <c:tx>
            <c:v>Amsterdam</c:v>
          </c:tx>
          <c:spPr>
            <a:ln w="28575">
              <a:noFill/>
            </a:ln>
          </c:spPr>
          <c:xVal>
            <c:numRef>
              <c:f>'Portfolio 2 + 3'!$P$217</c:f>
              <c:numCache>
                <c:formatCode>0.0%</c:formatCode>
                <c:ptCount val="1"/>
                <c:pt idx="0">
                  <c:v>4.0735380388164259E-2</c:v>
                </c:pt>
              </c:numCache>
            </c:numRef>
          </c:xVal>
          <c:yVal>
            <c:numRef>
              <c:f>'Portfolio 2 + 3'!$P$211</c:f>
              <c:numCache>
                <c:formatCode>0.0%</c:formatCode>
                <c:ptCount val="1"/>
                <c:pt idx="0">
                  <c:v>0.12384044526901672</c:v>
                </c:pt>
              </c:numCache>
            </c:numRef>
          </c:yVal>
        </c:ser>
        <c:dLbls/>
        <c:axId val="49831936"/>
        <c:axId val="49833856"/>
      </c:scatterChart>
      <c:valAx>
        <c:axId val="49831936"/>
        <c:scaling>
          <c:orientation val="minMax"/>
        </c:scaling>
        <c:axPos val="b"/>
        <c:majorGridlines>
          <c:spPr>
            <a:ln>
              <a:prstDash val="sysDash"/>
            </a:ln>
          </c:spPr>
        </c:majorGridlines>
        <c:title>
          <c:tx>
            <c:rich>
              <a:bodyPr/>
              <a:lstStyle/>
              <a:p>
                <a:pPr>
                  <a:defRPr/>
                </a:pPr>
                <a:r>
                  <a:rPr lang="nl-NL"/>
                  <a:t>Gemiddelde aandeel in de</a:t>
                </a:r>
                <a:r>
                  <a:rPr lang="nl-NL" baseline="0"/>
                  <a:t> HLH-range in %</a:t>
                </a:r>
                <a:endParaRPr lang="nl-NL"/>
              </a:p>
            </c:rich>
          </c:tx>
        </c:title>
        <c:numFmt formatCode="0.0%" sourceLinked="1"/>
        <c:majorTickMark val="none"/>
        <c:tickLblPos val="low"/>
        <c:spPr>
          <a:ln w="25400" cmpd="sng"/>
        </c:spPr>
        <c:crossAx val="49833856"/>
        <c:crossesAt val="-7.0000000000000027E-3"/>
        <c:crossBetween val="midCat"/>
      </c:valAx>
      <c:valAx>
        <c:axId val="49833856"/>
        <c:scaling>
          <c:orientation val="minMax"/>
        </c:scaling>
        <c:axPos val="l"/>
        <c:majorGridlines>
          <c:spPr>
            <a:ln>
              <a:prstDash val="sysDash"/>
            </a:ln>
          </c:spPr>
        </c:majorGridlines>
        <c:title>
          <c:tx>
            <c:rich>
              <a:bodyPr/>
              <a:lstStyle/>
              <a:p>
                <a:pPr>
                  <a:defRPr/>
                </a:pPr>
                <a:r>
                  <a:rPr lang="nl-NL"/>
                  <a:t>Gemiddelde groei van commodity per</a:t>
                </a:r>
                <a:r>
                  <a:rPr lang="nl-NL" baseline="0"/>
                  <a:t> haven i</a:t>
                </a:r>
                <a:r>
                  <a:rPr lang="nl-NL"/>
                  <a:t>n %</a:t>
                </a:r>
              </a:p>
            </c:rich>
          </c:tx>
        </c:title>
        <c:numFmt formatCode="0.0%" sourceLinked="1"/>
        <c:majorTickMark val="none"/>
        <c:tickLblPos val="low"/>
        <c:spPr>
          <a:ln w="25400"/>
        </c:spPr>
        <c:crossAx val="49831936"/>
        <c:crossesAt val="6.1000000000000013E-2"/>
        <c:crossBetween val="midCat"/>
      </c:valAx>
    </c:plotArea>
    <c:legend>
      <c:legendPos val="r"/>
    </c:legend>
    <c:plotVisOnly val="1"/>
    <c:dispBlanksAs val="gap"/>
  </c:chart>
  <c:externalData r:id="rId1"/>
</c:chartSpace>
</file>

<file path=word/charts/chart14.xml><?xml version="1.0" encoding="utf-8"?>
<c:chartSpace xmlns:c="http://schemas.openxmlformats.org/drawingml/2006/chart" xmlns:a="http://schemas.openxmlformats.org/drawingml/2006/main" xmlns:r="http://schemas.openxmlformats.org/officeDocument/2006/relationships">
  <c:lang val="en-US"/>
  <c:chart>
    <c:title>
      <c:tx>
        <c:rich>
          <a:bodyPr/>
          <a:lstStyle/>
          <a:p>
            <a:pPr>
              <a:defRPr sz="1100"/>
            </a:pPr>
            <a:r>
              <a:rPr lang="nl-NL" sz="1100"/>
              <a:t>Structuur van commodity containers in periode 2000-2012</a:t>
            </a:r>
          </a:p>
        </c:rich>
      </c:tx>
      <c:spPr>
        <a:noFill/>
      </c:spPr>
    </c:title>
    <c:plotArea>
      <c:layout/>
      <c:scatterChart>
        <c:scatterStyle val="lineMarker"/>
        <c:ser>
          <c:idx val="0"/>
          <c:order val="0"/>
          <c:tx>
            <c:v>Zeeland</c:v>
          </c:tx>
          <c:spPr>
            <a:ln w="28575">
              <a:noFill/>
            </a:ln>
          </c:spPr>
          <c:xVal>
            <c:numRef>
              <c:f>'Portfolio 2 + 3'!$P$201</c:f>
              <c:numCache>
                <c:formatCode>0.0%</c:formatCode>
                <c:ptCount val="1"/>
                <c:pt idx="0">
                  <c:v>1.036260805163766E-3</c:v>
                </c:pt>
              </c:numCache>
            </c:numRef>
          </c:xVal>
          <c:yVal>
            <c:numRef>
              <c:f>'Portfolio 2 + 3'!$P$195</c:f>
              <c:numCache>
                <c:formatCode>0.0%</c:formatCode>
                <c:ptCount val="1"/>
                <c:pt idx="0">
                  <c:v>-2.8301886792452827E-2</c:v>
                </c:pt>
              </c:numCache>
            </c:numRef>
          </c:yVal>
        </c:ser>
        <c:ser>
          <c:idx val="1"/>
          <c:order val="1"/>
          <c:tx>
            <c:v>Duinkerken</c:v>
          </c:tx>
          <c:spPr>
            <a:ln w="28575">
              <a:noFill/>
            </a:ln>
          </c:spPr>
          <c:xVal>
            <c:numRef>
              <c:f>'Portfolio 2 + 3'!$P$202</c:f>
              <c:numCache>
                <c:formatCode>0.0%</c:formatCode>
                <c:ptCount val="1"/>
                <c:pt idx="0">
                  <c:v>5.8989300645991664E-3</c:v>
                </c:pt>
              </c:numCache>
            </c:numRef>
          </c:xVal>
          <c:yVal>
            <c:numRef>
              <c:f>'Portfolio 2 + 3'!$P$196</c:f>
              <c:numCache>
                <c:formatCode>0.0%</c:formatCode>
                <c:ptCount val="1"/>
                <c:pt idx="0">
                  <c:v>4.295615178755232E-2</c:v>
                </c:pt>
              </c:numCache>
            </c:numRef>
          </c:yVal>
        </c:ser>
        <c:ser>
          <c:idx val="2"/>
          <c:order val="2"/>
          <c:tx>
            <c:v>Gent</c:v>
          </c:tx>
          <c:spPr>
            <a:ln w="28575">
              <a:noFill/>
            </a:ln>
          </c:spPr>
          <c:xVal>
            <c:numRef>
              <c:f>'Portfolio 2 + 3'!$P$203</c:f>
              <c:numCache>
                <c:formatCode>0.0%</c:formatCode>
                <c:ptCount val="1"/>
                <c:pt idx="0">
                  <c:v>4.0273449954981847E-4</c:v>
                </c:pt>
              </c:numCache>
            </c:numRef>
          </c:xVal>
          <c:yVal>
            <c:numRef>
              <c:f>'Portfolio 2 + 3'!$P$197</c:f>
              <c:numCache>
                <c:formatCode>0.0%</c:formatCode>
                <c:ptCount val="1"/>
                <c:pt idx="0">
                  <c:v>0.35946745562130178</c:v>
                </c:pt>
              </c:numCache>
            </c:numRef>
          </c:yVal>
        </c:ser>
        <c:ser>
          <c:idx val="3"/>
          <c:order val="3"/>
          <c:tx>
            <c:v>Amsterdam</c:v>
          </c:tx>
          <c:spPr>
            <a:ln w="28575">
              <a:noFill/>
            </a:ln>
          </c:spPr>
          <c:xVal>
            <c:numRef>
              <c:f>'Portfolio 2 + 3'!$P$204</c:f>
              <c:numCache>
                <c:formatCode>0.0%</c:formatCode>
                <c:ptCount val="1"/>
                <c:pt idx="0">
                  <c:v>4.304666982666891E-3</c:v>
                </c:pt>
              </c:numCache>
            </c:numRef>
          </c:xVal>
          <c:yVal>
            <c:numRef>
              <c:f>'Portfolio 2 + 3'!$P$198</c:f>
              <c:numCache>
                <c:formatCode>0.0%</c:formatCode>
                <c:ptCount val="1"/>
                <c:pt idx="0">
                  <c:v>-4.2077580539119003E-2</c:v>
                </c:pt>
              </c:numCache>
            </c:numRef>
          </c:yVal>
        </c:ser>
        <c:dLbls/>
        <c:axId val="49755648"/>
        <c:axId val="49757568"/>
      </c:scatterChart>
      <c:valAx>
        <c:axId val="49755648"/>
        <c:scaling>
          <c:orientation val="minMax"/>
        </c:scaling>
        <c:axPos val="b"/>
        <c:majorGridlines>
          <c:spPr>
            <a:ln>
              <a:prstDash val="sysDash"/>
            </a:ln>
          </c:spPr>
        </c:majorGridlines>
        <c:title>
          <c:tx>
            <c:rich>
              <a:bodyPr/>
              <a:lstStyle/>
              <a:p>
                <a:pPr>
                  <a:defRPr/>
                </a:pPr>
                <a:r>
                  <a:rPr lang="nl-NL"/>
                  <a:t>Gemiddelde aandeel in de</a:t>
                </a:r>
                <a:r>
                  <a:rPr lang="nl-NL" baseline="0"/>
                  <a:t> HLH-range in %</a:t>
                </a:r>
                <a:endParaRPr lang="nl-NL"/>
              </a:p>
            </c:rich>
          </c:tx>
        </c:title>
        <c:numFmt formatCode="0.0%" sourceLinked="1"/>
        <c:majorTickMark val="none"/>
        <c:tickLblPos val="low"/>
        <c:spPr>
          <a:ln w="25400" cmpd="sng"/>
        </c:spPr>
        <c:crossAx val="49757568"/>
        <c:crossesAt val="7.1000000000000008E-2"/>
        <c:crossBetween val="midCat"/>
      </c:valAx>
      <c:valAx>
        <c:axId val="49757568"/>
        <c:scaling>
          <c:orientation val="minMax"/>
        </c:scaling>
        <c:axPos val="l"/>
        <c:majorGridlines>
          <c:spPr>
            <a:ln>
              <a:prstDash val="sysDash"/>
            </a:ln>
          </c:spPr>
        </c:majorGridlines>
        <c:title>
          <c:tx>
            <c:rich>
              <a:bodyPr/>
              <a:lstStyle/>
              <a:p>
                <a:pPr>
                  <a:defRPr/>
                </a:pPr>
                <a:r>
                  <a:rPr lang="nl-NL"/>
                  <a:t>Gemiddelde groei van commodity per</a:t>
                </a:r>
                <a:r>
                  <a:rPr lang="nl-NL" baseline="0"/>
                  <a:t> haven i</a:t>
                </a:r>
                <a:r>
                  <a:rPr lang="nl-NL"/>
                  <a:t>n %</a:t>
                </a:r>
              </a:p>
            </c:rich>
          </c:tx>
        </c:title>
        <c:numFmt formatCode="0.0%" sourceLinked="1"/>
        <c:majorTickMark val="none"/>
        <c:tickLblPos val="low"/>
        <c:spPr>
          <a:ln w="25400"/>
        </c:spPr>
        <c:crossAx val="49755648"/>
        <c:crossesAt val="0.24300000000000005"/>
        <c:crossBetween val="midCat"/>
      </c:valAx>
    </c:plotArea>
    <c:legend>
      <c:legendPos val="r"/>
    </c:legend>
    <c:plotVisOnly val="1"/>
    <c:dispBlanksAs val="gap"/>
  </c:chart>
  <c:externalData r:id="rId1"/>
</c:chartSpace>
</file>

<file path=word/charts/chart15.xml><?xml version="1.0" encoding="utf-8"?>
<c:chartSpace xmlns:c="http://schemas.openxmlformats.org/drawingml/2006/chart" xmlns:a="http://schemas.openxmlformats.org/drawingml/2006/main" xmlns:r="http://schemas.openxmlformats.org/officeDocument/2006/relationships">
  <c:lang val="en-US"/>
  <c:chart>
    <c:title>
      <c:tx>
        <c:rich>
          <a:bodyPr/>
          <a:lstStyle/>
          <a:p>
            <a:pPr>
              <a:defRPr sz="1100"/>
            </a:pPr>
            <a:r>
              <a:rPr lang="nl-NL" sz="1100"/>
              <a:t>Structuur van commodity droog bulkgoed in periode 2000-2012</a:t>
            </a:r>
          </a:p>
        </c:rich>
      </c:tx>
      <c:spPr>
        <a:noFill/>
      </c:spPr>
    </c:title>
    <c:plotArea>
      <c:layout/>
      <c:scatterChart>
        <c:scatterStyle val="lineMarker"/>
        <c:ser>
          <c:idx val="0"/>
          <c:order val="0"/>
          <c:tx>
            <c:v>Zeeland</c:v>
          </c:tx>
          <c:spPr>
            <a:ln w="28575">
              <a:noFill/>
            </a:ln>
          </c:spPr>
          <c:xVal>
            <c:numRef>
              <c:f>'Portfolio 2 + 3'!$P$188</c:f>
              <c:numCache>
                <c:formatCode>0.0%</c:formatCode>
                <c:ptCount val="1"/>
                <c:pt idx="0">
                  <c:v>3.4248606403490471E-2</c:v>
                </c:pt>
              </c:numCache>
            </c:numRef>
          </c:xVal>
          <c:yVal>
            <c:numRef>
              <c:f>'Portfolio 2 + 3'!$P$182</c:f>
              <c:numCache>
                <c:formatCode>0.0%</c:formatCode>
                <c:ptCount val="1"/>
                <c:pt idx="0">
                  <c:v>4.2438424186496182E-2</c:v>
                </c:pt>
              </c:numCache>
            </c:numRef>
          </c:yVal>
        </c:ser>
        <c:ser>
          <c:idx val="1"/>
          <c:order val="1"/>
          <c:tx>
            <c:v>Duinkerken</c:v>
          </c:tx>
          <c:spPr>
            <a:ln w="28575">
              <a:noFill/>
            </a:ln>
          </c:spPr>
          <c:xVal>
            <c:numRef>
              <c:f>'Portfolio 2 + 3'!$P$189</c:f>
              <c:numCache>
                <c:formatCode>0.0%</c:formatCode>
                <c:ptCount val="1"/>
                <c:pt idx="0">
                  <c:v>9.0873941883110917E-2</c:v>
                </c:pt>
              </c:numCache>
            </c:numRef>
          </c:xVal>
          <c:yVal>
            <c:numRef>
              <c:f>'Portfolio 2 + 3'!$P$183</c:f>
              <c:numCache>
                <c:formatCode>0.0%</c:formatCode>
                <c:ptCount val="1"/>
                <c:pt idx="0">
                  <c:v>-1.2597690423422372E-2</c:v>
                </c:pt>
              </c:numCache>
            </c:numRef>
          </c:yVal>
        </c:ser>
        <c:ser>
          <c:idx val="2"/>
          <c:order val="2"/>
          <c:tx>
            <c:v>Gent</c:v>
          </c:tx>
          <c:spPr>
            <a:ln w="28575">
              <a:noFill/>
            </a:ln>
          </c:spPr>
          <c:xVal>
            <c:numRef>
              <c:f>'Portfolio 2 + 3'!$P$190</c:f>
              <c:numCache>
                <c:formatCode>0.0%</c:formatCode>
                <c:ptCount val="1"/>
                <c:pt idx="0">
                  <c:v>5.8495239917254471E-2</c:v>
                </c:pt>
              </c:numCache>
            </c:numRef>
          </c:xVal>
          <c:yVal>
            <c:numRef>
              <c:f>'Portfolio 2 + 3'!$P$184</c:f>
              <c:numCache>
                <c:formatCode>0.0%</c:formatCode>
                <c:ptCount val="1"/>
                <c:pt idx="0">
                  <c:v>2.841097735659335E-3</c:v>
                </c:pt>
              </c:numCache>
            </c:numRef>
          </c:yVal>
        </c:ser>
        <c:ser>
          <c:idx val="3"/>
          <c:order val="3"/>
          <c:tx>
            <c:v>Amsterdam</c:v>
          </c:tx>
          <c:spPr>
            <a:ln w="28575">
              <a:noFill/>
            </a:ln>
          </c:spPr>
          <c:xVal>
            <c:numRef>
              <c:f>'Portfolio 2 + 3'!$P$191</c:f>
              <c:numCache>
                <c:formatCode>0.0%</c:formatCode>
                <c:ptCount val="1"/>
                <c:pt idx="0">
                  <c:v>0.10312210365811636</c:v>
                </c:pt>
              </c:numCache>
            </c:numRef>
          </c:xVal>
          <c:yVal>
            <c:numRef>
              <c:f>'Portfolio 2 + 3'!$P$185</c:f>
              <c:numCache>
                <c:formatCode>0.0%</c:formatCode>
                <c:ptCount val="1"/>
                <c:pt idx="0">
                  <c:v>-1.6650161306981465E-2</c:v>
                </c:pt>
              </c:numCache>
            </c:numRef>
          </c:yVal>
        </c:ser>
        <c:dLbls/>
        <c:axId val="49806720"/>
        <c:axId val="49042944"/>
      </c:scatterChart>
      <c:valAx>
        <c:axId val="49806720"/>
        <c:scaling>
          <c:orientation val="minMax"/>
        </c:scaling>
        <c:axPos val="b"/>
        <c:majorGridlines>
          <c:spPr>
            <a:ln>
              <a:prstDash val="sysDash"/>
            </a:ln>
          </c:spPr>
        </c:majorGridlines>
        <c:title>
          <c:tx>
            <c:rich>
              <a:bodyPr/>
              <a:lstStyle/>
              <a:p>
                <a:pPr>
                  <a:defRPr/>
                </a:pPr>
                <a:r>
                  <a:rPr lang="nl-NL"/>
                  <a:t>Gemiddelde aandeel in de</a:t>
                </a:r>
                <a:r>
                  <a:rPr lang="nl-NL" baseline="0"/>
                  <a:t> HLH-range in %</a:t>
                </a:r>
                <a:endParaRPr lang="nl-NL"/>
              </a:p>
            </c:rich>
          </c:tx>
        </c:title>
        <c:numFmt formatCode="0.0%" sourceLinked="1"/>
        <c:majorTickMark val="none"/>
        <c:tickLblPos val="low"/>
        <c:spPr>
          <a:ln w="25400" cmpd="sng"/>
        </c:spPr>
        <c:crossAx val="49042944"/>
        <c:crossesAt val="-6.0000000000000027E-3"/>
        <c:crossBetween val="midCat"/>
      </c:valAx>
      <c:valAx>
        <c:axId val="49042944"/>
        <c:scaling>
          <c:orientation val="minMax"/>
        </c:scaling>
        <c:axPos val="l"/>
        <c:majorGridlines>
          <c:spPr>
            <a:ln>
              <a:prstDash val="sysDash"/>
            </a:ln>
          </c:spPr>
        </c:majorGridlines>
        <c:title>
          <c:tx>
            <c:rich>
              <a:bodyPr/>
              <a:lstStyle/>
              <a:p>
                <a:pPr>
                  <a:defRPr/>
                </a:pPr>
                <a:r>
                  <a:rPr lang="nl-NL"/>
                  <a:t>Gemiddelde groei van commodity per</a:t>
                </a:r>
                <a:r>
                  <a:rPr lang="nl-NL" baseline="0"/>
                  <a:t> haven i</a:t>
                </a:r>
                <a:r>
                  <a:rPr lang="nl-NL"/>
                  <a:t>n %</a:t>
                </a:r>
              </a:p>
            </c:rich>
          </c:tx>
        </c:title>
        <c:numFmt formatCode="0.0%" sourceLinked="1"/>
        <c:majorTickMark val="none"/>
        <c:tickLblPos val="low"/>
        <c:spPr>
          <a:ln w="25400"/>
        </c:spPr>
        <c:crossAx val="49806720"/>
        <c:crossesAt val="0.26100000000000001"/>
        <c:crossBetween val="midCat"/>
      </c:valAx>
    </c:plotArea>
    <c:legend>
      <c:legendPos val="r"/>
    </c:legend>
    <c:plotVisOnly val="1"/>
    <c:dispBlanksAs val="gap"/>
  </c:chart>
  <c:externalData r:id="rId1"/>
</c:chartSpace>
</file>

<file path=word/charts/chart16.xml><?xml version="1.0" encoding="utf-8"?>
<c:chartSpace xmlns:c="http://schemas.openxmlformats.org/drawingml/2006/chart" xmlns:a="http://schemas.openxmlformats.org/drawingml/2006/main" xmlns:r="http://schemas.openxmlformats.org/officeDocument/2006/relationships">
  <c:lang val="en-US"/>
  <c:chart>
    <c:title>
      <c:tx>
        <c:rich>
          <a:bodyPr/>
          <a:lstStyle/>
          <a:p>
            <a:pPr>
              <a:defRPr sz="1100"/>
            </a:pPr>
            <a:r>
              <a:rPr lang="nl-NL" sz="1100"/>
              <a:t>Structuur van commodity nat bulkgoed in periode 2000-2012</a:t>
            </a:r>
          </a:p>
        </c:rich>
      </c:tx>
      <c:spPr>
        <a:noFill/>
      </c:spPr>
    </c:title>
    <c:plotArea>
      <c:layout/>
      <c:scatterChart>
        <c:scatterStyle val="lineMarker"/>
        <c:ser>
          <c:idx val="0"/>
          <c:order val="0"/>
          <c:tx>
            <c:v>Zeeland</c:v>
          </c:tx>
          <c:spPr>
            <a:ln w="28575">
              <a:noFill/>
            </a:ln>
          </c:spPr>
          <c:xVal>
            <c:numRef>
              <c:f>'Portfolio 2 + 3'!$P$175</c:f>
              <c:numCache>
                <c:formatCode>0.0%</c:formatCode>
                <c:ptCount val="1"/>
                <c:pt idx="0">
                  <c:v>2.729774043261286E-2</c:v>
                </c:pt>
              </c:numCache>
            </c:numRef>
          </c:xVal>
          <c:yVal>
            <c:numRef>
              <c:f>'Portfolio 2 + 3'!$P$169</c:f>
              <c:numCache>
                <c:formatCode>0.0%</c:formatCode>
                <c:ptCount val="1"/>
                <c:pt idx="0">
                  <c:v>1.4940461029037193E-2</c:v>
                </c:pt>
              </c:numCache>
            </c:numRef>
          </c:yVal>
        </c:ser>
        <c:ser>
          <c:idx val="1"/>
          <c:order val="1"/>
          <c:tx>
            <c:v>Duinkerken</c:v>
          </c:tx>
          <c:spPr>
            <a:ln w="28575">
              <a:noFill/>
            </a:ln>
          </c:spPr>
          <c:xVal>
            <c:numRef>
              <c:f>'Portfolio 2 + 3'!$P$176</c:f>
              <c:numCache>
                <c:formatCode>0.0%</c:formatCode>
                <c:ptCount val="1"/>
                <c:pt idx="0">
                  <c:v>3.1639878344489607E-2</c:v>
                </c:pt>
              </c:numCache>
            </c:numRef>
          </c:xVal>
          <c:yVal>
            <c:numRef>
              <c:f>'Portfolio 2 + 3'!$P$170</c:f>
              <c:numCache>
                <c:formatCode>0.0%</c:formatCode>
                <c:ptCount val="1"/>
                <c:pt idx="0">
                  <c:v>-4.4821156832499764E-2</c:v>
                </c:pt>
              </c:numCache>
            </c:numRef>
          </c:yVal>
        </c:ser>
        <c:ser>
          <c:idx val="2"/>
          <c:order val="2"/>
          <c:tx>
            <c:v>Gent</c:v>
          </c:tx>
          <c:spPr>
            <a:ln w="28575">
              <a:noFill/>
            </a:ln>
          </c:spPr>
          <c:xVal>
            <c:numRef>
              <c:f>'Portfolio 2 + 3'!$P$177</c:f>
              <c:numCache>
                <c:formatCode>0.0%</c:formatCode>
                <c:ptCount val="1"/>
                <c:pt idx="0">
                  <c:v>7.9171751935960474E-3</c:v>
                </c:pt>
              </c:numCache>
            </c:numRef>
          </c:xVal>
          <c:yVal>
            <c:numRef>
              <c:f>'Portfolio 2 + 3'!$P$171</c:f>
              <c:numCache>
                <c:formatCode>0.0%</c:formatCode>
                <c:ptCount val="1"/>
                <c:pt idx="0">
                  <c:v>2.7487529535311108E-2</c:v>
                </c:pt>
              </c:numCache>
            </c:numRef>
          </c:yVal>
        </c:ser>
        <c:ser>
          <c:idx val="3"/>
          <c:order val="3"/>
          <c:tx>
            <c:v>Amsterdam</c:v>
          </c:tx>
          <c:spPr>
            <a:ln w="28575">
              <a:noFill/>
            </a:ln>
          </c:spPr>
          <c:xVal>
            <c:numRef>
              <c:f>'Portfolio 2 + 3'!$P$178</c:f>
              <c:numCache>
                <c:formatCode>0.0%</c:formatCode>
                <c:ptCount val="1"/>
                <c:pt idx="0">
                  <c:v>6.4987461924772685E-2</c:v>
                </c:pt>
              </c:numCache>
            </c:numRef>
          </c:xVal>
          <c:yVal>
            <c:numRef>
              <c:f>'Portfolio 2 + 3'!$P$172</c:f>
              <c:numCache>
                <c:formatCode>0.0%</c:formatCode>
                <c:ptCount val="1"/>
                <c:pt idx="0">
                  <c:v>0.17391009137974936</c:v>
                </c:pt>
              </c:numCache>
            </c:numRef>
          </c:yVal>
        </c:ser>
        <c:dLbls/>
        <c:axId val="49874432"/>
        <c:axId val="49876352"/>
      </c:scatterChart>
      <c:valAx>
        <c:axId val="49874432"/>
        <c:scaling>
          <c:orientation val="minMax"/>
        </c:scaling>
        <c:axPos val="b"/>
        <c:majorGridlines>
          <c:spPr>
            <a:ln>
              <a:prstDash val="sysDash"/>
            </a:ln>
          </c:spPr>
        </c:majorGridlines>
        <c:title>
          <c:tx>
            <c:rich>
              <a:bodyPr/>
              <a:lstStyle/>
              <a:p>
                <a:pPr>
                  <a:defRPr/>
                </a:pPr>
                <a:r>
                  <a:rPr lang="nl-NL"/>
                  <a:t>Gemiddelde aandeel in de</a:t>
                </a:r>
                <a:r>
                  <a:rPr lang="nl-NL" baseline="0"/>
                  <a:t> HLH-range in %</a:t>
                </a:r>
                <a:endParaRPr lang="nl-NL"/>
              </a:p>
            </c:rich>
          </c:tx>
        </c:title>
        <c:numFmt formatCode="0.0%" sourceLinked="1"/>
        <c:majorTickMark val="none"/>
        <c:tickLblPos val="low"/>
        <c:spPr>
          <a:ln w="25400" cmpd="sng"/>
        </c:spPr>
        <c:crossAx val="49876352"/>
        <c:crossesAt val="1.8000000000000006E-2"/>
        <c:crossBetween val="midCat"/>
      </c:valAx>
      <c:valAx>
        <c:axId val="49876352"/>
        <c:scaling>
          <c:orientation val="minMax"/>
        </c:scaling>
        <c:axPos val="l"/>
        <c:majorGridlines>
          <c:spPr>
            <a:ln>
              <a:prstDash val="sysDash"/>
            </a:ln>
          </c:spPr>
        </c:majorGridlines>
        <c:title>
          <c:tx>
            <c:rich>
              <a:bodyPr/>
              <a:lstStyle/>
              <a:p>
                <a:pPr>
                  <a:defRPr/>
                </a:pPr>
                <a:r>
                  <a:rPr lang="nl-NL"/>
                  <a:t>Gemiddelde groei van commodity per</a:t>
                </a:r>
                <a:r>
                  <a:rPr lang="nl-NL" baseline="0"/>
                  <a:t> haven i</a:t>
                </a:r>
                <a:r>
                  <a:rPr lang="nl-NL"/>
                  <a:t>n %</a:t>
                </a:r>
              </a:p>
            </c:rich>
          </c:tx>
        </c:title>
        <c:numFmt formatCode="0.0%" sourceLinked="1"/>
        <c:majorTickMark val="none"/>
        <c:tickLblPos val="low"/>
        <c:spPr>
          <a:ln w="25400"/>
        </c:spPr>
        <c:crossAx val="49874432"/>
        <c:crossesAt val="0.37200000000000011"/>
        <c:crossBetween val="midCat"/>
      </c:valAx>
    </c:plotArea>
    <c:legend>
      <c:legendPos val="r"/>
    </c:legend>
    <c:plotVisOnly val="1"/>
    <c:dispBlanksAs val="gap"/>
  </c:chart>
  <c:externalData r:id="rId1"/>
</c:chartSpace>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2014-07-01T00:00:00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Sixth Edition">
  <b:Source>
    <b:Tag>USM85</b:Tag>
    <b:SourceType>Report</b:SourceType>
    <b:Guid>{CA58BD99-EFFF-4262-8C5D-CEAE1CDD794F}</b:Guid>
    <b:Title>Port economic impact kit</b:Title>
    <b:Year>1985</b:Year>
    <b:Publisher>Recht, Hausrath and Associates</b:Publisher>
    <b:City>Oakland, CA</b:City>
    <b:Author>
      <b:Author>
        <b:Corporate>U.S. Maritime Administration</b:Corporate>
      </b:Author>
    </b:Author>
    <b:RefOrder>1</b:RefOrder>
  </b:Source>
  <b:Source>
    <b:Tag>Yoc87</b:Tag>
    <b:SourceType>JournalArticle</b:SourceType>
    <b:Guid>{6EFD2ED3-6C63-4453-A547-8A2646C41B13}</b:Guid>
    <b:Title>Economic Impact of Port on a Regional Economy: Note</b:Title>
    <b:JournalName>Growth &amp; Change</b:JournalName>
    <b:Year>1987</b:Year>
    <b:Pages>74-87</b:Pages>
    <b:Author>
      <b:Author>
        <b:NameList>
          <b:Person>
            <b:Last>Yochum</b:Last>
            <b:Middle>R.</b:Middle>
            <b:First>Gilbert</b:First>
          </b:Person>
          <b:Person>
            <b:Last>Agarwal</b:Last>
            <b:Middle>B.</b:Middle>
            <b:First>Vinod</b:First>
          </b:Person>
        </b:NameList>
      </b:Author>
    </b:Author>
    <b:RefOrder>2</b:RefOrder>
  </b:Source>
  <b:Source>
    <b:Tag>Dav83</b:Tag>
    <b:SourceType>JournalArticle</b:SourceType>
    <b:Guid>{C7E5C9D1-B092-4156-A9C4-246D5B7AE104}</b:Guid>
    <b:Title>Regional Port Impact Studies: A Critique and Suggested Methodology</b:Title>
    <b:Year>1983</b:Year>
    <b:JournalName>Transportation Journal (American Society of Transportation and Logistics Inc)</b:JournalName>
    <b:Pages>61-71</b:Pages>
    <b:Author>
      <b:Author>
        <b:NameList>
          <b:Person>
            <b:Last>Davis</b:Last>
            <b:Middle>Craig</b:Middle>
            <b:First>H.</b:First>
          </b:Person>
        </b:NameList>
      </b:Author>
    </b:Author>
    <b:RefOrder>3</b:RefOrder>
  </b:Source>
  <b:Source>
    <b:Tag>RHV14</b:Tag>
    <b:SourceType>Report</b:SourceType>
    <b:Guid>{2FF9D527-937F-4AC2-8DBB-95E0238681D8}</b:Guid>
    <b:Title>Havenmonitor 2012</b:Title>
    <b:Year>2014</b:Year>
    <b:Author>
      <b:Author>
        <b:Corporate>RHV Erasmus Universiteit Rotterdam</b:Corporate>
      </b:Author>
    </b:Author>
    <b:Publisher>Erasmus Universiteit Rotterdam</b:Publisher>
    <b:City>Rotterdam</b:City>
    <b:Pages>129-146</b:Pages>
    <b:RefOrder>4</b:RefOrder>
  </b:Source>
  <b:Source>
    <b:Tag>deL12</b:Tag>
    <b:SourceType>Report</b:SourceType>
    <b:Guid>{5D163AF3-D435-4250-B42A-0798B814BAC5}</b:Guid>
    <b:Title>Port Economics, Policy and Management</b:Title>
    <b:Year>2012</b:Year>
    <b:Publisher>Erasmus Universiteit Rotterdam</b:Publisher>
    <b:City>Rotterdam</b:City>
    <b:Author>
      <b:Author>
        <b:NameList>
          <b:Person>
            <b:Last>de Langen</b:Last>
            <b:First>P.W.</b:First>
          </b:Person>
          <b:Person>
            <b:Last>Nijdam</b:Last>
            <b:First>M.H.</b:First>
          </b:Person>
          <b:Person>
            <b:Last>van der Lugt</b:Last>
            <b:First>L.M.</b:First>
          </b:Person>
        </b:NameList>
      </b:Author>
    </b:Author>
    <b:RefOrder>5</b:RefOrder>
  </b:Source>
  <b:Source>
    <b:Tag>OEC11</b:Tag>
    <b:SourceType>Report</b:SourceType>
    <b:Guid>{34525AE0-36DB-4993-BF1C-B608343D8432}</b:Guid>
    <b:Author>
      <b:Author>
        <b:Corporate>OECD</b:Corporate>
      </b:Author>
    </b:Author>
    <b:Title>Competition in Ports and Port Services</b:Title>
    <b:Year>2011</b:Year>
    <b:Publisher>OECD</b:Publisher>
    <b:RefOrder>6</b:RefOrder>
  </b:Source>
  <b:Source>
    <b:Tag>Hen79</b:Tag>
    <b:SourceType>Book</b:SourceType>
    <b:Guid>{F8194130-DAEC-4707-A4BD-1E9FF3CA940F}</b:Guid>
    <b:Title>Henderson on corporate strategy</b:Title>
    <b:Year>1979</b:Year>
    <b:City>Cambridge, MA</b:City>
    <b:Publisher>Abt Books</b:Publisher>
    <b:Author>
      <b:Author>
        <b:NameList>
          <b:Person>
            <b:Last>Henderson</b:Last>
            <b:Middle>D.</b:Middle>
            <b:First>B.</b:First>
          </b:Person>
        </b:NameList>
      </b:Author>
    </b:Author>
    <b:RefOrder>7</b:RefOrder>
  </b:Source>
  <b:Source>
    <b:Tag>DeL89</b:Tag>
    <b:SourceType>JournalArticle</b:SourceType>
    <b:Guid>{A91BA6FE-205E-44C2-8E0F-8FD6465F1A8A}</b:Guid>
    <b:Title>Assessing international seaport competition: A tool for strategic decision making</b:Title>
    <b:Year>1989</b:Year>
    <b:JournalName>International Journal of Transport Economics</b:JournalName>
    <b:Pages>175-192</b:Pages>
    <b:Author>
      <b:Author>
        <b:NameList>
          <b:Person>
            <b:Last>De Lombaerde</b:Last>
            <b:First>P.</b:First>
          </b:Person>
          <b:Person>
            <b:Last>Verbeke</b:Last>
            <b:First>A.</b:First>
          </b:Person>
        </b:NameList>
      </b:Author>
    </b:Author>
    <b:Volume>16</b:Volume>
    <b:Issue>2</b:Issue>
    <b:RefOrder>8</b:RefOrder>
  </b:Source>
  <b:Source>
    <b:Tag>Dys90</b:Tag>
    <b:SourceType>Book</b:SourceType>
    <b:Guid>{465ED4A9-86CA-4325-ADC8-B97E8D6D6360}</b:Guid>
    <b:Title>Strategic planning: Models and analytical techniques</b:Title>
    <b:Year>1990</b:Year>
    <b:City>England</b:City>
    <b:Publisher>Wiley</b:Publisher>
    <b:Author>
      <b:Author>
        <b:NameList>
          <b:Person>
            <b:Last>Dyson</b:Last>
            <b:Middle>G.</b:Middle>
            <b:First>R.</b:First>
          </b:Person>
        </b:NameList>
      </b:Author>
    </b:Author>
    <b:RefOrder>9</b:RefOrder>
  </b:Source>
  <b:Source>
    <b:Tag>Dib91</b:Tag>
    <b:SourceType>Book</b:SourceType>
    <b:Guid>{475372E2-D4AB-4D29-B8D9-76D15DF6C658}</b:Guid>
    <b:Title>Marketing: Concepts and strategies</b:Title>
    <b:Year>1991</b:Year>
    <b:City>Boston</b:City>
    <b:Publisher>Houghton Mifflin</b:Publisher>
    <b:Author>
      <b:Author>
        <b:NameList>
          <b:Person>
            <b:Last>Dibb</b:Last>
            <b:First>S.</b:First>
          </b:Person>
          <b:Person>
            <b:Last>Simkin</b:Last>
            <b:First>L.</b:First>
          </b:Person>
          <b:Person>
            <b:Last>Pride</b:Last>
            <b:Middle>M.</b:Middle>
            <b:First>W.</b:First>
          </b:Person>
          <b:Person>
            <b:Last>Ferrel</b:Last>
            <b:Middle>C.</b:Middle>
            <b:First>O.</b:First>
          </b:Person>
        </b:NameList>
      </b:Author>
    </b:Author>
    <b:RefOrder>10</b:RefOrder>
  </b:Source>
  <b:Source>
    <b:Tag>Hae06</b:Tag>
    <b:SourceType>JournalArticle</b:SourceType>
    <b:Guid>{1EBFD0EA-4D06-40F2-A3D2-C2A331D4E21E}</b:Guid>
    <b:Title>Strategic Positioning Analysis for Seaports</b:Title>
    <b:Year>2006</b:Year>
    <b:JournalName>Research in Transportation Economics</b:JournalName>
    <b:Pages>141-169</b:Pages>
    <b:Author>
      <b:Author>
        <b:NameList>
          <b:Person>
            <b:Last>Haezendonck</b:Last>
            <b:First>Elvira</b:First>
          </b:Person>
          <b:Person>
            <b:Last>Verbeke</b:Last>
            <b:First>Alain</b:First>
          </b:Person>
          <b:Person>
            <b:Last>Coeck</b:Last>
            <b:First>Chris</b:First>
          </b:Person>
        </b:NameList>
      </b:Author>
    </b:Author>
    <b:RefOrder>11</b:RefOrder>
  </b:Source>
  <b:Source>
    <b:Tag>Teu00</b:Tag>
    <b:SourceType>JournalArticle</b:SourceType>
    <b:Guid>{607F8BAE-34AF-459F-BF06-26D52598583A}</b:Guid>
    <b:Title>Functional Analysis of Port Performance as a Strategic Tool for Strenghtening a Port's Competitive and Economic Potential</b:Title>
    <b:JournalName>International Journal of Maritime Engineering</b:JournalName>
    <b:Year>2000</b:Year>
    <b:Pages>119-140</b:Pages>
    <b:Author>
      <b:Author>
        <b:NameList>
          <b:Person>
            <b:Last>Teurelincx</b:Last>
            <b:First>Diego</b:First>
          </b:Person>
        </b:NameList>
      </b:Author>
    </b:Author>
    <b:Volume>II</b:Volume>
    <b:Issue>2</b:Issue>
    <b:RefOrder>12</b:RefOrder>
  </b:Source>
  <b:Source>
    <b:Tag>van99</b:Tag>
    <b:SourceType>JournalArticle</b:SourceType>
    <b:Guid>{8D0ADB1F-9694-4AB7-93BA-048CF3DF7941}</b:Guid>
    <b:Title>Restructuring European Supply Chains by Implementing Postponement Strategies</b:Title>
    <b:JournalName>Long Range Planning</b:JournalName>
    <b:Year>1999</b:Year>
    <b:Pages>505-518</b:Pages>
    <b:Author>
      <b:Author>
        <b:NameList>
          <b:Person>
            <b:Last>van Hoek</b:Last>
            <b:Middle>I.</b:Middle>
            <b:First>Remko</b:First>
          </b:Person>
          <b:Person>
            <b:Last>Vos</b:Last>
            <b:First>Bart</b:First>
          </b:Person>
          <b:Person>
            <b:Last>Commandeur</b:Last>
            <b:Middle>R.</b:Middle>
            <b:First>Harry</b:First>
          </b:Person>
        </b:NameList>
      </b:Author>
    </b:Author>
    <b:Volume>32</b:Volume>
    <b:Issue>5</b:Issue>
    <b:RefOrder>13</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9BB4348-F537-46DE-BDFA-7C9BC9FCEC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39</Pages>
  <Words>9136</Words>
  <Characters>52080</Characters>
  <Application>Microsoft Office Word</Application>
  <DocSecurity>0</DocSecurity>
  <Lines>434</Lines>
  <Paragraphs>122</Paragraphs>
  <ScaleCrop>false</ScaleCrop>
  <HeadingPairs>
    <vt:vector size="2" baseType="variant">
      <vt:variant>
        <vt:lpstr>Titel</vt:lpstr>
      </vt:variant>
      <vt:variant>
        <vt:i4>1</vt:i4>
      </vt:variant>
    </vt:vector>
  </HeadingPairs>
  <TitlesOfParts>
    <vt:vector size="1" baseType="lpstr">
      <vt:lpstr>Positie van de Zeeuwse havens: een gelopen race?</vt:lpstr>
    </vt:vector>
  </TitlesOfParts>
  <Company>Erasmus Universiteit rotterdam</Company>
  <LinksUpToDate>false</LinksUpToDate>
  <CharactersWithSpaces>61094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Positie van de Zeeuwse havens: een gelopen race?</dc:title>
  <dc:subject>Een analyse van de strategische positie van de Zeeuwse havens</dc:subject>
  <dc:creator>Yannick Mol</dc:creator>
  <cp:lastModifiedBy>Nita Ramsaransing</cp:lastModifiedBy>
  <cp:revision>2</cp:revision>
  <dcterms:created xsi:type="dcterms:W3CDTF">2014-07-02T08:46:00Z</dcterms:created>
  <dcterms:modified xsi:type="dcterms:W3CDTF">2014-07-02T08:46:00Z</dcterms:modified>
</cp:coreProperties>
</file>