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2B3" w:rsidRPr="00AF0F60" w:rsidRDefault="00846895" w:rsidP="00260630">
      <w:pPr>
        <w:pStyle w:val="000"/>
        <w:rPr>
          <w:rFonts w:ascii="Garamond" w:hAnsi="Garamond"/>
          <w:sz w:val="24"/>
        </w:rPr>
      </w:pPr>
      <w:r>
        <w:rPr>
          <w:rFonts w:ascii="Garamond" w:hAnsi="Garamond"/>
          <w:noProof/>
          <w:sz w:val="24"/>
          <w:lang w:eastAsia="en-US"/>
        </w:rPr>
        <w:drawing>
          <wp:anchor distT="0" distB="0" distL="114300" distR="114300" simplePos="0" relativeHeight="251658240" behindDoc="0" locked="0" layoutInCell="1" allowOverlap="1">
            <wp:simplePos x="0" y="0"/>
            <wp:positionH relativeFrom="column">
              <wp:posOffset>4091305</wp:posOffset>
            </wp:positionH>
            <wp:positionV relativeFrom="paragraph">
              <wp:posOffset>-594995</wp:posOffset>
            </wp:positionV>
            <wp:extent cx="2371090" cy="932180"/>
            <wp:effectExtent l="0" t="0" r="0" b="127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5409_logo-erasmus-1.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371090" cy="932180"/>
                    </a:xfrm>
                    <a:prstGeom prst="rect">
                      <a:avLst/>
                    </a:prstGeom>
                  </pic:spPr>
                </pic:pic>
              </a:graphicData>
            </a:graphic>
          </wp:anchor>
        </w:drawing>
      </w:r>
      <w:r w:rsidR="00AF0F60" w:rsidRPr="00AF0F60">
        <w:rPr>
          <w:rFonts w:ascii="Garamond" w:hAnsi="Garamond"/>
          <w:sz w:val="24"/>
        </w:rPr>
        <w:t>Erasmus University Rotterdam</w:t>
      </w:r>
    </w:p>
    <w:p w:rsidR="00AF0F60" w:rsidRPr="00AF0F60" w:rsidRDefault="00AF0F60" w:rsidP="00260630">
      <w:pPr>
        <w:pStyle w:val="000"/>
        <w:rPr>
          <w:rFonts w:ascii="Garamond" w:hAnsi="Garamond"/>
          <w:sz w:val="24"/>
        </w:rPr>
      </w:pPr>
      <w:r w:rsidRPr="00AF0F60">
        <w:rPr>
          <w:rFonts w:ascii="Garamond" w:hAnsi="Garamond"/>
          <w:sz w:val="24"/>
        </w:rPr>
        <w:t>Erasmus School of Economics</w:t>
      </w:r>
    </w:p>
    <w:p w:rsidR="00AF0F60" w:rsidRPr="00AF0F60" w:rsidRDefault="00AF0F60" w:rsidP="00260630">
      <w:pPr>
        <w:pStyle w:val="000"/>
        <w:rPr>
          <w:rFonts w:ascii="Garamond" w:hAnsi="Garamond"/>
          <w:sz w:val="24"/>
        </w:rPr>
      </w:pPr>
      <w:r w:rsidRPr="00AF0F60">
        <w:rPr>
          <w:rFonts w:ascii="Garamond" w:hAnsi="Garamond"/>
          <w:sz w:val="24"/>
        </w:rPr>
        <w:t>Accounting, Auditing &amp; Control</w:t>
      </w:r>
    </w:p>
    <w:p w:rsidR="00AF0F60" w:rsidRDefault="00AF0F60" w:rsidP="00260630">
      <w:pPr>
        <w:pStyle w:val="000"/>
        <w:rPr>
          <w:rFonts w:ascii="Garamond" w:hAnsi="Garamond"/>
          <w:sz w:val="24"/>
        </w:rPr>
      </w:pPr>
      <w:r w:rsidRPr="00AF0F60">
        <w:rPr>
          <w:rFonts w:ascii="Garamond" w:hAnsi="Garamond"/>
          <w:sz w:val="24"/>
        </w:rPr>
        <w:t>Accounting &amp; Auditing</w:t>
      </w:r>
    </w:p>
    <w:p w:rsidR="00AF0F60" w:rsidRPr="00AF0F60" w:rsidRDefault="00AF0F60" w:rsidP="00260630">
      <w:pPr>
        <w:pStyle w:val="000"/>
        <w:rPr>
          <w:rFonts w:ascii="Garamond" w:hAnsi="Garamond"/>
          <w:sz w:val="24"/>
        </w:rPr>
      </w:pPr>
      <w:r>
        <w:rPr>
          <w:rFonts w:ascii="Garamond" w:hAnsi="Garamond"/>
          <w:sz w:val="24"/>
        </w:rPr>
        <w:t>Master Thesis</w:t>
      </w: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Default="00AF0F60" w:rsidP="00260630">
      <w:pPr>
        <w:pStyle w:val="000"/>
      </w:pPr>
    </w:p>
    <w:p w:rsidR="00AF0F60" w:rsidRPr="00302C77" w:rsidRDefault="00AF0F60" w:rsidP="00AF0F60">
      <w:pPr>
        <w:pStyle w:val="000"/>
        <w:jc w:val="both"/>
        <w:rPr>
          <w:rFonts w:ascii="Garamond" w:hAnsi="Garamond"/>
          <w:b/>
          <w:sz w:val="52"/>
        </w:rPr>
      </w:pPr>
      <w:r w:rsidRPr="00302C77">
        <w:rPr>
          <w:rFonts w:ascii="Garamond" w:hAnsi="Garamond"/>
          <w:b/>
          <w:sz w:val="52"/>
        </w:rPr>
        <w:t>The Impact of Audit Client Complexity on the Audit Fee: the Role of Auditor Industry Specialization</w:t>
      </w: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jc w:val="both"/>
        <w:rPr>
          <w:rFonts w:ascii="Times New Roman" w:hAnsi="Times New Roman"/>
          <w:sz w:val="28"/>
        </w:rPr>
      </w:pPr>
    </w:p>
    <w:p w:rsidR="00AF0F60" w:rsidRDefault="00AF0F60" w:rsidP="00AF0F60">
      <w:pPr>
        <w:pStyle w:val="000"/>
        <w:spacing w:line="360" w:lineRule="auto"/>
        <w:jc w:val="both"/>
        <w:rPr>
          <w:rFonts w:ascii="Times New Roman" w:hAnsi="Times New Roman"/>
          <w:sz w:val="28"/>
        </w:rPr>
      </w:pPr>
    </w:p>
    <w:p w:rsidR="00AF0F60" w:rsidRDefault="00AF0F60" w:rsidP="00AF0F60">
      <w:pPr>
        <w:pStyle w:val="000"/>
        <w:spacing w:line="360" w:lineRule="auto"/>
        <w:jc w:val="both"/>
        <w:rPr>
          <w:rFonts w:ascii="Times New Roman" w:hAnsi="Times New Roman"/>
          <w:sz w:val="28"/>
        </w:rPr>
      </w:pPr>
      <w:r>
        <w:rPr>
          <w:rFonts w:ascii="Times New Roman" w:hAnsi="Times New Roman"/>
          <w:sz w:val="28"/>
        </w:rPr>
        <w:t>Date: 28 July 2014</w:t>
      </w:r>
    </w:p>
    <w:p w:rsidR="00AF0F60" w:rsidRDefault="00AF0F60" w:rsidP="00AF0F60">
      <w:pPr>
        <w:pStyle w:val="000"/>
        <w:spacing w:line="360" w:lineRule="auto"/>
        <w:jc w:val="both"/>
        <w:rPr>
          <w:rFonts w:ascii="Times New Roman" w:hAnsi="Times New Roman"/>
          <w:sz w:val="28"/>
        </w:rPr>
      </w:pPr>
      <w:r>
        <w:rPr>
          <w:rFonts w:ascii="Times New Roman" w:hAnsi="Times New Roman"/>
          <w:sz w:val="28"/>
        </w:rPr>
        <w:t>Name: Jian Guo (328226)</w:t>
      </w:r>
    </w:p>
    <w:p w:rsidR="00AF0F60" w:rsidRDefault="00AF0F60" w:rsidP="00AF0F60">
      <w:pPr>
        <w:pStyle w:val="000"/>
        <w:spacing w:line="360" w:lineRule="auto"/>
        <w:jc w:val="both"/>
        <w:rPr>
          <w:rFonts w:ascii="Times New Roman" w:hAnsi="Times New Roman"/>
          <w:sz w:val="28"/>
        </w:rPr>
      </w:pPr>
      <w:r>
        <w:rPr>
          <w:rFonts w:ascii="Times New Roman" w:hAnsi="Times New Roman"/>
          <w:sz w:val="28"/>
        </w:rPr>
        <w:t>Supervisor: Mr. E.A. de Knecht RA</w:t>
      </w:r>
    </w:p>
    <w:p w:rsidR="00AF0F60" w:rsidRDefault="00AF0F60" w:rsidP="00AF0F60">
      <w:pPr>
        <w:pStyle w:val="000"/>
        <w:spacing w:line="360" w:lineRule="auto"/>
        <w:jc w:val="both"/>
        <w:rPr>
          <w:rFonts w:ascii="Times New Roman" w:hAnsi="Times New Roman"/>
          <w:sz w:val="28"/>
        </w:rPr>
      </w:pPr>
      <w:r>
        <w:rPr>
          <w:rFonts w:ascii="Times New Roman" w:hAnsi="Times New Roman"/>
          <w:sz w:val="28"/>
        </w:rPr>
        <w:t>Co-reader:</w:t>
      </w:r>
      <w:r w:rsidR="006E182D">
        <w:rPr>
          <w:rFonts w:ascii="Times New Roman" w:hAnsi="Times New Roman"/>
          <w:sz w:val="28"/>
        </w:rPr>
        <w:t xml:space="preserve"> Mr. R. van der Wal RA</w:t>
      </w:r>
    </w:p>
    <w:p w:rsidR="00AF0F60" w:rsidRDefault="00AF0F60" w:rsidP="00AF0F60">
      <w:pPr>
        <w:pStyle w:val="000"/>
        <w:spacing w:line="360" w:lineRule="auto"/>
        <w:jc w:val="both"/>
        <w:rPr>
          <w:rFonts w:ascii="Times New Roman" w:hAnsi="Times New Roman"/>
          <w:sz w:val="28"/>
        </w:rPr>
      </w:pPr>
    </w:p>
    <w:p w:rsidR="00AF0F60" w:rsidRPr="00DC7131" w:rsidRDefault="00AF0F60" w:rsidP="00AF0F60">
      <w:pPr>
        <w:pStyle w:val="000"/>
        <w:spacing w:line="360" w:lineRule="auto"/>
        <w:jc w:val="both"/>
        <w:rPr>
          <w:rFonts w:ascii="Times New Roman" w:hAnsi="Times New Roman"/>
          <w:b/>
          <w:sz w:val="28"/>
        </w:rPr>
      </w:pPr>
      <w:r w:rsidRPr="00DC7131">
        <w:rPr>
          <w:rFonts w:ascii="Times New Roman" w:hAnsi="Times New Roman"/>
          <w:b/>
          <w:sz w:val="28"/>
        </w:rPr>
        <w:lastRenderedPageBreak/>
        <w:t>Acknowledgements</w:t>
      </w:r>
    </w:p>
    <w:p w:rsidR="00897F5F" w:rsidRDefault="00AF0F60" w:rsidP="00AF0F60">
      <w:pPr>
        <w:pStyle w:val="000"/>
        <w:spacing w:line="360" w:lineRule="auto"/>
        <w:jc w:val="both"/>
        <w:rPr>
          <w:rFonts w:ascii="Times New Roman" w:hAnsi="Times New Roman"/>
          <w:sz w:val="24"/>
          <w:szCs w:val="24"/>
        </w:rPr>
      </w:pPr>
      <w:r>
        <w:rPr>
          <w:rFonts w:ascii="Times New Roman" w:hAnsi="Times New Roman"/>
          <w:sz w:val="24"/>
          <w:szCs w:val="24"/>
        </w:rPr>
        <w:t xml:space="preserve">This thesis is written for </w:t>
      </w:r>
      <w:r w:rsidR="00432EE4">
        <w:rPr>
          <w:rFonts w:ascii="Times New Roman" w:hAnsi="Times New Roman"/>
          <w:sz w:val="24"/>
          <w:szCs w:val="24"/>
        </w:rPr>
        <w:t xml:space="preserve">the </w:t>
      </w:r>
      <w:r>
        <w:rPr>
          <w:rFonts w:ascii="Times New Roman" w:hAnsi="Times New Roman"/>
          <w:sz w:val="24"/>
          <w:szCs w:val="24"/>
        </w:rPr>
        <w:t xml:space="preserve">completion of the master program Accounting, Auditing and Control at the Erasmus </w:t>
      </w:r>
      <w:r w:rsidR="003B4F48">
        <w:rPr>
          <w:rFonts w:ascii="Times New Roman" w:hAnsi="Times New Roman"/>
          <w:sz w:val="24"/>
          <w:szCs w:val="24"/>
        </w:rPr>
        <w:t xml:space="preserve">University of Rotterdam. </w:t>
      </w:r>
      <w:r w:rsidR="00432EE4">
        <w:rPr>
          <w:rFonts w:ascii="Times New Roman" w:hAnsi="Times New Roman"/>
          <w:sz w:val="24"/>
          <w:szCs w:val="24"/>
        </w:rPr>
        <w:t>It</w:t>
      </w:r>
      <w:r w:rsidR="003B4F48">
        <w:rPr>
          <w:rFonts w:ascii="Times New Roman" w:hAnsi="Times New Roman"/>
          <w:sz w:val="24"/>
          <w:szCs w:val="24"/>
        </w:rPr>
        <w:t xml:space="preserve"> can be seen as the final assignment of my scientific education and a starting point for my professional education to become a certified public auditor in the Netherlands. Th</w:t>
      </w:r>
      <w:r w:rsidR="00432EE4">
        <w:rPr>
          <w:rFonts w:ascii="Times New Roman" w:hAnsi="Times New Roman"/>
          <w:sz w:val="24"/>
          <w:szCs w:val="24"/>
        </w:rPr>
        <w:t>erefore, the research subject has</w:t>
      </w:r>
      <w:r w:rsidR="003B4F48">
        <w:rPr>
          <w:rFonts w:ascii="Times New Roman" w:hAnsi="Times New Roman"/>
          <w:sz w:val="24"/>
          <w:szCs w:val="24"/>
        </w:rPr>
        <w:t xml:space="preserve"> been carefully chosen that is embedded within the auditing theory: audit fee determination. The main motivation for this topic is that it is highly </w:t>
      </w:r>
      <w:r w:rsidR="00897F5F">
        <w:rPr>
          <w:rFonts w:ascii="Times New Roman" w:hAnsi="Times New Roman"/>
          <w:sz w:val="24"/>
          <w:szCs w:val="24"/>
        </w:rPr>
        <w:t>relevant</w:t>
      </w:r>
      <w:r w:rsidR="003B4F48">
        <w:rPr>
          <w:rFonts w:ascii="Times New Roman" w:hAnsi="Times New Roman"/>
          <w:sz w:val="24"/>
          <w:szCs w:val="24"/>
        </w:rPr>
        <w:t xml:space="preserve"> to the practice. Since there is not a clear guideline to determine the level of audit fee</w:t>
      </w:r>
      <w:r w:rsidR="00897F5F">
        <w:rPr>
          <w:rFonts w:ascii="Times New Roman" w:hAnsi="Times New Roman"/>
          <w:sz w:val="24"/>
          <w:szCs w:val="24"/>
        </w:rPr>
        <w:t xml:space="preserve">, academic contribution of examining of audit fee determinants can be really helpful towards existing literature about audit fee determination. </w:t>
      </w:r>
    </w:p>
    <w:p w:rsidR="00846895" w:rsidRDefault="00846895" w:rsidP="00AF0F60">
      <w:pPr>
        <w:pStyle w:val="000"/>
        <w:spacing w:line="360" w:lineRule="auto"/>
        <w:jc w:val="both"/>
        <w:rPr>
          <w:rFonts w:ascii="Times New Roman" w:hAnsi="Times New Roman"/>
          <w:sz w:val="24"/>
          <w:szCs w:val="24"/>
        </w:rPr>
      </w:pPr>
    </w:p>
    <w:p w:rsidR="00DE0105" w:rsidRDefault="00897F5F" w:rsidP="00AF0F60">
      <w:pPr>
        <w:pStyle w:val="000"/>
        <w:spacing w:line="360" w:lineRule="auto"/>
        <w:jc w:val="both"/>
        <w:rPr>
          <w:rFonts w:ascii="Times New Roman" w:hAnsi="Times New Roman"/>
          <w:sz w:val="24"/>
          <w:szCs w:val="24"/>
        </w:rPr>
      </w:pPr>
      <w:r>
        <w:rPr>
          <w:rFonts w:ascii="Times New Roman" w:hAnsi="Times New Roman"/>
          <w:sz w:val="24"/>
          <w:szCs w:val="24"/>
        </w:rPr>
        <w:t xml:space="preserve">It has been an intensive period to conduct the research and to write the master thesis, especially since </w:t>
      </w:r>
      <w:r w:rsidR="00432EE4">
        <w:rPr>
          <w:rFonts w:ascii="Times New Roman" w:hAnsi="Times New Roman"/>
          <w:sz w:val="24"/>
          <w:szCs w:val="24"/>
        </w:rPr>
        <w:t xml:space="preserve">the first time that </w:t>
      </w:r>
      <w:r>
        <w:rPr>
          <w:rFonts w:ascii="Times New Roman" w:hAnsi="Times New Roman"/>
          <w:sz w:val="24"/>
          <w:szCs w:val="24"/>
        </w:rPr>
        <w:t>I met my supervisor</w:t>
      </w:r>
      <w:r w:rsidR="00432EE4">
        <w:rPr>
          <w:rFonts w:ascii="Times New Roman" w:hAnsi="Times New Roman"/>
          <w:sz w:val="24"/>
          <w:szCs w:val="24"/>
        </w:rPr>
        <w:t xml:space="preserve"> was</w:t>
      </w:r>
      <w:r>
        <w:rPr>
          <w:rFonts w:ascii="Times New Roman" w:hAnsi="Times New Roman"/>
          <w:sz w:val="24"/>
          <w:szCs w:val="24"/>
        </w:rPr>
        <w:t xml:space="preserve"> eight weeks after handing in the application form and thesis proposal, what normally tak</w:t>
      </w:r>
      <w:r w:rsidR="00703480">
        <w:rPr>
          <w:rFonts w:ascii="Times New Roman" w:hAnsi="Times New Roman"/>
          <w:sz w:val="24"/>
          <w:szCs w:val="24"/>
        </w:rPr>
        <w:t>es around three weeks. Nevertheless, I</w:t>
      </w:r>
      <w:r w:rsidR="00593CF9">
        <w:rPr>
          <w:rFonts w:ascii="Times New Roman" w:hAnsi="Times New Roman"/>
          <w:sz w:val="24"/>
          <w:szCs w:val="24"/>
        </w:rPr>
        <w:t xml:space="preserve"> was able to finish the thesis and want to thank to several people who have supported me during the time of writing the thesis. </w:t>
      </w:r>
    </w:p>
    <w:p w:rsidR="00846895" w:rsidRDefault="00846895" w:rsidP="00AF0F60">
      <w:pPr>
        <w:pStyle w:val="000"/>
        <w:spacing w:line="360" w:lineRule="auto"/>
        <w:jc w:val="both"/>
        <w:rPr>
          <w:rFonts w:ascii="Times New Roman" w:hAnsi="Times New Roman"/>
          <w:sz w:val="24"/>
          <w:szCs w:val="24"/>
        </w:rPr>
      </w:pPr>
    </w:p>
    <w:p w:rsidR="00AF0F60" w:rsidRDefault="00593CF9" w:rsidP="00AF0F60">
      <w:pPr>
        <w:pStyle w:val="000"/>
        <w:spacing w:line="360" w:lineRule="auto"/>
        <w:jc w:val="both"/>
        <w:rPr>
          <w:rFonts w:ascii="Times New Roman" w:hAnsi="Times New Roman"/>
          <w:sz w:val="24"/>
          <w:szCs w:val="24"/>
        </w:rPr>
      </w:pPr>
      <w:r>
        <w:rPr>
          <w:rFonts w:ascii="Times New Roman" w:hAnsi="Times New Roman"/>
          <w:sz w:val="24"/>
          <w:szCs w:val="24"/>
        </w:rPr>
        <w:t>First of all, I want to thank my su</w:t>
      </w:r>
      <w:r w:rsidR="00432EE4">
        <w:rPr>
          <w:rFonts w:ascii="Times New Roman" w:hAnsi="Times New Roman"/>
          <w:sz w:val="24"/>
          <w:szCs w:val="24"/>
        </w:rPr>
        <w:t>pervisor, Mr. E.A. de Knecht RA</w:t>
      </w:r>
      <w:r w:rsidR="00DE0105">
        <w:rPr>
          <w:rFonts w:ascii="Times New Roman" w:hAnsi="Times New Roman"/>
          <w:sz w:val="24"/>
          <w:szCs w:val="24"/>
        </w:rPr>
        <w:t>, who</w:t>
      </w:r>
      <w:r>
        <w:rPr>
          <w:rFonts w:ascii="Times New Roman" w:hAnsi="Times New Roman"/>
          <w:sz w:val="24"/>
          <w:szCs w:val="24"/>
        </w:rPr>
        <w:t xml:space="preserve"> has provided me lots of valuable feedbacks and useful insights on a timely manner. The </w:t>
      </w:r>
      <w:r w:rsidR="000712E0">
        <w:rPr>
          <w:rFonts w:ascii="Times New Roman" w:hAnsi="Times New Roman"/>
          <w:sz w:val="24"/>
          <w:szCs w:val="24"/>
        </w:rPr>
        <w:t>discussions with Mr. de Knecht were</w:t>
      </w:r>
      <w:r w:rsidR="00846895">
        <w:rPr>
          <w:rFonts w:ascii="Times New Roman" w:hAnsi="Times New Roman"/>
          <w:sz w:val="24"/>
          <w:szCs w:val="24"/>
        </w:rPr>
        <w:t xml:space="preserve"> very</w:t>
      </w:r>
      <w:r>
        <w:rPr>
          <w:rFonts w:ascii="Times New Roman" w:hAnsi="Times New Roman"/>
          <w:sz w:val="24"/>
          <w:szCs w:val="24"/>
        </w:rPr>
        <w:t xml:space="preserve"> helpful </w:t>
      </w:r>
      <w:r w:rsidR="00846895">
        <w:rPr>
          <w:rFonts w:ascii="Times New Roman" w:hAnsi="Times New Roman"/>
          <w:sz w:val="24"/>
          <w:szCs w:val="24"/>
        </w:rPr>
        <w:t>to obtain</w:t>
      </w:r>
      <w:r>
        <w:rPr>
          <w:rFonts w:ascii="Times New Roman" w:hAnsi="Times New Roman"/>
          <w:sz w:val="24"/>
          <w:szCs w:val="24"/>
        </w:rPr>
        <w:t xml:space="preserve"> a questioning mind and critical view</w:t>
      </w:r>
      <w:r w:rsidR="00432EE4">
        <w:rPr>
          <w:rFonts w:ascii="Times New Roman" w:hAnsi="Times New Roman"/>
          <w:sz w:val="24"/>
          <w:szCs w:val="24"/>
        </w:rPr>
        <w:t>. This</w:t>
      </w:r>
      <w:r>
        <w:rPr>
          <w:rFonts w:ascii="Times New Roman" w:hAnsi="Times New Roman"/>
          <w:sz w:val="24"/>
          <w:szCs w:val="24"/>
        </w:rPr>
        <w:t xml:space="preserve"> was not only helpful for my thesis, but also for my future career and life. Secondly, </w:t>
      </w:r>
      <w:r w:rsidR="00DE0105">
        <w:rPr>
          <w:rFonts w:ascii="Times New Roman" w:hAnsi="Times New Roman"/>
          <w:sz w:val="24"/>
          <w:szCs w:val="24"/>
        </w:rPr>
        <w:t>I want to thank E</w:t>
      </w:r>
      <w:r w:rsidR="00846895">
        <w:rPr>
          <w:rFonts w:ascii="Times New Roman" w:hAnsi="Times New Roman"/>
          <w:sz w:val="24"/>
          <w:szCs w:val="24"/>
        </w:rPr>
        <w:t xml:space="preserve">Y Rotterdam for providing me a stimulating environment </w:t>
      </w:r>
      <w:r w:rsidR="00DE0105">
        <w:rPr>
          <w:rFonts w:ascii="Times New Roman" w:hAnsi="Times New Roman"/>
          <w:sz w:val="24"/>
          <w:szCs w:val="24"/>
        </w:rPr>
        <w:t>to write my thesis</w:t>
      </w:r>
      <w:r w:rsidR="00DC7131">
        <w:rPr>
          <w:rFonts w:ascii="Times New Roman" w:hAnsi="Times New Roman"/>
          <w:sz w:val="24"/>
          <w:szCs w:val="24"/>
        </w:rPr>
        <w:t>. I especially want to thank my supervisor at EY, Ms. Marloes de Vries RA, for giving me useful supports from practical aspects of the audit professions in relation to my thesis subject. Last but not least, I want to thank my parents, my girlfriend and my friends for their tremendous support during the final period of my master program.</w:t>
      </w:r>
    </w:p>
    <w:p w:rsidR="00DC7131" w:rsidRDefault="00DC7131" w:rsidP="00AF0F60">
      <w:pPr>
        <w:pStyle w:val="000"/>
        <w:spacing w:line="360" w:lineRule="auto"/>
        <w:jc w:val="both"/>
        <w:rPr>
          <w:rFonts w:ascii="Times New Roman" w:hAnsi="Times New Roman"/>
          <w:sz w:val="24"/>
          <w:szCs w:val="24"/>
        </w:rPr>
      </w:pPr>
    </w:p>
    <w:p w:rsidR="00DC7131" w:rsidRDefault="00DC7131" w:rsidP="00AF0F60">
      <w:pPr>
        <w:pStyle w:val="000"/>
        <w:spacing w:line="360" w:lineRule="auto"/>
        <w:jc w:val="both"/>
        <w:rPr>
          <w:rFonts w:ascii="Times New Roman" w:hAnsi="Times New Roman"/>
          <w:sz w:val="24"/>
          <w:szCs w:val="24"/>
        </w:rPr>
      </w:pPr>
      <w:r>
        <w:rPr>
          <w:rFonts w:ascii="Times New Roman" w:hAnsi="Times New Roman"/>
          <w:sz w:val="24"/>
          <w:szCs w:val="24"/>
        </w:rPr>
        <w:t>Jian Guo</w:t>
      </w:r>
    </w:p>
    <w:p w:rsidR="00DC7131" w:rsidRDefault="00DC7131" w:rsidP="00AF0F60">
      <w:pPr>
        <w:pStyle w:val="000"/>
        <w:spacing w:line="360" w:lineRule="auto"/>
        <w:jc w:val="both"/>
        <w:rPr>
          <w:rFonts w:ascii="Times New Roman" w:hAnsi="Times New Roman"/>
          <w:sz w:val="24"/>
          <w:szCs w:val="24"/>
        </w:rPr>
      </w:pPr>
      <w:r>
        <w:rPr>
          <w:rFonts w:ascii="Times New Roman" w:hAnsi="Times New Roman"/>
          <w:sz w:val="24"/>
          <w:szCs w:val="24"/>
        </w:rPr>
        <w:t>Delft, July 2014</w:t>
      </w:r>
    </w:p>
    <w:p w:rsidR="00302C77" w:rsidRDefault="00302C77" w:rsidP="00AF0F60">
      <w:pPr>
        <w:pStyle w:val="000"/>
        <w:spacing w:line="360" w:lineRule="auto"/>
        <w:jc w:val="both"/>
        <w:rPr>
          <w:rFonts w:ascii="Times New Roman" w:hAnsi="Times New Roman"/>
          <w:sz w:val="24"/>
          <w:szCs w:val="24"/>
        </w:rPr>
      </w:pPr>
    </w:p>
    <w:p w:rsidR="00846895" w:rsidRDefault="00846895">
      <w:pPr>
        <w:overflowPunct/>
        <w:autoSpaceDE/>
        <w:autoSpaceDN/>
        <w:adjustRightInd/>
        <w:spacing w:after="200" w:line="276" w:lineRule="auto"/>
        <w:textAlignment w:val="auto"/>
        <w:rPr>
          <w:rFonts w:ascii="Times New Roman" w:hAnsi="Times New Roman"/>
          <w:b/>
          <w:kern w:val="12"/>
          <w:sz w:val="28"/>
          <w:szCs w:val="24"/>
        </w:rPr>
      </w:pPr>
      <w:r>
        <w:rPr>
          <w:rFonts w:ascii="Times New Roman" w:hAnsi="Times New Roman"/>
          <w:b/>
          <w:sz w:val="28"/>
          <w:szCs w:val="24"/>
        </w:rPr>
        <w:br w:type="page"/>
      </w:r>
    </w:p>
    <w:p w:rsidR="00302C77" w:rsidRPr="00302C77" w:rsidRDefault="00302C77" w:rsidP="00AF0F60">
      <w:pPr>
        <w:pStyle w:val="000"/>
        <w:spacing w:line="360" w:lineRule="auto"/>
        <w:jc w:val="both"/>
        <w:rPr>
          <w:rFonts w:ascii="Times New Roman" w:hAnsi="Times New Roman"/>
          <w:b/>
          <w:sz w:val="28"/>
          <w:szCs w:val="24"/>
        </w:rPr>
      </w:pPr>
      <w:r w:rsidRPr="00302C77">
        <w:rPr>
          <w:rFonts w:ascii="Times New Roman" w:hAnsi="Times New Roman"/>
          <w:b/>
          <w:sz w:val="28"/>
          <w:szCs w:val="24"/>
        </w:rPr>
        <w:lastRenderedPageBreak/>
        <w:t>Abstract</w:t>
      </w:r>
    </w:p>
    <w:p w:rsidR="00302C77" w:rsidRDefault="00940559" w:rsidP="00AF0F60">
      <w:pPr>
        <w:pStyle w:val="000"/>
        <w:spacing w:line="360" w:lineRule="auto"/>
        <w:jc w:val="both"/>
        <w:rPr>
          <w:rFonts w:ascii="Times New Roman" w:hAnsi="Times New Roman"/>
          <w:sz w:val="24"/>
          <w:szCs w:val="24"/>
        </w:rPr>
      </w:pPr>
      <w:r>
        <w:rPr>
          <w:rFonts w:ascii="Times New Roman" w:hAnsi="Times New Roman"/>
          <w:sz w:val="24"/>
          <w:szCs w:val="24"/>
        </w:rPr>
        <w:t xml:space="preserve">This thesis examines whether the auditor industry specialization would influence the impact of the audit client complexity on the audit fee. </w:t>
      </w:r>
      <w:r w:rsidR="00B56943">
        <w:rPr>
          <w:rFonts w:ascii="Times New Roman" w:hAnsi="Times New Roman"/>
          <w:sz w:val="24"/>
          <w:szCs w:val="24"/>
        </w:rPr>
        <w:t>By using 10136 firm-years observations of U.S. listed companies from 2007 up to and included 2013, t</w:t>
      </w:r>
      <w:r>
        <w:rPr>
          <w:rFonts w:ascii="Times New Roman" w:hAnsi="Times New Roman"/>
          <w:sz w:val="24"/>
          <w:szCs w:val="24"/>
        </w:rPr>
        <w:t>he findings indicate that the audit industry specialist fee premium exists for complex clients. In the supplemental tests, the difference in</w:t>
      </w:r>
      <w:r w:rsidR="00147A54">
        <w:rPr>
          <w:rFonts w:ascii="Times New Roman" w:hAnsi="Times New Roman"/>
          <w:sz w:val="24"/>
          <w:szCs w:val="24"/>
        </w:rPr>
        <w:t xml:space="preserve"> the</w:t>
      </w:r>
      <w:r>
        <w:rPr>
          <w:rFonts w:ascii="Times New Roman" w:hAnsi="Times New Roman"/>
          <w:sz w:val="24"/>
          <w:szCs w:val="24"/>
        </w:rPr>
        <w:t xml:space="preserve"> audit fee </w:t>
      </w:r>
      <w:r w:rsidR="00147A54">
        <w:rPr>
          <w:rFonts w:ascii="Times New Roman" w:hAnsi="Times New Roman"/>
          <w:sz w:val="24"/>
          <w:szCs w:val="24"/>
        </w:rPr>
        <w:t xml:space="preserve">the </w:t>
      </w:r>
      <w:r>
        <w:rPr>
          <w:rFonts w:ascii="Times New Roman" w:hAnsi="Times New Roman"/>
          <w:sz w:val="24"/>
          <w:szCs w:val="24"/>
        </w:rPr>
        <w:t>among complex and noncomplex companies has been confirmed to be statistically significant</w:t>
      </w:r>
      <w:r w:rsidR="00960185">
        <w:rPr>
          <w:rFonts w:ascii="Times New Roman" w:hAnsi="Times New Roman"/>
          <w:sz w:val="24"/>
          <w:szCs w:val="24"/>
        </w:rPr>
        <w:t xml:space="preserve"> when controlling other fee determinants, consistent with the conclusion that industry specialists require a higher fee for compensating the education costs</w:t>
      </w:r>
      <w:r>
        <w:rPr>
          <w:rFonts w:ascii="Times New Roman" w:hAnsi="Times New Roman"/>
          <w:sz w:val="24"/>
          <w:szCs w:val="24"/>
        </w:rPr>
        <w:t xml:space="preserve">. When considered </w:t>
      </w:r>
      <w:r w:rsidR="00960185">
        <w:rPr>
          <w:rFonts w:ascii="Times New Roman" w:hAnsi="Times New Roman"/>
          <w:sz w:val="24"/>
          <w:szCs w:val="24"/>
        </w:rPr>
        <w:t>in conjunction with the prior research, this thesis provides another approach to measure the audit client complexity. The resu</w:t>
      </w:r>
      <w:r w:rsidR="00147A54">
        <w:rPr>
          <w:rFonts w:ascii="Times New Roman" w:hAnsi="Times New Roman"/>
          <w:sz w:val="24"/>
          <w:szCs w:val="24"/>
        </w:rPr>
        <w:t xml:space="preserve">lts suggest that companies of </w:t>
      </w:r>
      <w:r w:rsidR="00960185">
        <w:rPr>
          <w:rFonts w:ascii="Times New Roman" w:hAnsi="Times New Roman"/>
          <w:sz w:val="24"/>
          <w:szCs w:val="24"/>
        </w:rPr>
        <w:t xml:space="preserve">certain industries are more complex to audit due to their characteristic operations, and thereby </w:t>
      </w:r>
      <w:r w:rsidR="00CC48E4">
        <w:rPr>
          <w:rFonts w:ascii="Times New Roman" w:hAnsi="Times New Roman"/>
          <w:sz w:val="24"/>
          <w:szCs w:val="24"/>
        </w:rPr>
        <w:t xml:space="preserve">require more efforts from auditors to perform the audit and </w:t>
      </w:r>
      <w:r w:rsidR="00147A54">
        <w:rPr>
          <w:rFonts w:ascii="Times New Roman" w:hAnsi="Times New Roman"/>
          <w:sz w:val="24"/>
          <w:szCs w:val="24"/>
        </w:rPr>
        <w:t>ask for</w:t>
      </w:r>
      <w:r w:rsidR="00CC48E4">
        <w:rPr>
          <w:rFonts w:ascii="Times New Roman" w:hAnsi="Times New Roman"/>
          <w:sz w:val="24"/>
          <w:szCs w:val="24"/>
        </w:rPr>
        <w:t xml:space="preserve"> a higher audit fee. </w:t>
      </w:r>
    </w:p>
    <w:p w:rsidR="00DC7131" w:rsidRDefault="00DC7131">
      <w:pPr>
        <w:overflowPunct/>
        <w:autoSpaceDE/>
        <w:autoSpaceDN/>
        <w:adjustRightInd/>
        <w:spacing w:after="200" w:line="276" w:lineRule="auto"/>
        <w:textAlignment w:val="auto"/>
        <w:rPr>
          <w:rFonts w:ascii="Times New Roman" w:hAnsi="Times New Roman"/>
          <w:kern w:val="12"/>
          <w:sz w:val="24"/>
          <w:szCs w:val="24"/>
        </w:rPr>
      </w:pPr>
      <w:r>
        <w:rPr>
          <w:rFonts w:ascii="Times New Roman" w:hAnsi="Times New Roman"/>
          <w:sz w:val="24"/>
          <w:szCs w:val="24"/>
        </w:rPr>
        <w:br w:type="page"/>
      </w:r>
    </w:p>
    <w:bookmarkStart w:id="0" w:name="_Toc387318187" w:displacedByCustomXml="next"/>
    <w:bookmarkStart w:id="1" w:name="_Toc393437080" w:displacedByCustomXml="next"/>
    <w:sdt>
      <w:sdtPr>
        <w:rPr>
          <w:rFonts w:ascii="EYInterstate" w:eastAsia="Times New Roman" w:hAnsi="EYInterstate" w:cs="Times New Roman"/>
          <w:b w:val="0"/>
          <w:bCs w:val="0"/>
          <w:color w:val="auto"/>
          <w:sz w:val="20"/>
          <w:szCs w:val="20"/>
          <w:lang w:eastAsia="zh-CN"/>
        </w:rPr>
        <w:id w:val="780232363"/>
        <w:docPartObj>
          <w:docPartGallery w:val="Table of Contents"/>
          <w:docPartUnique/>
        </w:docPartObj>
      </w:sdtPr>
      <w:sdtEndPr>
        <w:rPr>
          <w:noProof/>
        </w:rPr>
      </w:sdtEndPr>
      <w:sdtContent>
        <w:p w:rsidR="00846895" w:rsidRPr="00846895" w:rsidRDefault="00846895">
          <w:pPr>
            <w:pStyle w:val="TOCHeading"/>
            <w:rPr>
              <w:color w:val="auto"/>
            </w:rPr>
          </w:pPr>
          <w:r w:rsidRPr="00846895">
            <w:rPr>
              <w:color w:val="auto"/>
            </w:rPr>
            <w:t>Table of Contents</w:t>
          </w:r>
        </w:p>
        <w:p w:rsidR="00147A54" w:rsidRPr="00147A54" w:rsidRDefault="004A36DA" w:rsidP="00147A54">
          <w:pPr>
            <w:pStyle w:val="TOC1"/>
            <w:spacing w:line="276" w:lineRule="auto"/>
            <w:rPr>
              <w:rFonts w:ascii="Times New Roman" w:eastAsiaTheme="minorEastAsia" w:hAnsi="Times New Roman"/>
              <w:b w:val="0"/>
              <w:noProof/>
              <w:sz w:val="22"/>
              <w:szCs w:val="22"/>
            </w:rPr>
          </w:pPr>
          <w:r w:rsidRPr="004A36DA">
            <w:rPr>
              <w:rFonts w:ascii="Times New Roman" w:hAnsi="Times New Roman"/>
              <w:b w:val="0"/>
              <w:sz w:val="22"/>
              <w:szCs w:val="22"/>
            </w:rPr>
            <w:fldChar w:fldCharType="begin"/>
          </w:r>
          <w:r w:rsidR="00846895" w:rsidRPr="00147A54">
            <w:rPr>
              <w:rFonts w:ascii="Times New Roman" w:hAnsi="Times New Roman"/>
              <w:b w:val="0"/>
              <w:sz w:val="22"/>
              <w:szCs w:val="22"/>
            </w:rPr>
            <w:instrText xml:space="preserve"> TOC \o "1-3" \h \z \u </w:instrText>
          </w:r>
          <w:r w:rsidRPr="004A36DA">
            <w:rPr>
              <w:rFonts w:ascii="Times New Roman" w:hAnsi="Times New Roman"/>
              <w:b w:val="0"/>
              <w:sz w:val="22"/>
              <w:szCs w:val="22"/>
            </w:rPr>
            <w:fldChar w:fldCharType="separate"/>
          </w:r>
          <w:hyperlink w:anchor="_Toc393872521" w:history="1">
            <w:r w:rsidR="00147A54" w:rsidRPr="00147A54">
              <w:rPr>
                <w:rStyle w:val="Hyperlink"/>
                <w:rFonts w:ascii="Times New Roman" w:hAnsi="Times New Roman"/>
                <w:noProof/>
                <w:sz w:val="22"/>
                <w:szCs w:val="22"/>
                <w:u w:val="none"/>
              </w:rPr>
              <w:t>1. Introduction</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_Toc393872521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6</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2" w:history="1">
            <w:r w:rsidR="00147A54" w:rsidRPr="00147A54">
              <w:rPr>
                <w:rStyle w:val="Hyperlink"/>
                <w:rFonts w:ascii="Times New Roman" w:hAnsi="Times New Roman"/>
                <w:noProof/>
                <w:sz w:val="22"/>
                <w:szCs w:val="22"/>
                <w:u w:val="none"/>
              </w:rPr>
              <w:t>1.1 Background</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_Toc393872522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3" w:history="1">
            <w:r w:rsidR="00147A54" w:rsidRPr="00147A54">
              <w:rPr>
                <w:rStyle w:val="Hyperlink"/>
                <w:rFonts w:ascii="Times New Roman" w:hAnsi="Times New Roman"/>
                <w:noProof/>
                <w:sz w:val="22"/>
                <w:szCs w:val="22"/>
                <w:u w:val="none"/>
              </w:rPr>
              <w:t>1.2 Relevance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_Toc393872523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8</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4" w:history="1">
            <w:r w:rsidR="00147A54" w:rsidRPr="00147A54">
              <w:rPr>
                <w:rStyle w:val="Hyperlink"/>
                <w:rFonts w:ascii="Times New Roman" w:hAnsi="Times New Roman"/>
                <w:noProof/>
                <w:sz w:val="22"/>
                <w:szCs w:val="22"/>
                <w:u w:val="none"/>
              </w:rPr>
              <w:t>1.3 Objective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_Toc393872524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9</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5" w:history="1">
            <w:r w:rsidR="00147A54" w:rsidRPr="00147A54">
              <w:rPr>
                <w:rStyle w:val="Hyperlink"/>
                <w:rFonts w:ascii="Times New Roman" w:hAnsi="Times New Roman"/>
                <w:noProof/>
                <w:sz w:val="22"/>
                <w:szCs w:val="22"/>
                <w:u w:val="none"/>
              </w:rPr>
              <w:t>1.4 Research question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_Toc393872525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9</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6" w:history="1">
            <w:r w:rsidR="00147A54" w:rsidRPr="00147A54">
              <w:rPr>
                <w:rStyle w:val="Hyperlink"/>
                <w:rFonts w:ascii="Times New Roman" w:hAnsi="Times New Roman"/>
                <w:noProof/>
                <w:sz w:val="22"/>
                <w:szCs w:val="22"/>
                <w:u w:val="none"/>
              </w:rPr>
              <w:t>1.5 Methodology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_Toc393872526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10</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7" w:history="1">
            <w:r w:rsidR="00147A54" w:rsidRPr="00147A54">
              <w:rPr>
                <w:rStyle w:val="Hyperlink"/>
                <w:rFonts w:ascii="Times New Roman" w:hAnsi="Times New Roman"/>
                <w:noProof/>
                <w:sz w:val="22"/>
                <w:szCs w:val="22"/>
                <w:u w:val="none"/>
              </w:rPr>
              <w:t>1.6 Demarcation and Limitation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_Toc393872527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10</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28" w:history="1">
            <w:r w:rsidR="00147A54" w:rsidRPr="00147A54">
              <w:rPr>
                <w:rStyle w:val="Hyperlink"/>
                <w:rFonts w:ascii="Times New Roman" w:hAnsi="Times New Roman"/>
                <w:noProof/>
                <w:sz w:val="22"/>
                <w:szCs w:val="22"/>
                <w:u w:val="none"/>
              </w:rPr>
              <w:t>1.7 Structure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_Toc393872528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11</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29" w:history="1">
            <w:r w:rsidR="00147A54" w:rsidRPr="00147A54">
              <w:rPr>
                <w:rStyle w:val="Hyperlink"/>
                <w:rFonts w:ascii="Times New Roman" w:hAnsi="Times New Roman"/>
                <w:noProof/>
                <w:sz w:val="22"/>
                <w:szCs w:val="22"/>
                <w:u w:val="none"/>
              </w:rPr>
              <w:t>2. Theoretical Background</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_Toc393872529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12</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30" w:history="1">
            <w:r w:rsidR="00147A54" w:rsidRPr="00147A54">
              <w:rPr>
                <w:rStyle w:val="Hyperlink"/>
                <w:rFonts w:ascii="Times New Roman" w:hAnsi="Times New Roman"/>
                <w:noProof/>
                <w:sz w:val="22"/>
                <w:szCs w:val="22"/>
                <w:u w:val="none"/>
              </w:rPr>
              <w:t>2.1 Introduction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_Toc393872530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12</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31" w:history="1">
            <w:r w:rsidR="00147A54" w:rsidRPr="00147A54">
              <w:rPr>
                <w:rStyle w:val="Hyperlink"/>
                <w:rFonts w:ascii="Times New Roman" w:hAnsi="Times New Roman"/>
                <w:noProof/>
                <w:sz w:val="22"/>
                <w:szCs w:val="22"/>
                <w:u w:val="none"/>
              </w:rPr>
              <w:t>2.2 Agency Theory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_Toc393872531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12</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2" w:history="1">
            <w:r w:rsidRPr="00147A54">
              <w:rPr>
                <w:rStyle w:val="Hyperlink"/>
                <w:rFonts w:ascii="Times New Roman" w:hAnsi="Times New Roman"/>
                <w:noProof/>
                <w:sz w:val="22"/>
                <w:szCs w:val="22"/>
                <w:u w:val="none"/>
              </w:rPr>
              <w:t>2.2.1 Information Asymmetry and Agency Costs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_Toc393872532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12</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3" w:history="1">
            <w:r w:rsidRPr="00147A54">
              <w:rPr>
                <w:rStyle w:val="Hyperlink"/>
                <w:rFonts w:ascii="Times New Roman" w:hAnsi="Times New Roman"/>
                <w:noProof/>
                <w:sz w:val="22"/>
                <w:szCs w:val="22"/>
                <w:u w:val="none"/>
              </w:rPr>
              <w:t>2.2.2 Financial Statements Audit and the Costs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_Toc393872533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13</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34" w:history="1">
            <w:r w:rsidR="00147A54" w:rsidRPr="00147A54">
              <w:rPr>
                <w:rStyle w:val="Hyperlink"/>
                <w:rFonts w:ascii="Times New Roman" w:hAnsi="Times New Roman"/>
                <w:noProof/>
                <w:sz w:val="22"/>
                <w:szCs w:val="22"/>
                <w:u w:val="none"/>
              </w:rPr>
              <w:t>2.3 The Role of the Public Auditor</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_Toc393872534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14</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5" w:history="1">
            <w:r w:rsidRPr="00147A54">
              <w:rPr>
                <w:rStyle w:val="Hyperlink"/>
                <w:rFonts w:ascii="Times New Roman" w:hAnsi="Times New Roman"/>
                <w:noProof/>
                <w:sz w:val="22"/>
                <w:szCs w:val="22"/>
                <w:u w:val="none"/>
              </w:rPr>
              <w:t>2.3.1 Audit Services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_Toc393872535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14</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6" w:history="1">
            <w:r w:rsidRPr="00147A54">
              <w:rPr>
                <w:rStyle w:val="Hyperlink"/>
                <w:rFonts w:ascii="Times New Roman" w:hAnsi="Times New Roman"/>
                <w:noProof/>
                <w:sz w:val="22"/>
                <w:szCs w:val="22"/>
                <w:u w:val="none"/>
              </w:rPr>
              <w:t>2.3.2 Certified Public Accounting Firms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_Toc393872536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15</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7" w:history="1">
            <w:r w:rsidRPr="00147A54">
              <w:rPr>
                <w:rStyle w:val="Hyperlink"/>
                <w:rFonts w:ascii="Times New Roman" w:hAnsi="Times New Roman"/>
                <w:noProof/>
                <w:sz w:val="22"/>
                <w:szCs w:val="22"/>
                <w:u w:val="none"/>
              </w:rPr>
              <w:t>2.3.3 The BIG 4 Network and Its Impact</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_Toc393872537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15</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38" w:history="1">
            <w:r w:rsidR="00147A54" w:rsidRPr="00147A54">
              <w:rPr>
                <w:rStyle w:val="Hyperlink"/>
                <w:rFonts w:ascii="Times New Roman" w:hAnsi="Times New Roman"/>
                <w:noProof/>
                <w:sz w:val="22"/>
                <w:szCs w:val="22"/>
                <w:u w:val="none"/>
              </w:rPr>
              <w:t>2.4 Audit fee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_Toc393872538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16</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39" w:history="1">
            <w:r w:rsidRPr="00147A54">
              <w:rPr>
                <w:rStyle w:val="Hyperlink"/>
                <w:rFonts w:ascii="Times New Roman" w:hAnsi="Times New Roman"/>
                <w:noProof/>
                <w:sz w:val="22"/>
                <w:szCs w:val="22"/>
                <w:u w:val="none"/>
              </w:rPr>
              <w:t>2.4.1 Audit Pricing Model</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_Toc393872539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16</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40" w:history="1">
            <w:r w:rsidR="00147A54" w:rsidRPr="00147A54">
              <w:rPr>
                <w:rStyle w:val="Hyperlink"/>
                <w:rFonts w:ascii="Times New Roman" w:hAnsi="Times New Roman"/>
                <w:noProof/>
                <w:sz w:val="22"/>
                <w:szCs w:val="22"/>
                <w:u w:val="none"/>
              </w:rPr>
              <w:t>2.5 The Determinants of the Audit Fee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_Toc393872540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17</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41" w:history="1">
            <w:r w:rsidRPr="00147A54">
              <w:rPr>
                <w:rStyle w:val="Hyperlink"/>
                <w:rFonts w:ascii="Times New Roman" w:hAnsi="Times New Roman"/>
                <w:noProof/>
                <w:sz w:val="22"/>
                <w:szCs w:val="22"/>
                <w:u w:val="none"/>
              </w:rPr>
              <w:t>2.5.1 Client Size</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_Toc393872541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17</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42" w:history="1">
            <w:r w:rsidRPr="00147A54">
              <w:rPr>
                <w:rStyle w:val="Hyperlink"/>
                <w:rFonts w:ascii="Times New Roman" w:hAnsi="Times New Roman"/>
                <w:noProof/>
                <w:sz w:val="22"/>
                <w:szCs w:val="22"/>
                <w:u w:val="none"/>
              </w:rPr>
              <w:t>2.5.2 Client Business Risk</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_Toc393872542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18</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43" w:history="1">
            <w:r w:rsidRPr="00147A54">
              <w:rPr>
                <w:rStyle w:val="Hyperlink"/>
                <w:rFonts w:ascii="Times New Roman" w:hAnsi="Times New Roman"/>
                <w:noProof/>
                <w:sz w:val="22"/>
                <w:szCs w:val="22"/>
                <w:u w:val="none"/>
              </w:rPr>
              <w:t>2.5.3 Client Complexity</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_Toc393872543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18</w:t>
            </w:r>
            <w:r w:rsidR="004A36DA"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44" w:history="1">
            <w:r w:rsidRPr="00147A54">
              <w:rPr>
                <w:rStyle w:val="Hyperlink"/>
                <w:rFonts w:ascii="Times New Roman" w:hAnsi="Times New Roman"/>
                <w:noProof/>
                <w:sz w:val="22"/>
                <w:szCs w:val="22"/>
                <w:u w:val="none"/>
              </w:rPr>
              <w:t>2.5.4 Auditor Specialization</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_Toc393872544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19</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45" w:history="1">
            <w:r w:rsidR="00147A54" w:rsidRPr="00147A54">
              <w:rPr>
                <w:rStyle w:val="Hyperlink"/>
                <w:rFonts w:ascii="Times New Roman" w:hAnsi="Times New Roman"/>
                <w:noProof/>
                <w:sz w:val="22"/>
                <w:szCs w:val="22"/>
                <w:u w:val="none"/>
              </w:rPr>
              <w:t>2.6 Summary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_Toc393872545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20</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46" w:history="1">
            <w:r w:rsidR="00147A54" w:rsidRPr="00147A54">
              <w:rPr>
                <w:rStyle w:val="Hyperlink"/>
                <w:rFonts w:ascii="Times New Roman" w:hAnsi="Times New Roman"/>
                <w:noProof/>
                <w:sz w:val="22"/>
                <w:szCs w:val="22"/>
                <w:u w:val="none"/>
              </w:rPr>
              <w:t>3. Prior Research</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_Toc393872546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22</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47" w:history="1">
            <w:r w:rsidR="00147A54" w:rsidRPr="00147A54">
              <w:rPr>
                <w:rStyle w:val="Hyperlink"/>
                <w:rFonts w:ascii="Times New Roman" w:hAnsi="Times New Roman"/>
                <w:noProof/>
                <w:sz w:val="22"/>
                <w:szCs w:val="22"/>
                <w:u w:val="none"/>
              </w:rPr>
              <w:t>3.1 Introduction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_Toc393872547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22</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48" w:history="1">
            <w:r w:rsidR="00147A54" w:rsidRPr="00147A54">
              <w:rPr>
                <w:rStyle w:val="Hyperlink"/>
                <w:rFonts w:ascii="Times New Roman" w:hAnsi="Times New Roman"/>
                <w:noProof/>
                <w:sz w:val="22"/>
                <w:szCs w:val="22"/>
                <w:u w:val="none"/>
              </w:rPr>
              <w:t>3.2 Common Determinants of Audit Fee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_Toc393872548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22</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49" w:history="1">
            <w:r w:rsidR="00147A54" w:rsidRPr="00147A54">
              <w:rPr>
                <w:rStyle w:val="Hyperlink"/>
                <w:rFonts w:ascii="Times New Roman" w:hAnsi="Times New Roman"/>
                <w:noProof/>
                <w:sz w:val="22"/>
                <w:szCs w:val="22"/>
                <w:u w:val="none"/>
              </w:rPr>
              <w:t>3.3 Audit Client Complexity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_Toc393872549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26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0" w:history="1">
            <w:r w:rsidR="00147A54" w:rsidRPr="00147A54">
              <w:rPr>
                <w:rStyle w:val="Hyperlink"/>
                <w:rFonts w:ascii="Times New Roman" w:hAnsi="Times New Roman"/>
                <w:noProof/>
                <w:sz w:val="22"/>
                <w:szCs w:val="22"/>
                <w:u w:val="none"/>
              </w:rPr>
              <w:t>3.4 Auditor Industry Specialization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_Toc393872550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29</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1" w:history="1">
            <w:r w:rsidR="00147A54" w:rsidRPr="00147A54">
              <w:rPr>
                <w:rStyle w:val="Hyperlink"/>
                <w:rFonts w:ascii="Times New Roman" w:hAnsi="Times New Roman"/>
                <w:noProof/>
                <w:sz w:val="22"/>
                <w:szCs w:val="22"/>
                <w:u w:val="none"/>
              </w:rPr>
              <w:t>3.5 Hypotheses Development</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_Toc393872551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31</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2" w:history="1">
            <w:r w:rsidR="00147A54" w:rsidRPr="00147A54">
              <w:rPr>
                <w:rStyle w:val="Hyperlink"/>
                <w:rFonts w:ascii="Times New Roman" w:hAnsi="Times New Roman"/>
                <w:noProof/>
                <w:sz w:val="22"/>
                <w:szCs w:val="22"/>
                <w:u w:val="none"/>
              </w:rPr>
              <w:t>3.6 Summary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_Toc393872552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32</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53" w:history="1">
            <w:r w:rsidR="00147A54" w:rsidRPr="00147A54">
              <w:rPr>
                <w:rStyle w:val="Hyperlink"/>
                <w:rFonts w:ascii="Times New Roman" w:hAnsi="Times New Roman"/>
                <w:noProof/>
                <w:sz w:val="22"/>
                <w:szCs w:val="22"/>
                <w:u w:val="none"/>
              </w:rPr>
              <w:t>4. Research Design</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_Toc393872553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34</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4" w:history="1">
            <w:r w:rsidR="00147A54" w:rsidRPr="00147A54">
              <w:rPr>
                <w:rStyle w:val="Hyperlink"/>
                <w:rFonts w:ascii="Times New Roman" w:hAnsi="Times New Roman"/>
                <w:noProof/>
                <w:sz w:val="22"/>
                <w:szCs w:val="22"/>
                <w:u w:val="none"/>
              </w:rPr>
              <w:t>4.1 Introduction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_Toc393872554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34</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5" w:history="1">
            <w:r w:rsidR="00147A54" w:rsidRPr="00147A54">
              <w:rPr>
                <w:rStyle w:val="Hyperlink"/>
                <w:rFonts w:ascii="Times New Roman" w:hAnsi="Times New Roman"/>
                <w:noProof/>
                <w:sz w:val="22"/>
                <w:szCs w:val="22"/>
                <w:u w:val="none"/>
              </w:rPr>
              <w:t>4.2 Research Approaches in Accounting</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_Toc393872555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34</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56" w:history="1">
            <w:r w:rsidRPr="00147A54">
              <w:rPr>
                <w:rStyle w:val="Hyperlink"/>
                <w:rFonts w:ascii="Times New Roman" w:hAnsi="Times New Roman"/>
                <w:noProof/>
                <w:sz w:val="22"/>
                <w:szCs w:val="22"/>
                <w:u w:val="none"/>
              </w:rPr>
              <w:t>4.2.1 Quantitative Researches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_Toc393872556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35</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7" w:history="1">
            <w:r w:rsidR="00147A54" w:rsidRPr="00147A54">
              <w:rPr>
                <w:rStyle w:val="Hyperlink"/>
                <w:rFonts w:ascii="Times New Roman" w:hAnsi="Times New Roman"/>
                <w:noProof/>
                <w:sz w:val="22"/>
                <w:szCs w:val="22"/>
                <w:u w:val="none"/>
              </w:rPr>
              <w:t>4.3 Research Methodology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_Toc393872557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35</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8" w:history="1">
            <w:r w:rsidR="00147A54" w:rsidRPr="00147A54">
              <w:rPr>
                <w:rStyle w:val="Hyperlink"/>
                <w:rFonts w:ascii="Times New Roman" w:hAnsi="Times New Roman"/>
                <w:noProof/>
                <w:sz w:val="22"/>
                <w:szCs w:val="22"/>
                <w:u w:val="none"/>
              </w:rPr>
              <w:t>4.3.3 Control Variables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_Toc393872558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38</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59" w:history="1">
            <w:r w:rsidR="00147A54" w:rsidRPr="00147A54">
              <w:rPr>
                <w:rStyle w:val="Hyperlink"/>
                <w:rFonts w:ascii="Times New Roman" w:hAnsi="Times New Roman"/>
                <w:noProof/>
                <w:sz w:val="22"/>
                <w:szCs w:val="22"/>
                <w:u w:val="none"/>
              </w:rPr>
              <w:t>4.4 Sample Collection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_Toc393872559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40</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60" w:history="1">
            <w:r w:rsidR="00147A54" w:rsidRPr="00147A54">
              <w:rPr>
                <w:rStyle w:val="Hyperlink"/>
                <w:rFonts w:ascii="Times New Roman" w:hAnsi="Times New Roman"/>
                <w:noProof/>
                <w:sz w:val="22"/>
                <w:szCs w:val="22"/>
                <w:u w:val="none"/>
              </w:rPr>
              <w:t>5. Results</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_Toc393872560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43</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1" w:history="1">
            <w:r w:rsidR="00147A54" w:rsidRPr="00147A54">
              <w:rPr>
                <w:rStyle w:val="Hyperlink"/>
                <w:rFonts w:ascii="Times New Roman" w:hAnsi="Times New Roman"/>
                <w:noProof/>
                <w:sz w:val="22"/>
                <w:szCs w:val="22"/>
                <w:u w:val="none"/>
              </w:rPr>
              <w:t>5.1 Introduction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_Toc393872561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43</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2" w:history="1">
            <w:r w:rsidR="00147A54" w:rsidRPr="00147A54">
              <w:rPr>
                <w:rStyle w:val="Hyperlink"/>
                <w:rFonts w:ascii="Times New Roman" w:hAnsi="Times New Roman"/>
                <w:noProof/>
                <w:sz w:val="22"/>
                <w:szCs w:val="22"/>
                <w:u w:val="none"/>
              </w:rPr>
              <w:t>5.2 Assumptions for Regression Analysis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_Toc393872562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43</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3" w:history="1">
            <w:r w:rsidR="00147A54" w:rsidRPr="00147A54">
              <w:rPr>
                <w:rStyle w:val="Hyperlink"/>
                <w:rFonts w:ascii="Times New Roman" w:hAnsi="Times New Roman"/>
                <w:noProof/>
                <w:sz w:val="22"/>
                <w:szCs w:val="22"/>
                <w:u w:val="none"/>
              </w:rPr>
              <w:t>5.3 Mean Differences of Client Complexity and Industry Specialists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_Toc393872563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4" w:history="1">
            <w:r w:rsidR="00147A54" w:rsidRPr="00147A54">
              <w:rPr>
                <w:rStyle w:val="Hyperlink"/>
                <w:rFonts w:ascii="Times New Roman" w:hAnsi="Times New Roman"/>
                <w:noProof/>
                <w:sz w:val="22"/>
                <w:szCs w:val="22"/>
                <w:u w:val="none"/>
              </w:rPr>
              <w:t>5.4  Association of Client Complexity and Industry Specialists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_Toc393872564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47</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5" w:history="1">
            <w:r w:rsidR="00147A54" w:rsidRPr="00147A54">
              <w:rPr>
                <w:rStyle w:val="Hyperlink"/>
                <w:rFonts w:ascii="Times New Roman" w:hAnsi="Times New Roman"/>
                <w:noProof/>
                <w:sz w:val="22"/>
                <w:szCs w:val="22"/>
                <w:u w:val="none"/>
              </w:rPr>
              <w:t>5.5 Analysis of the Investigation Concerning the Audit Client Complexity and the Auditor Industry Specialization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_Toc393872565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48</w:t>
            </w:r>
            <w:r w:rsidRPr="00147A54">
              <w:rPr>
                <w:rFonts w:ascii="Times New Roman" w:hAnsi="Times New Roman"/>
                <w:noProof/>
                <w:webHidden/>
                <w:sz w:val="22"/>
                <w:szCs w:val="22"/>
              </w:rPr>
              <w:fldChar w:fldCharType="end"/>
            </w:r>
          </w:hyperlink>
        </w:p>
        <w:p w:rsidR="00147A54" w:rsidRPr="00147A54" w:rsidRDefault="00147A54" w:rsidP="00147A54">
          <w:pPr>
            <w:pStyle w:val="TOC2"/>
            <w:spacing w:line="276" w:lineRule="auto"/>
            <w:rPr>
              <w:rFonts w:ascii="Times New Roman" w:eastAsiaTheme="minorEastAsia" w:hAnsi="Times New Roman"/>
              <w:noProof/>
              <w:kern w:val="0"/>
              <w:sz w:val="22"/>
              <w:szCs w:val="22"/>
            </w:rPr>
          </w:pPr>
          <w:r>
            <w:rPr>
              <w:rStyle w:val="Hyperlink"/>
              <w:rFonts w:ascii="Times New Roman" w:hAnsi="Times New Roman"/>
              <w:noProof/>
              <w:sz w:val="22"/>
              <w:szCs w:val="22"/>
              <w:u w:val="none"/>
            </w:rPr>
            <w:t xml:space="preserve">   </w:t>
          </w:r>
          <w:hyperlink w:anchor="_Toc393872566" w:history="1">
            <w:r w:rsidRPr="00147A54">
              <w:rPr>
                <w:rStyle w:val="Hyperlink"/>
                <w:rFonts w:ascii="Times New Roman" w:hAnsi="Times New Roman"/>
                <w:noProof/>
                <w:sz w:val="22"/>
                <w:szCs w:val="22"/>
                <w:u w:val="none"/>
              </w:rPr>
              <w:t>5.5.1 Descriptive Statistics of the Regression Components</w:t>
            </w:r>
            <w:r w:rsidRPr="00147A54">
              <w:rPr>
                <w:rFonts w:ascii="Times New Roman" w:hAnsi="Times New Roman"/>
                <w:noProof/>
                <w:webHidden/>
                <w:sz w:val="22"/>
                <w:szCs w:val="22"/>
              </w:rPr>
              <w:tab/>
            </w:r>
            <w:r w:rsidR="004A36DA" w:rsidRPr="00147A54">
              <w:rPr>
                <w:rFonts w:ascii="Times New Roman" w:hAnsi="Times New Roman"/>
                <w:noProof/>
                <w:webHidden/>
                <w:sz w:val="22"/>
                <w:szCs w:val="22"/>
              </w:rPr>
              <w:fldChar w:fldCharType="begin"/>
            </w:r>
            <w:r w:rsidRPr="00147A54">
              <w:rPr>
                <w:rFonts w:ascii="Times New Roman" w:hAnsi="Times New Roman"/>
                <w:noProof/>
                <w:webHidden/>
                <w:sz w:val="22"/>
                <w:szCs w:val="22"/>
              </w:rPr>
              <w:instrText xml:space="preserve"> PAGEREF _Toc393872566 \h </w:instrText>
            </w:r>
            <w:r w:rsidR="004A36DA" w:rsidRPr="00147A54">
              <w:rPr>
                <w:rFonts w:ascii="Times New Roman" w:hAnsi="Times New Roman"/>
                <w:noProof/>
                <w:webHidden/>
                <w:sz w:val="22"/>
                <w:szCs w:val="22"/>
              </w:rPr>
            </w:r>
            <w:r w:rsidR="004A36DA"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48</w:t>
            </w:r>
            <w:r w:rsidR="004A36DA"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7" w:history="1">
            <w:r w:rsidR="00147A54" w:rsidRPr="00147A54">
              <w:rPr>
                <w:rStyle w:val="Hyperlink"/>
                <w:rFonts w:ascii="Times New Roman" w:hAnsi="Times New Roman"/>
                <w:noProof/>
                <w:sz w:val="22"/>
                <w:szCs w:val="22"/>
                <w:u w:val="none"/>
              </w:rPr>
              <w:t>5.6 Interaction of Client Complexity and the Industry Specialists on the Audit Fee</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_Toc393872567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50</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8" w:history="1">
            <w:r w:rsidR="00147A54" w:rsidRPr="00147A54">
              <w:rPr>
                <w:rStyle w:val="Hyperlink"/>
                <w:rFonts w:ascii="Times New Roman" w:hAnsi="Times New Roman"/>
                <w:noProof/>
                <w:sz w:val="22"/>
                <w:szCs w:val="22"/>
                <w:u w:val="none"/>
              </w:rPr>
              <w:t>5.7 Discussion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_Toc393872568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52</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69" w:history="1">
            <w:r w:rsidR="00147A54" w:rsidRPr="00147A54">
              <w:rPr>
                <w:rStyle w:val="Hyperlink"/>
                <w:rFonts w:ascii="Times New Roman" w:hAnsi="Times New Roman"/>
                <w:noProof/>
                <w:sz w:val="22"/>
                <w:szCs w:val="22"/>
                <w:u w:val="none"/>
              </w:rPr>
              <w:t>5.8 Summary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_Toc393872569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54</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70" w:history="1">
            <w:r w:rsidR="00147A54" w:rsidRPr="00147A54">
              <w:rPr>
                <w:rStyle w:val="Hyperlink"/>
                <w:rFonts w:ascii="Times New Roman" w:hAnsi="Times New Roman"/>
                <w:noProof/>
                <w:sz w:val="22"/>
                <w:szCs w:val="22"/>
                <w:u w:val="none"/>
              </w:rPr>
              <w:t>6. Conclusion</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_Toc393872570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56</w:t>
            </w:r>
            <w:r w:rsidRPr="00147A54">
              <w:rPr>
                <w:rFonts w:ascii="Times New Roman" w:hAnsi="Times New Roman"/>
                <w:b w:val="0"/>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71" w:history="1">
            <w:r w:rsidR="00147A54" w:rsidRPr="00147A54">
              <w:rPr>
                <w:rStyle w:val="Hyperlink"/>
                <w:rFonts w:ascii="Times New Roman" w:hAnsi="Times New Roman"/>
                <w:noProof/>
                <w:sz w:val="22"/>
                <w:szCs w:val="22"/>
                <w:u w:val="none"/>
              </w:rPr>
              <w:t>6.1 Introduction</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_Toc393872571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72" w:history="1">
            <w:r w:rsidR="00147A54" w:rsidRPr="00147A54">
              <w:rPr>
                <w:rStyle w:val="Hyperlink"/>
                <w:rFonts w:ascii="Times New Roman" w:hAnsi="Times New Roman"/>
                <w:noProof/>
                <w:sz w:val="22"/>
                <w:szCs w:val="22"/>
                <w:u w:val="none"/>
              </w:rPr>
              <w:t>6.2 Research Summary</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_Toc393872572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73" w:history="1">
            <w:r w:rsidR="00147A54" w:rsidRPr="00147A54">
              <w:rPr>
                <w:rStyle w:val="Hyperlink"/>
                <w:rFonts w:ascii="Times New Roman" w:hAnsi="Times New Roman"/>
                <w:noProof/>
                <w:sz w:val="22"/>
                <w:szCs w:val="22"/>
                <w:u w:val="none"/>
              </w:rPr>
              <w:t>6.3 Conclusions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_Toc393872573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56</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74" w:history="1">
            <w:r w:rsidR="00147A54" w:rsidRPr="00147A54">
              <w:rPr>
                <w:rStyle w:val="Hyperlink"/>
                <w:rFonts w:ascii="Times New Roman" w:hAnsi="Times New Roman"/>
                <w:noProof/>
                <w:sz w:val="22"/>
                <w:szCs w:val="22"/>
                <w:u w:val="none"/>
              </w:rPr>
              <w:t>6.4 Limitations</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_Toc393872574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57</w:t>
            </w:r>
            <w:r w:rsidRPr="00147A54">
              <w:rPr>
                <w:rFonts w:ascii="Times New Roman" w:hAnsi="Times New Roman"/>
                <w:noProof/>
                <w:webHidden/>
                <w:sz w:val="22"/>
                <w:szCs w:val="22"/>
              </w:rPr>
              <w:fldChar w:fldCharType="end"/>
            </w:r>
          </w:hyperlink>
        </w:p>
        <w:p w:rsidR="00147A54" w:rsidRPr="00147A54" w:rsidRDefault="004A36DA" w:rsidP="00147A54">
          <w:pPr>
            <w:pStyle w:val="TOC2"/>
            <w:spacing w:line="276" w:lineRule="auto"/>
            <w:rPr>
              <w:rFonts w:ascii="Times New Roman" w:eastAsiaTheme="minorEastAsia" w:hAnsi="Times New Roman"/>
              <w:noProof/>
              <w:kern w:val="0"/>
              <w:sz w:val="22"/>
              <w:szCs w:val="22"/>
            </w:rPr>
          </w:pPr>
          <w:hyperlink w:anchor="_Toc393872575" w:history="1">
            <w:r w:rsidR="00147A54" w:rsidRPr="00147A54">
              <w:rPr>
                <w:rStyle w:val="Hyperlink"/>
                <w:rFonts w:ascii="Times New Roman" w:hAnsi="Times New Roman"/>
                <w:noProof/>
                <w:sz w:val="22"/>
                <w:szCs w:val="22"/>
                <w:u w:val="none"/>
              </w:rPr>
              <w:t>6.5 Suggestions for Further Research</w:t>
            </w:r>
            <w:r w:rsidR="00147A54" w:rsidRPr="00147A54">
              <w:rPr>
                <w:rFonts w:ascii="Times New Roman" w:hAnsi="Times New Roman"/>
                <w:noProof/>
                <w:webHidden/>
                <w:sz w:val="22"/>
                <w:szCs w:val="22"/>
              </w:rPr>
              <w:tab/>
            </w:r>
            <w:r w:rsidRPr="00147A54">
              <w:rPr>
                <w:rFonts w:ascii="Times New Roman" w:hAnsi="Times New Roman"/>
                <w:noProof/>
                <w:webHidden/>
                <w:sz w:val="22"/>
                <w:szCs w:val="22"/>
              </w:rPr>
              <w:fldChar w:fldCharType="begin"/>
            </w:r>
            <w:r w:rsidR="00147A54" w:rsidRPr="00147A54">
              <w:rPr>
                <w:rFonts w:ascii="Times New Roman" w:hAnsi="Times New Roman"/>
                <w:noProof/>
                <w:webHidden/>
                <w:sz w:val="22"/>
                <w:szCs w:val="22"/>
              </w:rPr>
              <w:instrText xml:space="preserve"> PAGEREF _Toc393872575 \h </w:instrText>
            </w:r>
            <w:r w:rsidRPr="00147A54">
              <w:rPr>
                <w:rFonts w:ascii="Times New Roman" w:hAnsi="Times New Roman"/>
                <w:noProof/>
                <w:webHidden/>
                <w:sz w:val="22"/>
                <w:szCs w:val="22"/>
              </w:rPr>
            </w:r>
            <w:r w:rsidRPr="00147A54">
              <w:rPr>
                <w:rFonts w:ascii="Times New Roman" w:hAnsi="Times New Roman"/>
                <w:noProof/>
                <w:webHidden/>
                <w:sz w:val="22"/>
                <w:szCs w:val="22"/>
              </w:rPr>
              <w:fldChar w:fldCharType="separate"/>
            </w:r>
            <w:r w:rsidR="00D85EFB">
              <w:rPr>
                <w:rFonts w:ascii="Times New Roman" w:hAnsi="Times New Roman"/>
                <w:noProof/>
                <w:webHidden/>
                <w:sz w:val="22"/>
                <w:szCs w:val="22"/>
              </w:rPr>
              <w:t>58</w:t>
            </w:r>
            <w:r w:rsidRPr="00147A54">
              <w:rPr>
                <w:rFonts w:ascii="Times New Roman" w:hAnsi="Times New Roman"/>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76" w:history="1">
            <w:r w:rsidR="00147A54" w:rsidRPr="00147A54">
              <w:rPr>
                <w:rStyle w:val="Hyperlink"/>
                <w:rFonts w:ascii="Times New Roman" w:hAnsi="Times New Roman"/>
                <w:noProof/>
                <w:sz w:val="22"/>
                <w:szCs w:val="22"/>
                <w:u w:val="none"/>
              </w:rPr>
              <w:t>References</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_Toc393872576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59</w:t>
            </w:r>
            <w:r w:rsidRPr="00147A54">
              <w:rPr>
                <w:rFonts w:ascii="Times New Roman" w:hAnsi="Times New Roman"/>
                <w:b w:val="0"/>
                <w:noProof/>
                <w:webHidden/>
                <w:sz w:val="22"/>
                <w:szCs w:val="22"/>
              </w:rPr>
              <w:fldChar w:fldCharType="end"/>
            </w:r>
          </w:hyperlink>
        </w:p>
        <w:p w:rsidR="00147A54" w:rsidRPr="00147A54" w:rsidRDefault="004A36DA" w:rsidP="00147A54">
          <w:pPr>
            <w:pStyle w:val="TOC1"/>
            <w:spacing w:line="276" w:lineRule="auto"/>
            <w:rPr>
              <w:rFonts w:ascii="Times New Roman" w:eastAsiaTheme="minorEastAsia" w:hAnsi="Times New Roman"/>
              <w:b w:val="0"/>
              <w:noProof/>
              <w:sz w:val="22"/>
              <w:szCs w:val="22"/>
            </w:rPr>
          </w:pPr>
          <w:hyperlink w:anchor="_Toc393872577" w:history="1">
            <w:r w:rsidR="00147A54" w:rsidRPr="00147A54">
              <w:rPr>
                <w:rStyle w:val="Hyperlink"/>
                <w:rFonts w:ascii="Times New Roman" w:hAnsi="Times New Roman"/>
                <w:noProof/>
                <w:sz w:val="22"/>
                <w:szCs w:val="22"/>
                <w:u w:val="none"/>
              </w:rPr>
              <w:t>Appendix</w:t>
            </w:r>
            <w:r w:rsidR="00147A54" w:rsidRPr="00147A54">
              <w:rPr>
                <w:rFonts w:ascii="Times New Roman" w:hAnsi="Times New Roman"/>
                <w:b w:val="0"/>
                <w:noProof/>
                <w:webHidden/>
                <w:sz w:val="22"/>
                <w:szCs w:val="22"/>
              </w:rPr>
              <w:tab/>
            </w:r>
            <w:r w:rsidRPr="00147A54">
              <w:rPr>
                <w:rFonts w:ascii="Times New Roman" w:hAnsi="Times New Roman"/>
                <w:b w:val="0"/>
                <w:noProof/>
                <w:webHidden/>
                <w:sz w:val="22"/>
                <w:szCs w:val="22"/>
              </w:rPr>
              <w:fldChar w:fldCharType="begin"/>
            </w:r>
            <w:r w:rsidR="00147A54" w:rsidRPr="00147A54">
              <w:rPr>
                <w:rFonts w:ascii="Times New Roman" w:hAnsi="Times New Roman"/>
                <w:b w:val="0"/>
                <w:noProof/>
                <w:webHidden/>
                <w:sz w:val="22"/>
                <w:szCs w:val="22"/>
              </w:rPr>
              <w:instrText xml:space="preserve"> PAGEREF _Toc393872577 \h </w:instrText>
            </w:r>
            <w:r w:rsidRPr="00147A54">
              <w:rPr>
                <w:rFonts w:ascii="Times New Roman" w:hAnsi="Times New Roman"/>
                <w:b w:val="0"/>
                <w:noProof/>
                <w:webHidden/>
                <w:sz w:val="22"/>
                <w:szCs w:val="22"/>
              </w:rPr>
            </w:r>
            <w:r w:rsidRPr="00147A54">
              <w:rPr>
                <w:rFonts w:ascii="Times New Roman" w:hAnsi="Times New Roman"/>
                <w:b w:val="0"/>
                <w:noProof/>
                <w:webHidden/>
                <w:sz w:val="22"/>
                <w:szCs w:val="22"/>
              </w:rPr>
              <w:fldChar w:fldCharType="separate"/>
            </w:r>
            <w:r w:rsidR="00D85EFB">
              <w:rPr>
                <w:rFonts w:ascii="Times New Roman" w:hAnsi="Times New Roman"/>
                <w:b w:val="0"/>
                <w:noProof/>
                <w:webHidden/>
                <w:sz w:val="22"/>
                <w:szCs w:val="22"/>
              </w:rPr>
              <w:t>62</w:t>
            </w:r>
            <w:r w:rsidRPr="00147A54">
              <w:rPr>
                <w:rFonts w:ascii="Times New Roman" w:hAnsi="Times New Roman"/>
                <w:b w:val="0"/>
                <w:noProof/>
                <w:webHidden/>
                <w:sz w:val="22"/>
                <w:szCs w:val="22"/>
              </w:rPr>
              <w:fldChar w:fldCharType="end"/>
            </w:r>
          </w:hyperlink>
        </w:p>
        <w:p w:rsidR="00846895" w:rsidRDefault="004A36DA" w:rsidP="00147A54">
          <w:pPr>
            <w:spacing w:line="276" w:lineRule="auto"/>
          </w:pPr>
          <w:r w:rsidRPr="00147A54">
            <w:rPr>
              <w:rFonts w:ascii="Times New Roman" w:hAnsi="Times New Roman"/>
              <w:bCs/>
              <w:noProof/>
              <w:sz w:val="22"/>
              <w:szCs w:val="22"/>
            </w:rPr>
            <w:fldChar w:fldCharType="end"/>
          </w:r>
        </w:p>
      </w:sdtContent>
    </w:sdt>
    <w:p w:rsidR="005D450B" w:rsidRDefault="005D450B">
      <w:pPr>
        <w:overflowPunct/>
        <w:autoSpaceDE/>
        <w:autoSpaceDN/>
        <w:adjustRightInd/>
        <w:spacing w:after="200" w:line="276" w:lineRule="auto"/>
        <w:textAlignment w:val="auto"/>
        <w:rPr>
          <w:rFonts w:asciiTheme="majorHAnsi" w:eastAsiaTheme="majorEastAsia" w:hAnsiTheme="majorHAnsi"/>
          <w:b/>
          <w:bCs/>
          <w:kern w:val="28"/>
          <w:sz w:val="32"/>
          <w:szCs w:val="32"/>
        </w:rPr>
      </w:pPr>
      <w:r>
        <w:br w:type="page"/>
      </w:r>
    </w:p>
    <w:p w:rsidR="00D81E8C" w:rsidRPr="00203D47" w:rsidRDefault="006879C9" w:rsidP="006879C9">
      <w:pPr>
        <w:pStyle w:val="Title"/>
        <w:spacing w:line="360" w:lineRule="auto"/>
        <w:jc w:val="left"/>
      </w:pPr>
      <w:bookmarkStart w:id="2" w:name="_Toc393872521"/>
      <w:r>
        <w:lastRenderedPageBreak/>
        <w:t xml:space="preserve">1. </w:t>
      </w:r>
      <w:r w:rsidR="00D81E8C" w:rsidRPr="00203D47">
        <w:t>Introduction</w:t>
      </w:r>
      <w:bookmarkEnd w:id="2"/>
      <w:bookmarkEnd w:id="1"/>
      <w:bookmarkEnd w:id="0"/>
    </w:p>
    <w:p w:rsidR="00D81E8C" w:rsidRPr="00930EB7" w:rsidRDefault="00D81E8C" w:rsidP="00930EB7">
      <w:pPr>
        <w:pStyle w:val="Subtitle"/>
        <w:spacing w:line="360" w:lineRule="auto"/>
        <w:jc w:val="left"/>
        <w:rPr>
          <w:b/>
        </w:rPr>
      </w:pPr>
      <w:bookmarkStart w:id="3" w:name="_Toc387318188"/>
      <w:bookmarkStart w:id="4" w:name="_Toc393437081"/>
      <w:bookmarkStart w:id="5" w:name="_Toc393872522"/>
      <w:r w:rsidRPr="00930EB7">
        <w:rPr>
          <w:b/>
        </w:rPr>
        <w:t>1.1 Background</w:t>
      </w:r>
      <w:bookmarkEnd w:id="3"/>
      <w:bookmarkEnd w:id="4"/>
      <w:bookmarkEnd w:id="5"/>
    </w:p>
    <w:p w:rsidR="00D81E8C" w:rsidRPr="000311CE" w:rsidRDefault="00D81E8C" w:rsidP="00930EB7">
      <w:pPr>
        <w:spacing w:line="360" w:lineRule="auto"/>
        <w:jc w:val="both"/>
        <w:rPr>
          <w:rFonts w:ascii="Times New Roman" w:hAnsi="Times New Roman"/>
          <w:sz w:val="22"/>
          <w:szCs w:val="22"/>
        </w:rPr>
      </w:pPr>
      <w:r w:rsidRPr="000311CE">
        <w:rPr>
          <w:rFonts w:ascii="Times New Roman" w:hAnsi="Times New Roman"/>
          <w:sz w:val="22"/>
          <w:szCs w:val="22"/>
        </w:rPr>
        <w:t xml:space="preserve">Nowadays, public auditors are accomplishing an indispensable role in the worldwide financial markets. They ensure the quality of the company’s annual financial statements and enhance the confidence of the public and the investors in the capital market. It is worth noting that, over the last decades, several well-known financial scandals exist in which public auditors are jointly responsible. Because of these scandals investors and stakeholders have paid huge prices. Consequently, maintaining a high level of audit quality to prevent such a scandal from happening again in the future should be the top priority to all audit firms.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Audit service provided by public auditors </w:t>
      </w:r>
      <w:r w:rsidRPr="000311CE">
        <w:rPr>
          <w:rFonts w:ascii="Times New Roman" w:hAnsi="Times New Roman"/>
          <w:i/>
          <w:sz w:val="22"/>
          <w:szCs w:val="22"/>
        </w:rPr>
        <w:t xml:space="preserve">‘is a professional service that improves the quality of information for decision makers’ </w:t>
      </w:r>
      <w:r w:rsidR="004A36DA" w:rsidRPr="000311CE">
        <w:rPr>
          <w:rFonts w:ascii="Times New Roman" w:hAnsi="Times New Roman"/>
          <w:i/>
          <w:sz w:val="22"/>
          <w:szCs w:val="22"/>
        </w:rPr>
        <w:fldChar w:fldCharType="begin" w:fldLock="1"/>
      </w:r>
      <w:r w:rsidR="002177CD">
        <w:rPr>
          <w:rFonts w:ascii="Times New Roman" w:hAnsi="Times New Roman"/>
          <w:i/>
          <w:sz w:val="22"/>
          <w:szCs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"manualFormatting" : "(Arens, Elder, &amp; Beasley, 2013 p.8)", "previouslyFormattedCitation" : "(Arens, Elder, &amp; Beasley, 2013)" }, "properties" : { "noteIndex" : 0 }, "schema" : "https://github.com/citation-style-language/schema/raw/master/csl-citation.json" }</w:instrText>
      </w:r>
      <w:r w:rsidR="004A36DA" w:rsidRPr="000311CE">
        <w:rPr>
          <w:rFonts w:ascii="Times New Roman" w:hAnsi="Times New Roman"/>
          <w:i/>
          <w:sz w:val="22"/>
          <w:szCs w:val="22"/>
        </w:rPr>
        <w:fldChar w:fldCharType="separate"/>
      </w:r>
      <w:r w:rsidRPr="000311CE">
        <w:rPr>
          <w:rFonts w:ascii="Times New Roman" w:hAnsi="Times New Roman"/>
          <w:noProof/>
          <w:sz w:val="22"/>
          <w:szCs w:val="22"/>
        </w:rPr>
        <w:t>(Arens, Elder, &amp; Beasley, 2013 p.8)</w:t>
      </w:r>
      <w:r w:rsidR="004A36DA" w:rsidRPr="000311CE">
        <w:rPr>
          <w:rFonts w:ascii="Times New Roman" w:hAnsi="Times New Roman"/>
          <w:i/>
          <w:sz w:val="22"/>
          <w:szCs w:val="22"/>
        </w:rPr>
        <w:fldChar w:fldCharType="end"/>
      </w:r>
      <w:r w:rsidRPr="000311CE">
        <w:rPr>
          <w:rFonts w:ascii="Times New Roman" w:hAnsi="Times New Roman"/>
          <w:sz w:val="22"/>
          <w:szCs w:val="22"/>
        </w:rPr>
        <w:t>. High quality information indicates that the firms’ annual financial statements are free of material misstatements, consequently, presenting a firm’s financial position in a true and fair view. In return to the service, companies are charged by the audit firms to compensate the effort from the public auditors, this is qualified as the audit fee. Because every company has its unique settings and industry environment,</w:t>
      </w:r>
      <w:r w:rsidRPr="000311CE">
        <w:t xml:space="preserve"> </w:t>
      </w:r>
      <w:r w:rsidRPr="000311CE">
        <w:rPr>
          <w:rFonts w:ascii="Times New Roman" w:hAnsi="Times New Roman"/>
          <w:sz w:val="22"/>
          <w:szCs w:val="22"/>
        </w:rPr>
        <w:t>among firms the amount of audit fee varies.</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In order to perform an audit, a certain amount of professional knowledge </w:t>
      </w:r>
      <w:r w:rsidR="004F6BDB">
        <w:rPr>
          <w:rFonts w:ascii="Times New Roman" w:hAnsi="Times New Roman"/>
          <w:sz w:val="22"/>
          <w:szCs w:val="22"/>
        </w:rPr>
        <w:t xml:space="preserve">from public auditors </w:t>
      </w:r>
      <w:r w:rsidRPr="000311CE">
        <w:rPr>
          <w:rFonts w:ascii="Times New Roman" w:hAnsi="Times New Roman"/>
          <w:sz w:val="22"/>
          <w:szCs w:val="22"/>
        </w:rPr>
        <w:t xml:space="preserve">is required. It is not only the knowledge about </w:t>
      </w:r>
      <w:r w:rsidR="004F6BDB">
        <w:rPr>
          <w:rFonts w:ascii="Times New Roman" w:hAnsi="Times New Roman"/>
          <w:sz w:val="22"/>
          <w:szCs w:val="22"/>
        </w:rPr>
        <w:t xml:space="preserve">how to design and implement </w:t>
      </w:r>
      <w:r w:rsidRPr="000311CE">
        <w:rPr>
          <w:rFonts w:ascii="Times New Roman" w:hAnsi="Times New Roman"/>
          <w:sz w:val="22"/>
          <w:szCs w:val="22"/>
        </w:rPr>
        <w:t>the audit procedures, but also specific knowledge regarding to the industry in which the client firm is operating. This industry specific knowledge is particularly valuable for understanding their client business and its business environment. Consequently, this specific knowledge can be qualified as the specialization of an audit firm, which is not required by any regulations but which is essential for maintaining a high quality audit engagement.</w:t>
      </w:r>
    </w:p>
    <w:p w:rsidR="00D81E8C" w:rsidRPr="000311CE" w:rsidRDefault="00D81E8C" w:rsidP="00D81E8C">
      <w:pPr>
        <w:spacing w:line="360" w:lineRule="auto"/>
        <w:jc w:val="both"/>
        <w:rPr>
          <w:rFonts w:ascii="Times New Roman" w:hAnsi="Times New Roman"/>
          <w:sz w:val="22"/>
          <w:szCs w:val="22"/>
        </w:rPr>
      </w:pPr>
    </w:p>
    <w:p w:rsidR="00D81E8C" w:rsidRPr="000311CE" w:rsidRDefault="00477CD4" w:rsidP="00D81E8C">
      <w:pPr>
        <w:spacing w:line="360" w:lineRule="auto"/>
        <w:jc w:val="both"/>
        <w:rPr>
          <w:rFonts w:ascii="Times New Roman" w:hAnsi="Times New Roman"/>
          <w:sz w:val="22"/>
          <w:szCs w:val="22"/>
        </w:rPr>
      </w:pPr>
      <w:r>
        <w:rPr>
          <w:rFonts w:ascii="Times New Roman" w:hAnsi="Times New Roman"/>
          <w:sz w:val="22"/>
          <w:szCs w:val="22"/>
        </w:rPr>
        <w:t>When</w:t>
      </w:r>
      <w:r w:rsidR="00D81E8C" w:rsidRPr="000311CE">
        <w:rPr>
          <w:rFonts w:ascii="Times New Roman" w:hAnsi="Times New Roman"/>
          <w:sz w:val="22"/>
          <w:szCs w:val="22"/>
        </w:rPr>
        <w:t xml:space="preserve"> preventing audit failures</w:t>
      </w:r>
      <w:r>
        <w:rPr>
          <w:rFonts w:ascii="Times New Roman" w:hAnsi="Times New Roman"/>
          <w:sz w:val="22"/>
          <w:szCs w:val="22"/>
        </w:rPr>
        <w:t>,</w:t>
      </w:r>
      <w:r w:rsidR="00D81E8C" w:rsidRPr="000311CE">
        <w:rPr>
          <w:rFonts w:ascii="Times New Roman" w:hAnsi="Times New Roman"/>
          <w:sz w:val="22"/>
          <w:szCs w:val="22"/>
        </w:rPr>
        <w:t xml:space="preserve"> the public auditor’s knowledge is crucial. Audit failure occurs when the public auditors stated that a firm’s annual financial statement is free of material misstatements </w:t>
      </w:r>
      <w:r>
        <w:rPr>
          <w:rFonts w:ascii="Times New Roman" w:hAnsi="Times New Roman"/>
          <w:sz w:val="22"/>
          <w:szCs w:val="22"/>
        </w:rPr>
        <w:t>when it is still contains material misstatements</w:t>
      </w:r>
      <w:r w:rsidR="00D81E8C" w:rsidRPr="000311CE">
        <w:rPr>
          <w:rFonts w:ascii="Times New Roman" w:hAnsi="Times New Roman"/>
          <w:sz w:val="22"/>
          <w:szCs w:val="22"/>
        </w:rPr>
        <w:t xml:space="preserve">. Audit failure is one of the causes of the recent financial scandals. Financial scandals like Enron, WorldCom, Ahold and Vestia had a huge negative impact on the public confidence in the security markets. The involvement of public auditors in these incidents creates both by the regulators and by the public concerns about the audit quality.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In response to the financial scandals of Enron and WorldCom, the U.S. government in 2002 passed the Sarbanes-Oxley Act (</w:t>
      </w:r>
      <w:r w:rsidR="000712E0" w:rsidRPr="000311CE">
        <w:rPr>
          <w:rFonts w:ascii="Times New Roman" w:hAnsi="Times New Roman"/>
          <w:sz w:val="22"/>
          <w:szCs w:val="22"/>
        </w:rPr>
        <w:t>S</w:t>
      </w:r>
      <w:r w:rsidR="000712E0">
        <w:rPr>
          <w:rFonts w:ascii="Times New Roman" w:hAnsi="Times New Roman"/>
          <w:sz w:val="22"/>
          <w:szCs w:val="22"/>
        </w:rPr>
        <w:t>O</w:t>
      </w:r>
      <w:r w:rsidR="000712E0" w:rsidRPr="000311CE">
        <w:rPr>
          <w:rFonts w:ascii="Times New Roman" w:hAnsi="Times New Roman"/>
          <w:sz w:val="22"/>
          <w:szCs w:val="22"/>
        </w:rPr>
        <w:t>x</w:t>
      </w:r>
      <w:r w:rsidRPr="000311CE">
        <w:rPr>
          <w:rFonts w:ascii="Times New Roman" w:hAnsi="Times New Roman"/>
          <w:sz w:val="22"/>
          <w:szCs w:val="22"/>
        </w:rPr>
        <w:t xml:space="preserve">) with enhanced standards introduced to restore the confidence in the security market. One essential implementation of </w:t>
      </w:r>
      <w:r w:rsidR="000712E0" w:rsidRPr="000311CE">
        <w:rPr>
          <w:rFonts w:ascii="Times New Roman" w:hAnsi="Times New Roman"/>
          <w:sz w:val="22"/>
          <w:szCs w:val="22"/>
        </w:rPr>
        <w:t>S</w:t>
      </w:r>
      <w:r w:rsidR="000712E0">
        <w:rPr>
          <w:rFonts w:ascii="Times New Roman" w:hAnsi="Times New Roman"/>
          <w:sz w:val="22"/>
          <w:szCs w:val="22"/>
        </w:rPr>
        <w:t>O</w:t>
      </w:r>
      <w:r w:rsidR="000712E0" w:rsidRPr="000311CE">
        <w:rPr>
          <w:rFonts w:ascii="Times New Roman" w:hAnsi="Times New Roman"/>
          <w:sz w:val="22"/>
          <w:szCs w:val="22"/>
        </w:rPr>
        <w:t>x</w:t>
      </w:r>
      <w:r w:rsidRPr="000311CE">
        <w:rPr>
          <w:rFonts w:ascii="Times New Roman" w:hAnsi="Times New Roman"/>
          <w:sz w:val="22"/>
          <w:szCs w:val="22"/>
        </w:rPr>
        <w:t xml:space="preserve"> is included in Section 404 (hereafter: SOx 404): </w:t>
      </w:r>
    </w:p>
    <w:p w:rsidR="00D81E8C" w:rsidRPr="000311CE" w:rsidRDefault="00D81E8C" w:rsidP="00D81E8C">
      <w:pPr>
        <w:pStyle w:val="NormalWeb"/>
        <w:ind w:left="170" w:right="170"/>
        <w:jc w:val="both"/>
        <w:rPr>
          <w:i/>
          <w:sz w:val="22"/>
          <w:szCs w:val="22"/>
        </w:rPr>
      </w:pPr>
      <w:r w:rsidRPr="000311CE">
        <w:rPr>
          <w:i/>
          <w:sz w:val="22"/>
          <w:szCs w:val="22"/>
        </w:rPr>
        <w:lastRenderedPageBreak/>
        <w:t xml:space="preserve">Issuers are required to publish information in their annual reports concerning the scope and adequacy of the internal control structure and procedures for financial reporting. This statement shall also assess the effectiveness of such internal controls and procedures. </w:t>
      </w:r>
    </w:p>
    <w:p w:rsidR="00D81E8C" w:rsidRPr="000311CE" w:rsidRDefault="00D81E8C" w:rsidP="00D81E8C">
      <w:pPr>
        <w:pStyle w:val="NormalWeb"/>
        <w:ind w:left="170" w:right="170"/>
        <w:jc w:val="both"/>
        <w:rPr>
          <w:i/>
          <w:sz w:val="22"/>
          <w:szCs w:val="22"/>
        </w:rPr>
      </w:pPr>
      <w:r w:rsidRPr="000311CE">
        <w:rPr>
          <w:i/>
          <w:sz w:val="22"/>
          <w:szCs w:val="22"/>
        </w:rPr>
        <w:t xml:space="preserve">The registered accounting firm shall, in the same report, attest to and report on the assessment on the effectiveness of the internal control structure and procedures for financial reporting. </w:t>
      </w: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The main interpretation of SOx 404 is the requirement of the corporate managers and the public auditors to report on the adequacy of the company’s internal control. Managers, as a part of the annual report, are required to publish an internal control report and the public auditors need to express their opinions about the effectiveness of the internal control structure of the firm. Consequently, in order to assess a firm’s internal control, public auditors have to be equipped with even more specific knowledge which enables them to have a better understanding about the firm and its industry.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Concerning some industries, performing a high quality audit only have audit procedure knowledge is not sufficient. Due to the complexity of an industry, to judge the line items in the annual financial statement it requires more specific knowledge. Typical operations within an industry or the decentralization of operations to complete the audit would require significant more efforts from the public auditors </w:t>
      </w:r>
      <w:r w:rsidR="004A36DA" w:rsidRPr="000311CE">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Knechel, &amp; Wong, 2006)" }, "properties" : { "noteIndex" : 0 }, "schema" : "https://github.com/citation-style-language/schema/raw/master/csl-citation.json" }</w:instrText>
      </w:r>
      <w:r w:rsidR="004A36DA" w:rsidRPr="000311CE">
        <w:rPr>
          <w:rFonts w:ascii="Times New Roman" w:hAnsi="Times New Roman"/>
          <w:sz w:val="22"/>
          <w:szCs w:val="22"/>
        </w:rPr>
        <w:fldChar w:fldCharType="separate"/>
      </w:r>
      <w:r w:rsidRPr="000311CE">
        <w:rPr>
          <w:rFonts w:ascii="Times New Roman" w:hAnsi="Times New Roman"/>
          <w:noProof/>
          <w:sz w:val="22"/>
          <w:szCs w:val="22"/>
        </w:rPr>
        <w:t>(Hay, Knechel, &amp; Wong, 2006)</w:t>
      </w:r>
      <w:r w:rsidR="004A36DA" w:rsidRPr="000311CE">
        <w:rPr>
          <w:rFonts w:ascii="Times New Roman" w:hAnsi="Times New Roman"/>
          <w:sz w:val="22"/>
          <w:szCs w:val="22"/>
        </w:rPr>
        <w:fldChar w:fldCharType="end"/>
      </w:r>
      <w:r w:rsidRPr="000311CE">
        <w:rPr>
          <w:rFonts w:ascii="Times New Roman" w:hAnsi="Times New Roman"/>
          <w:sz w:val="22"/>
          <w:szCs w:val="22"/>
        </w:rPr>
        <w:t>. For instance, it is well-known that the pharmaceutical industry requires a high research and development intensity. Statement of Financial Accounting Standards 2 suggested that ‘</w:t>
      </w:r>
      <w:r w:rsidRPr="000311CE">
        <w:rPr>
          <w:rFonts w:ascii="Times New Roman" w:hAnsi="Times New Roman"/>
          <w:i/>
          <w:sz w:val="22"/>
          <w:szCs w:val="22"/>
        </w:rPr>
        <w:t>All research and development costs encompassed by this Statement shall be charged to expense when incurred</w:t>
      </w:r>
      <w:r w:rsidRPr="000311CE">
        <w:rPr>
          <w:rFonts w:ascii="Times New Roman" w:hAnsi="Times New Roman"/>
          <w:sz w:val="22"/>
          <w:szCs w:val="22"/>
        </w:rPr>
        <w:t>’</w:t>
      </w:r>
      <w:r w:rsidR="00C46252">
        <w:rPr>
          <w:rFonts w:ascii="Times New Roman" w:hAnsi="Times New Roman"/>
          <w:sz w:val="22"/>
          <w:szCs w:val="22"/>
        </w:rPr>
        <w:t>.</w:t>
      </w:r>
      <w:r w:rsidRPr="000311CE">
        <w:rPr>
          <w:rFonts w:ascii="Times New Roman" w:hAnsi="Times New Roman"/>
          <w:sz w:val="22"/>
          <w:szCs w:val="22"/>
        </w:rPr>
        <w:t xml:space="preserve"> However, International Accounting Standard 38 ‘Intangible Assets’ allows companies to capitalize development costs when it is able to produce probable future economic benefits under certain criteria. Consequently,</w:t>
      </w:r>
      <w:r w:rsidRPr="000311CE">
        <w:t xml:space="preserve"> </w:t>
      </w:r>
      <w:r w:rsidRPr="000311CE">
        <w:rPr>
          <w:rFonts w:ascii="Times New Roman" w:hAnsi="Times New Roman"/>
          <w:sz w:val="22"/>
          <w:szCs w:val="22"/>
        </w:rPr>
        <w:t xml:space="preserve">in order to judge whether the expectation of a company is justified it requires the public auditors having a large amount of industry specific knowledge. If auditors are not </w:t>
      </w:r>
      <w:r w:rsidR="00C46252">
        <w:rPr>
          <w:rFonts w:ascii="Times New Roman" w:hAnsi="Times New Roman"/>
          <w:sz w:val="22"/>
          <w:szCs w:val="22"/>
        </w:rPr>
        <w:t>educated</w:t>
      </w:r>
      <w:r w:rsidRPr="000311CE">
        <w:rPr>
          <w:rFonts w:ascii="Times New Roman" w:hAnsi="Times New Roman"/>
          <w:sz w:val="22"/>
          <w:szCs w:val="22"/>
        </w:rPr>
        <w:t xml:space="preserve"> in judging the company’s expectation, for the evaluation to maintain the level of the audit quality a third party should be involved. Alternatively, if public auditors in this industry are specialized, they would perform this audit in a more efficiently way. Consequently, to a certain extent, the complexity of an audit engagement relies on the specialization of the public auditors.</w:t>
      </w:r>
    </w:p>
    <w:p w:rsidR="00D81E8C" w:rsidRPr="000311CE" w:rsidRDefault="00D81E8C" w:rsidP="00D81E8C">
      <w:pPr>
        <w:spacing w:line="360" w:lineRule="auto"/>
        <w:jc w:val="both"/>
        <w:rPr>
          <w:rFonts w:ascii="Times New Roman" w:hAnsi="Times New Roman"/>
          <w:sz w:val="22"/>
          <w:szCs w:val="22"/>
        </w:rPr>
      </w:pPr>
    </w:p>
    <w:p w:rsidR="00D81E8C" w:rsidRDefault="00D81E8C" w:rsidP="00D81E8C">
      <w:pPr>
        <w:spacing w:line="360" w:lineRule="auto"/>
        <w:jc w:val="both"/>
        <w:rPr>
          <w:rFonts w:ascii="Times New Roman" w:hAnsi="Times New Roman"/>
          <w:sz w:val="22"/>
          <w:szCs w:val="22"/>
          <w:shd w:val="clear" w:color="auto" w:fill="FFFFFF"/>
        </w:rPr>
      </w:pPr>
      <w:r w:rsidRPr="000311CE">
        <w:rPr>
          <w:rFonts w:ascii="Times New Roman" w:hAnsi="Times New Roman"/>
          <w:sz w:val="22"/>
          <w:szCs w:val="22"/>
          <w:shd w:val="clear" w:color="auto" w:fill="FFFFFF"/>
        </w:rPr>
        <w:t xml:space="preserve">When a group of public auditors are more specialized than the other, it is not surprising that the charged fees are different as well. As signaled before, the audit fee is the compensation paid by firms for the audit effort by the public auditors. A problem with the determination of audit fee is that no clear guideline exists to follow. Concerning the determination of the audit fee, academicians have developed a theoretical model. This model separated the fee into two components: audit production and the present value of potential future costs associated with the current audit </w:t>
      </w:r>
      <w:r w:rsidR="004A36DA" w:rsidRPr="000311CE">
        <w:rPr>
          <w:rFonts w:ascii="Times New Roman" w:hAnsi="Times New Roman"/>
          <w:sz w:val="22"/>
          <w:szCs w:val="22"/>
          <w:shd w:val="clear" w:color="auto" w:fill="FFFFFF"/>
        </w:rPr>
        <w:fldChar w:fldCharType="begin" w:fldLock="1"/>
      </w:r>
      <w:r w:rsidR="002177CD">
        <w:rPr>
          <w:rFonts w:ascii="Times New Roman" w:hAnsi="Times New Roman"/>
          <w:sz w:val="22"/>
          <w:szCs w:val="22"/>
          <w:shd w:val="clear" w:color="auto" w:fill="FFFFFF"/>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sidRPr="000311CE">
        <w:rPr>
          <w:rFonts w:ascii="Times New Roman" w:hAnsi="Times New Roman"/>
          <w:sz w:val="22"/>
          <w:szCs w:val="22"/>
          <w:shd w:val="clear" w:color="auto" w:fill="FFFFFF"/>
        </w:rPr>
        <w:fldChar w:fldCharType="separate"/>
      </w:r>
      <w:r w:rsidRPr="000311CE">
        <w:rPr>
          <w:rFonts w:ascii="Times New Roman" w:hAnsi="Times New Roman"/>
          <w:noProof/>
          <w:sz w:val="22"/>
          <w:szCs w:val="22"/>
          <w:shd w:val="clear" w:color="auto" w:fill="FFFFFF"/>
        </w:rPr>
        <w:t>(Simunic, 1980)</w:t>
      </w:r>
      <w:r w:rsidR="004A36DA" w:rsidRPr="000311CE">
        <w:rPr>
          <w:rFonts w:ascii="Times New Roman" w:hAnsi="Times New Roman"/>
          <w:sz w:val="22"/>
          <w:szCs w:val="22"/>
          <w:shd w:val="clear" w:color="auto" w:fill="FFFFFF"/>
        </w:rPr>
        <w:fldChar w:fldCharType="end"/>
      </w:r>
      <w:r w:rsidRPr="000311CE">
        <w:rPr>
          <w:rFonts w:ascii="Times New Roman" w:hAnsi="Times New Roman"/>
          <w:sz w:val="22"/>
          <w:szCs w:val="22"/>
          <w:shd w:val="clear" w:color="auto" w:fill="FFFFFF"/>
        </w:rPr>
        <w:t xml:space="preserve">. The audit production is a function of the audit hours and the audit cost per hour. Concerning the specialists, because they have an extra amount of knowledge to improve the efficiency of the audit the assumption </w:t>
      </w:r>
      <w:r w:rsidRPr="000311CE">
        <w:rPr>
          <w:rFonts w:ascii="Times New Roman" w:hAnsi="Times New Roman"/>
          <w:sz w:val="22"/>
          <w:szCs w:val="22"/>
          <w:shd w:val="clear" w:color="auto" w:fill="FFFFFF"/>
        </w:rPr>
        <w:lastRenderedPageBreak/>
        <w:t>is that the needed audit hours are less than non-industry specialists. However, to compensate their training investment specialists charge a higher fee per hour. Consequently, not is known whether an increase in the specialization to ease the industry complexity could create an increase or decrease in the audit fee.</w:t>
      </w:r>
    </w:p>
    <w:p w:rsidR="00F93328" w:rsidRPr="000311CE" w:rsidRDefault="00F93328" w:rsidP="00D81E8C">
      <w:pPr>
        <w:spacing w:line="360" w:lineRule="auto"/>
        <w:jc w:val="both"/>
        <w:rPr>
          <w:rFonts w:ascii="Times New Roman" w:hAnsi="Times New Roman"/>
          <w:sz w:val="22"/>
          <w:szCs w:val="22"/>
          <w:shd w:val="clear" w:color="auto" w:fill="FFFFFF"/>
        </w:rPr>
      </w:pPr>
    </w:p>
    <w:p w:rsidR="00D81E8C" w:rsidRPr="000311CE" w:rsidRDefault="00D81E8C" w:rsidP="00D81E8C">
      <w:pPr>
        <w:spacing w:line="360" w:lineRule="auto"/>
        <w:jc w:val="both"/>
        <w:rPr>
          <w:rFonts w:ascii="Times New Roman" w:hAnsi="Times New Roman"/>
          <w:sz w:val="22"/>
          <w:szCs w:val="22"/>
          <w:shd w:val="clear" w:color="auto" w:fill="FFFFFF"/>
        </w:rPr>
      </w:pPr>
      <w:r w:rsidRPr="000311CE">
        <w:rPr>
          <w:rFonts w:ascii="Times New Roman" w:hAnsi="Times New Roman"/>
          <w:sz w:val="22"/>
          <w:szCs w:val="22"/>
          <w:shd w:val="clear" w:color="auto" w:fill="FFFFFF"/>
        </w:rPr>
        <w:t>Consequently, in improving the efficiency of an audit engagement particularly within relatively complex industries, it is essential to realize that specialization can be highly valuable. Specialized industry knowledge helps the public auditors ease the complexity of an audit and reduce their effort in the audit production. Because it is not clear whether audit clients pay a fee premi</w:t>
      </w:r>
      <w:r w:rsidR="00F93328">
        <w:rPr>
          <w:rFonts w:ascii="Times New Roman" w:hAnsi="Times New Roman"/>
          <w:sz w:val="22"/>
          <w:szCs w:val="22"/>
          <w:shd w:val="clear" w:color="auto" w:fill="FFFFFF"/>
        </w:rPr>
        <w:t xml:space="preserve">um for the audit specialist, this thesis will </w:t>
      </w:r>
      <w:r w:rsidRPr="000311CE">
        <w:rPr>
          <w:rFonts w:ascii="Times New Roman" w:hAnsi="Times New Roman"/>
          <w:sz w:val="22"/>
          <w:szCs w:val="22"/>
          <w:shd w:val="clear" w:color="auto" w:fill="FFFFFF"/>
        </w:rPr>
        <w:t>investigate the correlated effect of specialization, generated to ease industry complexity, on the audit fee.</w:t>
      </w:r>
    </w:p>
    <w:p w:rsidR="00D81E8C" w:rsidRPr="00203D47" w:rsidRDefault="00D81E8C" w:rsidP="00D81E8C">
      <w:pPr>
        <w:spacing w:line="360" w:lineRule="auto"/>
        <w:jc w:val="both"/>
        <w:rPr>
          <w:rFonts w:ascii="Times New Roman" w:hAnsi="Times New Roman"/>
          <w:sz w:val="22"/>
          <w:szCs w:val="22"/>
        </w:rPr>
      </w:pPr>
    </w:p>
    <w:p w:rsidR="00D81E8C" w:rsidRPr="00930EB7" w:rsidRDefault="00D81E8C" w:rsidP="00930EB7">
      <w:pPr>
        <w:pStyle w:val="Subtitle"/>
        <w:spacing w:line="360" w:lineRule="auto"/>
        <w:jc w:val="left"/>
        <w:rPr>
          <w:b/>
        </w:rPr>
      </w:pPr>
      <w:bookmarkStart w:id="6" w:name="_Toc387318189"/>
      <w:bookmarkStart w:id="7" w:name="_Toc393437082"/>
      <w:bookmarkStart w:id="8" w:name="_Toc393872523"/>
      <w:r w:rsidRPr="00930EB7">
        <w:rPr>
          <w:b/>
        </w:rPr>
        <w:t>1.2 Relevance</w:t>
      </w:r>
      <w:bookmarkEnd w:id="6"/>
      <w:bookmarkEnd w:id="7"/>
      <w:bookmarkEnd w:id="8"/>
    </w:p>
    <w:p w:rsidR="00D81E8C" w:rsidRPr="000311CE" w:rsidRDefault="00D81E8C" w:rsidP="00D81E8C">
      <w:pPr>
        <w:spacing w:line="360" w:lineRule="auto"/>
        <w:jc w:val="both"/>
        <w:rPr>
          <w:rFonts w:ascii="Times New Roman" w:hAnsi="Times New Roman"/>
          <w:color w:val="000000"/>
          <w:sz w:val="22"/>
          <w:szCs w:val="22"/>
        </w:rPr>
      </w:pPr>
      <w:r w:rsidRPr="000311CE">
        <w:rPr>
          <w:rFonts w:ascii="Times New Roman" w:hAnsi="Times New Roman"/>
          <w:sz w:val="22"/>
          <w:szCs w:val="22"/>
        </w:rPr>
        <w:t>Audit fee is mostly determined prior an audit engagement. At the time of contracting, public auditors should estimate the nature and the magnitude of the evidence needed to mitigate the uncertainty of an audit failure. In the U.S, public firms report the expenses paid for auditing their financial statement in their annual reports. However, it is still unclear what factors were used to determine the level of audit fee. Besides, th</w:t>
      </w:r>
      <w:r w:rsidRPr="000311CE">
        <w:rPr>
          <w:rFonts w:ascii="Times New Roman" w:hAnsi="Times New Roman"/>
          <w:color w:val="000000"/>
          <w:sz w:val="22"/>
          <w:szCs w:val="22"/>
        </w:rPr>
        <w:t xml:space="preserve">e determinants of the audit fee are not clear-cut in addition due to the corresponding duty of the professional confidentiality within the public audit profession. Because of this feature, a number of researches have been performed to determine what factors are systematically associated with the audit fee. </w:t>
      </w:r>
    </w:p>
    <w:p w:rsidR="00D81E8C" w:rsidRPr="000311CE" w:rsidRDefault="00D81E8C" w:rsidP="00D81E8C">
      <w:pPr>
        <w:spacing w:line="360" w:lineRule="auto"/>
        <w:jc w:val="both"/>
        <w:rPr>
          <w:rFonts w:ascii="Times New Roman" w:hAnsi="Times New Roman"/>
          <w:color w:val="000000"/>
          <w:sz w:val="22"/>
          <w:szCs w:val="22"/>
        </w:rPr>
      </w:pPr>
    </w:p>
    <w:p w:rsidR="00D81E8C" w:rsidRPr="000311CE" w:rsidRDefault="00D81E8C" w:rsidP="00D81E8C">
      <w:pPr>
        <w:spacing w:line="360" w:lineRule="auto"/>
        <w:jc w:val="both"/>
        <w:rPr>
          <w:rFonts w:ascii="Times New Roman" w:hAnsi="Times New Roman"/>
          <w:color w:val="000000"/>
          <w:sz w:val="22"/>
          <w:szCs w:val="22"/>
        </w:rPr>
      </w:pPr>
      <w:r w:rsidRPr="000311CE">
        <w:rPr>
          <w:rFonts w:ascii="Times New Roman" w:hAnsi="Times New Roman"/>
          <w:color w:val="000000"/>
          <w:sz w:val="22"/>
          <w:szCs w:val="22"/>
        </w:rPr>
        <w:t>Among the studies conducted, researchers confirmed that several factors</w:t>
      </w:r>
      <w:r w:rsidRPr="000311CE">
        <w:t xml:space="preserve"> </w:t>
      </w:r>
      <w:r w:rsidRPr="000311CE">
        <w:rPr>
          <w:rFonts w:ascii="Times New Roman" w:hAnsi="Times New Roman"/>
          <w:color w:val="000000"/>
          <w:sz w:val="22"/>
          <w:szCs w:val="22"/>
        </w:rPr>
        <w:t xml:space="preserve">with the audit fee are systematically correlated. For instance, audit client size, complexity, the public auditor’s size, brand names and specialization all showed a significant impact on the audit fee </w:t>
      </w:r>
      <w:r w:rsidR="004A36DA" w:rsidRPr="000311CE">
        <w:rPr>
          <w:rFonts w:ascii="Times New Roman" w:hAnsi="Times New Roman"/>
          <w:color w:val="000000"/>
          <w:sz w:val="22"/>
          <w:szCs w:val="22"/>
        </w:rPr>
        <w:fldChar w:fldCharType="begin" w:fldLock="1"/>
      </w:r>
      <w:r w:rsidR="002177CD">
        <w:rPr>
          <w:rFonts w:ascii="Times New Roman" w:hAnsi="Times New Roman"/>
          <w:color w:val="000000"/>
          <w:sz w:val="22"/>
          <w:szCs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0311CE">
        <w:rPr>
          <w:rFonts w:ascii="Times New Roman" w:hAnsi="Times New Roman"/>
          <w:color w:val="000000"/>
          <w:sz w:val="22"/>
          <w:szCs w:val="22"/>
        </w:rPr>
        <w:fldChar w:fldCharType="separate"/>
      </w:r>
      <w:r w:rsidRPr="000311CE">
        <w:rPr>
          <w:rFonts w:ascii="Times New Roman" w:hAnsi="Times New Roman"/>
          <w:noProof/>
          <w:color w:val="000000"/>
          <w:sz w:val="22"/>
          <w:szCs w:val="22"/>
        </w:rPr>
        <w:t>(Hay et al., 2006)</w:t>
      </w:r>
      <w:r w:rsidR="004A36DA" w:rsidRPr="000311CE">
        <w:rPr>
          <w:rFonts w:ascii="Times New Roman" w:hAnsi="Times New Roman"/>
          <w:color w:val="000000"/>
          <w:sz w:val="22"/>
          <w:szCs w:val="22"/>
        </w:rPr>
        <w:fldChar w:fldCharType="end"/>
      </w:r>
      <w:r w:rsidRPr="000311CE">
        <w:rPr>
          <w:rFonts w:ascii="Times New Roman" w:hAnsi="Times New Roman"/>
          <w:color w:val="000000"/>
          <w:sz w:val="22"/>
          <w:szCs w:val="22"/>
        </w:rPr>
        <w:t xml:space="preserve">. Complexity and specialization are both confirmed to be positively associated with the audit fee. In prior researches, the proxy for complexity is mostly the number of subsidiaries </w:t>
      </w:r>
      <w:r w:rsidR="004A36DA" w:rsidRPr="000311CE">
        <w:rPr>
          <w:rFonts w:ascii="Times New Roman" w:hAnsi="Times New Roman"/>
          <w:color w:val="000000"/>
          <w:sz w:val="22"/>
          <w:szCs w:val="22"/>
        </w:rPr>
        <w:fldChar w:fldCharType="begin" w:fldLock="1"/>
      </w:r>
      <w:r w:rsidR="002177CD">
        <w:rPr>
          <w:rFonts w:ascii="Times New Roman" w:hAnsi="Times New Roman"/>
          <w:color w:val="000000"/>
          <w:sz w:val="22"/>
          <w:szCs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0311CE">
        <w:rPr>
          <w:rFonts w:ascii="Times New Roman" w:hAnsi="Times New Roman"/>
          <w:color w:val="000000"/>
          <w:sz w:val="22"/>
          <w:szCs w:val="22"/>
        </w:rPr>
        <w:fldChar w:fldCharType="separate"/>
      </w:r>
      <w:r w:rsidRPr="000311CE">
        <w:rPr>
          <w:rFonts w:ascii="Times New Roman" w:hAnsi="Times New Roman"/>
          <w:noProof/>
          <w:color w:val="000000"/>
          <w:sz w:val="22"/>
          <w:szCs w:val="22"/>
        </w:rPr>
        <w:t>(Hay et al., 2006)</w:t>
      </w:r>
      <w:r w:rsidR="004A36DA" w:rsidRPr="000311CE">
        <w:rPr>
          <w:rFonts w:ascii="Times New Roman" w:hAnsi="Times New Roman"/>
          <w:color w:val="000000"/>
          <w:sz w:val="22"/>
          <w:szCs w:val="22"/>
        </w:rPr>
        <w:fldChar w:fldCharType="end"/>
      </w:r>
      <w:r w:rsidRPr="000311CE">
        <w:rPr>
          <w:rFonts w:ascii="Times New Roman" w:hAnsi="Times New Roman"/>
          <w:color w:val="000000"/>
          <w:sz w:val="22"/>
          <w:szCs w:val="22"/>
        </w:rPr>
        <w:t xml:space="preserve">. It is suggested that subsidiaries would increase the complexities of transactions and consequently requires more audit effort. However, this measurement of complexity is not associated with a particular industry. A limitation of this approach is that it assumes that the complexity among industries </w:t>
      </w:r>
      <w:r w:rsidR="00FC0AF1">
        <w:rPr>
          <w:rFonts w:ascii="Times New Roman" w:hAnsi="Times New Roman"/>
          <w:color w:val="000000"/>
          <w:sz w:val="22"/>
          <w:szCs w:val="22"/>
        </w:rPr>
        <w:t>is equal</w:t>
      </w:r>
      <w:r w:rsidRPr="000311CE">
        <w:rPr>
          <w:rFonts w:ascii="Times New Roman" w:hAnsi="Times New Roman"/>
          <w:color w:val="000000"/>
          <w:sz w:val="22"/>
          <w:szCs w:val="22"/>
        </w:rPr>
        <w:t xml:space="preserve">. Since the complexity in addition varies due to the nature of an industry, this could create biased results. The contribution of this thesis is an alternative way to measure the complexity. In addition, when an industry is complex due to its required specialized knowledge, this complexity term becomes a subjective matter. Additional tests in this thesis are going to investigate whether specialization could influence the positive association of the complexity and the audit fee. </w:t>
      </w:r>
    </w:p>
    <w:p w:rsidR="00D81E8C" w:rsidRPr="000311CE" w:rsidRDefault="00D81E8C" w:rsidP="00D81E8C">
      <w:pPr>
        <w:spacing w:line="360" w:lineRule="auto"/>
        <w:jc w:val="both"/>
        <w:rPr>
          <w:rFonts w:ascii="Times New Roman" w:hAnsi="Times New Roman"/>
          <w:color w:val="000000"/>
          <w:sz w:val="22"/>
          <w:szCs w:val="22"/>
        </w:rPr>
      </w:pPr>
    </w:p>
    <w:p w:rsidR="00D81E8C" w:rsidRPr="000311CE" w:rsidRDefault="00D81E8C" w:rsidP="00D81E8C">
      <w:pPr>
        <w:spacing w:line="360" w:lineRule="auto"/>
        <w:jc w:val="both"/>
        <w:rPr>
          <w:rFonts w:ascii="Times New Roman" w:hAnsi="Times New Roman"/>
          <w:color w:val="000000"/>
          <w:sz w:val="22"/>
          <w:szCs w:val="22"/>
        </w:rPr>
      </w:pPr>
      <w:r w:rsidRPr="000311CE">
        <w:rPr>
          <w:rFonts w:ascii="Times New Roman" w:hAnsi="Times New Roman"/>
          <w:color w:val="000000"/>
          <w:sz w:val="22"/>
          <w:szCs w:val="22"/>
        </w:rPr>
        <w:lastRenderedPageBreak/>
        <w:t xml:space="preserve">The approach is that the complexity of an audit due to the industry characteristics is subjective. The level of complexity would decrease if public auditors do have industry specific knowledge comparing with public auditors who do not have this knowledge. Specialized public auditors in addition are able to perform the audit differently than non-specialists do. Consequently, the difference in audit effort could cause a difference in the audit fee. </w:t>
      </w:r>
    </w:p>
    <w:p w:rsidR="00D81E8C" w:rsidRDefault="00D81E8C" w:rsidP="00D81E8C">
      <w:pPr>
        <w:spacing w:line="360" w:lineRule="auto"/>
        <w:jc w:val="both"/>
        <w:rPr>
          <w:rFonts w:ascii="Times New Roman" w:hAnsi="Times New Roman"/>
          <w:color w:val="000000"/>
          <w:sz w:val="22"/>
          <w:szCs w:val="22"/>
        </w:rPr>
      </w:pPr>
    </w:p>
    <w:p w:rsidR="00D81E8C" w:rsidRPr="00930EB7" w:rsidRDefault="00D81E8C" w:rsidP="00930EB7">
      <w:pPr>
        <w:pStyle w:val="Subtitle"/>
        <w:spacing w:line="360" w:lineRule="auto"/>
        <w:jc w:val="left"/>
        <w:rPr>
          <w:b/>
        </w:rPr>
      </w:pPr>
      <w:bookmarkStart w:id="9" w:name="_Toc387318190"/>
      <w:bookmarkStart w:id="10" w:name="_Toc393437083"/>
      <w:bookmarkStart w:id="11" w:name="_Toc393872524"/>
      <w:r w:rsidRPr="00930EB7">
        <w:rPr>
          <w:b/>
        </w:rPr>
        <w:t>1.3 Objective</w:t>
      </w:r>
      <w:bookmarkEnd w:id="9"/>
      <w:bookmarkEnd w:id="10"/>
      <w:bookmarkEnd w:id="11"/>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The purpose of this thesis is to determine whether specialization influences the correlation between the complexity and the audit fee, if so, in which direction. As signaled in the previous section, the public auditor’s specialization could be useful for certain complex industries. However, not is known whether this amount of specialization could create an increase or a decrease in the audit fee.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Alternatively,</w:t>
      </w:r>
      <w:r w:rsidRPr="000311CE">
        <w:t xml:space="preserve"> </w:t>
      </w:r>
      <w:r w:rsidRPr="000311CE">
        <w:rPr>
          <w:rFonts w:ascii="Times New Roman" w:hAnsi="Times New Roman"/>
          <w:sz w:val="22"/>
          <w:szCs w:val="22"/>
        </w:rPr>
        <w:t>because it serves as a cost concerning the public audit firms for training and educating their staffs the audit fee may increase. Consequently, they may charge a specialist premium to compensate these expenses. Besides, these specialized public auditors are more likely to provide services in their specialized industry consequently acquiring expertise due to hands-on experiences. Eventually, they may become the only provider of the high quality audit services within a particular industry thereby enjoying a monopolistic position</w:t>
      </w:r>
      <w:r w:rsidR="00D25F75">
        <w:rPr>
          <w:rFonts w:ascii="Times New Roman" w:hAnsi="Times New Roman"/>
          <w:sz w:val="22"/>
          <w:szCs w:val="22"/>
        </w:rPr>
        <w:t xml:space="preserve"> and</w:t>
      </w:r>
      <w:r w:rsidRPr="000311CE">
        <w:rPr>
          <w:rFonts w:ascii="Times New Roman" w:hAnsi="Times New Roman"/>
          <w:sz w:val="22"/>
          <w:szCs w:val="22"/>
        </w:rPr>
        <w:t xml:space="preserve"> provides it price-setting power which in addition creates an increase in audit fee. Alternatively, when a public audit firm owns a large amount of market share, the training costs </w:t>
      </w:r>
      <w:r w:rsidR="00777857">
        <w:rPr>
          <w:rFonts w:ascii="Times New Roman" w:hAnsi="Times New Roman"/>
          <w:sz w:val="22"/>
          <w:szCs w:val="22"/>
        </w:rPr>
        <w:t>can be</w:t>
      </w:r>
      <w:r w:rsidRPr="000311CE">
        <w:rPr>
          <w:rFonts w:ascii="Times New Roman" w:hAnsi="Times New Roman"/>
          <w:sz w:val="22"/>
          <w:szCs w:val="22"/>
        </w:rPr>
        <w:t xml:space="preserve"> spread to more clients. Since the non-specialists are facing higher costs, at the same time, they are able to keep increasing their market share. Consequently, the audit firm achieves economies of scales within this certain industry. To keep its competitive position among other public audit firms it will reduce its audit fee eventually.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The results in this thesis would be useful for several groups. First, an alternative approach will use to measure a firm’s complexity. This approach assumes that industry characteristics would increase the complexity of a specific firm. This alternative measurement could create different implications for prior researches. Second, to understand the development of their audit fee the outcome of the thesis could be useful for corporate managers. Third, the audit firms could use the results as a suggestion to whether or not develop a differentiation strategy with specialization.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The main purpose of this thesis is to provide researchers, auditors and audit clients more insights in the determination of the audit fee.</w:t>
      </w:r>
    </w:p>
    <w:p w:rsidR="00D81E8C" w:rsidRDefault="00D81E8C" w:rsidP="00D81E8C">
      <w:pPr>
        <w:spacing w:line="360" w:lineRule="auto"/>
        <w:jc w:val="both"/>
        <w:rPr>
          <w:rFonts w:ascii="Times New Roman" w:hAnsi="Times New Roman"/>
          <w:sz w:val="22"/>
          <w:szCs w:val="22"/>
        </w:rPr>
      </w:pPr>
    </w:p>
    <w:p w:rsidR="00D81E8C" w:rsidRPr="00930EB7" w:rsidRDefault="00D81E8C" w:rsidP="00777857">
      <w:pPr>
        <w:pStyle w:val="Subtitle"/>
        <w:spacing w:line="360" w:lineRule="auto"/>
        <w:jc w:val="left"/>
        <w:rPr>
          <w:b/>
        </w:rPr>
      </w:pPr>
      <w:bookmarkStart w:id="12" w:name="_Toc387318191"/>
      <w:bookmarkStart w:id="13" w:name="_Toc393437084"/>
      <w:bookmarkStart w:id="14" w:name="_Toc393872525"/>
      <w:r w:rsidRPr="00930EB7">
        <w:rPr>
          <w:b/>
        </w:rPr>
        <w:t>1.4 Research question</w:t>
      </w:r>
      <w:bookmarkEnd w:id="12"/>
      <w:bookmarkEnd w:id="13"/>
      <w:bookmarkEnd w:id="14"/>
    </w:p>
    <w:p w:rsidR="00D81E8C" w:rsidRPr="000311CE" w:rsidRDefault="00D81E8C" w:rsidP="00D81E8C">
      <w:pPr>
        <w:spacing w:line="360" w:lineRule="auto"/>
        <w:rPr>
          <w:rFonts w:ascii="Times New Roman" w:hAnsi="Times New Roman"/>
          <w:sz w:val="22"/>
        </w:rPr>
      </w:pPr>
      <w:r w:rsidRPr="000311CE">
        <w:rPr>
          <w:rFonts w:ascii="Times New Roman" w:hAnsi="Times New Roman"/>
          <w:sz w:val="22"/>
        </w:rPr>
        <w:t>In this study, the next research question will be answered:</w:t>
      </w:r>
    </w:p>
    <w:p w:rsidR="00D81E8C" w:rsidRPr="000311CE" w:rsidRDefault="00D81E8C" w:rsidP="00D81E8C">
      <w:pPr>
        <w:spacing w:line="360" w:lineRule="auto"/>
        <w:rPr>
          <w:rFonts w:ascii="Times New Roman" w:hAnsi="Times New Roman"/>
          <w:sz w:val="22"/>
        </w:rPr>
      </w:pPr>
    </w:p>
    <w:p w:rsidR="00D81E8C" w:rsidRPr="000311CE" w:rsidRDefault="00D81E8C" w:rsidP="00D81E8C">
      <w:pPr>
        <w:spacing w:line="360" w:lineRule="auto"/>
        <w:ind w:left="113" w:right="113"/>
        <w:rPr>
          <w:rFonts w:ascii="Times New Roman" w:hAnsi="Times New Roman"/>
          <w:i/>
          <w:sz w:val="22"/>
        </w:rPr>
      </w:pPr>
      <w:r w:rsidRPr="000311CE">
        <w:rPr>
          <w:rFonts w:ascii="Times New Roman" w:hAnsi="Times New Roman"/>
          <w:i/>
          <w:sz w:val="22"/>
        </w:rPr>
        <w:t>Does the public auditor’s industry specialization influence the association between the audit fee and the audit client complexity?</w:t>
      </w:r>
    </w:p>
    <w:p w:rsidR="00D81E8C" w:rsidRPr="000311CE" w:rsidRDefault="00D81E8C" w:rsidP="00D81E8C">
      <w:pPr>
        <w:spacing w:line="360" w:lineRule="auto"/>
        <w:rPr>
          <w:rFonts w:ascii="Times New Roman" w:hAnsi="Times New Roman"/>
          <w:sz w:val="22"/>
        </w:rPr>
      </w:pPr>
    </w:p>
    <w:p w:rsidR="00D81E8C" w:rsidRPr="000311CE" w:rsidRDefault="00D81E8C" w:rsidP="00D81E8C">
      <w:pPr>
        <w:spacing w:line="360" w:lineRule="auto"/>
        <w:rPr>
          <w:rFonts w:ascii="Times New Roman" w:hAnsi="Times New Roman"/>
          <w:sz w:val="22"/>
        </w:rPr>
      </w:pPr>
      <w:r w:rsidRPr="000311CE">
        <w:rPr>
          <w:rFonts w:ascii="Times New Roman" w:hAnsi="Times New Roman"/>
          <w:sz w:val="22"/>
        </w:rPr>
        <w:t>In order to provide thorough understanding of this topic, the next sub questions will be answered:</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What is the function of the public auditor?</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What is the content of the term client complexity?</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What is the content of the term auditors industry specialization?</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Why does the complexity drive up the audit fee?</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Is auditor’s specialization really needed to perform an audit?</w:t>
      </w:r>
    </w:p>
    <w:p w:rsidR="00D81E8C" w:rsidRPr="000311CE" w:rsidRDefault="00D81E8C" w:rsidP="00D81E8C">
      <w:pPr>
        <w:pStyle w:val="ListParagraph"/>
        <w:numPr>
          <w:ilvl w:val="0"/>
          <w:numId w:val="26"/>
        </w:numPr>
        <w:spacing w:line="360" w:lineRule="auto"/>
        <w:rPr>
          <w:rFonts w:ascii="Times New Roman" w:hAnsi="Times New Roman"/>
          <w:i/>
          <w:sz w:val="22"/>
        </w:rPr>
      </w:pPr>
      <w:r w:rsidRPr="000311CE">
        <w:rPr>
          <w:rFonts w:ascii="Times New Roman" w:hAnsi="Times New Roman"/>
          <w:i/>
          <w:sz w:val="22"/>
        </w:rPr>
        <w:t>Is the audit fee for complex industry higher than for others?</w:t>
      </w:r>
    </w:p>
    <w:p w:rsidR="00D81E8C" w:rsidRDefault="00D81E8C" w:rsidP="00D81E8C">
      <w:pPr>
        <w:rPr>
          <w:rFonts w:asciiTheme="majorHAnsi" w:eastAsiaTheme="majorEastAsia" w:hAnsiTheme="majorHAnsi"/>
          <w:b/>
        </w:rPr>
      </w:pPr>
    </w:p>
    <w:p w:rsidR="00D81E8C" w:rsidRPr="00930EB7" w:rsidRDefault="00D81E8C" w:rsidP="00777857">
      <w:pPr>
        <w:pStyle w:val="Subtitle"/>
        <w:spacing w:line="360" w:lineRule="auto"/>
        <w:jc w:val="left"/>
        <w:rPr>
          <w:b/>
        </w:rPr>
      </w:pPr>
      <w:bookmarkStart w:id="15" w:name="_Toc393437085"/>
      <w:bookmarkStart w:id="16" w:name="_Toc393872526"/>
      <w:r w:rsidRPr="00930EB7">
        <w:rPr>
          <w:b/>
        </w:rPr>
        <w:t>1.5 Methodology</w:t>
      </w:r>
      <w:bookmarkEnd w:id="15"/>
      <w:bookmarkEnd w:id="16"/>
    </w:p>
    <w:p w:rsidR="00D81E8C" w:rsidRPr="000311CE" w:rsidRDefault="00D81E8C" w:rsidP="00D81E8C">
      <w:pPr>
        <w:spacing w:line="360" w:lineRule="auto"/>
        <w:jc w:val="both"/>
        <w:rPr>
          <w:rFonts w:ascii="Times New Roman" w:hAnsi="Times New Roman"/>
          <w:sz w:val="22"/>
        </w:rPr>
      </w:pPr>
      <w:r w:rsidRPr="000311CE">
        <w:rPr>
          <w:rFonts w:ascii="Times New Roman" w:hAnsi="Times New Roman"/>
          <w:sz w:val="22"/>
        </w:rPr>
        <w:t>The level of the complexity would be measured as a dummy variable. Companies from a complex industry received 1, otherwise 0. The level of specialization is measured as percentage of an industry that is audited by a particul</w:t>
      </w:r>
      <w:r w:rsidR="00777857">
        <w:rPr>
          <w:rFonts w:ascii="Times New Roman" w:hAnsi="Times New Roman"/>
          <w:sz w:val="22"/>
        </w:rPr>
        <w:t>ar public audit firm; the audit</w:t>
      </w:r>
      <w:r w:rsidRPr="000311CE">
        <w:rPr>
          <w:rFonts w:ascii="Times New Roman" w:hAnsi="Times New Roman"/>
          <w:sz w:val="22"/>
        </w:rPr>
        <w:t xml:space="preserve"> firm with the market share</w:t>
      </w:r>
      <w:r w:rsidR="00777857">
        <w:rPr>
          <w:rFonts w:ascii="Times New Roman" w:hAnsi="Times New Roman"/>
          <w:sz w:val="22"/>
        </w:rPr>
        <w:t xml:space="preserve"> of 15% or more</w:t>
      </w:r>
      <w:r w:rsidRPr="000311CE">
        <w:rPr>
          <w:rFonts w:ascii="Times New Roman" w:hAnsi="Times New Roman"/>
          <w:sz w:val="22"/>
        </w:rPr>
        <w:t xml:space="preserve"> will be recognized as specialist. </w:t>
      </w:r>
    </w:p>
    <w:p w:rsidR="00D81E8C" w:rsidRPr="000311CE" w:rsidRDefault="00D81E8C" w:rsidP="00D81E8C">
      <w:pPr>
        <w:spacing w:line="360" w:lineRule="auto"/>
        <w:jc w:val="both"/>
        <w:rPr>
          <w:rFonts w:ascii="Times New Roman" w:hAnsi="Times New Roman"/>
          <w:sz w:val="22"/>
        </w:rPr>
      </w:pPr>
    </w:p>
    <w:p w:rsidR="00D81E8C" w:rsidRPr="000311CE" w:rsidRDefault="00D81E8C" w:rsidP="00D81E8C">
      <w:pPr>
        <w:spacing w:line="360" w:lineRule="auto"/>
        <w:jc w:val="both"/>
        <w:rPr>
          <w:rFonts w:ascii="Times New Roman" w:hAnsi="Times New Roman"/>
          <w:sz w:val="22"/>
        </w:rPr>
      </w:pPr>
      <w:r w:rsidRPr="000311CE">
        <w:rPr>
          <w:rFonts w:ascii="Times New Roman" w:hAnsi="Times New Roman"/>
          <w:sz w:val="22"/>
        </w:rPr>
        <w:t>Firstly</w:t>
      </w:r>
      <w:r w:rsidR="00777857">
        <w:rPr>
          <w:rFonts w:ascii="Times New Roman" w:hAnsi="Times New Roman"/>
          <w:sz w:val="22"/>
        </w:rPr>
        <w:t>,</w:t>
      </w:r>
      <w:r w:rsidRPr="000311CE">
        <w:rPr>
          <w:sz w:val="22"/>
        </w:rPr>
        <w:t xml:space="preserve"> </w:t>
      </w:r>
      <w:r w:rsidRPr="000311CE">
        <w:rPr>
          <w:rFonts w:ascii="Times New Roman" w:hAnsi="Times New Roman"/>
          <w:sz w:val="22"/>
        </w:rPr>
        <w:t xml:space="preserve">to ascertain that the audit fee is higher for complex industries, </w:t>
      </w:r>
      <w:r w:rsidR="00777857">
        <w:rPr>
          <w:rFonts w:ascii="Times New Roman" w:hAnsi="Times New Roman"/>
          <w:sz w:val="22"/>
        </w:rPr>
        <w:t xml:space="preserve">the audit fee for </w:t>
      </w:r>
      <w:r w:rsidRPr="000311CE">
        <w:rPr>
          <w:rFonts w:ascii="Times New Roman" w:hAnsi="Times New Roman"/>
          <w:sz w:val="22"/>
        </w:rPr>
        <w:t xml:space="preserve">complex industries and regular industries </w:t>
      </w:r>
      <w:r w:rsidR="00777857">
        <w:rPr>
          <w:rFonts w:ascii="Times New Roman" w:hAnsi="Times New Roman"/>
          <w:sz w:val="22"/>
        </w:rPr>
        <w:t>will be compared. Secondly, a test will be performed to assess whether companies who used industry specialists are significantly paying more fee than nonspecialists</w:t>
      </w:r>
      <w:r w:rsidRPr="000311CE">
        <w:rPr>
          <w:rFonts w:ascii="Times New Roman" w:hAnsi="Times New Roman"/>
          <w:sz w:val="22"/>
        </w:rPr>
        <w:t>. Finally a regression test will perform with the audit fee as independent variable, the complexity as dependent variable and the specialization as m</w:t>
      </w:r>
      <w:r w:rsidR="002B4D42">
        <w:rPr>
          <w:rFonts w:ascii="Times New Roman" w:hAnsi="Times New Roman"/>
          <w:sz w:val="22"/>
        </w:rPr>
        <w:t>oderating</w:t>
      </w:r>
      <w:r w:rsidRPr="000311CE">
        <w:rPr>
          <w:rFonts w:ascii="Times New Roman" w:hAnsi="Times New Roman"/>
          <w:sz w:val="22"/>
        </w:rPr>
        <w:t xml:space="preserve"> variable. </w:t>
      </w:r>
    </w:p>
    <w:p w:rsidR="00D81E8C" w:rsidRPr="000311CE" w:rsidRDefault="00D81E8C" w:rsidP="00D81E8C">
      <w:pPr>
        <w:spacing w:line="360" w:lineRule="auto"/>
        <w:jc w:val="both"/>
        <w:rPr>
          <w:rFonts w:ascii="Times New Roman" w:hAnsi="Times New Roman"/>
          <w:sz w:val="22"/>
        </w:rPr>
      </w:pPr>
    </w:p>
    <w:p w:rsidR="00D81E8C" w:rsidRPr="000311CE" w:rsidRDefault="00D81E8C" w:rsidP="00D81E8C">
      <w:pPr>
        <w:spacing w:line="360" w:lineRule="auto"/>
        <w:jc w:val="both"/>
        <w:rPr>
          <w:rFonts w:ascii="Times New Roman" w:hAnsi="Times New Roman"/>
          <w:sz w:val="22"/>
        </w:rPr>
      </w:pPr>
      <w:r w:rsidRPr="000311CE">
        <w:rPr>
          <w:rFonts w:ascii="Times New Roman" w:hAnsi="Times New Roman"/>
          <w:sz w:val="22"/>
        </w:rPr>
        <w:t>During the research, other variables that could be a driver of the audit fee will be controlled. These variables are: audit client size measured by total assets</w:t>
      </w:r>
      <w:r w:rsidR="00777857">
        <w:rPr>
          <w:rFonts w:ascii="Times New Roman" w:hAnsi="Times New Roman"/>
          <w:sz w:val="22"/>
        </w:rPr>
        <w:t xml:space="preserve"> and total turnover, business</w:t>
      </w:r>
      <w:r w:rsidRPr="000311CE">
        <w:rPr>
          <w:rFonts w:ascii="Times New Roman" w:hAnsi="Times New Roman"/>
          <w:sz w:val="22"/>
        </w:rPr>
        <w:t xml:space="preserve"> risk as the combination of </w:t>
      </w:r>
      <w:r w:rsidR="00777857">
        <w:rPr>
          <w:rFonts w:ascii="Times New Roman" w:hAnsi="Times New Roman"/>
          <w:sz w:val="22"/>
        </w:rPr>
        <w:t>certain financial ratios, geographical dispersion and previous auditor’s opinion</w:t>
      </w:r>
      <w:r w:rsidRPr="000311CE">
        <w:rPr>
          <w:rFonts w:ascii="Times New Roman" w:hAnsi="Times New Roman"/>
          <w:sz w:val="22"/>
        </w:rPr>
        <w:t xml:space="preserve">. </w:t>
      </w:r>
    </w:p>
    <w:p w:rsidR="00D81E8C" w:rsidRDefault="00D81E8C" w:rsidP="00D81E8C">
      <w:pPr>
        <w:spacing w:line="360" w:lineRule="auto"/>
        <w:jc w:val="both"/>
        <w:rPr>
          <w:rFonts w:ascii="Times New Roman" w:hAnsi="Times New Roman"/>
          <w:sz w:val="22"/>
          <w:szCs w:val="22"/>
        </w:rPr>
      </w:pPr>
    </w:p>
    <w:p w:rsidR="00D81E8C" w:rsidRDefault="00D81E8C" w:rsidP="00D81E8C">
      <w:pPr>
        <w:pStyle w:val="Subtitle"/>
        <w:spacing w:line="360" w:lineRule="auto"/>
        <w:jc w:val="left"/>
        <w:rPr>
          <w:b/>
        </w:rPr>
      </w:pPr>
      <w:bookmarkStart w:id="17" w:name="_Toc393437086"/>
      <w:bookmarkStart w:id="18" w:name="_Toc393872527"/>
      <w:r>
        <w:rPr>
          <w:b/>
        </w:rPr>
        <w:t xml:space="preserve">1.6 </w:t>
      </w:r>
      <w:r w:rsidR="004228D1">
        <w:rPr>
          <w:b/>
        </w:rPr>
        <w:t>Demarcation and L</w:t>
      </w:r>
      <w:r w:rsidRPr="00E2405B">
        <w:rPr>
          <w:b/>
        </w:rPr>
        <w:t>imitation</w:t>
      </w:r>
      <w:bookmarkEnd w:id="17"/>
      <w:bookmarkEnd w:id="18"/>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The sample is selected from the U.S. Audit Analysis database</w:t>
      </w:r>
      <w:r w:rsidR="00777857">
        <w:rPr>
          <w:rFonts w:ascii="Times New Roman" w:hAnsi="Times New Roman"/>
          <w:sz w:val="22"/>
          <w:szCs w:val="22"/>
        </w:rPr>
        <w:t xml:space="preserve"> and </w:t>
      </w:r>
      <w:r w:rsidR="000712E0">
        <w:rPr>
          <w:rFonts w:ascii="Times New Roman" w:hAnsi="Times New Roman"/>
          <w:sz w:val="22"/>
          <w:szCs w:val="22"/>
        </w:rPr>
        <w:t>Compustat;</w:t>
      </w:r>
      <w:r w:rsidR="00777857">
        <w:rPr>
          <w:rFonts w:ascii="Times New Roman" w:hAnsi="Times New Roman"/>
          <w:sz w:val="22"/>
          <w:szCs w:val="22"/>
        </w:rPr>
        <w:t xml:space="preserve"> </w:t>
      </w:r>
      <w:r w:rsidRPr="000311CE">
        <w:rPr>
          <w:rFonts w:ascii="Times New Roman" w:hAnsi="Times New Roman"/>
          <w:sz w:val="22"/>
          <w:szCs w:val="22"/>
        </w:rPr>
        <w:t xml:space="preserve">the results may </w:t>
      </w:r>
      <w:r w:rsidR="00777857">
        <w:rPr>
          <w:rFonts w:ascii="Times New Roman" w:hAnsi="Times New Roman"/>
          <w:sz w:val="22"/>
          <w:szCs w:val="22"/>
        </w:rPr>
        <w:t xml:space="preserve">consequently </w:t>
      </w:r>
      <w:r w:rsidRPr="000311CE">
        <w:rPr>
          <w:rFonts w:ascii="Times New Roman" w:hAnsi="Times New Roman"/>
          <w:sz w:val="22"/>
          <w:szCs w:val="22"/>
        </w:rPr>
        <w:t>be insignificant for other regions. Additionally, the audit fee data is only available for public companies; the relation may only appear for public companies instead of all companies including private companies. In addition,</w:t>
      </w:r>
      <w:r w:rsidRPr="000311CE">
        <w:t xml:space="preserve"> </w:t>
      </w:r>
      <w:r w:rsidRPr="000311CE">
        <w:rPr>
          <w:rFonts w:ascii="Times New Roman" w:hAnsi="Times New Roman"/>
          <w:sz w:val="22"/>
          <w:szCs w:val="22"/>
        </w:rPr>
        <w:t xml:space="preserve">due to the availability of the data the time period is selected after 2001. However, the implementation of SOx could drive up the audit fee. </w:t>
      </w:r>
    </w:p>
    <w:p w:rsidR="00D81E8C" w:rsidRPr="000311CE" w:rsidRDefault="00D81E8C" w:rsidP="00D81E8C">
      <w:pPr>
        <w:spacing w:line="360" w:lineRule="auto"/>
        <w:jc w:val="both"/>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 xml:space="preserve">The measurement of auditor specialization has its limitations as well. The specialization is measured at the national level. Since it could be that one local office is much more specialized in a specific </w:t>
      </w:r>
      <w:r w:rsidRPr="000311CE">
        <w:rPr>
          <w:rFonts w:ascii="Times New Roman" w:hAnsi="Times New Roman"/>
          <w:sz w:val="22"/>
          <w:szCs w:val="22"/>
        </w:rPr>
        <w:lastRenderedPageBreak/>
        <w:t xml:space="preserve">industry than the other establishment from the same audit firm, this could create biased results The reason behind this could be that due to the geographical locations of clients, it is more efficient to set up a specialized office nearby the client. When measured at the national level, only the aggregated specialization is taken into account. </w:t>
      </w:r>
    </w:p>
    <w:p w:rsidR="00D81E8C" w:rsidRDefault="00D81E8C" w:rsidP="00D81E8C">
      <w:pPr>
        <w:spacing w:line="360" w:lineRule="auto"/>
        <w:jc w:val="both"/>
        <w:rPr>
          <w:rFonts w:ascii="Times New Roman" w:hAnsi="Times New Roman"/>
          <w:sz w:val="22"/>
          <w:szCs w:val="22"/>
        </w:rPr>
      </w:pPr>
    </w:p>
    <w:p w:rsidR="00D81E8C" w:rsidRDefault="00D81E8C" w:rsidP="00D81E8C">
      <w:pPr>
        <w:pStyle w:val="Subtitle"/>
        <w:spacing w:line="360" w:lineRule="auto"/>
        <w:jc w:val="left"/>
        <w:rPr>
          <w:b/>
        </w:rPr>
      </w:pPr>
      <w:bookmarkStart w:id="19" w:name="_Toc393437087"/>
      <w:bookmarkStart w:id="20" w:name="_Toc393872528"/>
      <w:r>
        <w:rPr>
          <w:b/>
        </w:rPr>
        <w:t xml:space="preserve">1.7 </w:t>
      </w:r>
      <w:r w:rsidRPr="00E2639B">
        <w:rPr>
          <w:b/>
        </w:rPr>
        <w:t>Structure</w:t>
      </w:r>
      <w:bookmarkEnd w:id="19"/>
      <w:bookmarkEnd w:id="20"/>
    </w:p>
    <w:p w:rsidR="00D81E8C" w:rsidRPr="000311CE" w:rsidRDefault="00D81E8C" w:rsidP="00D81E8C">
      <w:pPr>
        <w:spacing w:line="360" w:lineRule="auto"/>
        <w:rPr>
          <w:rFonts w:ascii="Times New Roman" w:hAnsi="Times New Roman"/>
          <w:sz w:val="22"/>
          <w:szCs w:val="22"/>
        </w:rPr>
      </w:pPr>
      <w:r w:rsidRPr="000311CE">
        <w:rPr>
          <w:rFonts w:ascii="Times New Roman" w:hAnsi="Times New Roman"/>
          <w:sz w:val="22"/>
          <w:szCs w:val="22"/>
        </w:rPr>
        <w:t>Chapter 2 describes the theoretical backgrounds of the main concepts used in this thesis. The theoretical background includes the role of the public auditor, the audit client complexity, the auditor’s industry specialization and the confirmed determinants of the audit fee. The concepts will be explained and their theoretical association will be presented.</w:t>
      </w:r>
    </w:p>
    <w:p w:rsidR="00D81E8C" w:rsidRPr="000311CE" w:rsidRDefault="00D81E8C" w:rsidP="00D81E8C">
      <w:pPr>
        <w:spacing w:line="360" w:lineRule="auto"/>
        <w:rPr>
          <w:rFonts w:ascii="Times New Roman" w:hAnsi="Times New Roman"/>
          <w:sz w:val="22"/>
          <w:szCs w:val="22"/>
        </w:rPr>
      </w:pPr>
    </w:p>
    <w:p w:rsidR="00D81E8C" w:rsidRPr="000311CE" w:rsidRDefault="00D81E8C" w:rsidP="00D81E8C">
      <w:pPr>
        <w:spacing w:line="360" w:lineRule="auto"/>
        <w:rPr>
          <w:rFonts w:ascii="Times New Roman" w:hAnsi="Times New Roman"/>
          <w:sz w:val="22"/>
          <w:szCs w:val="22"/>
        </w:rPr>
      </w:pPr>
      <w:r w:rsidRPr="000311CE">
        <w:rPr>
          <w:rFonts w:ascii="Times New Roman" w:hAnsi="Times New Roman"/>
          <w:sz w:val="22"/>
          <w:szCs w:val="22"/>
        </w:rPr>
        <w:t xml:space="preserve">Chapter 3 concentrated on the prior researches conducted in this topic. The most influential papers in this topic will be presented. The thesis is mainly an extension of these papers. In addition in this chapter the hypotheses will be developed. </w:t>
      </w:r>
    </w:p>
    <w:p w:rsidR="00D81E8C" w:rsidRPr="000311CE" w:rsidRDefault="00D81E8C" w:rsidP="00D81E8C">
      <w:pPr>
        <w:spacing w:line="360" w:lineRule="auto"/>
        <w:rPr>
          <w:rFonts w:ascii="Times New Roman" w:hAnsi="Times New Roman"/>
          <w:sz w:val="22"/>
          <w:szCs w:val="22"/>
        </w:rPr>
      </w:pPr>
    </w:p>
    <w:p w:rsidR="00D81E8C" w:rsidRPr="000311CE" w:rsidRDefault="00D81E8C" w:rsidP="00D81E8C">
      <w:pPr>
        <w:spacing w:line="360" w:lineRule="auto"/>
        <w:rPr>
          <w:rFonts w:ascii="Times New Roman" w:hAnsi="Times New Roman"/>
          <w:sz w:val="22"/>
          <w:szCs w:val="22"/>
        </w:rPr>
      </w:pPr>
      <w:r w:rsidRPr="000311CE">
        <w:rPr>
          <w:rFonts w:ascii="Times New Roman" w:hAnsi="Times New Roman"/>
          <w:sz w:val="22"/>
          <w:szCs w:val="22"/>
        </w:rPr>
        <w:t xml:space="preserve">Chapter 4 describes the research design and the sample selection. The research design mainly includes the model construction and the way to measure the selected variables. Additionally, </w:t>
      </w:r>
      <w:r w:rsidR="000726A4">
        <w:rPr>
          <w:rFonts w:ascii="Times New Roman" w:hAnsi="Times New Roman"/>
          <w:sz w:val="22"/>
          <w:szCs w:val="22"/>
        </w:rPr>
        <w:t>a description will be given in which manner the sample was obtained</w:t>
      </w:r>
      <w:r w:rsidRPr="000311CE">
        <w:rPr>
          <w:rFonts w:ascii="Times New Roman" w:hAnsi="Times New Roman"/>
          <w:sz w:val="22"/>
          <w:szCs w:val="22"/>
        </w:rPr>
        <w:t xml:space="preserve">. </w:t>
      </w:r>
    </w:p>
    <w:p w:rsidR="00D81E8C" w:rsidRPr="000311CE" w:rsidRDefault="00D81E8C" w:rsidP="00D81E8C">
      <w:pPr>
        <w:spacing w:line="360" w:lineRule="auto"/>
        <w:rPr>
          <w:rFonts w:ascii="Times New Roman" w:hAnsi="Times New Roman"/>
          <w:sz w:val="22"/>
          <w:szCs w:val="22"/>
        </w:rPr>
      </w:pPr>
    </w:p>
    <w:p w:rsidR="00D81E8C" w:rsidRPr="000311CE"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Chapter 5 will analyze the results obtained from the sampling. This chapter focuses on the findings of the results</w:t>
      </w:r>
      <w:r>
        <w:rPr>
          <w:rFonts w:ascii="Times New Roman" w:hAnsi="Times New Roman"/>
          <w:sz w:val="22"/>
          <w:szCs w:val="22"/>
        </w:rPr>
        <w:t xml:space="preserve"> </w:t>
      </w:r>
      <w:r w:rsidR="000726A4">
        <w:rPr>
          <w:rFonts w:ascii="Times New Roman" w:hAnsi="Times New Roman"/>
          <w:sz w:val="22"/>
          <w:szCs w:val="22"/>
        </w:rPr>
        <w:t>and to test the hypotheses</w:t>
      </w:r>
      <w:r w:rsidRPr="000311CE">
        <w:rPr>
          <w:rFonts w:ascii="Times New Roman" w:hAnsi="Times New Roman"/>
          <w:sz w:val="22"/>
          <w:szCs w:val="22"/>
        </w:rPr>
        <w:t xml:space="preserve">. </w:t>
      </w:r>
    </w:p>
    <w:p w:rsidR="00D81E8C" w:rsidRPr="000311CE" w:rsidRDefault="00D81E8C" w:rsidP="00D81E8C">
      <w:pPr>
        <w:spacing w:line="360" w:lineRule="auto"/>
        <w:jc w:val="both"/>
        <w:rPr>
          <w:rFonts w:ascii="Times New Roman" w:hAnsi="Times New Roman"/>
          <w:sz w:val="22"/>
          <w:szCs w:val="22"/>
        </w:rPr>
      </w:pPr>
    </w:p>
    <w:p w:rsidR="00D81E8C" w:rsidRDefault="00D81E8C" w:rsidP="00D81E8C">
      <w:pPr>
        <w:spacing w:line="360" w:lineRule="auto"/>
        <w:jc w:val="both"/>
        <w:rPr>
          <w:rFonts w:ascii="Times New Roman" w:hAnsi="Times New Roman"/>
          <w:sz w:val="22"/>
          <w:szCs w:val="22"/>
        </w:rPr>
      </w:pPr>
      <w:r w:rsidRPr="000311CE">
        <w:rPr>
          <w:rFonts w:ascii="Times New Roman" w:hAnsi="Times New Roman"/>
          <w:sz w:val="22"/>
          <w:szCs w:val="22"/>
        </w:rPr>
        <w:t>Chapter 6 will present</w:t>
      </w:r>
      <w:r>
        <w:rPr>
          <w:rFonts w:ascii="Times New Roman" w:hAnsi="Times New Roman"/>
          <w:sz w:val="22"/>
          <w:szCs w:val="22"/>
        </w:rPr>
        <w:t xml:space="preserve"> a summary of the thesis and</w:t>
      </w:r>
      <w:r w:rsidRPr="000311CE">
        <w:rPr>
          <w:rFonts w:ascii="Times New Roman" w:hAnsi="Times New Roman"/>
          <w:sz w:val="22"/>
          <w:szCs w:val="22"/>
        </w:rPr>
        <w:t xml:space="preserve"> the main conclusion derived from the results. And the limitations and the suggestions will be given. </w:t>
      </w:r>
    </w:p>
    <w:p w:rsidR="00D81E8C" w:rsidRDefault="00D81E8C">
      <w:pPr>
        <w:overflowPunct/>
        <w:autoSpaceDE/>
        <w:autoSpaceDN/>
        <w:adjustRightInd/>
        <w:spacing w:after="200" w:line="276" w:lineRule="auto"/>
        <w:textAlignment w:val="auto"/>
        <w:rPr>
          <w:rFonts w:ascii="Times New Roman" w:hAnsi="Times New Roman"/>
          <w:sz w:val="22"/>
          <w:szCs w:val="22"/>
        </w:rPr>
      </w:pPr>
      <w:r>
        <w:rPr>
          <w:rFonts w:ascii="Times New Roman" w:hAnsi="Times New Roman"/>
          <w:sz w:val="22"/>
          <w:szCs w:val="22"/>
        </w:rPr>
        <w:br w:type="page"/>
      </w:r>
    </w:p>
    <w:p w:rsidR="00D81E8C" w:rsidRDefault="00930EB7" w:rsidP="00930EB7">
      <w:pPr>
        <w:pStyle w:val="Title"/>
        <w:spacing w:line="360" w:lineRule="auto"/>
        <w:jc w:val="left"/>
      </w:pPr>
      <w:bookmarkStart w:id="21" w:name="_Toc393872529"/>
      <w:bookmarkStart w:id="22" w:name="_Toc387832886"/>
      <w:r>
        <w:lastRenderedPageBreak/>
        <w:t>2.</w:t>
      </w:r>
      <w:r w:rsidR="00D81E8C">
        <w:t xml:space="preserve"> Theoretical </w:t>
      </w:r>
      <w:r w:rsidR="004228D1">
        <w:t>B</w:t>
      </w:r>
      <w:r w:rsidR="00D81E8C">
        <w:t>ackground</w:t>
      </w:r>
      <w:bookmarkEnd w:id="21"/>
      <w:r w:rsidR="00D81E8C">
        <w:t xml:space="preserve"> </w:t>
      </w:r>
      <w:bookmarkEnd w:id="22"/>
    </w:p>
    <w:p w:rsidR="00D81E8C" w:rsidRPr="00930EB7" w:rsidRDefault="00930EB7" w:rsidP="00930EB7">
      <w:pPr>
        <w:pStyle w:val="Subtitle"/>
        <w:spacing w:line="360" w:lineRule="auto"/>
        <w:jc w:val="left"/>
        <w:rPr>
          <w:b/>
        </w:rPr>
      </w:pPr>
      <w:bookmarkStart w:id="23" w:name="_Toc387832887"/>
      <w:bookmarkStart w:id="24" w:name="_Toc393872530"/>
      <w:r>
        <w:rPr>
          <w:b/>
        </w:rPr>
        <w:t xml:space="preserve">2.1 </w:t>
      </w:r>
      <w:r w:rsidR="00D81E8C" w:rsidRPr="00930EB7">
        <w:rPr>
          <w:b/>
        </w:rPr>
        <w:t>Introduction</w:t>
      </w:r>
      <w:bookmarkEnd w:id="23"/>
      <w:bookmarkEnd w:id="24"/>
    </w:p>
    <w:p w:rsidR="00D81E8C" w:rsidRPr="00930EB7" w:rsidRDefault="00D81E8C" w:rsidP="00930EB7">
      <w:pPr>
        <w:spacing w:line="360" w:lineRule="auto"/>
        <w:jc w:val="both"/>
        <w:rPr>
          <w:rStyle w:val="SubtleEmphasis"/>
          <w:rFonts w:ascii="Times New Roman" w:hAnsi="Times New Roman"/>
          <w:i w:val="0"/>
          <w:color w:val="auto"/>
          <w:sz w:val="22"/>
        </w:rPr>
      </w:pPr>
      <w:r w:rsidRPr="00930EB7">
        <w:rPr>
          <w:rStyle w:val="SubtleEmphasis"/>
          <w:rFonts w:ascii="Times New Roman" w:hAnsi="Times New Roman"/>
          <w:i w:val="0"/>
          <w:color w:val="auto"/>
          <w:sz w:val="22"/>
        </w:rPr>
        <w:t xml:space="preserve">In order to have a better understanding concerning the research question this chapter mainly aims at introducing the theoretical frameworks used in this thesis. To clarify the role of public auditors particularly to capital providers, the rise of the public audit profession will </w:t>
      </w:r>
      <w:r w:rsidR="00FE5306">
        <w:rPr>
          <w:rStyle w:val="SubtleEmphasis"/>
          <w:rFonts w:ascii="Times New Roman" w:hAnsi="Times New Roman"/>
          <w:i w:val="0"/>
          <w:color w:val="auto"/>
          <w:sz w:val="22"/>
        </w:rPr>
        <w:t xml:space="preserve">first </w:t>
      </w:r>
      <w:r w:rsidRPr="00930EB7">
        <w:rPr>
          <w:rStyle w:val="SubtleEmphasis"/>
          <w:rFonts w:ascii="Times New Roman" w:hAnsi="Times New Roman"/>
          <w:i w:val="0"/>
          <w:color w:val="auto"/>
          <w:sz w:val="22"/>
        </w:rPr>
        <w:t xml:space="preserve">be analyzed from the perspective of the agency theory. This is fundamental for understanding the origination of the audit fee. Besides, a brief description of the certified public auditing accounting firms will be presented which is followed by a short description of the current audit market domination by the Big4 firms. Since the Big4 firms are able to deliver high quality audits which are appreciated by most of the clients, the level of audit fees may be not determined solely from a price competition. More specifically, a differentiation strategy in specialization provides audit firms opportunities to increase the fee. Finally y, the determination of audit fee is revealed from an academic view: the audit pricing model of </w:t>
      </w:r>
      <w:r w:rsidR="004A36DA" w:rsidRPr="00930EB7">
        <w:rPr>
          <w:rStyle w:val="SubtleEmphasis"/>
          <w:rFonts w:ascii="Times New Roman" w:hAnsi="Times New Roman"/>
          <w:i w:val="0"/>
          <w:color w:val="auto"/>
          <w:sz w:val="22"/>
        </w:rPr>
        <w:fldChar w:fldCharType="begin" w:fldLock="1"/>
      </w:r>
      <w:r w:rsidR="002177CD">
        <w:rPr>
          <w:rStyle w:val="SubtleEmphasis"/>
          <w:rFonts w:ascii="Times New Roman" w:hAnsi="Times New Roman"/>
          <w:i w:val="0"/>
          <w:color w:val="auto"/>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"manualFormatting" : "Simunic (1980)", "previouslyFormattedCitation" : "(Simunic, 1980)" }, "properties" : { "noteIndex" : 0 }, "schema" : "https://github.com/citation-style-language/schema/raw/master/csl-citation.json" }</w:instrText>
      </w:r>
      <w:r w:rsidR="004A36DA" w:rsidRPr="00930EB7">
        <w:rPr>
          <w:rStyle w:val="SubtleEmphasis"/>
          <w:rFonts w:ascii="Times New Roman" w:hAnsi="Times New Roman"/>
          <w:i w:val="0"/>
          <w:color w:val="auto"/>
          <w:sz w:val="22"/>
        </w:rPr>
        <w:fldChar w:fldCharType="separate"/>
      </w:r>
      <w:r w:rsidRPr="00930EB7">
        <w:rPr>
          <w:rStyle w:val="SubtleEmphasis"/>
          <w:rFonts w:ascii="Times New Roman" w:hAnsi="Times New Roman"/>
          <w:i w:val="0"/>
          <w:noProof/>
          <w:color w:val="auto"/>
          <w:sz w:val="22"/>
        </w:rPr>
        <w:t>Simunic (1980)</w:t>
      </w:r>
      <w:r w:rsidR="004A36DA" w:rsidRPr="00930EB7">
        <w:rPr>
          <w:rStyle w:val="SubtleEmphasis"/>
          <w:rFonts w:ascii="Times New Roman" w:hAnsi="Times New Roman"/>
          <w:i w:val="0"/>
          <w:color w:val="auto"/>
          <w:sz w:val="22"/>
        </w:rPr>
        <w:fldChar w:fldCharType="end"/>
      </w:r>
      <w:r w:rsidRPr="00930EB7">
        <w:rPr>
          <w:rStyle w:val="SubtleEmphasis"/>
          <w:rFonts w:ascii="Times New Roman" w:hAnsi="Times New Roman"/>
          <w:i w:val="0"/>
          <w:color w:val="auto"/>
          <w:sz w:val="22"/>
        </w:rPr>
        <w:t>. Based on this model, determinants of interests for this thesis will be explained. These are the client size, the client business risks, the client complexity and the auditor specialization.</w:t>
      </w:r>
    </w:p>
    <w:p w:rsidR="00D81E8C" w:rsidRDefault="00D81E8C" w:rsidP="00D81E8C">
      <w:pPr>
        <w:spacing w:line="360" w:lineRule="auto"/>
        <w:rPr>
          <w:rStyle w:val="SubtleEmphasis"/>
        </w:rPr>
      </w:pPr>
    </w:p>
    <w:p w:rsidR="00D81E8C" w:rsidRPr="00930EB7" w:rsidRDefault="00D81E8C" w:rsidP="00930EB7">
      <w:pPr>
        <w:pStyle w:val="Subtitle"/>
        <w:spacing w:line="360" w:lineRule="auto"/>
        <w:jc w:val="left"/>
        <w:rPr>
          <w:rStyle w:val="SubtleEmphasis"/>
          <w:b/>
          <w:i w:val="0"/>
          <w:color w:val="auto"/>
        </w:rPr>
      </w:pPr>
      <w:bookmarkStart w:id="25" w:name="_Toc387832888"/>
      <w:bookmarkStart w:id="26" w:name="_Toc393872531"/>
      <w:r w:rsidRPr="00930EB7">
        <w:rPr>
          <w:rStyle w:val="SubtleEmphasis"/>
          <w:b/>
          <w:i w:val="0"/>
          <w:color w:val="auto"/>
        </w:rPr>
        <w:t>2.2 Agency Theory</w:t>
      </w:r>
      <w:bookmarkEnd w:id="25"/>
      <w:bookmarkEnd w:id="26"/>
    </w:p>
    <w:p w:rsidR="00D81E8C" w:rsidRPr="00930EB7" w:rsidRDefault="00D81E8C" w:rsidP="00D81E8C">
      <w:pPr>
        <w:spacing w:after="240" w:line="360" w:lineRule="auto"/>
        <w:jc w:val="both"/>
        <w:rPr>
          <w:rFonts w:ascii="Times New Roman" w:hAnsi="Times New Roman"/>
          <w:sz w:val="22"/>
        </w:rPr>
      </w:pPr>
      <w:r w:rsidRPr="00930EB7">
        <w:rPr>
          <w:rFonts w:ascii="Times New Roman" w:hAnsi="Times New Roman"/>
          <w:sz w:val="22"/>
        </w:rPr>
        <w:t xml:space="preserve">The agency theory is raised based on principal-agent relationship. The </w:t>
      </w:r>
      <w:r w:rsidR="00DB32CA">
        <w:rPr>
          <w:rFonts w:ascii="Times New Roman" w:hAnsi="Times New Roman"/>
          <w:sz w:val="22"/>
        </w:rPr>
        <w:t>p</w:t>
      </w:r>
      <w:r w:rsidRPr="00930EB7">
        <w:rPr>
          <w:rFonts w:ascii="Times New Roman" w:hAnsi="Times New Roman"/>
          <w:sz w:val="22"/>
        </w:rPr>
        <w:t>rincipal-agent relationship</w:t>
      </w:r>
      <w:r w:rsidRPr="00930EB7" w:rsidDel="00C21939">
        <w:rPr>
          <w:rFonts w:ascii="Times New Roman" w:hAnsi="Times New Roman"/>
          <w:sz w:val="22"/>
        </w:rPr>
        <w:t xml:space="preserve"> </w:t>
      </w:r>
      <w:r w:rsidRPr="00930EB7">
        <w:rPr>
          <w:rFonts w:ascii="Times New Roman" w:hAnsi="Times New Roman"/>
          <w:sz w:val="22"/>
        </w:rPr>
        <w:t xml:space="preserve">is a widely applied theory. This thesis focuses only on the effects on stock exchange quoted companies. </w:t>
      </w:r>
    </w:p>
    <w:p w:rsidR="00D81E8C" w:rsidRPr="00930EB7" w:rsidRDefault="00D81E8C" w:rsidP="00D81E8C">
      <w:pPr>
        <w:spacing w:line="360" w:lineRule="auto"/>
        <w:jc w:val="both"/>
        <w:rPr>
          <w:rStyle w:val="SubtleEmphasis"/>
          <w:rFonts w:ascii="Times New Roman" w:hAnsi="Times New Roman"/>
          <w:i w:val="0"/>
          <w:color w:val="auto"/>
          <w:sz w:val="22"/>
        </w:rPr>
      </w:pPr>
      <w:r w:rsidRPr="00930EB7">
        <w:rPr>
          <w:rStyle w:val="SubtleEmphasis"/>
          <w:rFonts w:ascii="Times New Roman" w:hAnsi="Times New Roman"/>
          <w:i w:val="0"/>
          <w:color w:val="auto"/>
          <w:sz w:val="22"/>
        </w:rPr>
        <w:t xml:space="preserve">As what the name suggested, the principal-agent relationship exists between two parties: the principal and the agent of the principals. Concerning stock exchange quoted companies, the agent is the board of management and the principals are shareholders who are the actual owners of the company. Agents are recruited to represent the principals and perform on the principals’ behalf. Since the managers are the leaders of the company, they, as agents, have more superior information than the actual owners have. To a large extent, the revenue for the shareholders is dependent on the performance of the managers. However, it happens quite frequently that managers have conflicting objectives and/or goals than the shareholders have. </w:t>
      </w:r>
    </w:p>
    <w:p w:rsidR="00D81E8C" w:rsidRDefault="00D81E8C" w:rsidP="00D81E8C">
      <w:pPr>
        <w:spacing w:line="360" w:lineRule="auto"/>
        <w:jc w:val="both"/>
        <w:rPr>
          <w:rStyle w:val="SubtleEmphasis"/>
          <w:rFonts w:ascii="Times New Roman" w:hAnsi="Times New Roman"/>
          <w:i w:val="0"/>
          <w:sz w:val="22"/>
          <w:szCs w:val="22"/>
        </w:rPr>
      </w:pPr>
    </w:p>
    <w:p w:rsidR="00D81E8C" w:rsidRPr="00930EB7" w:rsidRDefault="00D81E8C" w:rsidP="00D81E8C">
      <w:pPr>
        <w:pStyle w:val="Subtitle"/>
        <w:spacing w:line="360" w:lineRule="auto"/>
        <w:jc w:val="left"/>
        <w:rPr>
          <w:rStyle w:val="SubtleEmphasis"/>
          <w:b/>
        </w:rPr>
      </w:pPr>
      <w:bookmarkStart w:id="27" w:name="_Toc387832889"/>
      <w:bookmarkStart w:id="28" w:name="_Toc393872532"/>
      <w:r w:rsidRPr="00930EB7">
        <w:rPr>
          <w:rStyle w:val="SubtleEmphasis"/>
          <w:b/>
        </w:rPr>
        <w:t>2.2.1 Information Asymmetry and Agency Costs</w:t>
      </w:r>
      <w:bookmarkEnd w:id="27"/>
      <w:bookmarkEnd w:id="28"/>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The main objective for the shareholders is to maximize their revenue. This could be achieved by hiring managers with great managerial capacity. A company’s performance can be largely dependent on the talents of the managers. Motivated managers with good management skills and rich experiences help to increase the revenue for shareholders and maximize the company’s profit.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lastRenderedPageBreak/>
        <w:t xml:space="preserve">However, managers often have their own objectives that are different from the ones of the shareholders and due to the information asymmetry they have the ability to act for their own interest. When doing so, the shareholders’ value is not maximized. For instance, in order to enable </w:t>
      </w:r>
      <w:r w:rsidR="0061395F">
        <w:rPr>
          <w:rFonts w:ascii="Times New Roman" w:hAnsi="Times New Roman"/>
          <w:sz w:val="22"/>
        </w:rPr>
        <w:t>shareholders</w:t>
      </w:r>
      <w:r w:rsidRPr="00721FFF">
        <w:rPr>
          <w:rFonts w:ascii="Times New Roman" w:hAnsi="Times New Roman"/>
          <w:sz w:val="22"/>
        </w:rPr>
        <w:t xml:space="preserve"> to receive more dividends</w:t>
      </w:r>
      <w:r w:rsidR="0061395F">
        <w:rPr>
          <w:rFonts w:ascii="Times New Roman" w:hAnsi="Times New Roman"/>
          <w:sz w:val="22"/>
        </w:rPr>
        <w:t>,</w:t>
      </w:r>
      <w:r w:rsidRPr="00721FFF">
        <w:rPr>
          <w:rFonts w:ascii="Times New Roman" w:hAnsi="Times New Roman"/>
          <w:sz w:val="22"/>
        </w:rPr>
        <w:t xml:space="preserve"> it is managers’ task to maximize the net income. However, academic economic literature showed evidence that managers are only likely to increase the company’s net income when their compensation will increase as well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"ISSN" : "0165-4101", "abstract" : "Studies examining managerial accounting decisions postulate that executives rewarded by earnings-based bonuses select accounting procedures that increase their compensation. The em- pirical results of these studies are conflicting. This paper analyzes the format of typical bonus contracts, providing a more complete characterization of their accounting incentive effects than earlier studies. The test results suggest that (1) accrual policies of managers are related to income-reporting incentives of their bonus contracts, and (2) changes in accounting procedures by managers are associated with adoption or modification of their bonus plan", "author" : [ { "dropping-particle" : "", "family" : "Healy", "given" : "Paul M", "non-dropping-particle" : "", "parse-names" : false, "suffix" : "" } ], "container-title" : "Journal of Accounting and Economics", "id" : "ITEM-1", "issued" : { "date-parts" : [ [ "1985" ] ] }, "page" : "85-107", "title" : "The effect of bonus schemes on accounting decisions", "type" : "article-journal", "volume" : "7" }, "uris" : [ "http://www.mendeley.com/documents/?uuid=dd840f62-0202-4933-83c4-c47b1aefe2d7" ] } ], "mendeley" : { "previouslyFormattedCitation" : "(Healy, 1985)"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(Healy, 1985)</w:t>
      </w:r>
      <w:r w:rsidR="004A36DA" w:rsidRPr="00721FFF">
        <w:rPr>
          <w:rFonts w:ascii="Times New Roman" w:hAnsi="Times New Roman"/>
          <w:sz w:val="22"/>
        </w:rPr>
        <w:fldChar w:fldCharType="end"/>
      </w:r>
      <w:r w:rsidRPr="00721FFF">
        <w:rPr>
          <w:rFonts w:ascii="Times New Roman" w:hAnsi="Times New Roman"/>
          <w:sz w:val="22"/>
        </w:rPr>
        <w:t xml:space="preserve">.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For shareholders,</w:t>
      </w:r>
      <w:r w:rsidRPr="00721FFF">
        <w:rPr>
          <w:sz w:val="22"/>
        </w:rPr>
        <w:t xml:space="preserve"> </w:t>
      </w:r>
      <w:r w:rsidRPr="00721FFF">
        <w:rPr>
          <w:rFonts w:ascii="Times New Roman" w:hAnsi="Times New Roman"/>
          <w:sz w:val="22"/>
        </w:rPr>
        <w:t xml:space="preserve">due to the information asymmetry between he managers and the shareholders in general it is difficult to determine whether </w:t>
      </w:r>
      <w:r w:rsidR="0061395F">
        <w:rPr>
          <w:rFonts w:ascii="Times New Roman" w:hAnsi="Times New Roman"/>
          <w:sz w:val="22"/>
        </w:rPr>
        <w:t xml:space="preserve">or not </w:t>
      </w:r>
      <w:r w:rsidRPr="00721FFF">
        <w:rPr>
          <w:rFonts w:ascii="Times New Roman" w:hAnsi="Times New Roman"/>
          <w:sz w:val="22"/>
        </w:rPr>
        <w:t>the managers are acting in their own interests. Concerning the shareholders</w:t>
      </w:r>
      <w:r w:rsidR="0061395F">
        <w:rPr>
          <w:rFonts w:ascii="Times New Roman" w:hAnsi="Times New Roman"/>
          <w:sz w:val="22"/>
        </w:rPr>
        <w:t>,</w:t>
      </w:r>
      <w:r w:rsidRPr="00721FFF">
        <w:rPr>
          <w:rFonts w:ascii="Times New Roman" w:hAnsi="Times New Roman"/>
          <w:sz w:val="22"/>
        </w:rPr>
        <w:t xml:space="preserve"> several sources of information exist to obtain information of their company. The most important information source remains the financial statements, which consist of a balance sheet, income statement, cash flow statement and statement of owner’s equity. The purpose of publishing financial statements is to present to the stakeholders the company’s financial information as clearly and precisely as possible. The most important group of stakeholders is the company’s creditors and the shareholders. </w:t>
      </w:r>
      <w:r w:rsidRPr="00721FFF">
        <w:rPr>
          <w:rFonts w:ascii="Times New Roman" w:hAnsi="Times New Roman"/>
          <w:kern w:val="12"/>
          <w:sz w:val="22"/>
        </w:rPr>
        <w:t>They support the company by providing capitals and receive interests or dividends as returns. Not surprisingly, to this group of capital providers it is essential to evaluate a company’s potential to achieve its objectives and repay them in the future. When a company</w:t>
      </w:r>
      <w:r w:rsidRPr="00721FFF">
        <w:rPr>
          <w:sz w:val="22"/>
        </w:rPr>
        <w:t xml:space="preserve"> </w:t>
      </w:r>
      <w:r w:rsidRPr="00721FFF">
        <w:rPr>
          <w:rFonts w:ascii="Times New Roman" w:hAnsi="Times New Roman"/>
          <w:kern w:val="12"/>
          <w:sz w:val="22"/>
        </w:rPr>
        <w:t>through its financial statements communicates unreliable information, for capital providers it becomes even more difficult to obtain real information. In that case they have to acquire reliable information on their own. Consequently, they may require more return</w:t>
      </w:r>
      <w:r w:rsidRPr="00721FFF">
        <w:rPr>
          <w:sz w:val="22"/>
        </w:rPr>
        <w:t xml:space="preserve"> </w:t>
      </w:r>
      <w:r w:rsidRPr="00721FFF">
        <w:rPr>
          <w:rFonts w:ascii="Times New Roman" w:hAnsi="Times New Roman"/>
          <w:kern w:val="12"/>
          <w:sz w:val="22"/>
        </w:rPr>
        <w:t>on their capital, which can be qualified as an expenditure arisen from the agent-principal relation, and consequently increase the company’s expenditures. This in turn will decrease a company’s ability to attract more capital and achieve its objectives.</w:t>
      </w:r>
    </w:p>
    <w:p w:rsidR="00D81E8C" w:rsidRPr="00721FFF" w:rsidRDefault="00D81E8C" w:rsidP="00D81E8C">
      <w:pPr>
        <w:spacing w:line="360" w:lineRule="auto"/>
        <w:jc w:val="both"/>
        <w:rPr>
          <w:rFonts w:ascii="Times New Roman" w:hAnsi="Times New Roman"/>
          <w:kern w:val="12"/>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kern w:val="12"/>
          <w:sz w:val="22"/>
        </w:rPr>
        <w:t>By providing reliable information by the company, because they do not need to acquire reliable information on their own, the capital providers will use the presented information in full extend, which could lower the required return. Additionally, regulators have established divers accounting guidelines to improve the reliability of the published financial statements. Consequently</w:t>
      </w:r>
      <w:r w:rsidRPr="00721FFF">
        <w:rPr>
          <w:rFonts w:ascii="Times New Roman" w:hAnsi="Times New Roman"/>
          <w:sz w:val="22"/>
        </w:rPr>
        <w:t>, all published financial statements have to adhere to standard guidelines provided like the General Accepted Accounting Principles (GAAP) or the International Financial Reporting Standards (IFRS). To maintain the quality of the published financial statements like has been signaled in the introduction chapter, regulators of these standards are constantly updating their rules.</w:t>
      </w:r>
    </w:p>
    <w:p w:rsidR="00D81E8C" w:rsidRDefault="00D81E8C" w:rsidP="00D81E8C">
      <w:pPr>
        <w:spacing w:line="360" w:lineRule="auto"/>
        <w:jc w:val="both"/>
        <w:rPr>
          <w:rFonts w:ascii="Times New Roman" w:hAnsi="Times New Roman"/>
          <w:sz w:val="22"/>
          <w:szCs w:val="22"/>
        </w:rPr>
      </w:pPr>
    </w:p>
    <w:p w:rsidR="00D81E8C" w:rsidRPr="00930EB7" w:rsidRDefault="00D81E8C" w:rsidP="00D81E8C">
      <w:pPr>
        <w:pStyle w:val="Subtitle"/>
        <w:spacing w:line="360" w:lineRule="auto"/>
        <w:jc w:val="left"/>
        <w:rPr>
          <w:rStyle w:val="SubtleEmphasis"/>
          <w:b/>
        </w:rPr>
      </w:pPr>
      <w:bookmarkStart w:id="29" w:name="_Toc387832890"/>
      <w:bookmarkStart w:id="30" w:name="_Toc393872533"/>
      <w:r w:rsidRPr="00930EB7">
        <w:rPr>
          <w:rStyle w:val="SubtleEmphasis"/>
          <w:b/>
        </w:rPr>
        <w:t>2.2.2 Financial Statements Audit and the Costs</w:t>
      </w:r>
      <w:bookmarkEnd w:id="29"/>
      <w:bookmarkEnd w:id="30"/>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As signaled before, it is crucial that the reported information on the financial statements are reliable and accurately concerning the companies’ financial position. This is exactly the responsibility of the </w:t>
      </w:r>
      <w:r w:rsidRPr="00721FFF">
        <w:rPr>
          <w:rFonts w:ascii="Times New Roman" w:hAnsi="Times New Roman"/>
          <w:sz w:val="22"/>
        </w:rPr>
        <w:lastRenderedPageBreak/>
        <w:t xml:space="preserve">public auditors: to ensure with reasonable assurance that a company’s financial statements present its financial position in a true and fair view. It is commonly accepted and proved by researches that the auditors’ name reputation (e.g. Big 4) is positively associated with the audit quality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"10.2308/accr.2009.84.5.1521", "ISBN" : "0001-4826", "ISSN" : "0001-4826", "PMID" : "44042378", "abstract" : "Larger offices of Big 4 auditors are predicted to have higher quality audits for SEC registrants due to greater in-house experience in administering such audits. We test this prediction by examining a sample of 6,568 U.S. firm-year observations for the period 2003-2005 and audited by 285 unique Big 4 offices. Results are consistent with larger offices providing higher quality audits. Specifically, larger offices are more likely to issue going-concern audit reports, and clients in larger offices evidence less aggressive earnings management behavior. These findings are robust to extensive controls for client risk factors and to controls for other auditor characteristics. While the evidence suggests audit quality is higher on average in larger Big 4 offices, we make no claims that audit quality is unacceptably low in smaller offices.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"Francis", "given" : "Jere R.", "non-dropping-particle" : "", "parse-names" : false, "suffix" : "" }, { "dropping-particle" : "", "family" : "Yu", "given" : "Michael D.", "non-dropping-particle" : "", "parse-names" : false, "suffix" : "" } ], "container-title" : "The Accounting Review", "id" : "ITEM-1", "issued" : { "date-parts" : [ [ "2009" ] ] }, "page" : "1521-1552", "title" : "Big 4 Office Size and Audit Quality", "type" : "article", "volume" : "84" }, "uris" : [ "http://www.mendeley.com/documents/?uuid=c233c8f2-f051-415e-8e8c-c7f722742f44" ] }, { "id" : "ITEM-2", "itemData" : { "DOI" : "10.1111/j.1911-3846.1998.tb00547.x", "ISSN" : "1911-3846", "author" : [ { "dropping-particle" : "", "family" : "BECKER", "given" : "CONNIE L", "non-dropping-particle" : "", "parse-names" : false, "suffix" : "" }, { "dropping-particle" : "", "family" : "DEFOND", "given" : "MARK L", "non-dropping-particle" : "", "parse-names" : false, "suffix" : "" }, { "dropping-particle" : "", "family" : "JIAMBALVO", "given" : "JAMES", "non-dropping-particle" : "", "parse-names" : false, "suffix" : "" }, { "dropping-particle" : "", "family" : "SUBRAMANYAM", "given" : "K R", "non-dropping-particle" : "", "parse-names" : false, "suffix" : "" } ], "container-title" : "Contemporary Accounting Research", "id" : "ITEM-2", "issue" : "1", "issued" : { "date-parts" : [ [ "1998" ] ] }, "page" : "1-24", "publisher" : "Blackwell Publishing Ltd", "title" : "The Effect of Audit Quality on Earnings Management*", "type" : "article-journal", "volume" : "15" }, "uris" : [ "http://www.mendeley.com/documents/?uuid=7af30e03-a48e-4437-8885-1d5ae993a392" ] } ], "mendeley" : { "manualFormatting" : "(Becker, DeFond, Jiambalvo, &amp; Subramanyam, 1998; Francis &amp; Yu, 2009)", "previouslyFormattedCitation" : "(BECKER, DEFOND, JIAMBALVO, &amp; SUBRAMANYAM, 1998; Francis &amp; Yu, 2009)"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(Becker, DeFond, Jiambalvo, &amp; Subramanyam, 1998; Francis &amp; Yu, 2009)</w:t>
      </w:r>
      <w:r w:rsidR="004A36DA" w:rsidRPr="00721FFF">
        <w:rPr>
          <w:rFonts w:ascii="Times New Roman" w:hAnsi="Times New Roman"/>
          <w:sz w:val="22"/>
        </w:rPr>
        <w:fldChar w:fldCharType="end"/>
      </w:r>
      <w:r w:rsidRPr="00721FFF">
        <w:rPr>
          <w:rFonts w:ascii="Times New Roman" w:hAnsi="Times New Roman"/>
          <w:sz w:val="22"/>
        </w:rPr>
        <w:t>.</w:t>
      </w: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 </w:t>
      </w: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Companies invite public auditors to investigate their financial statements and in compensation pay them the audit fees. It is essential to note that, even though the audit fee for the companies remains as an expense the major concern when choosing an auditor (firm) is still the quality according to what is suggested in the agent-principle theory. In other words, the amount of audit fee is not the main focus of the company. Since </w:t>
      </w:r>
      <w:r w:rsidR="0061395F">
        <w:rPr>
          <w:rFonts w:ascii="Times New Roman" w:hAnsi="Times New Roman"/>
          <w:sz w:val="22"/>
        </w:rPr>
        <w:t>it</w:t>
      </w:r>
      <w:r w:rsidRPr="00721FFF">
        <w:rPr>
          <w:rFonts w:ascii="Times New Roman" w:hAnsi="Times New Roman"/>
          <w:sz w:val="22"/>
        </w:rPr>
        <w:t xml:space="preserve"> states that the level of the audit fee is not fully determined by a price competition among audit firms, this assumption is crucial in this thesis. Suppose it was the case, the main driver for the audit fee would be the competiveness within the audit industry, which would decrease the validity of the determinants that in the academic literature are relevant to investigate the audit fee.</w:t>
      </w:r>
    </w:p>
    <w:p w:rsidR="00D81E8C" w:rsidRDefault="00D81E8C" w:rsidP="00D81E8C">
      <w:pPr>
        <w:spacing w:line="360" w:lineRule="auto"/>
        <w:jc w:val="both"/>
        <w:rPr>
          <w:rFonts w:ascii="Times New Roman" w:hAnsi="Times New Roman"/>
          <w:sz w:val="22"/>
          <w:szCs w:val="22"/>
        </w:rPr>
      </w:pPr>
    </w:p>
    <w:p w:rsidR="00D81E8C" w:rsidRPr="00930EB7" w:rsidRDefault="00D81E8C" w:rsidP="0061395F">
      <w:pPr>
        <w:pStyle w:val="Subtitle"/>
        <w:spacing w:line="360" w:lineRule="auto"/>
        <w:jc w:val="left"/>
        <w:rPr>
          <w:b/>
        </w:rPr>
      </w:pPr>
      <w:bookmarkStart w:id="31" w:name="_Toc387832891"/>
      <w:bookmarkStart w:id="32" w:name="_Toc393872534"/>
      <w:r w:rsidRPr="00930EB7">
        <w:rPr>
          <w:b/>
        </w:rPr>
        <w:t>2.3 The Role of the Public Auditor</w:t>
      </w:r>
      <w:bookmarkEnd w:id="31"/>
      <w:bookmarkEnd w:id="32"/>
    </w:p>
    <w:p w:rsidR="00D81E8C" w:rsidRPr="00721FFF" w:rsidRDefault="00D81E8C" w:rsidP="00D81E8C">
      <w:pPr>
        <w:spacing w:line="360" w:lineRule="auto"/>
        <w:jc w:val="both"/>
        <w:rPr>
          <w:rFonts w:ascii="Times New Roman" w:hAnsi="Times New Roman"/>
          <w:kern w:val="12"/>
          <w:sz w:val="22"/>
        </w:rPr>
      </w:pPr>
      <w:r w:rsidRPr="00721FFF">
        <w:rPr>
          <w:rFonts w:ascii="Times New Roman" w:hAnsi="Times New Roman"/>
          <w:kern w:val="12"/>
          <w:sz w:val="22"/>
        </w:rPr>
        <w:t xml:space="preserve">This thesis is about financial statement auditing, consequently the definitions in n this paragraph are applied for the financial statements audits. </w:t>
      </w:r>
    </w:p>
    <w:p w:rsidR="00D81E8C" w:rsidRDefault="00D81E8C" w:rsidP="00D81E8C">
      <w:pPr>
        <w:spacing w:line="360" w:lineRule="auto"/>
        <w:jc w:val="both"/>
        <w:rPr>
          <w:rFonts w:ascii="Times New Roman" w:hAnsi="Times New Roman"/>
          <w:kern w:val="12"/>
          <w:sz w:val="22"/>
          <w:szCs w:val="22"/>
        </w:rPr>
      </w:pPr>
    </w:p>
    <w:p w:rsidR="00D81E8C" w:rsidRPr="00930EB7" w:rsidRDefault="00D81E8C" w:rsidP="00D81E8C">
      <w:pPr>
        <w:pStyle w:val="Subtitle"/>
        <w:spacing w:line="360" w:lineRule="auto"/>
        <w:jc w:val="left"/>
        <w:rPr>
          <w:rStyle w:val="SubtleEmphasis"/>
          <w:b/>
        </w:rPr>
      </w:pPr>
      <w:bookmarkStart w:id="33" w:name="_Toc387832893"/>
      <w:bookmarkStart w:id="34" w:name="_Toc393872535"/>
      <w:r w:rsidRPr="00930EB7">
        <w:rPr>
          <w:rStyle w:val="SubtleEmphasis"/>
          <w:b/>
        </w:rPr>
        <w:t xml:space="preserve">2.3.1 Audit </w:t>
      </w:r>
      <w:r w:rsidR="004228D1">
        <w:rPr>
          <w:rStyle w:val="SubtleEmphasis"/>
          <w:b/>
        </w:rPr>
        <w:t>S</w:t>
      </w:r>
      <w:r w:rsidRPr="00930EB7">
        <w:rPr>
          <w:rStyle w:val="SubtleEmphasis"/>
          <w:b/>
        </w:rPr>
        <w:t>ervices</w:t>
      </w:r>
      <w:bookmarkEnd w:id="33"/>
      <w:bookmarkEnd w:id="34"/>
    </w:p>
    <w:p w:rsidR="00D81E8C" w:rsidRPr="00930EB7" w:rsidRDefault="00D81E8C" w:rsidP="00D81E8C">
      <w:pPr>
        <w:spacing w:line="360" w:lineRule="auto"/>
        <w:jc w:val="both"/>
        <w:rPr>
          <w:rStyle w:val="Emphasis"/>
        </w:rPr>
      </w:pPr>
      <w:r w:rsidRPr="00930EB7">
        <w:rPr>
          <w:rStyle w:val="Emphasis"/>
        </w:rPr>
        <w:t>2.3.1.1 Nature of Auditing</w:t>
      </w:r>
    </w:p>
    <w:p w:rsidR="00D81E8C" w:rsidRPr="00721FFF" w:rsidRDefault="004A36DA" w:rsidP="00D81E8C">
      <w:pPr>
        <w:spacing w:line="360" w:lineRule="auto"/>
        <w:jc w:val="both"/>
        <w:rPr>
          <w:rFonts w:ascii="Times New Roman" w:hAnsi="Times New Roman"/>
          <w:kern w:val="12"/>
          <w:sz w:val="22"/>
        </w:rPr>
      </w:pPr>
      <w:r w:rsidRPr="00721FFF">
        <w:rPr>
          <w:rFonts w:ascii="Times New Roman" w:hAnsi="Times New Roman"/>
          <w:kern w:val="12"/>
          <w:sz w:val="22"/>
        </w:rPr>
        <w:fldChar w:fldCharType="begin" w:fldLock="1"/>
      </w:r>
      <w:r w:rsidR="002177CD">
        <w:rPr>
          <w:rFonts w:ascii="Times New Roman" w:hAnsi="Times New Roman"/>
          <w:kern w:val="12"/>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"manualFormatting" : "Arens et al., (2013, p.4)", "previouslyFormattedCitation" : "(Arens et al., 2013)" }, "properties" : { "noteIndex" : 0 }, "schema" : "https://github.com/citation-style-language/schema/raw/master/csl-citation.json" }</w:instrText>
      </w:r>
      <w:r w:rsidRPr="00721FFF">
        <w:rPr>
          <w:rFonts w:ascii="Times New Roman" w:hAnsi="Times New Roman"/>
          <w:kern w:val="12"/>
          <w:sz w:val="22"/>
        </w:rPr>
        <w:fldChar w:fldCharType="separate"/>
      </w:r>
      <w:r w:rsidR="00D81E8C" w:rsidRPr="00721FFF">
        <w:rPr>
          <w:rFonts w:ascii="Times New Roman" w:hAnsi="Times New Roman"/>
          <w:noProof/>
          <w:kern w:val="12"/>
          <w:sz w:val="22"/>
        </w:rPr>
        <w:t>Arens et al., (2013, p.4)</w:t>
      </w:r>
      <w:r w:rsidRPr="00721FFF">
        <w:rPr>
          <w:rFonts w:ascii="Times New Roman" w:hAnsi="Times New Roman"/>
          <w:kern w:val="12"/>
          <w:sz w:val="22"/>
        </w:rPr>
        <w:fldChar w:fldCharType="end"/>
      </w:r>
      <w:r w:rsidR="00D81E8C" w:rsidRPr="00721FFF">
        <w:rPr>
          <w:rFonts w:ascii="Times New Roman" w:hAnsi="Times New Roman"/>
          <w:kern w:val="12"/>
          <w:sz w:val="22"/>
        </w:rPr>
        <w:t xml:space="preserve"> defines auditing as “</w:t>
      </w:r>
      <w:r w:rsidR="00D81E8C" w:rsidRPr="00721FFF">
        <w:rPr>
          <w:rFonts w:ascii="Times New Roman" w:hAnsi="Times New Roman"/>
          <w:i/>
          <w:kern w:val="12"/>
          <w:sz w:val="22"/>
        </w:rPr>
        <w:t>the accumulation and evaluation of evidence about information to determine and report on the degree of correspondence between the information and established criteria”.</w:t>
      </w:r>
      <w:r w:rsidR="00D81E8C" w:rsidRPr="00721FFF">
        <w:rPr>
          <w:rFonts w:ascii="Times New Roman" w:hAnsi="Times New Roman"/>
          <w:kern w:val="12"/>
          <w:sz w:val="22"/>
        </w:rPr>
        <w:t xml:space="preserve"> In this definition two key terms exist: information and established criteria.</w:t>
      </w:r>
      <w:r w:rsidR="00D81E8C" w:rsidRPr="00721FFF">
        <w:rPr>
          <w:sz w:val="22"/>
        </w:rPr>
        <w:t xml:space="preserve"> </w:t>
      </w:r>
      <w:r w:rsidR="00D81E8C" w:rsidRPr="00721FFF">
        <w:rPr>
          <w:rFonts w:ascii="Times New Roman" w:hAnsi="Times New Roman"/>
          <w:sz w:val="22"/>
        </w:rPr>
        <w:t>To</w:t>
      </w:r>
      <w:r w:rsidR="00D81E8C" w:rsidRPr="00721FFF">
        <w:rPr>
          <w:sz w:val="22"/>
        </w:rPr>
        <w:t xml:space="preserve"> </w:t>
      </w:r>
      <w:r w:rsidR="00D81E8C" w:rsidRPr="00721FFF">
        <w:rPr>
          <w:rFonts w:ascii="Times New Roman" w:hAnsi="Times New Roman"/>
          <w:kern w:val="12"/>
          <w:sz w:val="22"/>
        </w:rPr>
        <w:t xml:space="preserve">ascertain the reported information is in accordance with the established criteria, auditors need to collect evidence. The information that is being audited can be quantifiable information (e.g. financial statements numbers) or qualified information (e.g. the efficiency of a firm’s operation). Based on the collected evidence, auditors should be able to draw a conclusion about the quality of the reported information based on their understanding of the established criteria, in other words, whether the company’s financial statements present its company’s financial position in a true and fair view. The results of that investigation are included in the audit report with the auditor’s opinion. Concerning public auditors it is essential to remain independent from their client even though an economic bond exists between the auditors and their clients, which is the audit fee. </w:t>
      </w:r>
    </w:p>
    <w:p w:rsidR="00D81E8C" w:rsidRPr="00DF04C3" w:rsidRDefault="00D81E8C" w:rsidP="00D81E8C">
      <w:pPr>
        <w:spacing w:line="360" w:lineRule="auto"/>
        <w:jc w:val="both"/>
        <w:rPr>
          <w:rFonts w:ascii="Times New Roman" w:hAnsi="Times New Roman"/>
          <w:kern w:val="12"/>
        </w:rPr>
      </w:pPr>
    </w:p>
    <w:p w:rsidR="00D81E8C" w:rsidRPr="00930EB7" w:rsidRDefault="00D81E8C" w:rsidP="00D81E8C">
      <w:pPr>
        <w:spacing w:line="360" w:lineRule="auto"/>
        <w:jc w:val="both"/>
        <w:rPr>
          <w:rStyle w:val="Emphasis"/>
        </w:rPr>
      </w:pPr>
      <w:r w:rsidRPr="00930EB7">
        <w:rPr>
          <w:rStyle w:val="Emphasis"/>
        </w:rPr>
        <w:t xml:space="preserve">2.3.1.2 Auditor’s </w:t>
      </w:r>
      <w:r w:rsidR="004228D1">
        <w:rPr>
          <w:rStyle w:val="Emphasis"/>
        </w:rPr>
        <w:t>R</w:t>
      </w:r>
      <w:r w:rsidRPr="00930EB7">
        <w:rPr>
          <w:rStyle w:val="Emphasis"/>
        </w:rPr>
        <w:t>esponsibilities</w:t>
      </w:r>
    </w:p>
    <w:p w:rsidR="00D81E8C" w:rsidRPr="00930EB7" w:rsidRDefault="00D81E8C" w:rsidP="00D81E8C">
      <w:pPr>
        <w:spacing w:line="360" w:lineRule="auto"/>
        <w:jc w:val="both"/>
        <w:rPr>
          <w:rStyle w:val="SubtleEmphasis"/>
          <w:rFonts w:ascii="Times New Roman" w:hAnsi="Times New Roman"/>
          <w:i w:val="0"/>
          <w:color w:val="auto"/>
          <w:sz w:val="22"/>
        </w:rPr>
      </w:pPr>
      <w:r w:rsidRPr="00930EB7">
        <w:rPr>
          <w:rStyle w:val="SubtleEmphasis"/>
          <w:rFonts w:ascii="Times New Roman" w:hAnsi="Times New Roman"/>
          <w:i w:val="0"/>
          <w:color w:val="auto"/>
          <w:sz w:val="22"/>
        </w:rPr>
        <w:t>The main responsibility of the public auditors can be described as</w:t>
      </w:r>
    </w:p>
    <w:p w:rsidR="00D81E8C" w:rsidRPr="00930EB7" w:rsidRDefault="00D81E8C" w:rsidP="00D81E8C">
      <w:pPr>
        <w:spacing w:line="360" w:lineRule="auto"/>
        <w:jc w:val="both"/>
        <w:rPr>
          <w:rStyle w:val="SubtleEmphasis"/>
          <w:rFonts w:ascii="Times New Roman" w:hAnsi="Times New Roman"/>
          <w:i w:val="0"/>
          <w:color w:val="auto"/>
          <w:sz w:val="22"/>
        </w:rPr>
      </w:pPr>
    </w:p>
    <w:p w:rsidR="00D81E8C" w:rsidRPr="00930EB7" w:rsidRDefault="00D81E8C" w:rsidP="00D81E8C">
      <w:pPr>
        <w:spacing w:line="360" w:lineRule="auto"/>
        <w:ind w:left="113" w:right="113"/>
        <w:jc w:val="both"/>
        <w:rPr>
          <w:rStyle w:val="SubtleEmphasis"/>
          <w:rFonts w:ascii="Times New Roman" w:hAnsi="Times New Roman"/>
          <w:color w:val="auto"/>
          <w:sz w:val="22"/>
        </w:rPr>
      </w:pPr>
      <w:r w:rsidRPr="00930EB7">
        <w:rPr>
          <w:rStyle w:val="SubtleEmphasis"/>
          <w:rFonts w:ascii="Times New Roman" w:hAnsi="Times New Roman"/>
          <w:color w:val="auto"/>
          <w:sz w:val="22"/>
        </w:rPr>
        <w:t xml:space="preserve">‘Obtain reasonable assurance about whether the financial statements as a whole are free from material misstatements, whether due to fraud or error, thereby enabling the auditor to express an opinion on whether the financial statements are presented fairly, in all material respects, in accordance with an applicable financial reporting framework.’ </w:t>
      </w:r>
      <w:r w:rsidR="004A36DA" w:rsidRPr="00930EB7">
        <w:rPr>
          <w:rStyle w:val="SubtleEmphasis"/>
          <w:rFonts w:ascii="Times New Roman" w:hAnsi="Times New Roman"/>
          <w:color w:val="auto"/>
          <w:sz w:val="22"/>
        </w:rPr>
        <w:fldChar w:fldCharType="begin" w:fldLock="1"/>
      </w:r>
      <w:r w:rsidR="002177CD">
        <w:rPr>
          <w:rStyle w:val="SubtleEmphasis"/>
          <w:rFonts w:ascii="Times New Roman" w:hAnsi="Times New Roman"/>
          <w:color w:val="auto"/>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"manualFormatting" : "(Arens et al., 2013, p144)", "previouslyFormattedCitation" : "(Arens et al., 2013)" }, "properties" : { "noteIndex" : 0 }, "schema" : "https://github.com/citation-style-language/schema/raw/master/csl-citation.json" }</w:instrText>
      </w:r>
      <w:r w:rsidR="004A36DA" w:rsidRPr="00930EB7">
        <w:rPr>
          <w:rStyle w:val="SubtleEmphasis"/>
          <w:rFonts w:ascii="Times New Roman" w:hAnsi="Times New Roman"/>
          <w:color w:val="auto"/>
          <w:sz w:val="22"/>
        </w:rPr>
        <w:fldChar w:fldCharType="separate"/>
      </w:r>
      <w:r w:rsidRPr="00930EB7">
        <w:rPr>
          <w:rStyle w:val="SubtleEmphasis"/>
          <w:rFonts w:ascii="Times New Roman" w:hAnsi="Times New Roman"/>
          <w:noProof/>
          <w:color w:val="auto"/>
          <w:sz w:val="22"/>
        </w:rPr>
        <w:t>(Arens et al., 2013, p144)</w:t>
      </w:r>
      <w:r w:rsidR="004A36DA" w:rsidRPr="00930EB7">
        <w:rPr>
          <w:rStyle w:val="SubtleEmphasis"/>
          <w:rFonts w:ascii="Times New Roman" w:hAnsi="Times New Roman"/>
          <w:color w:val="auto"/>
          <w:sz w:val="22"/>
        </w:rPr>
        <w:fldChar w:fldCharType="end"/>
      </w:r>
    </w:p>
    <w:p w:rsidR="00D81E8C" w:rsidRPr="00930EB7" w:rsidRDefault="00D81E8C" w:rsidP="00D81E8C">
      <w:pPr>
        <w:spacing w:line="360" w:lineRule="auto"/>
        <w:ind w:right="113"/>
        <w:jc w:val="both"/>
        <w:rPr>
          <w:rStyle w:val="SubtleEmphasis"/>
          <w:rFonts w:ascii="Times New Roman" w:hAnsi="Times New Roman"/>
          <w:i w:val="0"/>
          <w:color w:val="auto"/>
          <w:sz w:val="22"/>
        </w:rPr>
      </w:pPr>
    </w:p>
    <w:p w:rsidR="00D81E8C" w:rsidRPr="00930EB7" w:rsidRDefault="00D81E8C" w:rsidP="00D81E8C">
      <w:pPr>
        <w:spacing w:line="360" w:lineRule="auto"/>
        <w:ind w:right="113"/>
        <w:jc w:val="both"/>
        <w:rPr>
          <w:rStyle w:val="SubtleEmphasis"/>
          <w:rFonts w:ascii="Times New Roman" w:hAnsi="Times New Roman"/>
          <w:i w:val="0"/>
          <w:color w:val="auto"/>
          <w:sz w:val="22"/>
        </w:rPr>
      </w:pPr>
      <w:r w:rsidRPr="00930EB7">
        <w:rPr>
          <w:rStyle w:val="SubtleEmphasis"/>
          <w:rFonts w:ascii="Times New Roman" w:hAnsi="Times New Roman"/>
          <w:i w:val="0"/>
          <w:color w:val="auto"/>
          <w:sz w:val="22"/>
        </w:rPr>
        <w:t>The level of assurance can be qualified as a level of certainty that auditors have upon completion of an audit. Auditing standards requires auditors to have reasonable assurance instead of absolute assurance. The main reason an absolute assurance is not applicable is that auditors are not issuers of the published financial statements. Consequently</w:t>
      </w:r>
      <w:r w:rsidR="0061395F">
        <w:rPr>
          <w:rStyle w:val="SubtleEmphasis"/>
          <w:rFonts w:ascii="Times New Roman" w:hAnsi="Times New Roman"/>
          <w:i w:val="0"/>
          <w:color w:val="auto"/>
          <w:sz w:val="22"/>
        </w:rPr>
        <w:t>,</w:t>
      </w:r>
      <w:r w:rsidRPr="00930EB7">
        <w:rPr>
          <w:rStyle w:val="SubtleEmphasis"/>
          <w:rFonts w:ascii="Times New Roman" w:hAnsi="Times New Roman"/>
          <w:i w:val="0"/>
          <w:color w:val="auto"/>
          <w:sz w:val="22"/>
        </w:rPr>
        <w:t xml:space="preserve"> they are not able to provide fully assurance. In order to provide a reasonable assurance, a certain amount of professional knowledge is required. For instance, in order to draw conclusions about the correctness of an account</w:t>
      </w:r>
      <w:r w:rsidR="0061395F">
        <w:rPr>
          <w:rStyle w:val="SubtleEmphasis"/>
          <w:rFonts w:ascii="Times New Roman" w:hAnsi="Times New Roman"/>
          <w:i w:val="0"/>
          <w:color w:val="auto"/>
          <w:sz w:val="22"/>
        </w:rPr>
        <w:t>,</w:t>
      </w:r>
      <w:r w:rsidRPr="00930EB7">
        <w:rPr>
          <w:rStyle w:val="SubtleEmphasis"/>
          <w:rFonts w:ascii="Times New Roman" w:hAnsi="Times New Roman"/>
          <w:i w:val="0"/>
          <w:color w:val="auto"/>
          <w:sz w:val="22"/>
        </w:rPr>
        <w:t xml:space="preserve"> auditors often have to investigate samples. The sample selection procedures and its sizes are fully dependent on the judgment of the auditors. An inadequate decision concerning the sample increases the associated risk of the presence of a material misstatement in the published financial statements. Besides, certain industries often have to deal with complex estimations, which form the auditor requires certain industrial knowledge. Consequently, in order to realize a correct judgment auditors are required to have a well-educated background. </w:t>
      </w:r>
    </w:p>
    <w:p w:rsidR="00D81E8C" w:rsidRDefault="00D81E8C" w:rsidP="00D81E8C">
      <w:pPr>
        <w:pStyle w:val="Subtitle"/>
        <w:spacing w:line="360" w:lineRule="auto"/>
        <w:jc w:val="left"/>
        <w:rPr>
          <w:b/>
          <w:i/>
        </w:rPr>
      </w:pPr>
    </w:p>
    <w:p w:rsidR="00D81E8C" w:rsidRPr="006879C9" w:rsidRDefault="00D81E8C" w:rsidP="006879C9">
      <w:pPr>
        <w:pStyle w:val="Subtitle"/>
        <w:spacing w:line="360" w:lineRule="auto"/>
        <w:jc w:val="left"/>
        <w:rPr>
          <w:rStyle w:val="SubtleEmphasis"/>
          <w:b/>
        </w:rPr>
      </w:pPr>
      <w:bookmarkStart w:id="35" w:name="_Toc393872536"/>
      <w:r w:rsidRPr="006879C9">
        <w:rPr>
          <w:rStyle w:val="SubtleEmphasis"/>
          <w:b/>
        </w:rPr>
        <w:t>2.3.2 Certified Public Accounting Firms</w:t>
      </w:r>
      <w:bookmarkEnd w:id="35"/>
    </w:p>
    <w:p w:rsidR="00D81E8C" w:rsidRPr="00721FFF" w:rsidRDefault="00D81E8C" w:rsidP="006879C9">
      <w:pPr>
        <w:spacing w:line="360" w:lineRule="auto"/>
        <w:jc w:val="both"/>
        <w:rPr>
          <w:rFonts w:ascii="Times New Roman" w:hAnsi="Times New Roman"/>
          <w:sz w:val="22"/>
        </w:rPr>
      </w:pPr>
      <w:r w:rsidRPr="00721FFF">
        <w:rPr>
          <w:rFonts w:ascii="Times New Roman" w:hAnsi="Times New Roman"/>
          <w:sz w:val="22"/>
        </w:rPr>
        <w:t xml:space="preserve">A certified public accounting firm (CPA firm) provides assurance and attestation services. Audit services belong to the assurance services and are mostly the core business activities concerning a CPA firms.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Concerning the most CPA firms, the organizational structure is Limited Liability Partnership (LLP), which states that the firm is owned by one or more partners. The advantage of this organizational structure is that partners are only personally liable for debt and obligations of their own acts and not for the liabilities arising from other partners.</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In the U.S., financial statements audits of all general companies are performed by CPA firms. In 2012, in the US more than 45000 CPA firms exists with a range in size from 1 to 40000 staff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"previouslyFormattedCitation" : "(Arens et al., 2013)"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(Arens et al., 2013)</w:t>
      </w:r>
      <w:r w:rsidR="004A36DA" w:rsidRPr="00721FFF">
        <w:rPr>
          <w:rFonts w:ascii="Times New Roman" w:hAnsi="Times New Roman"/>
          <w:sz w:val="22"/>
        </w:rPr>
        <w:fldChar w:fldCharType="end"/>
      </w:r>
      <w:r w:rsidRPr="00721FFF">
        <w:rPr>
          <w:rFonts w:ascii="Times New Roman" w:hAnsi="Times New Roman"/>
          <w:sz w:val="22"/>
        </w:rPr>
        <w:t xml:space="preserve">. In general, audit firms are categorized based on their revenue. The categories are: Big 4, National, Regional and Large Local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"previouslyFormattedCitation" : "(Arens et al., 2013)"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(Arens et al., 2013)</w:t>
      </w:r>
      <w:r w:rsidR="004A36DA" w:rsidRPr="00721FFF">
        <w:rPr>
          <w:rFonts w:ascii="Times New Roman" w:hAnsi="Times New Roman"/>
          <w:sz w:val="22"/>
        </w:rPr>
        <w:fldChar w:fldCharType="end"/>
      </w:r>
      <w:r w:rsidRPr="00721FFF">
        <w:rPr>
          <w:rFonts w:ascii="Times New Roman" w:hAnsi="Times New Roman"/>
          <w:sz w:val="22"/>
        </w:rPr>
        <w:t xml:space="preserve">. Concerning this thesis, due to the availability of data, the audit fee and the auditor’s specialization are </w:t>
      </w:r>
      <w:r w:rsidR="00A47A4B">
        <w:rPr>
          <w:rFonts w:ascii="Times New Roman" w:hAnsi="Times New Roman"/>
          <w:sz w:val="22"/>
        </w:rPr>
        <w:t xml:space="preserve">mainly </w:t>
      </w:r>
      <w:r w:rsidRPr="00721FFF">
        <w:rPr>
          <w:rFonts w:ascii="Times New Roman" w:hAnsi="Times New Roman"/>
          <w:sz w:val="22"/>
        </w:rPr>
        <w:t xml:space="preserve">derived from Big4 CPA firms. </w:t>
      </w:r>
    </w:p>
    <w:p w:rsidR="00D81E8C" w:rsidRDefault="00D81E8C" w:rsidP="00D81E8C">
      <w:pPr>
        <w:spacing w:line="360" w:lineRule="auto"/>
        <w:jc w:val="both"/>
        <w:rPr>
          <w:rFonts w:ascii="Times New Roman" w:hAnsi="Times New Roman"/>
          <w:sz w:val="22"/>
          <w:szCs w:val="22"/>
        </w:rPr>
      </w:pPr>
    </w:p>
    <w:p w:rsidR="00D81E8C" w:rsidRPr="006879C9" w:rsidRDefault="00D81E8C" w:rsidP="00D81E8C">
      <w:pPr>
        <w:pStyle w:val="Subtitle"/>
        <w:spacing w:line="360" w:lineRule="auto"/>
        <w:jc w:val="left"/>
        <w:rPr>
          <w:rStyle w:val="SubtleEmphasis"/>
          <w:b/>
        </w:rPr>
      </w:pPr>
      <w:bookmarkStart w:id="36" w:name="_Toc393872537"/>
      <w:r w:rsidRPr="006879C9">
        <w:rPr>
          <w:rStyle w:val="SubtleEmphasis"/>
          <w:b/>
        </w:rPr>
        <w:t xml:space="preserve">2.3.3 The BIG 4 Network and </w:t>
      </w:r>
      <w:r w:rsidR="004228D1">
        <w:rPr>
          <w:rStyle w:val="SubtleEmphasis"/>
          <w:b/>
        </w:rPr>
        <w:t>Its I</w:t>
      </w:r>
      <w:r w:rsidRPr="006879C9">
        <w:rPr>
          <w:rStyle w:val="SubtleEmphasis"/>
          <w:b/>
        </w:rPr>
        <w:t>mpact</w:t>
      </w:r>
      <w:bookmarkEnd w:id="36"/>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lastRenderedPageBreak/>
        <w:t xml:space="preserve">Currently, the audit market is predominant by the Big 4 firms. This has raised a much concerns about the competition within the market which would in turn influences the audit quality. Consequently, in order to maintain the audit quality, regulators have enhanced/set new regulations. For instance, audit independence rules are set to limit the audit firms to provide other services to its audit client. Although the intention of these rules is to maintain and improve the audit quality, they could potentially reduce the number of available CPA firms for a client to choose from. Concerning companies that demand high quality auditing services from Big4 firms, the limited choices available could create a lower bargaining power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"10.1097/00006534-199804050-00042", "ISBN" : "00178012", "ISSN" : "00178012", "PMID" : "18271320", "abstract" : "The nature and degree of competition in an industry hinge on 5 forces: the threat of new entrants, the bargaining power of customers, the bargaining power of suppliers, and the threat of substitute products or services (where applicable) and the jockeying among current contestants", "author" : [ { "dropping-particle" : "", "family" : "Porter", "given" : "Michael", "non-dropping-particle" : "", "parse-names" : false, "suffix" : "" } ], "container-title" : "Harvard business Review", "id" : "ITEM-1", "issued" : { "date-parts" : [ [ "1979" ] ] }, "page" : "137 - 145", "title" : "How Competitive Forces Shape Strategy", "type" : "article-journal" }, "uris" : [ "http://www.mendeley.com/documents/?uuid=60a3b477-6534-4b86-bb8d-06a0f08a3241" ] } ], "mendeley" : { "manualFormatting" : "(Porter, 1979)", "previouslyFormattedCitation" : "(M. Porter, 1979)"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(Porter, 1979)</w:t>
      </w:r>
      <w:r w:rsidR="004A36DA" w:rsidRPr="00721FFF">
        <w:rPr>
          <w:rFonts w:ascii="Times New Roman" w:hAnsi="Times New Roman"/>
          <w:sz w:val="22"/>
        </w:rPr>
        <w:fldChar w:fldCharType="end"/>
      </w:r>
      <w:r w:rsidRPr="00721FFF">
        <w:rPr>
          <w:rFonts w:ascii="Times New Roman" w:hAnsi="Times New Roman"/>
          <w:sz w:val="22"/>
        </w:rPr>
        <w:t xml:space="preserve">. Consequently, the CPA firms may ask a higher compensation for their audit effort. Consequently, a less competitive audit market increases the audit fee. </w:t>
      </w:r>
    </w:p>
    <w:p w:rsidR="00D81E8C" w:rsidRDefault="00D81E8C" w:rsidP="00D81E8C">
      <w:pPr>
        <w:spacing w:line="360" w:lineRule="auto"/>
        <w:jc w:val="both"/>
        <w:rPr>
          <w:rFonts w:ascii="Times New Roman" w:hAnsi="Times New Roman"/>
          <w:sz w:val="22"/>
          <w:szCs w:val="22"/>
        </w:rPr>
      </w:pPr>
    </w:p>
    <w:p w:rsidR="00D81E8C" w:rsidRPr="006879C9" w:rsidRDefault="00D81E8C" w:rsidP="006879C9">
      <w:pPr>
        <w:pStyle w:val="Subtitle"/>
        <w:spacing w:line="360" w:lineRule="auto"/>
        <w:jc w:val="left"/>
        <w:rPr>
          <w:rStyle w:val="SubtleEmphasis"/>
          <w:b/>
          <w:i w:val="0"/>
          <w:color w:val="auto"/>
        </w:rPr>
      </w:pPr>
      <w:bookmarkStart w:id="37" w:name="_Toc393872538"/>
      <w:r w:rsidRPr="006879C9">
        <w:rPr>
          <w:rStyle w:val="SubtleEmphasis"/>
          <w:b/>
          <w:i w:val="0"/>
          <w:color w:val="auto"/>
        </w:rPr>
        <w:t>2.4 Audit fee</w:t>
      </w:r>
      <w:bookmarkEnd w:id="37"/>
    </w:p>
    <w:p w:rsidR="00D81E8C" w:rsidRPr="006879C9" w:rsidRDefault="00D81E8C" w:rsidP="006879C9">
      <w:pPr>
        <w:pStyle w:val="Subtitle"/>
        <w:spacing w:line="360" w:lineRule="auto"/>
        <w:jc w:val="left"/>
        <w:rPr>
          <w:rStyle w:val="SubtleEmphasis"/>
          <w:b/>
        </w:rPr>
      </w:pPr>
      <w:bookmarkStart w:id="38" w:name="_Toc393872539"/>
      <w:r w:rsidRPr="006879C9">
        <w:rPr>
          <w:rStyle w:val="SubtleEmphasis"/>
          <w:b/>
        </w:rPr>
        <w:t>2.4.1 Audit Pricing Model</w:t>
      </w:r>
      <w:bookmarkEnd w:id="38"/>
    </w:p>
    <w:p w:rsidR="00D81E8C" w:rsidRPr="00721FFF" w:rsidRDefault="00D81E8C" w:rsidP="00D81E8C">
      <w:pPr>
        <w:spacing w:after="240" w:line="360" w:lineRule="auto"/>
        <w:jc w:val="both"/>
        <w:rPr>
          <w:rFonts w:ascii="Times New Roman" w:hAnsi="Times New Roman"/>
          <w:sz w:val="22"/>
        </w:rPr>
      </w:pPr>
      <w:r w:rsidRPr="00721FFF">
        <w:rPr>
          <w:rFonts w:ascii="Times New Roman" w:hAnsi="Times New Roman"/>
          <w:sz w:val="22"/>
        </w:rPr>
        <w:t xml:space="preserve">Much scientific research exists about various aspects of the audit market, of the audit pricing and of the audit production. Current studies about the audit fee determination are derived from the seminal work of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"manualFormatting" : "Simunic (1980)",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 xml:space="preserve">. It serves as a foundation to all later studies in this field. It basically assumed that the audit fee is a function of the auditor’s effort. This function contains two components: the direct production costs and the expected future costs that arise from the current audit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 xml:space="preserve">. Based on this assumption, to explain the relation between the audit production and the audit pricing an audit pricing model is developed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w:t>
      </w:r>
    </w:p>
    <w:p w:rsidR="00D81E8C" w:rsidRPr="00721FFF" w:rsidRDefault="00D81E8C" w:rsidP="00D81E8C">
      <w:pPr>
        <w:spacing w:after="240" w:line="360" w:lineRule="auto"/>
        <w:ind w:left="2835"/>
        <w:jc w:val="both"/>
        <w:rPr>
          <w:rFonts w:ascii="Times New Roman" w:hAnsi="Times New Roman"/>
          <w:sz w:val="22"/>
        </w:rPr>
      </w:pPr>
      <w:r w:rsidRPr="00721FFF">
        <w:rPr>
          <w:rFonts w:ascii="Times New Roman" w:hAnsi="Times New Roman"/>
          <w:sz w:val="22"/>
        </w:rPr>
        <w:t xml:space="preserve">     </w:t>
      </w:r>
      <m:oMath>
        <m:r>
          <w:rPr>
            <w:rFonts w:ascii="Cambria Math" w:hAnsi="Cambria Math"/>
            <w:sz w:val="22"/>
          </w:rPr>
          <m:t>E</m:t>
        </m:r>
        <m:d>
          <m:dPr>
            <m:ctrlPr>
              <w:rPr>
                <w:rFonts w:ascii="Cambria Math" w:hAnsi="Cambria Math"/>
                <w:sz w:val="22"/>
              </w:rPr>
            </m:ctrlPr>
          </m:dPr>
          <m:e>
            <m:acc>
              <m:accPr>
                <m:chr m:val="̃"/>
                <m:ctrlPr>
                  <w:rPr>
                    <w:rFonts w:ascii="Cambria Math" w:hAnsi="Cambria Math"/>
                    <w:sz w:val="22"/>
                  </w:rPr>
                </m:ctrlPr>
              </m:accPr>
              <m:e>
                <m:r>
                  <m:rPr>
                    <m:sty m:val="p"/>
                  </m:rPr>
                  <w:rPr>
                    <w:rFonts w:ascii="Cambria Math" w:hAnsi="Cambria Math"/>
                    <w:sz w:val="22"/>
                  </w:rPr>
                  <m:t>C</m:t>
                </m:r>
              </m:e>
            </m:acc>
          </m:e>
        </m:d>
        <m:r>
          <m:rPr>
            <m:sty m:val="p"/>
          </m:rPr>
          <w:rPr>
            <w:rFonts w:ascii="Cambria Math" w:hAnsi="Cambria Math"/>
            <w:sz w:val="22"/>
          </w:rPr>
          <m:t>=cq+E</m:t>
        </m:r>
        <m:d>
          <m:dPr>
            <m:ctrlPr>
              <w:rPr>
                <w:rFonts w:ascii="Cambria Math" w:hAnsi="Cambria Math"/>
                <w:sz w:val="22"/>
              </w:rPr>
            </m:ctrlPr>
          </m:dPr>
          <m:e>
            <m:acc>
              <m:accPr>
                <m:chr m:val="̃"/>
                <m:ctrlPr>
                  <w:rPr>
                    <w:rFonts w:ascii="Cambria Math" w:hAnsi="Cambria Math"/>
                    <w:sz w:val="22"/>
                  </w:rPr>
                </m:ctrlPr>
              </m:accPr>
              <m:e>
                <m:r>
                  <m:rPr>
                    <m:sty m:val="p"/>
                  </m:rPr>
                  <w:rPr>
                    <w:rFonts w:ascii="Cambria Math" w:hAnsi="Cambria Math"/>
                    <w:sz w:val="22"/>
                  </w:rPr>
                  <m:t>d</m:t>
                </m:r>
              </m:e>
            </m:acc>
          </m:e>
          <m:e>
            <m:r>
              <m:rPr>
                <m:sty m:val="p"/>
              </m:rPr>
              <w:rPr>
                <w:rFonts w:ascii="Cambria Math" w:hAnsi="Cambria Math"/>
                <w:sz w:val="22"/>
              </w:rPr>
              <m:t>a,q</m:t>
            </m:r>
          </m:e>
        </m:d>
        <m:r>
          <m:rPr>
            <m:sty m:val="p"/>
          </m:rPr>
          <w:rPr>
            <w:rFonts w:ascii="Cambria Math" w:hAnsi="Cambria Math"/>
            <w:sz w:val="22"/>
          </w:rPr>
          <m:t>E(</m:t>
        </m:r>
        <m:acc>
          <m:accPr>
            <m:chr m:val="̃"/>
            <m:ctrlPr>
              <w:rPr>
                <w:rFonts w:ascii="Cambria Math" w:hAnsi="Cambria Math"/>
                <w:sz w:val="22"/>
              </w:rPr>
            </m:ctrlPr>
          </m:accPr>
          <m:e>
            <m:r>
              <m:rPr>
                <m:sty m:val="p"/>
              </m:rPr>
              <w:rPr>
                <w:rFonts w:ascii="Cambria Math" w:hAnsi="Cambria Math"/>
                <w:sz w:val="22"/>
              </w:rPr>
              <m:t>Ɵ</m:t>
            </m:r>
          </m:e>
        </m:acc>
        <m:r>
          <m:rPr>
            <m:sty m:val="p"/>
          </m:rPr>
          <w:rPr>
            <w:rFonts w:ascii="Cambria Math" w:hAnsi="Cambria Math"/>
            <w:sz w:val="22"/>
          </w:rPr>
          <m:t>)</m:t>
        </m:r>
      </m:oMath>
      <w:r w:rsidRPr="00721FFF">
        <w:rPr>
          <w:rFonts w:ascii="Times New Roman" w:hAnsi="Times New Roman"/>
          <w:sz w:val="22"/>
        </w:rPr>
        <w:t xml:space="preserve">                                  </w:t>
      </w:r>
      <w:r w:rsidR="001B0B3C">
        <w:rPr>
          <w:rFonts w:ascii="Times New Roman" w:hAnsi="Times New Roman"/>
          <w:sz w:val="22"/>
        </w:rPr>
        <w:t xml:space="preserve">            </w:t>
      </w:r>
      <w:r w:rsidRPr="00721FFF">
        <w:rPr>
          <w:rFonts w:ascii="Times New Roman" w:hAnsi="Times New Roman"/>
          <w:sz w:val="22"/>
        </w:rPr>
        <w:t xml:space="preserve">            [1]</w:t>
      </w:r>
    </w:p>
    <w:p w:rsidR="00D81E8C" w:rsidRPr="00721FFF" w:rsidRDefault="00D81E8C" w:rsidP="00D81E8C">
      <w:pPr>
        <w:spacing w:after="240" w:line="360" w:lineRule="auto"/>
        <w:jc w:val="both"/>
        <w:rPr>
          <w:rFonts w:ascii="Times New Roman" w:hAnsi="Times New Roman"/>
          <w:sz w:val="22"/>
        </w:rPr>
      </w:pPr>
      <w:r w:rsidRPr="00721FFF">
        <w:rPr>
          <w:rFonts w:ascii="Times New Roman" w:hAnsi="Times New Roman"/>
          <w:sz w:val="22"/>
        </w:rPr>
        <w:t xml:space="preserve">This formula illustrates the audit pricing in a mathematical way. The first component included is the pricing for audit production, where </w:t>
      </w:r>
      <m:oMath>
        <m:r>
          <w:rPr>
            <w:rFonts w:ascii="Cambria Math" w:hAnsi="Cambria Math"/>
            <w:sz w:val="22"/>
          </w:rPr>
          <m:t>c</m:t>
        </m:r>
      </m:oMath>
      <w:r w:rsidRPr="00721FFF">
        <w:rPr>
          <w:rFonts w:ascii="Times New Roman" w:hAnsi="Times New Roman"/>
          <w:sz w:val="22"/>
        </w:rPr>
        <w:t xml:space="preserve"> is the cost per unit resource and </w:t>
      </w:r>
      <m:oMath>
        <m:r>
          <w:rPr>
            <w:rFonts w:ascii="Cambria Math" w:hAnsi="Cambria Math"/>
            <w:sz w:val="22"/>
          </w:rPr>
          <m:t>q</m:t>
        </m:r>
      </m:oMath>
      <w:r w:rsidRPr="00721FFF">
        <w:rPr>
          <w:rFonts w:ascii="Times New Roman" w:hAnsi="Times New Roman"/>
          <w:sz w:val="22"/>
        </w:rPr>
        <w:t xml:space="preserve"> is the quantity of the used resources. The second component is the present value of the possible future losses represented by </w:t>
      </w:r>
      <m:oMath>
        <m:acc>
          <m:accPr>
            <m:chr m:val="̃"/>
            <m:ctrlPr>
              <w:rPr>
                <w:rFonts w:ascii="Cambria Math" w:hAnsi="Cambria Math"/>
                <w:i/>
                <w:sz w:val="22"/>
              </w:rPr>
            </m:ctrlPr>
          </m:accPr>
          <m:e>
            <m:r>
              <w:rPr>
                <w:rFonts w:ascii="Cambria Math" w:hAnsi="Cambria Math"/>
                <w:sz w:val="22"/>
              </w:rPr>
              <m:t>d</m:t>
            </m:r>
          </m:e>
        </m:acc>
      </m:oMath>
      <w:r w:rsidRPr="00721FFF">
        <w:rPr>
          <w:rFonts w:ascii="Times New Roman" w:hAnsi="Times New Roman"/>
          <w:sz w:val="22"/>
        </w:rPr>
        <w:t xml:space="preserve">, and </w:t>
      </w:r>
      <m:oMath>
        <m:r>
          <w:rPr>
            <w:rFonts w:ascii="Cambria Math" w:hAnsi="Cambria Math"/>
            <w:sz w:val="22"/>
          </w:rPr>
          <m:t>a</m:t>
        </m:r>
      </m:oMath>
      <w:r w:rsidRPr="00721FFF">
        <w:rPr>
          <w:rFonts w:ascii="Times New Roman" w:hAnsi="Times New Roman"/>
          <w:sz w:val="22"/>
        </w:rPr>
        <w:t xml:space="preserve"> denotes internal resources a client devotes to the audit-related activities. This present value amount is then multiplied by the likelihood</w:t>
      </w:r>
      <m:oMath>
        <m:r>
          <w:rPr>
            <w:rFonts w:ascii="Cambria Math" w:hAnsi="Cambria Math"/>
            <w:sz w:val="22"/>
          </w:rPr>
          <m:t xml:space="preserve"> E(</m:t>
        </m:r>
        <m:acc>
          <m:accPr>
            <m:chr m:val="̃"/>
            <m:ctrlPr>
              <w:rPr>
                <w:rFonts w:ascii="Cambria Math" w:hAnsi="Cambria Math"/>
                <w:i/>
                <w:sz w:val="22"/>
              </w:rPr>
            </m:ctrlPr>
          </m:accPr>
          <m:e>
            <m:r>
              <w:rPr>
                <w:rFonts w:ascii="Cambria Math" w:hAnsi="Cambria Math"/>
                <w:sz w:val="22"/>
              </w:rPr>
              <m:t>Ɵ</m:t>
            </m:r>
          </m:e>
        </m:acc>
        <m:r>
          <w:rPr>
            <w:rFonts w:ascii="Cambria Math" w:hAnsi="Cambria Math"/>
            <w:sz w:val="22"/>
          </w:rPr>
          <m:t>)</m:t>
        </m:r>
      </m:oMath>
      <w:r w:rsidRPr="00721FFF">
        <w:rPr>
          <w:rFonts w:ascii="Times New Roman" w:hAnsi="Times New Roman"/>
          <w:sz w:val="22"/>
        </w:rPr>
        <w:t xml:space="preserve"> that the costs will indeed occur. The first component is the costs purely related to the audit production itself and the second component can be qualified as an allowance for the possible future costs associated with the current year audit. </w:t>
      </w: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This audit pricing model provides a foundation in determining the audit fees. It calculates the audit fee based on its costs. However, when using this model two limitations are related.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pStyle w:val="ListParagraph"/>
        <w:numPr>
          <w:ilvl w:val="0"/>
          <w:numId w:val="33"/>
        </w:numPr>
        <w:spacing w:line="360" w:lineRule="auto"/>
        <w:jc w:val="both"/>
        <w:rPr>
          <w:rFonts w:ascii="Times New Roman" w:hAnsi="Times New Roman"/>
          <w:sz w:val="22"/>
        </w:rPr>
      </w:pPr>
      <w:r w:rsidRPr="00721FFF">
        <w:rPr>
          <w:rFonts w:ascii="Times New Roman" w:hAnsi="Times New Roman"/>
          <w:sz w:val="22"/>
        </w:rPr>
        <w:t xml:space="preserve">The </w:t>
      </w:r>
      <m:oMath>
        <m:r>
          <w:rPr>
            <w:rFonts w:ascii="Cambria Math" w:hAnsi="Cambria Math"/>
            <w:sz w:val="22"/>
          </w:rPr>
          <m:t>cq</m:t>
        </m:r>
      </m:oMath>
      <w:r w:rsidRPr="00721FFF">
        <w:rPr>
          <w:rFonts w:ascii="Times New Roman" w:hAnsi="Times New Roman"/>
          <w:sz w:val="22"/>
        </w:rPr>
        <w:t xml:space="preserve"> part is only valid to predict the costs for the audit production if the audit quality of the conducted audits performed would be at the same level as the assumed quality of the audit. This assumed audit quality is mostly associated with the brand name of the audit firm. If it is not the scenario, cost per unit resource is not able to capture the unit cost in a reliable way. Besides, the </w:t>
      </w:r>
      <m:oMath>
        <m:r>
          <w:rPr>
            <w:rFonts w:ascii="Cambria Math" w:hAnsi="Cambria Math"/>
            <w:sz w:val="22"/>
          </w:rPr>
          <w:lastRenderedPageBreak/>
          <m:t>E</m:t>
        </m:r>
        <m:d>
          <m:dPr>
            <m:ctrlPr>
              <w:rPr>
                <w:rFonts w:ascii="Cambria Math" w:hAnsi="Cambria Math"/>
                <w:i/>
                <w:sz w:val="22"/>
              </w:rPr>
            </m:ctrlPr>
          </m:dPr>
          <m:e>
            <m:acc>
              <m:accPr>
                <m:chr m:val="̃"/>
                <m:ctrlPr>
                  <w:rPr>
                    <w:rFonts w:ascii="Cambria Math" w:hAnsi="Cambria Math"/>
                    <w:i/>
                    <w:sz w:val="22"/>
                  </w:rPr>
                </m:ctrlPr>
              </m:accPr>
              <m:e>
                <m:r>
                  <w:rPr>
                    <w:rFonts w:ascii="Cambria Math" w:hAnsi="Cambria Math"/>
                    <w:sz w:val="22"/>
                  </w:rPr>
                  <m:t>d</m:t>
                </m:r>
              </m:e>
            </m:acc>
          </m:e>
          <m:e>
            <m:r>
              <w:rPr>
                <w:rFonts w:ascii="Cambria Math" w:hAnsi="Cambria Math"/>
                <w:sz w:val="22"/>
              </w:rPr>
              <m:t>a,q</m:t>
            </m:r>
          </m:e>
        </m:d>
        <m:r>
          <w:rPr>
            <w:rFonts w:ascii="Cambria Math" w:hAnsi="Cambria Math"/>
            <w:sz w:val="22"/>
          </w:rPr>
          <m:t>E(</m:t>
        </m:r>
        <m:acc>
          <m:accPr>
            <m:chr m:val="̃"/>
            <m:ctrlPr>
              <w:rPr>
                <w:rFonts w:ascii="Cambria Math" w:hAnsi="Cambria Math"/>
                <w:i/>
                <w:sz w:val="22"/>
              </w:rPr>
            </m:ctrlPr>
          </m:accPr>
          <m:e>
            <m:r>
              <w:rPr>
                <w:rFonts w:ascii="Cambria Math" w:hAnsi="Cambria Math"/>
                <w:sz w:val="22"/>
              </w:rPr>
              <m:t>Ɵ</m:t>
            </m:r>
          </m:e>
        </m:acc>
        <m:r>
          <w:rPr>
            <w:rFonts w:ascii="Cambria Math" w:hAnsi="Cambria Math"/>
            <w:sz w:val="22"/>
          </w:rPr>
          <m:t>)</m:t>
        </m:r>
      </m:oMath>
      <w:r w:rsidRPr="00721FFF">
        <w:rPr>
          <w:rFonts w:ascii="Times New Roman" w:hAnsi="Times New Roman"/>
          <w:sz w:val="22"/>
        </w:rPr>
        <w:t xml:space="preserve"> part in addition would predict a wrong value if the perceived audit quality is not the same as the assumed audit quality. </w:t>
      </w:r>
    </w:p>
    <w:p w:rsidR="00D81E8C" w:rsidRPr="00721FFF" w:rsidRDefault="00D81E8C" w:rsidP="00D81E8C">
      <w:pPr>
        <w:pStyle w:val="ListParagraph"/>
        <w:spacing w:line="360" w:lineRule="auto"/>
        <w:ind w:left="360"/>
        <w:jc w:val="both"/>
        <w:rPr>
          <w:rFonts w:ascii="Times New Roman" w:hAnsi="Times New Roman"/>
          <w:sz w:val="22"/>
        </w:rPr>
      </w:pPr>
    </w:p>
    <w:p w:rsidR="00D81E8C" w:rsidRPr="00721FFF" w:rsidRDefault="00D81E8C" w:rsidP="00D81E8C">
      <w:pPr>
        <w:pStyle w:val="ListParagraph"/>
        <w:numPr>
          <w:ilvl w:val="0"/>
          <w:numId w:val="33"/>
        </w:numPr>
        <w:spacing w:line="360" w:lineRule="auto"/>
        <w:jc w:val="both"/>
        <w:rPr>
          <w:rFonts w:ascii="Times New Roman" w:hAnsi="Times New Roman"/>
          <w:sz w:val="22"/>
        </w:rPr>
      </w:pPr>
      <w:r w:rsidRPr="00721FFF">
        <w:rPr>
          <w:rFonts w:ascii="Times New Roman" w:hAnsi="Times New Roman"/>
          <w:sz w:val="22"/>
        </w:rPr>
        <w:t xml:space="preserve">In order to determine the right amount of per unit cost the audit market should be competitive. If the audit market is formed by monopolistic market players, they are able to ignore the pressure from the competitors and consequently present to them the price-setting power.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These two </w:t>
      </w:r>
      <w:r w:rsidR="00B44F22">
        <w:rPr>
          <w:rFonts w:ascii="Times New Roman" w:hAnsi="Times New Roman"/>
          <w:sz w:val="22"/>
        </w:rPr>
        <w:t>limitations</w:t>
      </w:r>
      <w:r w:rsidRPr="00721FFF">
        <w:rPr>
          <w:rFonts w:ascii="Times New Roman" w:hAnsi="Times New Roman"/>
          <w:sz w:val="22"/>
        </w:rPr>
        <w:t xml:space="preserve"> were confirmed by later researches. The quality of an audit can be </w:t>
      </w:r>
      <w:r w:rsidR="000712E0" w:rsidRPr="00721FFF">
        <w:rPr>
          <w:rFonts w:ascii="Times New Roman" w:hAnsi="Times New Roman"/>
          <w:sz w:val="22"/>
        </w:rPr>
        <w:t>affected</w:t>
      </w:r>
      <w:r w:rsidRPr="00721FFF">
        <w:rPr>
          <w:rFonts w:ascii="Times New Roman" w:hAnsi="Times New Roman"/>
          <w:sz w:val="22"/>
        </w:rPr>
        <w:t xml:space="preserve"> by many factors. It is nearly impossible for an audit firm to perform every audits at the same quality level as assumed by their brand name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"10.1016/j.bar.2004.09.003", "ISBN" : "0963818070170", "ISSN" : "08908389", "abstract" : "This paper reviews empirical research over the past 25 years, mainly from the United States, in order to assess what we currently know about audit quality with respect to publicly listed companies. The evidence indicates that outright audit failure rates are infrequent, far less than 1% annually, and audit fees are quite small, less than 0.1% of aggregate client sales. This suggests there may be an acceptable level of audit quality at a relatively low cost. There is also evidence of voluntary differential audit quality (above the legal minimum) along a number of dimensions such as firm size, industry specialization, office characteristics, and cross-country differences in legal systems and auditor liability exposure. The evidence is very positive although there is some indication that audit quality may have declined in the 1990s, in which case there could be merit in recent reforms such as the Sarbanes-Oxley Act of 2002 in the US. However, we do not know from research the optimal level of audit quality and therefore whether we currently have 'too little' or 'too much' auditing? Despite this lacuna we are entering an era of more mandated auditing in response to high-profile corporate governance failures including the Enron-Andersen affair. Finally, while recent reforms have scaled back the scope of non-audit services due to independence concerns, a case can be made that audit quality will always be somewhat suspect if other services are provided that are perceived to potentially compromise the auditor's objectivity and skepticism. For this reason public confidence in audit quality may be increased by proscribing all non-audit services for audit clients. Recommendations are also proposed with respect to legal liability reform and changes in partner compensation arrangements. ?? 2004 Elsevier Ltd. All rights reserved.", "author" : [ { "dropping-particle" : "", "family" : "Francis", "given" : "Jere R.", "non-dropping-particle" : "", "parse-names" : false, "suffix" : "" } ], "container-title" : "British Accounting Review", "id" : "ITEM-1", "issued" : { "date-parts" : [ [ "2004" ] ] }, "page" : "345-368", "title" : "What do we know about audit quality?", "type" : "article", "volume" : "36" }, "uris" : [ "http://www.mendeley.com/documents/?uuid=5cbebb50-1995-4bb8-8e51-f460e7f3f804" ] } ], "mendeley" : { "previouslyFormattedCitation" : "(Francis, 2004)"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(Francis, 2004)</w:t>
      </w:r>
      <w:r w:rsidR="004A36DA" w:rsidRPr="00721FFF">
        <w:rPr>
          <w:rFonts w:ascii="Times New Roman" w:hAnsi="Times New Roman"/>
          <w:sz w:val="22"/>
        </w:rPr>
        <w:fldChar w:fldCharType="end"/>
      </w:r>
      <w:r w:rsidRPr="00721FFF">
        <w:rPr>
          <w:rFonts w:ascii="Times New Roman" w:hAnsi="Times New Roman"/>
          <w:sz w:val="22"/>
        </w:rPr>
        <w:t xml:space="preserve">. Besides, the audit market is </w:t>
      </w:r>
      <w:r w:rsidR="00E71DF8" w:rsidRPr="00721FFF">
        <w:rPr>
          <w:rFonts w:ascii="Times New Roman" w:hAnsi="Times New Roman"/>
          <w:sz w:val="22"/>
        </w:rPr>
        <w:t>predominating</w:t>
      </w:r>
      <w:r w:rsidRPr="00721FFF">
        <w:rPr>
          <w:rFonts w:ascii="Times New Roman" w:hAnsi="Times New Roman"/>
          <w:sz w:val="22"/>
        </w:rPr>
        <w:t xml:space="preserve"> by the Big4 accounting firms. The large market share would reduce the impact of a competitive market on the audit fee. Consequently</w:t>
      </w:r>
      <w:r w:rsidR="00B44F22">
        <w:rPr>
          <w:rFonts w:ascii="Times New Roman" w:hAnsi="Times New Roman"/>
          <w:sz w:val="22"/>
        </w:rPr>
        <w:t>,</w:t>
      </w:r>
      <w:r w:rsidRPr="00721FFF">
        <w:rPr>
          <w:rFonts w:ascii="Times New Roman" w:hAnsi="Times New Roman"/>
          <w:sz w:val="22"/>
        </w:rPr>
        <w:t xml:space="preserve"> </w:t>
      </w:r>
      <w:r w:rsidRPr="00721FFF">
        <w:rPr>
          <w:rFonts w:ascii="Times New Roman" w:hAnsi="Times New Roman"/>
          <w:i/>
          <w:sz w:val="22"/>
        </w:rPr>
        <w:t xml:space="preserve">a priori </w:t>
      </w:r>
      <w:r w:rsidRPr="00721FFF">
        <w:rPr>
          <w:rFonts w:ascii="Times New Roman" w:hAnsi="Times New Roman"/>
          <w:sz w:val="22"/>
        </w:rPr>
        <w:t xml:space="preserve">reasoning exists to believe that the audit costs model provided a valid and reliable framework to predict the audit fee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"manualFormatting" : "Simunic (1980)",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 However, in practice it is inappropriate.</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Consequently,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"manualFormatting" : "Simunic (1980)",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 xml:space="preserve"> and other researchers had to found several factors that would systematically influence the audit fee. They have chosen to link some client characteristics directly to the audit fee and found that a certain amount of client characteristics are effective proxies to determine the audit fee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721FFF">
        <w:rPr>
          <w:rFonts w:ascii="Times New Roman" w:hAnsi="Times New Roman"/>
          <w:sz w:val="22"/>
        </w:rPr>
        <w:fldChar w:fldCharType="separate"/>
      </w:r>
      <w:r w:rsidR="001A3C03" w:rsidRPr="001A3C03">
        <w:rPr>
          <w:rFonts w:ascii="Times New Roman" w:hAnsi="Times New Roman"/>
          <w:noProof/>
          <w:sz w:val="22"/>
        </w:rPr>
        <w:t>(Hay et al., 2006)</w:t>
      </w:r>
      <w:r w:rsidR="004A36DA" w:rsidRPr="00721FFF">
        <w:rPr>
          <w:rFonts w:ascii="Times New Roman" w:hAnsi="Times New Roman"/>
          <w:sz w:val="22"/>
        </w:rPr>
        <w:fldChar w:fldCharType="end"/>
      </w:r>
      <w:r w:rsidRPr="00721FFF">
        <w:rPr>
          <w:rFonts w:ascii="Times New Roman" w:hAnsi="Times New Roman"/>
          <w:sz w:val="22"/>
        </w:rPr>
        <w:t xml:space="preserve">. Besides, researchers in addition found that auditor characteristics and engagement attributes could influence the audit fee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(Hay et al., 2006)</w:t>
      </w:r>
      <w:r w:rsidR="004A36DA" w:rsidRPr="00721FFF">
        <w:rPr>
          <w:rFonts w:ascii="Times New Roman" w:hAnsi="Times New Roman"/>
          <w:sz w:val="22"/>
        </w:rPr>
        <w:fldChar w:fldCharType="end"/>
      </w:r>
      <w:r w:rsidRPr="00721FFF">
        <w:rPr>
          <w:rFonts w:ascii="Times New Roman" w:hAnsi="Times New Roman"/>
          <w:sz w:val="22"/>
        </w:rPr>
        <w:t xml:space="preserve">. Essentially, since these characteristics would affect the audit fee either by the total audit hours or the audit cost per hour, the audit pricing model by researchers is still used as a foundation to determinate the drivers for the audit fees. </w:t>
      </w:r>
    </w:p>
    <w:p w:rsidR="00D81E8C" w:rsidRPr="00D60A88" w:rsidRDefault="00D81E8C" w:rsidP="00D81E8C">
      <w:pPr>
        <w:pStyle w:val="Subtitle"/>
        <w:spacing w:line="360" w:lineRule="auto"/>
        <w:jc w:val="both"/>
        <w:rPr>
          <w:rFonts w:ascii="Times New Roman" w:hAnsi="Times New Roman"/>
          <w:sz w:val="22"/>
          <w:szCs w:val="22"/>
        </w:rPr>
      </w:pPr>
    </w:p>
    <w:p w:rsidR="00D81E8C" w:rsidRPr="006879C9" w:rsidRDefault="00D81E8C" w:rsidP="006879C9">
      <w:pPr>
        <w:pStyle w:val="Subtitle"/>
        <w:spacing w:line="360" w:lineRule="auto"/>
        <w:jc w:val="left"/>
        <w:rPr>
          <w:b/>
        </w:rPr>
      </w:pPr>
      <w:bookmarkStart w:id="39" w:name="_Toc393872540"/>
      <w:r w:rsidRPr="006879C9">
        <w:rPr>
          <w:b/>
        </w:rPr>
        <w:t>2.5 The Determinants of the Audit Fee</w:t>
      </w:r>
      <w:bookmarkEnd w:id="39"/>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Several client characteristics exist that could influence the audit fee. Since they have a direct association with the audit effort and the audit engagement risk, which will increase the total audit hours, these determinants are essential. The most important characteristics are presented in the next paragraphs. </w:t>
      </w:r>
    </w:p>
    <w:p w:rsidR="00D81E8C" w:rsidRPr="00721FFF" w:rsidRDefault="00D81E8C" w:rsidP="00D81E8C">
      <w:pPr>
        <w:spacing w:line="360" w:lineRule="auto"/>
        <w:jc w:val="both"/>
        <w:rPr>
          <w:rStyle w:val="SubtleEmphasis"/>
          <w:rFonts w:ascii="Times New Roman" w:hAnsi="Times New Roman"/>
          <w:szCs w:val="22"/>
        </w:rPr>
      </w:pPr>
    </w:p>
    <w:p w:rsidR="00D81E8C" w:rsidRPr="00A23654" w:rsidRDefault="00D81E8C" w:rsidP="006879C9">
      <w:pPr>
        <w:pStyle w:val="Subtitle"/>
        <w:spacing w:line="360" w:lineRule="auto"/>
        <w:jc w:val="left"/>
        <w:rPr>
          <w:rStyle w:val="SubtleEmphasis"/>
          <w:b/>
        </w:rPr>
      </w:pPr>
      <w:bookmarkStart w:id="40" w:name="_Toc393872541"/>
      <w:r w:rsidRPr="00A23654">
        <w:rPr>
          <w:rStyle w:val="SubtleEmphasis"/>
          <w:b/>
        </w:rPr>
        <w:t>2.5.1 Client Size</w:t>
      </w:r>
      <w:bookmarkEnd w:id="40"/>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In determining the audit fee, the audit client size by far was confirmed to be one of the most significant explanatory variables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(Hay et al., 2006)</w:t>
      </w:r>
      <w:r w:rsidR="004A36DA" w:rsidRPr="00721FFF">
        <w:rPr>
          <w:rFonts w:ascii="Times New Roman" w:hAnsi="Times New Roman"/>
          <w:sz w:val="22"/>
        </w:rPr>
        <w:fldChar w:fldCharType="end"/>
      </w:r>
      <w:r w:rsidRPr="00721FFF">
        <w:rPr>
          <w:rFonts w:ascii="Times New Roman" w:hAnsi="Times New Roman"/>
          <w:sz w:val="22"/>
        </w:rPr>
        <w:t xml:space="preserve">. The reason behind this is that in order to mitigate the increased audit risk larger clients typically require more effort from the auditors. Based on this argue, the audit fee per hour would remain at the same level regardless the size of the auditees. In the study conducted by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"10.2307/2491284", "ISSN" : "00218456", "author" : [ { "dropping-particle" : "", "family" : "O'Keefe", "given" : "Terrence B", "non-dropping-particle" : "", "parse-names" : false, "suffix" : "" }, { "dropping-particle" : "", "family" : "Simunic", "given" : "Dan A", "non-dropping-particle" : "", "parse-names" : false, "suffix" : "" }, { "dropping-particle" : "", "family" : "Stein", "given" : "Michael T", "non-dropping-particle" : "", "parse-names" : false, "suffix" : "" } ], "container-title" : "Journal of Accounting Research", "id" : "ITEM-1", "issue" : "2", "issued" : { "date-parts" : [ [ "1994", "10", "1" ] ] }, "page" : "241-261 CR  - Copyright &amp;#169; 1994 Accounting Res", "publisher" : "Wiley on behalf of Accounting Research Center, Booth School of Business, University of Chicago", "title" : "The Production of Audit Services: Evidence from a Major Public Accounting Firm", "type" : "article-journal", "volume" : "32" }, "uris" : [ "http://www.mendeley.com/documents/?uuid=2f3b77f9-d152-4bab-aacd-0fa1f0c653a4" ] } ], "mendeley" : { "manualFormatting" : "O\u2019Keefe, Simunic, &amp; Stein (1994)", "previouslyFormattedCitation" : "(O\u2019Keefe, Simunic, &amp; Stein, 1994)"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O’Keefe, Simunic, &amp; Stein (1994)</w:t>
      </w:r>
      <w:r w:rsidR="004A36DA" w:rsidRPr="00721FFF">
        <w:rPr>
          <w:rFonts w:ascii="Times New Roman" w:hAnsi="Times New Roman"/>
          <w:sz w:val="22"/>
        </w:rPr>
        <w:fldChar w:fldCharType="end"/>
      </w:r>
      <w:r w:rsidRPr="00721FFF">
        <w:rPr>
          <w:rFonts w:ascii="Times New Roman" w:hAnsi="Times New Roman"/>
          <w:sz w:val="22"/>
        </w:rPr>
        <w:t xml:space="preserve"> for investigating CPA firm’s use of different </w:t>
      </w:r>
      <w:r w:rsidRPr="00721FFF">
        <w:rPr>
          <w:rFonts w:ascii="Times New Roman" w:hAnsi="Times New Roman"/>
          <w:sz w:val="22"/>
        </w:rPr>
        <w:lastRenderedPageBreak/>
        <w:t xml:space="preserve">grade of professionals and various client characteristics, they have found clear evidence that the audit effort and the client size has a concave relation. The explanation for this concave relationship is that the use of a relatively larger proportion of low-level professional auditors, consequently the inexpensive personnel costs would create a little increase in the audit fee. However, the total audit hours is still increasing with the size of the client which will create an increase in the audit fee.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The size of an auditee firm can be measured by multiple ways. The most used proxy is the amount of the total asset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(Hay et al., 2006)</w:t>
      </w:r>
      <w:r w:rsidR="004A36DA" w:rsidRPr="00721FFF">
        <w:rPr>
          <w:rFonts w:ascii="Times New Roman" w:hAnsi="Times New Roman"/>
          <w:sz w:val="22"/>
        </w:rPr>
        <w:fldChar w:fldCharType="end"/>
      </w:r>
      <w:r w:rsidRPr="00721FFF">
        <w:rPr>
          <w:rFonts w:ascii="Times New Roman" w:hAnsi="Times New Roman"/>
          <w:sz w:val="22"/>
        </w:rPr>
        <w:t xml:space="preserve">. Another widely used variable is total sales. Because the lawsuits against the auditors mostly arise from improper valuations, the amount of the total assets in addition has consequences on the responsibilities of the auditors. Consequently, a firm with larger assets requires more efforts from the auditors, consequently possessing a higher audit fee. </w:t>
      </w:r>
    </w:p>
    <w:p w:rsidR="00D81E8C" w:rsidRPr="00721FFF" w:rsidRDefault="00D81E8C" w:rsidP="00D81E8C">
      <w:pPr>
        <w:spacing w:line="360" w:lineRule="auto"/>
        <w:jc w:val="both"/>
        <w:rPr>
          <w:rStyle w:val="SubtleEmphasis"/>
          <w:rFonts w:ascii="Times New Roman" w:hAnsi="Times New Roman"/>
          <w:szCs w:val="22"/>
        </w:rPr>
      </w:pPr>
    </w:p>
    <w:p w:rsidR="00D81E8C" w:rsidRPr="00A23654" w:rsidRDefault="00D81E8C" w:rsidP="006879C9">
      <w:pPr>
        <w:pStyle w:val="Subtitle"/>
        <w:spacing w:line="360" w:lineRule="auto"/>
        <w:jc w:val="left"/>
        <w:rPr>
          <w:rStyle w:val="SubtleEmphasis"/>
          <w:b/>
        </w:rPr>
      </w:pPr>
      <w:bookmarkStart w:id="41" w:name="_Toc393872542"/>
      <w:r w:rsidRPr="00A23654">
        <w:rPr>
          <w:rStyle w:val="SubtleEmphasis"/>
          <w:b/>
        </w:rPr>
        <w:t xml:space="preserve">2.5.2 </w:t>
      </w:r>
      <w:r w:rsidR="004228D1">
        <w:rPr>
          <w:rStyle w:val="SubtleEmphasis"/>
          <w:b/>
        </w:rPr>
        <w:t xml:space="preserve">Client </w:t>
      </w:r>
      <w:r w:rsidRPr="00A23654">
        <w:rPr>
          <w:rStyle w:val="SubtleEmphasis"/>
          <w:b/>
        </w:rPr>
        <w:t>Business Risk</w:t>
      </w:r>
      <w:bookmarkEnd w:id="41"/>
    </w:p>
    <w:p w:rsidR="00D81E8C" w:rsidRDefault="00D81E8C" w:rsidP="00D81E8C">
      <w:pPr>
        <w:spacing w:line="360" w:lineRule="auto"/>
        <w:jc w:val="both"/>
        <w:rPr>
          <w:rStyle w:val="SubtleEmphasis"/>
          <w:rFonts w:ascii="Times New Roman" w:hAnsi="Times New Roman"/>
          <w:i w:val="0"/>
          <w:color w:val="auto"/>
          <w:sz w:val="22"/>
        </w:rPr>
      </w:pPr>
      <w:r w:rsidRPr="006879C9">
        <w:rPr>
          <w:rStyle w:val="SubtleEmphasis"/>
          <w:rFonts w:ascii="Times New Roman" w:hAnsi="Times New Roman"/>
          <w:i w:val="0"/>
          <w:color w:val="auto"/>
          <w:sz w:val="22"/>
        </w:rPr>
        <w:t xml:space="preserve">Besides the company size, business risk in addition is one of the major factors affecting the audit fee. For instance, when a company endured financial losses a higher possibility will exists of bankruptcy, which in turn creates a larger possibility of legal actions against the client and in addition against the auditor. To prevent such a situation from happening, auditors have to perform more effort to mitigate the risk and to avoid any lawsuits in the future </w:t>
      </w:r>
      <w:r w:rsidR="004A36DA" w:rsidRPr="006879C9">
        <w:rPr>
          <w:rStyle w:val="SubtleEmphasis"/>
          <w:rFonts w:ascii="Times New Roman" w:hAnsi="Times New Roman"/>
          <w:i w:val="0"/>
          <w:color w:val="auto"/>
          <w:sz w:val="22"/>
        </w:rPr>
        <w:fldChar w:fldCharType="begin" w:fldLock="1"/>
      </w:r>
      <w:r w:rsidR="002177CD">
        <w:rPr>
          <w:rStyle w:val="SubtleEmphasis"/>
          <w:rFonts w:ascii="Times New Roman" w:hAnsi="Times New Roman"/>
          <w:i w:val="0"/>
          <w:color w:val="auto"/>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"previouslyFormattedCitation" : "(Arens et al., 2013)" }, "properties" : { "noteIndex" : 0 }, "schema" : "https://github.com/citation-style-language/schema/raw/master/csl-citation.json" }</w:instrText>
      </w:r>
      <w:r w:rsidR="004A36DA" w:rsidRPr="006879C9">
        <w:rPr>
          <w:rStyle w:val="SubtleEmphasis"/>
          <w:rFonts w:ascii="Times New Roman" w:hAnsi="Times New Roman"/>
          <w:i w:val="0"/>
          <w:color w:val="auto"/>
          <w:sz w:val="22"/>
        </w:rPr>
        <w:fldChar w:fldCharType="separate"/>
      </w:r>
      <w:r w:rsidRPr="006879C9">
        <w:rPr>
          <w:rStyle w:val="SubtleEmphasis"/>
          <w:rFonts w:ascii="Times New Roman" w:hAnsi="Times New Roman"/>
          <w:i w:val="0"/>
          <w:noProof/>
          <w:color w:val="auto"/>
          <w:sz w:val="22"/>
        </w:rPr>
        <w:t>(Arens et al., 2013)</w:t>
      </w:r>
      <w:r w:rsidR="004A36DA" w:rsidRPr="006879C9">
        <w:rPr>
          <w:rStyle w:val="SubtleEmphasis"/>
          <w:rFonts w:ascii="Times New Roman" w:hAnsi="Times New Roman"/>
          <w:i w:val="0"/>
          <w:color w:val="auto"/>
          <w:sz w:val="22"/>
        </w:rPr>
        <w:fldChar w:fldCharType="end"/>
      </w:r>
      <w:r w:rsidRPr="006879C9">
        <w:rPr>
          <w:rStyle w:val="SubtleEmphasis"/>
          <w:rFonts w:ascii="Times New Roman" w:hAnsi="Times New Roman"/>
          <w:i w:val="0"/>
          <w:color w:val="auto"/>
          <w:sz w:val="22"/>
        </w:rPr>
        <w:t xml:space="preserve">. </w:t>
      </w:r>
      <w:r w:rsidR="004A36DA" w:rsidRPr="006879C9">
        <w:rPr>
          <w:rStyle w:val="SubtleEmphasis"/>
          <w:rFonts w:ascii="Times New Roman" w:hAnsi="Times New Roman"/>
          <w:i w:val="0"/>
          <w:color w:val="auto"/>
          <w:sz w:val="22"/>
        </w:rPr>
        <w:fldChar w:fldCharType="begin" w:fldLock="1"/>
      </w:r>
      <w:r w:rsidR="002177CD">
        <w:rPr>
          <w:rStyle w:val="SubtleEmphasis"/>
          <w:rFonts w:ascii="Times New Roman" w:hAnsi="Times New Roman"/>
          <w:i w:val="0"/>
          <w:color w:val="auto"/>
          <w:sz w:val="22"/>
        </w:rPr>
        <w:instrText>ADDIN CSL_CITATION { "citationItems" : [ { "id" : "ITEM-1", "itemData" : { "ISBN" : "00014826", "ISSN" : "00014826", "PMID" : "4498323", "abstract" : "ABSTRACT: Simunic [1980] and Palmrose [1986, Appendix A] report contradictory findings about a Big Eight auditor price premium In the \"small\" auditee segment of the U.S. audit market for publicly-traded companies. The study reported here finds that a Big Eight price premium exists and that the premium exists with respect to both second-tier national firms and local/regional firms. The existence of a price premium Implies Big Eight product differentiation, at least in the \"small\" auditee market segment. A separate test is made of initial audit engagements. Tests indicate that initial engagements are priced significantly lower than continuing engagements, which supports recent reports of price-cutting behavior. However, no inference is made about the effect of price-cutting on audit quality.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"Francis", "given" : "Jere R", "non-dropping-particle" : "", "parse-names" : false, "suffix" : "" }, { "dropping-particle" : "", "family" : "Simon", "given" : "Daniel T", "non-dropping-particle" : "", "parse-names" : false, "suffix" : "" } ], "container-title" : "The Accounting Review", "id" : "ITEM-1", "issued" : { "date-parts" : [ [ "1987" ] ] }, "page" : "145-157", "title" : "A Test of Audit Pricing in the Small-Client Segment of the U.S. Audit Market", "type" : "article-journal", "volume" : "62" }, "uris" : [ "http://www.mendeley.com/documents/?uuid=676388a0-ba2c-4eb2-b8cd-4a701608bc02" ] } ], "mendeley" : { "manualFormatting" : "Francis &amp; Simon (1987)", "previouslyFormattedCitation" : "(Francis &amp; Simon, 1987)" }, "properties" : { "noteIndex" : 0 }, "schema" : "https://github.com/citation-style-language/schema/raw/master/csl-citation.json" }</w:instrText>
      </w:r>
      <w:r w:rsidR="004A36DA" w:rsidRPr="006879C9">
        <w:rPr>
          <w:rStyle w:val="SubtleEmphasis"/>
          <w:rFonts w:ascii="Times New Roman" w:hAnsi="Times New Roman"/>
          <w:i w:val="0"/>
          <w:color w:val="auto"/>
          <w:sz w:val="22"/>
        </w:rPr>
        <w:fldChar w:fldCharType="separate"/>
      </w:r>
      <w:r w:rsidRPr="006879C9">
        <w:rPr>
          <w:rStyle w:val="SubtleEmphasis"/>
          <w:rFonts w:ascii="Times New Roman" w:hAnsi="Times New Roman"/>
          <w:i w:val="0"/>
          <w:noProof/>
          <w:color w:val="auto"/>
          <w:sz w:val="22"/>
        </w:rPr>
        <w:t>Francis &amp; Simon (1987)</w:t>
      </w:r>
      <w:r w:rsidR="004A36DA" w:rsidRPr="006879C9">
        <w:rPr>
          <w:rStyle w:val="SubtleEmphasis"/>
          <w:rFonts w:ascii="Times New Roman" w:hAnsi="Times New Roman"/>
          <w:i w:val="0"/>
          <w:color w:val="auto"/>
          <w:sz w:val="22"/>
        </w:rPr>
        <w:fldChar w:fldCharType="end"/>
      </w:r>
      <w:r w:rsidRPr="006879C9">
        <w:rPr>
          <w:rStyle w:val="SubtleEmphasis"/>
          <w:rFonts w:ascii="Times New Roman" w:hAnsi="Times New Roman"/>
          <w:i w:val="0"/>
          <w:color w:val="auto"/>
          <w:sz w:val="22"/>
        </w:rPr>
        <w:t xml:space="preserve"> found a positive correlation between the audit risk and the audit fee. A survey study conducted by </w:t>
      </w:r>
      <w:r w:rsidR="004A36DA" w:rsidRPr="006879C9">
        <w:rPr>
          <w:rStyle w:val="SubtleEmphasis"/>
          <w:rFonts w:ascii="Times New Roman" w:hAnsi="Times New Roman"/>
          <w:i w:val="0"/>
          <w:color w:val="auto"/>
          <w:sz w:val="22"/>
        </w:rPr>
        <w:fldChar w:fldCharType="begin" w:fldLock="1"/>
      </w:r>
      <w:r w:rsidR="002177CD">
        <w:rPr>
          <w:rStyle w:val="SubtleEmphasis"/>
          <w:rFonts w:ascii="Times New Roman" w:hAnsi="Times New Roman"/>
          <w:i w:val="0"/>
          <w:color w:val="auto"/>
          <w:sz w:val="22"/>
        </w:rPr>
        <w:instrText>ADDIN CSL_CITATION { "citationItems" : [ { "id" : "ITEM-1", "itemData" : { "DOI" : "10.1111/1475-679X.00002", "ISSN" : "1475-679X", "author" : [ { "dropping-particle" : "", "family" : "Bell", "given" : "Timothy B", "non-dropping-particle" : "", "parse-names" : false, "suffix" : "" }, { "dropping-particle" : "", "family" : "Landsman", "given" : "Wayne R", "non-dropping-particle" : "", "parse-names" : false, "suffix" : "" }, { "dropping-particle" : "", "family" : "Shackelford", "given" : "Douglas A", "non-dropping-particle" : "", "parse-names" : false, "suffix" : "" } ], "container-title" : "Journal of Accounting Research", "id" : "ITEM-1", "issue" : "1", "issued" : { "date-parts" : [ [ "2001" ] ] }, "page" : "35-43", "publisher" : "Blackwell Publishers Inc", "title" : "Auditors' Perceived Business Risk and Audit Fees: Analysis and Evidence", "type" : "article-journal", "volume" : "39" }, "uris" : [ "http://www.mendeley.com/documents/?uuid=433eb72d-f76d-4a55-a9a7-0468b4317ad5" ] } ], "mendeley" : { "manualFormatting" : "Bell et al. (2001)", "previouslyFormattedCitation" : "(Bell, Landsman, &amp; Shackelford, 2001)" }, "properties" : { "noteIndex" : 0 }, "schema" : "https://github.com/citation-style-language/schema/raw/master/csl-citation.json" }</w:instrText>
      </w:r>
      <w:r w:rsidR="004A36DA" w:rsidRPr="006879C9">
        <w:rPr>
          <w:rStyle w:val="SubtleEmphasis"/>
          <w:rFonts w:ascii="Times New Roman" w:hAnsi="Times New Roman"/>
          <w:i w:val="0"/>
          <w:color w:val="auto"/>
          <w:sz w:val="22"/>
        </w:rPr>
        <w:fldChar w:fldCharType="separate"/>
      </w:r>
      <w:r w:rsidRPr="006879C9">
        <w:rPr>
          <w:rStyle w:val="SubtleEmphasis"/>
          <w:rFonts w:ascii="Times New Roman" w:hAnsi="Times New Roman"/>
          <w:i w:val="0"/>
          <w:noProof/>
          <w:color w:val="auto"/>
          <w:sz w:val="22"/>
        </w:rPr>
        <w:t>Bell et al. (2001)</w:t>
      </w:r>
      <w:r w:rsidR="004A36DA" w:rsidRPr="006879C9">
        <w:rPr>
          <w:rStyle w:val="SubtleEmphasis"/>
          <w:rFonts w:ascii="Times New Roman" w:hAnsi="Times New Roman"/>
          <w:i w:val="0"/>
          <w:color w:val="auto"/>
          <w:sz w:val="22"/>
        </w:rPr>
        <w:fldChar w:fldCharType="end"/>
      </w:r>
      <w:r w:rsidRPr="006879C9">
        <w:rPr>
          <w:rStyle w:val="SubtleEmphasis"/>
          <w:rFonts w:ascii="Times New Roman" w:hAnsi="Times New Roman"/>
          <w:i w:val="0"/>
          <w:color w:val="auto"/>
          <w:sz w:val="22"/>
        </w:rPr>
        <w:t xml:space="preserve"> further confirmed that such a correlation was caused by the related audit hours. </w:t>
      </w:r>
    </w:p>
    <w:p w:rsidR="002E07A4" w:rsidRDefault="002E07A4" w:rsidP="00D81E8C">
      <w:pPr>
        <w:spacing w:line="360" w:lineRule="auto"/>
        <w:jc w:val="both"/>
        <w:rPr>
          <w:rStyle w:val="SubtleEmphasis"/>
          <w:rFonts w:ascii="Times New Roman" w:hAnsi="Times New Roman"/>
          <w:i w:val="0"/>
          <w:color w:val="auto"/>
          <w:sz w:val="22"/>
        </w:rPr>
      </w:pPr>
    </w:p>
    <w:p w:rsidR="002E07A4" w:rsidRPr="006879C9" w:rsidRDefault="002E07A4" w:rsidP="00D81E8C">
      <w:pPr>
        <w:spacing w:line="360" w:lineRule="auto"/>
        <w:jc w:val="both"/>
        <w:rPr>
          <w:rStyle w:val="SubtleEmphasis"/>
          <w:rFonts w:ascii="Times New Roman" w:hAnsi="Times New Roman"/>
          <w:i w:val="0"/>
          <w:color w:val="auto"/>
          <w:sz w:val="22"/>
        </w:rPr>
      </w:pPr>
      <w:r>
        <w:rPr>
          <w:rStyle w:val="SubtleEmphasis"/>
          <w:rFonts w:ascii="Times New Roman" w:hAnsi="Times New Roman"/>
          <w:i w:val="0"/>
          <w:color w:val="auto"/>
          <w:sz w:val="22"/>
        </w:rPr>
        <w:t xml:space="preserve">The client business risk can be measure in two ways, namely operational risk or financial risk. The most used proxies to measure business risk are financial ratios to measure a company’s ability to pay off its debt. </w:t>
      </w:r>
    </w:p>
    <w:p w:rsidR="00D81E8C" w:rsidRPr="00721FFF" w:rsidRDefault="00D81E8C" w:rsidP="00D81E8C">
      <w:pPr>
        <w:spacing w:line="360" w:lineRule="auto"/>
        <w:jc w:val="both"/>
        <w:rPr>
          <w:rFonts w:ascii="Times New Roman" w:hAnsi="Times New Roman"/>
          <w:szCs w:val="22"/>
        </w:rPr>
      </w:pPr>
    </w:p>
    <w:p w:rsidR="00D81E8C" w:rsidRPr="00A23654" w:rsidRDefault="00D81E8C" w:rsidP="006879C9">
      <w:pPr>
        <w:pStyle w:val="Subtitle"/>
        <w:spacing w:line="360" w:lineRule="auto"/>
        <w:jc w:val="left"/>
        <w:rPr>
          <w:rStyle w:val="SubtleEmphasis"/>
          <w:b/>
        </w:rPr>
      </w:pPr>
      <w:bookmarkStart w:id="42" w:name="_Toc393872543"/>
      <w:r w:rsidRPr="00A23654">
        <w:rPr>
          <w:rStyle w:val="SubtleEmphasis"/>
          <w:b/>
        </w:rPr>
        <w:t>2.5.3 Client Complexity</w:t>
      </w:r>
      <w:bookmarkEnd w:id="42"/>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Audit client complexity in addition could affect the audit fee. Since auditors need to have a good understanding of their client’s company in order to develop an appropriate audit strategy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"previouslyFormattedCitation" : "(Arens et al., 2013)"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(Arens et al., 2013)</w:t>
      </w:r>
      <w:r w:rsidR="004A36DA" w:rsidRPr="00721FFF">
        <w:rPr>
          <w:rFonts w:ascii="Times New Roman" w:hAnsi="Times New Roman"/>
          <w:sz w:val="22"/>
        </w:rPr>
        <w:fldChar w:fldCharType="end"/>
      </w:r>
      <w:r w:rsidRPr="00721FFF">
        <w:rPr>
          <w:rFonts w:ascii="Times New Roman" w:hAnsi="Times New Roman"/>
          <w:sz w:val="22"/>
        </w:rPr>
        <w:t xml:space="preserve">, complex clients would requires more efforts from auditors to fully understand their business operations than less complex clients. In other words, the more complex a client, the more time-consuming the audit procedure would be that could create a higher audit fee. Existing scientific literature showed a positive correlation between the audit client complexity and the audit fee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(Hay et al., 2006)</w:t>
      </w:r>
      <w:r w:rsidR="004A36DA" w:rsidRPr="00721FFF">
        <w:rPr>
          <w:rFonts w:ascii="Times New Roman" w:hAnsi="Times New Roman"/>
          <w:sz w:val="22"/>
        </w:rPr>
        <w:fldChar w:fldCharType="end"/>
      </w:r>
      <w:r w:rsidRPr="00721FFF">
        <w:rPr>
          <w:rFonts w:ascii="Times New Roman" w:hAnsi="Times New Roman"/>
          <w:sz w:val="22"/>
        </w:rPr>
        <w:t xml:space="preserve">.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The most used measurement for client complexity is the number of subsidiaries that a firm locally and internationally owns. The argument for this proxy is that if a firm is complex, it in addition has more </w:t>
      </w:r>
      <w:r w:rsidRPr="00721FFF">
        <w:rPr>
          <w:rFonts w:ascii="Times New Roman" w:hAnsi="Times New Roman"/>
          <w:sz w:val="22"/>
        </w:rPr>
        <w:lastRenderedPageBreak/>
        <w:t xml:space="preserve">diversified operations.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"ISSN" : "1321-7348", "author" : [ { "dropping-particle" : "", "family" : "Sandra", "given" : "W M", "non-dropping-particle" : "", "parse-names" : false, "suffix" : "" }, { "dropping-particle" : "", "family" : "Patrick", "given" : "P H", "non-dropping-particle" : "", "parse-names" : false, "suffix" : "" } ], "container-title" : "Asian Review of Accounting", "id" : "ITEM-1", "issue" : "2", "issued" : { "date-parts" : [ [ "1996" ] ] }, "page" : "32-50", "publisher" : "MCB UP Ltd", "title" : "The deteminants of audit fees in HongKong: An empirical study", "type" : "article-journal", "volume" : "4" }, "uris" : [ "http://www.mendeley.com/documents/?uuid=e1438a18-7a93-440e-b1b6-8bcde1dd0ef6" ] } ], "mendeley" : { "manualFormatting" : "Sandra &amp; Patrick (1996)", "previouslyFormattedCitation" : "(Sandra &amp; Patrick, 1996)"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Sandra &amp; Patrick (1996)</w:t>
      </w:r>
      <w:r w:rsidR="004A36DA" w:rsidRPr="00721FFF">
        <w:rPr>
          <w:rFonts w:ascii="Times New Roman" w:hAnsi="Times New Roman"/>
          <w:sz w:val="22"/>
        </w:rPr>
        <w:fldChar w:fldCharType="end"/>
      </w:r>
      <w:r w:rsidRPr="00721FFF">
        <w:rPr>
          <w:rFonts w:ascii="Times New Roman" w:hAnsi="Times New Roman"/>
          <w:sz w:val="22"/>
        </w:rPr>
        <w:t xml:space="preserve"> showed that auditors are likely to charge a higher fee for complex clients. They have examined the Hong Kong audit market, and found that a company that has more foreign subsidiaries is facing a variety of legislative requirements of disclosures. Consequently, this requires more audit testing than companies with less foreign subsidiaries. When more audit testing is needed, audit firms would add more manpower to complete the audit engagement, which implies that the clients have to pay an additional charge for the audit engagement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(Simunic, 1980)</w:t>
      </w:r>
      <w:r w:rsidR="004A36DA" w:rsidRPr="00721FFF">
        <w:rPr>
          <w:rFonts w:ascii="Times New Roman" w:hAnsi="Times New Roman"/>
          <w:sz w:val="22"/>
        </w:rPr>
        <w:fldChar w:fldCharType="end"/>
      </w:r>
      <w:r w:rsidRPr="00721FFF">
        <w:rPr>
          <w:rFonts w:ascii="Times New Roman" w:hAnsi="Times New Roman"/>
          <w:sz w:val="22"/>
        </w:rPr>
        <w:t xml:space="preserve">.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after="240" w:line="360" w:lineRule="auto"/>
        <w:jc w:val="both"/>
        <w:rPr>
          <w:rFonts w:ascii="Times New Roman" w:hAnsi="Times New Roman"/>
          <w:sz w:val="22"/>
        </w:rPr>
      </w:pPr>
      <w:r w:rsidRPr="00721FFF">
        <w:rPr>
          <w:rFonts w:ascii="Times New Roman" w:hAnsi="Times New Roman"/>
          <w:sz w:val="22"/>
        </w:rPr>
        <w:t xml:space="preserve">A company’s complexity is mostly due to its business, which is industrial specific. Consequently, instead of the number of subsidiaries, the industry sector is another way of specifying company complexity.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"Craswell", "given" : "A T", "non-dropping-particle" : "", "parse-names" : false, "suffix" : "" }, { "dropping-particle" : "", "family" : "Taylor", "given" : "S L", "non-dropping-particle" : "", "parse-names" : false, "suffix" : "" } ], "container-title" : "Research in Accounting Regulation", "id" : "ITEM-1", "issue" : "1", "issued" : { "date-parts" : [ [ "1991" ] ] }, "page" : "55-77", "title" : "The market structure of auditing in Australia: The role of industry specialization", "type" : "article-journal", "volume" : "5" }, "uris" : [ "http://www.mendeley.com/documents/?uuid=02f936b7-8925-4be6-ab1b-5b871075aaa0" ] } ], "mendeley" : { "manualFormatting" : "Craswell &amp; Taylor (1991)", "previouslyFormattedCitation" : "(A T Craswell &amp; Taylor, 1991)"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Craswell &amp; Taylor (1991)</w:t>
      </w:r>
      <w:r w:rsidR="004A36DA" w:rsidRPr="00721FFF">
        <w:rPr>
          <w:rFonts w:ascii="Times New Roman" w:hAnsi="Times New Roman"/>
          <w:sz w:val="22"/>
        </w:rPr>
        <w:fldChar w:fldCharType="end"/>
      </w:r>
      <w:r w:rsidRPr="00721FFF">
        <w:rPr>
          <w:rFonts w:ascii="Times New Roman" w:hAnsi="Times New Roman"/>
          <w:sz w:val="22"/>
        </w:rPr>
        <w:t xml:space="preserve"> followed this method, examined the correlation between the complexity of audit clients and the corresponding audit fees. They classified all companies into the following groups</w:t>
      </w:r>
    </w:p>
    <w:p w:rsidR="00D81E8C" w:rsidRPr="00721FFF" w:rsidRDefault="00D81E8C" w:rsidP="00D81E8C">
      <w:pPr>
        <w:pStyle w:val="ListParagraph"/>
        <w:numPr>
          <w:ilvl w:val="0"/>
          <w:numId w:val="36"/>
        </w:numPr>
        <w:autoSpaceDE w:val="0"/>
        <w:autoSpaceDN w:val="0"/>
        <w:adjustRightInd w:val="0"/>
        <w:spacing w:line="360" w:lineRule="auto"/>
        <w:ind w:right="113"/>
        <w:jc w:val="both"/>
        <w:rPr>
          <w:rFonts w:ascii="Times New Roman" w:hAnsi="Times New Roman"/>
          <w:i/>
          <w:sz w:val="22"/>
        </w:rPr>
      </w:pPr>
      <w:r w:rsidRPr="00721FFF">
        <w:rPr>
          <w:rFonts w:ascii="Times New Roman" w:hAnsi="Times New Roman"/>
          <w:i/>
          <w:sz w:val="22"/>
        </w:rPr>
        <w:t>natural resources, which have unique accounting problems with respect to the valuation of mineral/oil reserves, income determination, and complex forward sales and hedging contracts;</w:t>
      </w:r>
    </w:p>
    <w:p w:rsidR="00D81E8C" w:rsidRPr="00721FFF" w:rsidRDefault="00D81E8C" w:rsidP="00D81E8C">
      <w:pPr>
        <w:pStyle w:val="ListParagraph"/>
        <w:numPr>
          <w:ilvl w:val="0"/>
          <w:numId w:val="36"/>
        </w:numPr>
        <w:autoSpaceDE w:val="0"/>
        <w:autoSpaceDN w:val="0"/>
        <w:adjustRightInd w:val="0"/>
        <w:spacing w:line="360" w:lineRule="auto"/>
        <w:ind w:right="113"/>
        <w:jc w:val="both"/>
        <w:rPr>
          <w:rFonts w:ascii="Times New Roman" w:hAnsi="Times New Roman"/>
          <w:i/>
          <w:sz w:val="22"/>
        </w:rPr>
      </w:pPr>
      <w:r w:rsidRPr="00721FFF">
        <w:rPr>
          <w:rFonts w:ascii="Times New Roman" w:hAnsi="Times New Roman"/>
          <w:i/>
          <w:sz w:val="22"/>
        </w:rPr>
        <w:t xml:space="preserve">building suppliers and engineering firms, both of which are involved in multi-period contracting which creates special accounting problems relating to cost capitalization and income recognition; </w:t>
      </w:r>
    </w:p>
    <w:p w:rsidR="00D81E8C" w:rsidRPr="00721FFF" w:rsidRDefault="00D81E8C" w:rsidP="00D81E8C">
      <w:pPr>
        <w:pStyle w:val="ListParagraph"/>
        <w:numPr>
          <w:ilvl w:val="0"/>
          <w:numId w:val="36"/>
        </w:numPr>
        <w:autoSpaceDE w:val="0"/>
        <w:autoSpaceDN w:val="0"/>
        <w:adjustRightInd w:val="0"/>
        <w:spacing w:line="360" w:lineRule="auto"/>
        <w:ind w:right="113"/>
        <w:jc w:val="both"/>
        <w:rPr>
          <w:rFonts w:ascii="Times New Roman" w:hAnsi="Times New Roman"/>
          <w:i/>
          <w:sz w:val="22"/>
        </w:rPr>
      </w:pPr>
      <w:r w:rsidRPr="00721FFF">
        <w:rPr>
          <w:rFonts w:ascii="Times New Roman" w:hAnsi="Times New Roman"/>
          <w:i/>
          <w:sz w:val="22"/>
        </w:rPr>
        <w:t xml:space="preserve">retailers, which have elaborate inventory systems and special revenue recognition issues associated with sales returns and various types of customer financing and </w:t>
      </w:r>
    </w:p>
    <w:p w:rsidR="00D81E8C" w:rsidRPr="00721FFF" w:rsidRDefault="00D81E8C" w:rsidP="00D81E8C">
      <w:pPr>
        <w:pStyle w:val="ListParagraph"/>
        <w:numPr>
          <w:ilvl w:val="0"/>
          <w:numId w:val="36"/>
        </w:numPr>
        <w:autoSpaceDE w:val="0"/>
        <w:autoSpaceDN w:val="0"/>
        <w:adjustRightInd w:val="0"/>
        <w:spacing w:after="240" w:line="360" w:lineRule="auto"/>
        <w:ind w:right="113"/>
        <w:jc w:val="both"/>
        <w:rPr>
          <w:rFonts w:ascii="Times New Roman" w:hAnsi="Times New Roman"/>
          <w:i/>
          <w:sz w:val="22"/>
        </w:rPr>
      </w:pPr>
      <w:r w:rsidRPr="00721FFF">
        <w:rPr>
          <w:rFonts w:ascii="Times New Roman" w:hAnsi="Times New Roman"/>
          <w:i/>
          <w:sz w:val="22"/>
        </w:rPr>
        <w:t>investment and financial services, which have complex contracts for financial instruments and derivatives, large-scale EDP systems, and special regulatory accounting requirements.</w:t>
      </w: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This classification was based on the industry-level measurements of the systematic risk and the total risk. In addition,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"ITEM-1", "issued" : { "date-parts" : [ [ "1995" ] ] }, "page" : "297-322", "title" : "Auditor brand name reputations and industry specializations", "type" : "article", "volume" : "20" }, "uris" : [ "http://www.mendeley.com/documents/?uuid=587b528c-c9ff-41c2-a4d5-0064050da82b" ] } ], "mendeley" : { "manualFormatting" : "Craswell, Francis, &amp; Taylor (1995)", "previouslyFormattedCitation" : "(Allen T Craswell, Francis, &amp; Taylor, 1995)"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Craswell, Francis, &amp; Taylor (1995)</w:t>
      </w:r>
      <w:r w:rsidR="004A36DA" w:rsidRPr="00721FFF">
        <w:rPr>
          <w:rFonts w:ascii="Times New Roman" w:hAnsi="Times New Roman"/>
          <w:sz w:val="22"/>
        </w:rPr>
        <w:fldChar w:fldCharType="end"/>
      </w:r>
      <w:r w:rsidRPr="00721FFF">
        <w:rPr>
          <w:rFonts w:ascii="Times New Roman" w:hAnsi="Times New Roman"/>
          <w:sz w:val="22"/>
        </w:rPr>
        <w:t xml:space="preserve"> used a similar classification for the complexity and found that specialized auditors charge the complex clients a fee premium of 18% on average than less complex industries. </w:t>
      </w:r>
    </w:p>
    <w:p w:rsidR="00D81E8C" w:rsidRPr="00721FFF" w:rsidRDefault="00D81E8C" w:rsidP="00D81E8C">
      <w:pPr>
        <w:spacing w:line="360" w:lineRule="auto"/>
        <w:ind w:left="113" w:right="113"/>
        <w:jc w:val="both"/>
        <w:rPr>
          <w:rFonts w:ascii="Times New Roman" w:hAnsi="Times New Roman"/>
          <w:szCs w:val="22"/>
        </w:rPr>
      </w:pPr>
    </w:p>
    <w:p w:rsidR="00D81E8C" w:rsidRPr="00A23654" w:rsidRDefault="00D81E8C" w:rsidP="006879C9">
      <w:pPr>
        <w:pStyle w:val="Subtitle"/>
        <w:spacing w:line="360" w:lineRule="auto"/>
        <w:jc w:val="left"/>
        <w:rPr>
          <w:rStyle w:val="SubtleEmphasis"/>
          <w:b/>
        </w:rPr>
      </w:pPr>
      <w:bookmarkStart w:id="43" w:name="_Toc393872544"/>
      <w:r w:rsidRPr="00A23654">
        <w:rPr>
          <w:rStyle w:val="SubtleEmphasis"/>
          <w:b/>
        </w:rPr>
        <w:t>2.5.4 Auditor Specialization</w:t>
      </w:r>
      <w:bookmarkEnd w:id="43"/>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Based on the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"10.1182/blood-2005-11-4354", "ISBN" : "0029250900", "ISSN" : "10688838", "PMID" : "24844896", "abstract" : "One of many theoretical approaches to link bet progressive HRM and sustained competitive advantage - points to importance of human resources in creation of firm competitive advantageIncludes typology of competitve strategies in business policy- cost leadership- differentiation - focus", "author" : [ { "dropping-particle" : "", "family" : "Porter", "given" : "Michael E", "non-dropping-particle" : "", "parse-names" : false, "suffix" : "" } ], "container-title" : "New York", "id" : "ITEM-1", "issued" : { "date-parts" : [ [ "1985" ] ] }, "page" : "xviii, 557", "title" : "Competitive Advantage: Creating and Sustaining Superior Performance", "type" : "book" }, "uris" : [ "http://www.mendeley.com/documents/?uuid=7b2d6db8-2bf4-4c58-b104-5dfaafc6b822" ] } ], "mendeley" : { "manualFormatting" : "Porter's (1985)", "previouslyFormattedCitation" : "(M. E. Porter, 1985)" }, "properties" : { "noteIndex" : 0 }, "schema" : "https://github.com/citation-style-language/schema/raw/master/csl-citation.json" }</w:instrText>
      </w:r>
      <w:r w:rsidR="004A36DA" w:rsidRPr="00721FFF">
        <w:rPr>
          <w:rFonts w:ascii="Times New Roman" w:hAnsi="Times New Roman"/>
          <w:sz w:val="22"/>
        </w:rPr>
        <w:fldChar w:fldCharType="separate"/>
      </w:r>
      <w:r w:rsidR="00FE3260">
        <w:rPr>
          <w:rFonts w:ascii="Times New Roman" w:hAnsi="Times New Roman"/>
          <w:noProof/>
          <w:sz w:val="22"/>
        </w:rPr>
        <w:t>Porter's</w:t>
      </w:r>
      <w:r w:rsidR="00FE3260" w:rsidRPr="00721FFF">
        <w:rPr>
          <w:rFonts w:ascii="Times New Roman" w:hAnsi="Times New Roman"/>
          <w:noProof/>
          <w:sz w:val="22"/>
        </w:rPr>
        <w:t xml:space="preserve"> </w:t>
      </w:r>
      <w:r w:rsidR="00FE3260">
        <w:rPr>
          <w:rFonts w:ascii="Times New Roman" w:hAnsi="Times New Roman"/>
          <w:noProof/>
          <w:sz w:val="22"/>
        </w:rPr>
        <w:t>(</w:t>
      </w:r>
      <w:r w:rsidR="00FE3260" w:rsidRPr="00721FFF">
        <w:rPr>
          <w:rFonts w:ascii="Times New Roman" w:hAnsi="Times New Roman"/>
          <w:noProof/>
          <w:sz w:val="22"/>
        </w:rPr>
        <w:t>1985)</w:t>
      </w:r>
      <w:r w:rsidR="004A36DA" w:rsidRPr="00721FFF">
        <w:rPr>
          <w:rFonts w:ascii="Times New Roman" w:hAnsi="Times New Roman"/>
          <w:sz w:val="22"/>
        </w:rPr>
        <w:fldChar w:fldCharType="end"/>
      </w:r>
      <w:r w:rsidRPr="00721FFF">
        <w:rPr>
          <w:rFonts w:ascii="Times New Roman" w:hAnsi="Times New Roman"/>
          <w:sz w:val="22"/>
        </w:rPr>
        <w:t xml:space="preserve"> competitive strategy,</w:t>
      </w:r>
      <w:r w:rsidR="00FE3260">
        <w:rPr>
          <w:rFonts w:ascii="Times New Roman" w:hAnsi="Times New Roman"/>
          <w:sz w:val="22"/>
        </w:rPr>
        <w:t xml:space="preserve"> </w:t>
      </w:r>
      <w:r w:rsidR="00091625">
        <w:rPr>
          <w:rFonts w:ascii="Times New Roman" w:hAnsi="Times New Roman"/>
          <w:sz w:val="22"/>
        </w:rPr>
        <w:t xml:space="preserve">an </w:t>
      </w:r>
      <w:r w:rsidR="00FE3260">
        <w:rPr>
          <w:rFonts w:ascii="Times New Roman" w:hAnsi="Times New Roman"/>
          <w:sz w:val="22"/>
        </w:rPr>
        <w:t>audit</w:t>
      </w:r>
      <w:r w:rsidR="00091625">
        <w:rPr>
          <w:rFonts w:ascii="Times New Roman" w:hAnsi="Times New Roman"/>
          <w:sz w:val="22"/>
        </w:rPr>
        <w:t xml:space="preserve"> firm may</w:t>
      </w:r>
      <w:r w:rsidRPr="00721FFF">
        <w:rPr>
          <w:rFonts w:ascii="Times New Roman" w:hAnsi="Times New Roman"/>
          <w:sz w:val="22"/>
        </w:rPr>
        <w:t xml:space="preserve"> choose </w:t>
      </w:r>
      <w:r w:rsidR="00091625">
        <w:rPr>
          <w:rFonts w:ascii="Times New Roman" w:hAnsi="Times New Roman"/>
          <w:sz w:val="22"/>
        </w:rPr>
        <w:t xml:space="preserve">for </w:t>
      </w:r>
      <w:r w:rsidRPr="00721FFF">
        <w:rPr>
          <w:rFonts w:ascii="Times New Roman" w:hAnsi="Times New Roman"/>
          <w:sz w:val="22"/>
        </w:rPr>
        <w:t xml:space="preserve">a differentiation strategy to gain a sustainable competitive advantage over </w:t>
      </w:r>
      <w:r w:rsidR="00091625">
        <w:rPr>
          <w:rFonts w:ascii="Times New Roman" w:hAnsi="Times New Roman"/>
          <w:sz w:val="22"/>
        </w:rPr>
        <w:t xml:space="preserve">its </w:t>
      </w:r>
      <w:r w:rsidRPr="00721FFF">
        <w:rPr>
          <w:rFonts w:ascii="Times New Roman" w:hAnsi="Times New Roman"/>
          <w:sz w:val="22"/>
        </w:rPr>
        <w:t xml:space="preserve">competitors. For audit firms, one way to </w:t>
      </w:r>
      <w:r w:rsidR="0076560A">
        <w:rPr>
          <w:rFonts w:ascii="Times New Roman" w:hAnsi="Times New Roman"/>
          <w:sz w:val="22"/>
        </w:rPr>
        <w:t>achieve a competitive advantage</w:t>
      </w:r>
      <w:r w:rsidRPr="00721FFF">
        <w:rPr>
          <w:rFonts w:ascii="Times New Roman" w:hAnsi="Times New Roman"/>
          <w:sz w:val="22"/>
        </w:rPr>
        <w:t xml:space="preserve"> is to obtain specializations in particular industries. This strategy is used by many audit firms aiming to attract more clients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"10.2308/aud.2003.22.2.33", "ISBN" : "02780380", "ISSN" : "0278-0380", "PMID" : "11721433", "abstract" : "This paper examines IPO audit fees to assess the use of industry specialization as a differentiation strategy by audit firms. We extend existing theory on the impact of industry specialization on audit fees by incorporating Porter's (1985) theory of competition and differentiation. We suggest that market share enables audit firms to gain competitive advantages in terms of cost and service. However, the impact of such advantages on fees depends on whether the audit firm has successfully differentiated itself from competitors within client industries. Our results indicate that as audit firm industry market share increases without a differentiation in market share, the audit fee charged for a given IPO decreases. In the context of Porter (1985), this result suggests that the client is able to bargain for a portion of the auditor's cost savings because the audit firm has not successfully differentiated itself from competitors. In contrast, we show that audit firms that possess significantly higher market shares than their industry competitors earn fee premiums, suggesting that audit firms that have successfully differentiated themselves retain a stronger bargaining position with their clients. [ABSTRACT FROM AUTHOR] Copyright of Auditing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"Mayhew", "given" : "Brian W.", "non-dropping-particle" : "", "parse-names" : false, "suffix" : "" }, { "dropping-particle" : "", "family" : "Wilkins", "given" : "Michael S.", "non-dropping-particle" : "", "parse-names" : false, "suffix" : "" } ], "container-title" : "AUDITING: A Journal of Practice &amp; Theory", "id" : "ITEM-1", "issued" : { "date-parts" : [ [ "2003" ] ] }, "page" : "33-52", "title" : "Audit Firm Industry Specialization as a Differentiation Strategy: Evidence from Fees Charged to Firms Going Public", "type" : "article", "volume" : "22" }, "uris" : [ "http://www.mendeley.com/documents/?uuid=0712cfae-4366-462d-a2bd-77b495704767" ] } ], "mendeley" : { "previouslyFormattedCitation" : "(Mayhew &amp; Wilkins, 2003)"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(Mayhew &amp; Wilkins, 2003)</w:t>
      </w:r>
      <w:r w:rsidR="004A36DA" w:rsidRPr="00721FFF">
        <w:rPr>
          <w:rFonts w:ascii="Times New Roman" w:hAnsi="Times New Roman"/>
          <w:sz w:val="22"/>
        </w:rPr>
        <w:fldChar w:fldCharType="end"/>
      </w:r>
      <w:r w:rsidRPr="00721FFF">
        <w:rPr>
          <w:rFonts w:ascii="Times New Roman" w:hAnsi="Times New Roman"/>
          <w:sz w:val="22"/>
        </w:rPr>
        <w:t xml:space="preserve">. Because they believe it increases the audit quality indeed this is appreciated by the audit clients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"10.1086/260996", "ISBN" : "00223808", "ISSN" : "0022-3808", "abstract" : "The conditions under which transactors can use the market (repeat-purchase) mechanism of contract enforcement are examined. Increased price is shown to be a means of assuring contractual performance. A necessary and sufficient condition for performance is the existence of price sufficiently above salvageable production costs so that the nonperforming firm loses a discounted steam of rents on future sales which is greater than the wealth increase from nonperformance. This will generally imply a market price greater than the perfectly competitive price and rationalize investments in firm-specific assets. Advertising investments thereby become a positive indicator of likely performance.", "author" : [ { "dropping-particle" : "", "family" : "Klein", "given" : "Benjamin", "non-dropping-particle" : "", "parse-names" : false, "suffix" : "" }, { "dropping-particle" : "", "family" : "Leffler", "given" : "Keith B.", "non-dropping-particle" : "", "parse-names" : false, "suffix" : "" } ], "container-title" : "Journal of Political Economy", "id" : "ITEM-1", "issued" : { "date-parts" : [ [ "1981" ] ] }, "page" : "615", "title" : "The Role of Market Forces in Assuring Contractual Performance", "type" : "article", "volume" : "89" }, "uris" : [ "http://www.mendeley.com/documents/?uuid=b60c5448-c1b1-4029-84a9-243d77f59c94" ] }, { "id" : "ITEM-2", "itemData" : { "DOI" : "10.1111/1475-679X.00075", "ISBN" : "00218456", "ISSN" : "0021-8456", "PMID" : "6682583", "abstract" : "To improve audit effectiveness, public accounting firms have organized their practices to include hierarchical review by teams organized along industry lines. We examine how industry specialized auditor teams detect errors, using a sophisticated experimental design. Our analysis of nominal teams created from seniors and managers working individually shows that seniors add value to the team by detecting more mechanical errors while managers detect more conceptual errors. Working within specialization, managers and seniors both contribute in a nonredundant way to the team's overall effectiveness. We also find that the nominal teams outperform real teams in the detection of mechanical but not conceptual errors. These results only hold when the auditors work within in their industry specialization. Out of specialization the auditors are not effective at detecting errors, and real teams perform below the nominal team benchmark in the detection of both mechanical and conceptual errors. [ABSTRACT FROM AUTHOR] Copyright of Journal of Accounting Research is the property of Wiley-Blackwell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"Owhoso", "given" : "Vincent E", "non-dropping-particle" : "", "parse-names" : false, "suffix" : "" }, { "dropping-particle" : "", "family" : "Messier", "given" : "Jr William F", "non-dropping-particle" : "", "parse-names" : false, "suffix" : "" }, { "dropping-particle" : "", "family" : "Lynch", "given" : "Jr John G", "non-dropping-particle" : "", "parse-names" : false, "suffix" : "" } ], "container-title" : "Journal of Accounting Research", "id" : "ITEM-2", "issued" : { "date-parts" : [ [ "2002" ] ] }, "page" : "883-900", "title" : "Error detection by industry-specialized teams during sequential audit review", "type" : "article-journal", "volume" : "40" }, "uris" : [ "http://www.mendeley.com/documents/?uuid=42e07382-130c-4009-938f-6a34797a4825" ] }, { "id" : "ITEM-3", "itemData" : { "DOI" : "10.2308/accr.2004.79.1.201", "ISBN" : "00014826", "ISSN" : "0001-4826", "PMID" : "13379142", "abstract" : "This study investigates the effects of industry specialization on auditors' risk assessments and audit-planning decisions. In an experiment, auditors from different industry specializations complete a hypothetical audit case set in a specific (bank) industry, which creates either a match or a mismatch between the auditors' industry specialization and the hypothetical client's industry. Furthermore, I manipulate the industry-specific case information to achieve differential audit risk levels. I also provide the auditors with a set of preliminary audit procedures and a constrained time budget. I find that the auditors' knowledge of the client's industry improves their audit risk assessments and directly influences the nature and the perceived quality of their audit-planning decisions. In addition, the auditors' knowledge of the client's industry moderates the sensitivity of the auditors' planning decisions to their audit risk assessments.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"Low", "given" : "Kin\u2010Yew", "non-dropping-particle" : "", "parse-names" : false, "suffix" : "" } ], "container-title" : "The Accounting Review", "id" : "ITEM-3", "issued" : { "date-parts" : [ [ "2004" ] ] }, "page" : "201-219", "title" : "The Effects of Industry Specialization on Audit Risk Assessments and Audit\u2010Planning Decisions", "type" : "article", "volume" : "79" }, "uris" : [ "http://www.mendeley.com/documents/?uuid=ae85f397-57e1-49ea-844a-9f9c8bae8d4f" ] } ], "mendeley" : { "previouslyFormattedCitation" : "(Klein &amp; Leffler, 1981; Low, 2004; Owhoso, Messier, &amp; Lynch, 2002)"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(Klein &amp; Leffler, 1981; Low, 2004; Owhoso, Messier, &amp; Lynch, 2002)</w:t>
      </w:r>
      <w:r w:rsidR="004A36DA" w:rsidRPr="00721FFF">
        <w:rPr>
          <w:rFonts w:ascii="Times New Roman" w:hAnsi="Times New Roman"/>
          <w:sz w:val="22"/>
        </w:rPr>
        <w:fldChar w:fldCharType="end"/>
      </w:r>
      <w:r w:rsidRPr="00721FFF">
        <w:rPr>
          <w:rFonts w:ascii="Times New Roman" w:hAnsi="Times New Roman"/>
          <w:sz w:val="22"/>
        </w:rPr>
        <w:t xml:space="preserve">.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lastRenderedPageBreak/>
        <w:t xml:space="preserve">The choice and the ability for audit firms to apply the specialization strategy is dependent on the type of industry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"10.2308/accr.2008.83.6.1393", "ISBN" : "00014826", "ISSN" : "0001-4826", "PMID" : "36494656", "abstract" : "A report issued by the U.S. General Accounting Office (GAO) in 2003 identified auditors' industry expertise as a critical factor for firms choosing an auditor, and highlighted the extreme levels of auditor concentration in some industries. We posit that the investment opportunity set (IOS) plays a fundamental role in determining whether an industry is an attractive target for auditor specialization. When industry- specific IOS is high, specialist auditors make costly investments in industry-specific knowledge, allowing them to offer a differentiated product and to create entry barriers for other audit firms. When the IOS of firms within an industry is relatively homoge- neous, auditors can transfer such knowledge across clients in the industry more easily, resulting in cost savings and scale economies. However, greater homogeneity of IOS in an industry can also increase a client's aversion to sharing an auditor with its competi- tors because of concerns about transfers of propiietary information, suggesting that industries with relatively homogeneous IOS are less likely to be dominated by a single auditor. We show that auditor concentration in an industry relates positively to both the level and homogeneity of IOS in the industry, while auditor dominance relates nega- tively to industry IOS homogeneity. Further, we find that audit fees are positively asso- ciated with both levels and homogeneity of industry IOS.", "author" : [ { "dropping-particle" : "", "family" : "Cahan", "given" : "Steven F.", "non-dropping-particle" : "", "parse-names" : false, "suffix" : "" }, { "dropping-particle" : "", "family" : "Godfrey", "given" : "Jayne M.", "non-dropping-particle" : "", "parse-names" : false, "suffix" : "" }, { "dropping-particle" : "", "family" : "Hamilton", "given" : "Jane", "non-dropping-particle" : "", "parse-names" : false, "suffix" : "" }, { "dropping-particle" : "", "family" : "Jeter", "given" : "Debra C.", "non-dropping-particle" : "", "parse-names" : false, "suffix" : "" } ], "container-title" : "The Accounting Review", "id" : "ITEM-1", "issued" : { "date-parts" : [ [ "2008" ] ] }, "page" : "1393-1423", "title" : "Auditor Specialization, Auditor Dominance, and Audit Fees: The Role of Investment Opportunities", "type" : "article", "volume" : "83" }, "uris" : [ "http://www.mendeley.com/documents/?uuid=d415d41e-9932-4f0b-ab0d-7800f31068cf" ] }, { "id" : "ITEM-2", "itemData" : { "DOI" : "10.2308/aud.2006.25.1.49", "ISBN" : "02780380", "ISSN" : "0278-0380", "abstract" : "In this study, we examine the association between industry homogeneity and auditor specialization. We find a significant association between our proxies for industry homogeneity (change in industry-member operating expenses) and auditor specialization (auditor concentration and auditor focus) after controlling for extent of industry regulation, litigiousness, growth, client-industry concentration, and the number of industry members. The positive relation between our specialist proxies and industry homogeneity indicates that auditors seek additional firms to audit in industries in which members have similar operations. This suggests that auditor specialization provides a cost-based competitive advantage because the cost of developing expertise is spread over more clients. Thus, in contrast to recent criticisms of auditor concentration, specialization results in more efficient audits. PUBLICATION ABSTRACT", "author" : [ { "dropping-particle" : "", "family" : "Cairney", "given" : "Timothy D.", "non-dropping-particle" : "", "parse-names" : false, "suffix" : "" }, { "dropping-particle" : "", "family" : "Young", "given" : "George R.", "non-dropping-particle" : "", "parse-names" : false, "suffix" : "" } ], "container-title" : "AUDITING: A Journal of Practice &amp; Theory", "id" : "ITEM-2", "issued" : { "date-parts" : [ [ "2006" ] ] }, "page" : "49-67", "title" : "Homogenous Industries and Auditor Specialization: An Indication of Production Economies", "type" : "article", "volume" : "25" }, "uris" : [ "http://www.mendeley.com/documents/?uuid=c3e0ed70-5626-43ce-a69e-c2e67802e38a" ] } ], "mendeley" : { "previouslyFormattedCitation" : "(Cahan, Godfrey, Hamilton, &amp; Jeter, 2008; Cairney &amp; Young, 2006)"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(Cahan, Godfrey, Hamilton, &amp; Jeter, 2008; Cairney &amp; Young, 2006)</w:t>
      </w:r>
      <w:r w:rsidR="004A36DA" w:rsidRPr="00721FFF">
        <w:rPr>
          <w:rFonts w:ascii="Times New Roman" w:hAnsi="Times New Roman"/>
          <w:sz w:val="22"/>
        </w:rPr>
        <w:fldChar w:fldCharType="end"/>
      </w:r>
      <w:r w:rsidRPr="00721FFF">
        <w:rPr>
          <w:rFonts w:ascii="Times New Roman" w:hAnsi="Times New Roman"/>
          <w:sz w:val="22"/>
        </w:rPr>
        <w:t xml:space="preserv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"10.2308/accr.2008.83.6.1393", "ISBN" : "00014826", "ISSN" : "0001-4826", "PMID" : "36494656", "abstract" : "A report issued by the U.S. General Accounting Office (GAO) in 2003 identified auditors' industry expertise as a critical factor for firms choosing an auditor, and highlighted the extreme levels of auditor concentration in some industries. We posit that the investment opportunity set (IOS) plays a fundamental role in determining whether an industry is an attractive target for auditor specialization. When industry- specific IOS is high, specialist auditors make costly investments in industry-specific knowledge, allowing them to offer a differentiated product and to create entry barriers for other audit firms. When the IOS of firms within an industry is relatively homoge- neous, auditors can transfer such knowledge across clients in the industry more easily, resulting in cost savings and scale economies. However, greater homogeneity of IOS in an industry can also increase a client's aversion to sharing an auditor with its competi- tors because of concerns about transfers of propiietary information, suggesting that industries with relatively homogeneous IOS are less likely to be dominated by a single auditor. We show that auditor concentration in an industry relates positively to both the level and homogeneity of IOS in the industry, while auditor dominance relates nega- tively to industry IOS homogeneity. Further, we find that audit fees are positively asso- ciated with both levels and homogeneity of industry IOS.", "author" : [ { "dropping-particle" : "", "family" : "Cahan", "given" : "Steven F.", "non-dropping-particle" : "", "parse-names" : false, "suffix" : "" }, { "dropping-particle" : "", "family" : "Godfrey", "given" : "Jayne M.", "non-dropping-particle" : "", "parse-names" : false, "suffix" : "" }, { "dropping-particle" : "", "family" : "Hamilton", "given" : "Jane", "non-dropping-particle" : "", "parse-names" : false, "suffix" : "" }, { "dropping-particle" : "", "family" : "Jeter", "given" : "Debra C.", "non-dropping-particle" : "", "parse-names" : false, "suffix" : "" } ], "container-title" : "The Accounting Review", "id" : "ITEM-1", "issued" : { "date-parts" : [ [ "2008" ] ] }, "page" : "1393-1423", "title" : "Auditor Specialization, Auditor Dominance, and Audit Fees: The Role of Investment Opportunities", "type" : "article", "volume" : "83" }, "uris" : [ "http://www.mendeley.com/documents/?uuid=d415d41e-9932-4f0b-ab0d-7800f31068cf" ] } ], "mendeley" : { "manualFormatting" : "Cahan et al. (2008)", "previouslyFormattedCitation" : "(Cahan et al., 2008)"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Cahan et al. (2008)</w:t>
      </w:r>
      <w:r w:rsidR="004A36DA" w:rsidRPr="00721FFF">
        <w:rPr>
          <w:rFonts w:ascii="Times New Roman" w:hAnsi="Times New Roman"/>
          <w:sz w:val="22"/>
        </w:rPr>
        <w:fldChar w:fldCharType="end"/>
      </w:r>
      <w:r w:rsidRPr="00721FFF">
        <w:rPr>
          <w:rFonts w:ascii="Times New Roman" w:hAnsi="Times New Roman"/>
          <w:sz w:val="22"/>
        </w:rPr>
        <w:t xml:space="preserve"> assert that the key driver for firms performing such a choice is the industry specific investment opportunity. They showed that exploiting investment opportunity requires industry specific knowledge, which an auditor may increase his competitive position. </w:t>
      </w:r>
    </w:p>
    <w:p w:rsidR="00D81E8C" w:rsidRPr="00721FFF" w:rsidRDefault="00D81E8C" w:rsidP="00D81E8C">
      <w:pPr>
        <w:spacing w:line="360" w:lineRule="auto"/>
        <w:jc w:val="both"/>
        <w:rPr>
          <w:rFonts w:ascii="Times New Roman" w:hAnsi="Times New Roman"/>
          <w:sz w:val="22"/>
        </w:rPr>
      </w:pPr>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 xml:space="preserve">Specialization in a particular industry enables a firm to increase its bargaining power against its current and potential audit clients and in addition increases the premium charged comparing to their less specialized competitors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"10.1097/00006534-199804050-00042", "ISBN" : "00178012", "ISSN" : "00178012", "PMID" : "18271320", "abstract" : "The nature and degree of competition in an industry hinge on 5 forces: the threat of new entrants, the bargaining power of customers, the bargaining power of suppliers, and the threat of substitute products or services (where applicable) and the jockeying among current contestants", "author" : [ { "dropping-particle" : "", "family" : "Porter", "given" : "Michael", "non-dropping-particle" : "", "parse-names" : false, "suffix" : "" } ], "container-title" : "Harvard business Review", "id" : "ITEM-1", "issued" : { "date-parts" : [ [ "1979" ] ] }, "page" : "137 - 145", "title" : "How Competitive Forces Shape Strategy", "type" : "article-journal" }, "uris" : [ "http://www.mendeley.com/documents/?uuid=60a3b477-6534-4b86-bb8d-06a0f08a3241" ] }, { "id" : "ITEM-2", "itemData" : { "DOI" : "10.1086/260996", "ISBN" : "00223808", "ISSN" : "0022-3808", "abstract" : "The conditions under which transactors can use the market (repeat-purchase) mechanism of contract enforcement are examined. Increased price is shown to be a means of assuring contractual performance. A necessary and sufficient condition for performance is the existence of price sufficiently above salvageable production costs so that the nonperforming firm loses a discounted steam of rents on future sales which is greater than the wealth increase from nonperformance. This will generally imply a market price greater than the perfectly competitive price and rationalize investments in firm-specific assets. Advertising investments thereby become a positive indicator of likely performance.", "author" : [ { "dropping-particle" : "", "family" : "Klein", "given" : "Benjamin", "non-dropping-particle" : "", "parse-names" : false, "suffix" : "" }, { "dropping-particle" : "", "family" : "Leffler", "given" : "Keith B.", "non-dropping-particle" : "", "parse-names" : false, "suffix" : "" } ], "container-title" : "Journal of Political Economy", "id" : "ITEM-2", "issued" : { "date-parts" : [ [ "1981" ] ] }, "page" : "615", "title" : "The Role of Market Forces in Assuring Contractual Performance", "type" : "article", "volume" : "89" }, "uris" : [ "http://www.mendeley.com/documents/?uuid=b60c5448-c1b1-4029-84a9-243d77f59c94" ] } ], "mendeley" : { "manualFormatting" : "(Klein &amp; Leffler, 1981; Porter, 1979)", "previouslyFormattedCitation" : "(Klein &amp; Leffler, 1981; M. Porter, 1979)"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(Klein &amp; Leffler, 1981; Porter, 1979)</w:t>
      </w:r>
      <w:r w:rsidR="004A36DA" w:rsidRPr="00721FFF">
        <w:rPr>
          <w:rFonts w:ascii="Times New Roman" w:hAnsi="Times New Roman"/>
          <w:sz w:val="22"/>
        </w:rPr>
        <w:fldChar w:fldCharType="end"/>
      </w:r>
      <w:r w:rsidRPr="00721FFF">
        <w:rPr>
          <w:rFonts w:ascii="Times New Roman" w:hAnsi="Times New Roman"/>
          <w:sz w:val="22"/>
        </w:rPr>
        <w:t xml:space="preserve">. Besides, a specialized audit could enjoy an increase in its reputation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"10.1016/0165-4101(81)90002-1", "ISBN" : "0165-4101", "ISSN" : "01654101", "abstract" : "Regulators and small audit firms allege that audit firm size does not affect audit quality and therefore should be irrelevant in the selection of an auditor. Contrary to this view, the current paper argues that audit quality is not independent of audit firm size, even when auditors initially possesses identical technological capabilities. In particular, when incumbent auditors earn client-specific quasi-rents, auditors with a greater number of clients have `more to lose' by failing to report a discovered breach in a particular client's records. This collateral aspect increases the audit quality supplied by larger audit firms. The implications for some recent recommendations of the AICPA Special Committee on Small and Medium Sized Firms are developed.", "author" : [ { "dropping-particle" : "", "family" : "DeAngelo", "given" : "Linda Elizabeth", "non-dropping-particle" : "", "parse-names" : false, "suffix" : "" } ], "container-title" : "Journal of Accounting and Economics", "id" : "ITEM-1", "issued" : { "date-parts" : [ [ "1981" ] ] }, "page" : "183-199", "title" : "Auditor size and audit quality", "type" : "article-journal", "volume" : "3" }, "uris" : [ "http://www.mendeley.com/documents/?uuid=2f698587-7e54-4b2f-8ee4-c58bcd59ba81" ] } ], "mendeley" : { "previouslyFormattedCitation" : "(DeAngelo, 1981)"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(DeAngelo, 1981)</w:t>
      </w:r>
      <w:r w:rsidR="004A36DA" w:rsidRPr="00721FFF">
        <w:rPr>
          <w:rFonts w:ascii="Times New Roman" w:hAnsi="Times New Roman"/>
          <w:sz w:val="22"/>
        </w:rPr>
        <w:fldChar w:fldCharType="end"/>
      </w:r>
      <w:r w:rsidRPr="00721FFF">
        <w:rPr>
          <w:rFonts w:ascii="Times New Roman" w:hAnsi="Times New Roman"/>
          <w:sz w:val="22"/>
        </w:rPr>
        <w:t xml:space="preserve">, which permits them possessing a more competitive advantage position and consequently increases its power, allowing them to charge a higher premium. On the other hand, specialized auditors are able to work more efficiently and in addition reduce the working hour needed. In addition, it is easier for them to achieve economic of scales particularly in their specialized industry. Consequently, increased specialization in specific industries may reduce a firm’s cost and provide the possibility of discounts in charging the audit fee </w:t>
      </w:r>
      <w:r w:rsidR="004A36DA" w:rsidRPr="00721FFF">
        <w:rPr>
          <w:rFonts w:ascii="Times New Roman" w:hAnsi="Times New Roman"/>
          <w:sz w:val="22"/>
        </w:rPr>
        <w:fldChar w:fldCharType="begin" w:fldLock="1"/>
      </w:r>
      <w:r w:rsidR="002177CD">
        <w:rPr>
          <w:rFonts w:ascii="Times New Roman" w:hAnsi="Times New Roman"/>
          <w:sz w:val="22"/>
        </w:rPr>
        <w:instrText>ADDIN CSL_CITATION { "citationItems" : [ { "id" : "ITEM-1", "itemData" : { "ISBN" : "00014826", "ISSN" : "0001-4826", "abstract" : "ABSTRACT: This study is both a replication and an extension of prior work on auditor concentration in specific industries. By expanding the client population sevenfold, more comprehensive measurement of concentration is obtained than was possible in previous research. Prior studies' conclusions concerning the variability of auditor concentration across industries are supported, but the levels of concentration appear to be lower when a surrogate for audit fees is employed as the measure of CPA-firm activity levels. An important finding is that concentration measures are quite sensitive to the CPA-firm activity measure employed. A model is posited for explaining the level of auditor concentration in any given industry. The model states that auditor concentration is a positive function of the degree of client-industry regulation and capital market activity. Tests of this model across 54 industries indicate statistically significant positive associations between the two proposed explanatory variables, and the level of CPA-firm concentration.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"Eichenseher", "given" : "John W", "non-dropping-particle" : "", "parse-names" : false, "suffix" : "" }, { "dropping-particle" : "", "family" : "Danos", "given" : "Paul", "non-dropping-particle" : "", "parse-names" : false, "suffix" : "" } ], "container-title" : "Accounting Review", "id" : "ITEM-1", "issued" : { "date-parts" : [ [ "1981" ] ] }, "page" : "479-492", "title" : "The Analysis of Industry-Specific Auditor Concentration: Towards an Explanatory Model", "type" : "article-journal", "volume" : "56" }, "uris" : [ "http://www.mendeley.com/documents/?uuid=b6a27b93-9380-49f2-b375-af139c0ad2ec" ] }, { "id" : "ITEM-2", "itemData" : { "DOI" : "10.2308/aud.2006.25.1.49", "ISBN" : "02780380", "ISSN" : "0278-0380", "abstract" : "In this study, we examine the association between industry homogeneity and auditor specialization. We find a significant association between our proxies for industry homogeneity (change in industry-member operating expenses) and auditor specialization (auditor concentration and auditor focus) after controlling for extent of industry regulation, litigiousness, growth, client-industry concentration, and the number of industry members. The positive relation between our specialist proxies and industry homogeneity indicates that auditors seek additional firms to audit in industries in which members have similar operations. This suggests that auditor specialization provides a cost-based competitive advantage because the cost of developing expertise is spread over more clients. Thus, in contrast to recent criticisms of auditor concentration, specialization results in more efficient audits. PUBLICATION ABSTRACT", "author" : [ { "dropping-particle" : "", "family" : "Cairney", "given" : "Timothy D.", "non-dropping-particle" : "", "parse-names" : false, "suffix" : "" }, { "dropping-particle" : "", "family" : "Young", "given" : "George R.", "non-dropping-particle" : "", "parse-names" : false, "suffix" : "" } ], "container-title" : "AUDITING: A Journal of Practice &amp; Theory", "id" : "ITEM-2", "issued" : { "date-parts" : [ [ "2006" ] ] }, "page" : "49-67", "title" : "Homogenous Industries and Auditor Specialization: An Indication of Production Economies", "type" : "article", "volume" : "25" }, "uris" : [ "http://www.mendeley.com/documents/?uuid=c3e0ed70-5626-43ce-a69e-c2e67802e38a" ] } ], "mendeley" : { "previouslyFormattedCitation" : "(Cairney &amp; Young, 2006; Eichenseher &amp; Danos, 1981)" }, "properties" : { "noteIndex" : 0 }, "schema" : "https://github.com/citation-style-language/schema/raw/master/csl-citation.json" }</w:instrText>
      </w:r>
      <w:r w:rsidR="004A36DA" w:rsidRPr="00721FFF">
        <w:rPr>
          <w:rFonts w:ascii="Times New Roman" w:hAnsi="Times New Roman"/>
          <w:sz w:val="22"/>
        </w:rPr>
        <w:fldChar w:fldCharType="separate"/>
      </w:r>
      <w:r w:rsidRPr="00721FFF">
        <w:rPr>
          <w:rFonts w:ascii="Times New Roman" w:hAnsi="Times New Roman"/>
          <w:noProof/>
          <w:sz w:val="22"/>
        </w:rPr>
        <w:t>(Cairney &amp; Young, 2006; Eichenseher &amp; Danos, 1981)</w:t>
      </w:r>
      <w:r w:rsidR="004A36DA" w:rsidRPr="00721FFF">
        <w:rPr>
          <w:rFonts w:ascii="Times New Roman" w:hAnsi="Times New Roman"/>
          <w:sz w:val="22"/>
        </w:rPr>
        <w:fldChar w:fldCharType="end"/>
      </w:r>
      <w:r w:rsidRPr="00721FFF">
        <w:rPr>
          <w:rFonts w:ascii="Times New Roman" w:hAnsi="Times New Roman"/>
          <w:sz w:val="22"/>
        </w:rPr>
        <w:t xml:space="preserve">. Summarizing, industry specialists have the incentive and the ability to charge either a fee premium or discounts. </w:t>
      </w:r>
    </w:p>
    <w:p w:rsidR="00D81E8C" w:rsidRDefault="00D81E8C" w:rsidP="00D81E8C">
      <w:pPr>
        <w:spacing w:line="360" w:lineRule="auto"/>
        <w:ind w:left="113" w:right="113"/>
        <w:jc w:val="both"/>
        <w:rPr>
          <w:rFonts w:ascii="Times New Roman" w:hAnsi="Times New Roman"/>
        </w:rPr>
      </w:pPr>
    </w:p>
    <w:p w:rsidR="00D81E8C" w:rsidRPr="006879C9" w:rsidRDefault="00D81E8C" w:rsidP="006879C9">
      <w:pPr>
        <w:pStyle w:val="Subtitle"/>
        <w:spacing w:line="360" w:lineRule="auto"/>
        <w:jc w:val="left"/>
        <w:rPr>
          <w:b/>
        </w:rPr>
      </w:pPr>
      <w:bookmarkStart w:id="44" w:name="_Toc393872545"/>
      <w:r w:rsidRPr="006879C9">
        <w:rPr>
          <w:b/>
        </w:rPr>
        <w:t>2.6 Summary</w:t>
      </w:r>
      <w:bookmarkEnd w:id="44"/>
    </w:p>
    <w:p w:rsidR="00D81E8C" w:rsidRPr="00721FFF" w:rsidRDefault="00D81E8C" w:rsidP="00D81E8C">
      <w:pPr>
        <w:spacing w:line="360" w:lineRule="auto"/>
        <w:jc w:val="both"/>
        <w:rPr>
          <w:rFonts w:ascii="Times New Roman" w:hAnsi="Times New Roman"/>
          <w:sz w:val="22"/>
        </w:rPr>
      </w:pPr>
      <w:r w:rsidRPr="00721FFF">
        <w:rPr>
          <w:rFonts w:ascii="Times New Roman" w:hAnsi="Times New Roman"/>
          <w:sz w:val="22"/>
        </w:rPr>
        <w:t>In the introduction of this thesis, several questions were formulated to provide a better understanding of this thesis. This chapter has answered the first four questions. A brief summary of the answers is provided below.</w:t>
      </w:r>
    </w:p>
    <w:p w:rsidR="00D81E8C" w:rsidRPr="00721FFF" w:rsidRDefault="00D81E8C"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i/>
          <w:sz w:val="22"/>
        </w:rPr>
      </w:pPr>
      <w:r w:rsidRPr="00721FFF">
        <w:rPr>
          <w:rFonts w:ascii="Times New Roman" w:hAnsi="Times New Roman"/>
          <w:i/>
          <w:sz w:val="22"/>
        </w:rPr>
        <w:t>1</w:t>
      </w:r>
      <w:r w:rsidR="00E71DF8">
        <w:rPr>
          <w:rFonts w:ascii="Times New Roman" w:hAnsi="Times New Roman"/>
          <w:i/>
          <w:sz w:val="22"/>
        </w:rPr>
        <w:t>.</w:t>
      </w:r>
      <w:r w:rsidRPr="00721FFF">
        <w:rPr>
          <w:rFonts w:ascii="Times New Roman" w:hAnsi="Times New Roman"/>
          <w:i/>
          <w:sz w:val="22"/>
        </w:rPr>
        <w:t xml:space="preserve"> What is the function of a public auditor?</w:t>
      </w:r>
    </w:p>
    <w:p w:rsidR="00D81E8C" w:rsidRPr="00721FFF" w:rsidRDefault="00D81E8C" w:rsidP="00D81E8C">
      <w:pPr>
        <w:spacing w:line="360" w:lineRule="auto"/>
        <w:ind w:right="113"/>
        <w:jc w:val="both"/>
        <w:rPr>
          <w:rFonts w:ascii="Times New Roman" w:hAnsi="Times New Roman"/>
          <w:sz w:val="22"/>
        </w:rPr>
      </w:pPr>
      <w:r w:rsidRPr="00721FFF">
        <w:rPr>
          <w:rFonts w:ascii="Times New Roman" w:hAnsi="Times New Roman"/>
          <w:sz w:val="22"/>
        </w:rPr>
        <w:t>The role of a public auditor is to provide reasonable assurance that the published financial statements of a company are free of material misstatements. Since an important group of financial statements users is capital providers of the company, this is essential concerning the effectiveness of the capital market.</w:t>
      </w:r>
    </w:p>
    <w:p w:rsidR="00D81E8C" w:rsidRPr="00721FFF" w:rsidRDefault="00D81E8C"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i/>
          <w:sz w:val="22"/>
        </w:rPr>
      </w:pPr>
      <w:r w:rsidRPr="00721FFF">
        <w:rPr>
          <w:rFonts w:ascii="Times New Roman" w:hAnsi="Times New Roman"/>
          <w:i/>
          <w:sz w:val="22"/>
        </w:rPr>
        <w:t>2</w:t>
      </w:r>
      <w:r w:rsidR="00E71DF8">
        <w:rPr>
          <w:rFonts w:ascii="Times New Roman" w:hAnsi="Times New Roman"/>
          <w:i/>
          <w:sz w:val="22"/>
        </w:rPr>
        <w:t>.</w:t>
      </w:r>
      <w:r w:rsidRPr="00721FFF">
        <w:rPr>
          <w:rFonts w:ascii="Times New Roman" w:hAnsi="Times New Roman"/>
          <w:i/>
          <w:sz w:val="22"/>
        </w:rPr>
        <w:t xml:space="preserve"> What is the content of the term client complexity?</w:t>
      </w:r>
    </w:p>
    <w:p w:rsidR="00D81E8C" w:rsidRPr="00721FFF" w:rsidRDefault="00D81E8C" w:rsidP="00D81E8C">
      <w:pPr>
        <w:spacing w:line="360" w:lineRule="auto"/>
        <w:ind w:right="113"/>
        <w:jc w:val="both"/>
        <w:rPr>
          <w:rFonts w:ascii="Times New Roman" w:hAnsi="Times New Roman"/>
          <w:sz w:val="22"/>
        </w:rPr>
      </w:pPr>
      <w:r w:rsidRPr="00721FFF">
        <w:rPr>
          <w:rFonts w:ascii="Times New Roman" w:hAnsi="Times New Roman"/>
          <w:sz w:val="22"/>
        </w:rPr>
        <w:t xml:space="preserve">Client complexity can be qualified as an attribute from clients’ side to influence the audit fee. Typically, client complexity is measured using the number of subsidiaries. Since the complexity creates a more time-consuming audit, auditors usually charge a higher fee for complex clients. </w:t>
      </w:r>
    </w:p>
    <w:p w:rsidR="00D81E8C" w:rsidRPr="00721FFF" w:rsidRDefault="00D81E8C"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sz w:val="22"/>
        </w:rPr>
      </w:pPr>
      <w:r w:rsidRPr="00721FFF">
        <w:rPr>
          <w:rFonts w:ascii="Times New Roman" w:hAnsi="Times New Roman"/>
          <w:sz w:val="22"/>
        </w:rPr>
        <w:t xml:space="preserve">In this thesis, client complexity will be measured based on the industry characteristics, which can be implemented that some industries are systematically more difficult to audit than other industries. </w:t>
      </w:r>
    </w:p>
    <w:p w:rsidR="00D81E8C" w:rsidRPr="00721FFF" w:rsidRDefault="00D81E8C"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i/>
          <w:sz w:val="22"/>
        </w:rPr>
      </w:pPr>
      <w:r w:rsidRPr="00721FFF">
        <w:rPr>
          <w:rFonts w:ascii="Times New Roman" w:hAnsi="Times New Roman"/>
          <w:i/>
          <w:sz w:val="22"/>
        </w:rPr>
        <w:lastRenderedPageBreak/>
        <w:t>3</w:t>
      </w:r>
      <w:r w:rsidR="00E71DF8">
        <w:rPr>
          <w:rFonts w:ascii="Times New Roman" w:hAnsi="Times New Roman"/>
          <w:i/>
          <w:sz w:val="22"/>
        </w:rPr>
        <w:t>.</w:t>
      </w:r>
      <w:r w:rsidRPr="00721FFF">
        <w:rPr>
          <w:rFonts w:ascii="Times New Roman" w:hAnsi="Times New Roman"/>
          <w:i/>
          <w:sz w:val="22"/>
        </w:rPr>
        <w:t xml:space="preserve"> What is the content of the term auditors’ industry specialization? </w:t>
      </w:r>
    </w:p>
    <w:p w:rsidR="00D81E8C" w:rsidRDefault="00D81E8C" w:rsidP="00D81E8C">
      <w:pPr>
        <w:spacing w:line="360" w:lineRule="auto"/>
        <w:ind w:right="113"/>
        <w:jc w:val="both"/>
        <w:rPr>
          <w:rFonts w:ascii="Times New Roman" w:hAnsi="Times New Roman"/>
          <w:sz w:val="22"/>
        </w:rPr>
      </w:pPr>
      <w:r w:rsidRPr="00721FFF">
        <w:rPr>
          <w:rFonts w:ascii="Times New Roman" w:hAnsi="Times New Roman"/>
          <w:sz w:val="22"/>
        </w:rPr>
        <w:t>In order to increase its competitive position, audit firms can choose for a differentiation strategy. Auditors’ specialization is one way to achieve it. When an auditor is specialized in a particular industry, it will gain the ability to charge either a fee premium or discounts.</w:t>
      </w:r>
    </w:p>
    <w:p w:rsidR="0076560A" w:rsidRPr="00721FFF" w:rsidRDefault="0076560A"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sz w:val="22"/>
        </w:rPr>
      </w:pPr>
      <w:r w:rsidRPr="00721FFF">
        <w:rPr>
          <w:rFonts w:ascii="Times New Roman" w:hAnsi="Times New Roman"/>
          <w:sz w:val="22"/>
        </w:rPr>
        <w:t xml:space="preserve">It is essential to note that this specialization is not mandatory in completing an audit engagement. </w:t>
      </w:r>
    </w:p>
    <w:p w:rsidR="00D81E8C" w:rsidRPr="00721FFF" w:rsidRDefault="00D81E8C" w:rsidP="00D81E8C">
      <w:pPr>
        <w:spacing w:line="360" w:lineRule="auto"/>
        <w:ind w:right="113"/>
        <w:jc w:val="both"/>
        <w:rPr>
          <w:rFonts w:ascii="Times New Roman" w:hAnsi="Times New Roman"/>
          <w:sz w:val="22"/>
        </w:rPr>
      </w:pPr>
    </w:p>
    <w:p w:rsidR="00D81E8C" w:rsidRPr="00721FFF" w:rsidRDefault="00D81E8C" w:rsidP="00D81E8C">
      <w:pPr>
        <w:spacing w:line="360" w:lineRule="auto"/>
        <w:ind w:right="113"/>
        <w:jc w:val="both"/>
        <w:rPr>
          <w:rFonts w:ascii="Times New Roman" w:hAnsi="Times New Roman"/>
          <w:i/>
          <w:sz w:val="22"/>
        </w:rPr>
      </w:pPr>
      <w:r w:rsidRPr="00721FFF">
        <w:rPr>
          <w:rFonts w:ascii="Times New Roman" w:hAnsi="Times New Roman"/>
          <w:i/>
          <w:sz w:val="22"/>
        </w:rPr>
        <w:t>4</w:t>
      </w:r>
      <w:r w:rsidR="00E71DF8">
        <w:rPr>
          <w:rFonts w:ascii="Times New Roman" w:hAnsi="Times New Roman"/>
          <w:i/>
          <w:sz w:val="22"/>
        </w:rPr>
        <w:t>.</w:t>
      </w:r>
      <w:r w:rsidRPr="00721FFF">
        <w:rPr>
          <w:rFonts w:ascii="Times New Roman" w:hAnsi="Times New Roman"/>
          <w:i/>
          <w:sz w:val="22"/>
        </w:rPr>
        <w:t xml:space="preserve"> Why does the complexity will drive up the audit fee?</w:t>
      </w:r>
    </w:p>
    <w:p w:rsidR="00D81E8C" w:rsidRPr="00721FFF" w:rsidRDefault="00D81E8C" w:rsidP="00D81E8C">
      <w:pPr>
        <w:spacing w:line="360" w:lineRule="auto"/>
        <w:ind w:right="113"/>
        <w:jc w:val="both"/>
        <w:rPr>
          <w:rFonts w:ascii="Times New Roman" w:hAnsi="Times New Roman"/>
          <w:sz w:val="22"/>
        </w:rPr>
      </w:pPr>
      <w:r w:rsidRPr="00721FFF">
        <w:rPr>
          <w:rFonts w:ascii="Times New Roman" w:hAnsi="Times New Roman"/>
          <w:sz w:val="22"/>
        </w:rPr>
        <w:t xml:space="preserve">Because auditors need to spend more time to have a good understanding of the business, basically, a complex company requires more efforts from the auditors. This process is essential concerning the development of the audit strategy. Consequently, to compensate their efforts due to the complexity, auditors will charge a fee premium. </w:t>
      </w:r>
    </w:p>
    <w:p w:rsidR="00D81E8C" w:rsidRDefault="00D81E8C" w:rsidP="00D81E8C">
      <w:pPr>
        <w:spacing w:line="360" w:lineRule="auto"/>
        <w:ind w:right="113"/>
        <w:jc w:val="both"/>
        <w:rPr>
          <w:rFonts w:ascii="Times New Roman" w:hAnsi="Times New Roman"/>
        </w:rPr>
      </w:pPr>
      <w:r>
        <w:rPr>
          <w:rFonts w:ascii="Times New Roman" w:hAnsi="Times New Roman"/>
        </w:rPr>
        <w:t xml:space="preserve"> </w:t>
      </w:r>
    </w:p>
    <w:p w:rsidR="00D81E8C" w:rsidRDefault="00D81E8C">
      <w:pPr>
        <w:overflowPunct/>
        <w:autoSpaceDE/>
        <w:autoSpaceDN/>
        <w:adjustRightInd/>
        <w:spacing w:after="200" w:line="276" w:lineRule="auto"/>
        <w:textAlignment w:val="auto"/>
        <w:rPr>
          <w:rFonts w:ascii="Times New Roman" w:hAnsi="Times New Roman"/>
          <w:sz w:val="22"/>
          <w:szCs w:val="22"/>
        </w:rPr>
      </w:pPr>
      <w:r>
        <w:rPr>
          <w:rFonts w:ascii="Times New Roman" w:hAnsi="Times New Roman"/>
          <w:sz w:val="22"/>
          <w:szCs w:val="22"/>
        </w:rPr>
        <w:br w:type="page"/>
      </w:r>
    </w:p>
    <w:p w:rsidR="00144315" w:rsidRDefault="00144315" w:rsidP="00144315">
      <w:pPr>
        <w:pStyle w:val="Title"/>
        <w:spacing w:line="360" w:lineRule="auto"/>
        <w:jc w:val="left"/>
      </w:pPr>
      <w:bookmarkStart w:id="45" w:name="_Toc393872546"/>
      <w:r>
        <w:lastRenderedPageBreak/>
        <w:t>3. Prior Research</w:t>
      </w:r>
      <w:bookmarkEnd w:id="45"/>
    </w:p>
    <w:p w:rsidR="00144315" w:rsidRDefault="00144315" w:rsidP="00144315">
      <w:pPr>
        <w:pStyle w:val="Subtitle"/>
        <w:spacing w:line="360" w:lineRule="auto"/>
        <w:jc w:val="left"/>
      </w:pPr>
      <w:bookmarkStart w:id="46" w:name="_Toc393872547"/>
      <w:r>
        <w:rPr>
          <w:b/>
        </w:rPr>
        <w:t>3.1 Introduction</w:t>
      </w:r>
      <w:bookmarkEnd w:id="46"/>
    </w:p>
    <w:p w:rsidR="00144315" w:rsidRDefault="00144315" w:rsidP="00144315">
      <w:pPr>
        <w:spacing w:line="360" w:lineRule="auto"/>
        <w:jc w:val="both"/>
      </w:pPr>
      <w:r>
        <w:rPr>
          <w:rFonts w:ascii="Times New Roman" w:hAnsi="Times New Roman"/>
          <w:sz w:val="22"/>
        </w:rPr>
        <w:t>This thesis investigates the influence of the auditor’s industry specialization on the audit fee among listed firms in the United States of America (U.S). In order to have a better understanding of the topic in this chapter the determinants of the audit fee will be analyzed. Consequently</w:t>
      </w:r>
      <w:r w:rsidR="00E40C29">
        <w:rPr>
          <w:rFonts w:ascii="Times New Roman" w:hAnsi="Times New Roman"/>
          <w:sz w:val="22"/>
        </w:rPr>
        <w:t>,</w:t>
      </w:r>
      <w:r>
        <w:rPr>
          <w:rFonts w:ascii="Times New Roman" w:hAnsi="Times New Roman"/>
          <w:sz w:val="22"/>
        </w:rPr>
        <w:t xml:space="preserve"> this will provide a context in which the results of this thesis can be referred.</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In this chapter, seven academic articles published during 1986 up to and included 2013 in great detail will be presented. These articles possess either comparable research objective or methodology with this thesis. By comparing with previous studies, it provides the possibility to explanation the implications of the results in this thesis.</w:t>
      </w:r>
      <w:r w:rsidR="00E40C29">
        <w:rPr>
          <w:rFonts w:ascii="Times New Roman" w:hAnsi="Times New Roman"/>
          <w:sz w:val="22"/>
        </w:rPr>
        <w:t xml:space="preserve"> A short summary of all articles is provided in appendix 1.</w:t>
      </w:r>
    </w:p>
    <w:p w:rsidR="00144315" w:rsidRDefault="00144315" w:rsidP="00144315">
      <w:pPr>
        <w:spacing w:line="360" w:lineRule="auto"/>
        <w:jc w:val="both"/>
      </w:pPr>
    </w:p>
    <w:p w:rsidR="00144315" w:rsidRDefault="004A36DA" w:rsidP="00144315">
      <w:pPr>
        <w:spacing w:line="360" w:lineRule="auto"/>
        <w:jc w:val="both"/>
      </w:pPr>
      <w:r>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"manualFormatting" : "Simunic (1980)", "previouslyFormattedCitation" : "(Simunic, 1980)" }, "properties" : { "noteIndex" : 0 }, "schema" : "https://github.com/citation-style-language/schema/raw/master/csl-citation.json" }</w:instrText>
      </w:r>
      <w:r>
        <w:rPr>
          <w:rFonts w:ascii="Times New Roman" w:hAnsi="Times New Roman"/>
          <w:sz w:val="22"/>
        </w:rPr>
        <w:fldChar w:fldCharType="separate"/>
      </w:r>
      <w:r w:rsidR="00144315">
        <w:rPr>
          <w:rFonts w:ascii="Times New Roman" w:hAnsi="Times New Roman"/>
          <w:noProof/>
          <w:sz w:val="22"/>
        </w:rPr>
        <w:t>Simunic</w:t>
      </w:r>
      <w:r w:rsidR="00144315" w:rsidRPr="001B5E46">
        <w:rPr>
          <w:rFonts w:ascii="Times New Roman" w:hAnsi="Times New Roman"/>
          <w:noProof/>
          <w:sz w:val="22"/>
        </w:rPr>
        <w:t xml:space="preserve"> </w:t>
      </w:r>
      <w:r w:rsidR="00144315">
        <w:rPr>
          <w:rFonts w:ascii="Times New Roman" w:hAnsi="Times New Roman"/>
          <w:noProof/>
          <w:sz w:val="22"/>
        </w:rPr>
        <w:t>(</w:t>
      </w:r>
      <w:r w:rsidR="00144315" w:rsidRPr="001B5E46">
        <w:rPr>
          <w:rFonts w:ascii="Times New Roman" w:hAnsi="Times New Roman"/>
          <w:noProof/>
          <w:sz w:val="22"/>
        </w:rPr>
        <w:t>1980)</w:t>
      </w:r>
      <w:r>
        <w:rPr>
          <w:rFonts w:ascii="Times New Roman" w:hAnsi="Times New Roman"/>
          <w:sz w:val="22"/>
        </w:rPr>
        <w:fldChar w:fldCharType="end"/>
      </w:r>
      <w:r w:rsidR="00144315">
        <w:rPr>
          <w:rFonts w:ascii="Times New Roman" w:hAnsi="Times New Roman"/>
          <w:sz w:val="22"/>
        </w:rPr>
        <w:t xml:space="preserve"> suggested investigating the direct determinants that significantly influences the audit fee. This approach was applauded by researchers and services as the foundation concerning the study of the audit fee. The next passage summarizes in which way this was applied in most audit fee studies.</w:t>
      </w:r>
    </w:p>
    <w:p w:rsidR="00144315" w:rsidRDefault="00144315" w:rsidP="00144315">
      <w:pPr>
        <w:spacing w:line="360" w:lineRule="auto"/>
        <w:jc w:val="both"/>
      </w:pPr>
    </w:p>
    <w:p w:rsidR="00144315" w:rsidRDefault="00144315" w:rsidP="00144315">
      <w:pPr>
        <w:spacing w:line="360" w:lineRule="auto"/>
      </w:pPr>
      <w:r>
        <w:rPr>
          <w:rFonts w:ascii="Times New Roman" w:hAnsi="Times New Roman"/>
          <w:i/>
          <w:sz w:val="22"/>
        </w:rPr>
        <w:t>“</w:t>
      </w:r>
      <w:r>
        <w:rPr>
          <w:rFonts w:ascii="Times New Roman" w:hAnsi="Times New Roman"/>
          <w:i/>
          <w:color w:val="231F20"/>
          <w:sz w:val="22"/>
        </w:rPr>
        <w:t>Typically, an estimation model is developed by regressing fees against a variety of measures surrogating for attributes that are hypothesized to relate to audit fees, either negatively or positively”</w:t>
      </w:r>
      <w:r>
        <w:rPr>
          <w:rFonts w:ascii="Times New Roman" w:hAnsi="Times New Roman"/>
          <w:color w:val="231F20"/>
          <w:sz w:val="22"/>
        </w:rPr>
        <w:t xml:space="preserve"> </w:t>
      </w:r>
      <w:r w:rsidR="004A36DA">
        <w:rPr>
          <w:rFonts w:ascii="Times New Roman" w:hAnsi="Times New Roman"/>
          <w:color w:val="231F20"/>
          <w:sz w:val="22"/>
        </w:rPr>
        <w:fldChar w:fldCharType="begin" w:fldLock="1"/>
      </w:r>
      <w:r w:rsidR="002177CD">
        <w:rPr>
          <w:rFonts w:ascii="Times New Roman" w:hAnsi="Times New Roman"/>
          <w:color w:val="231F20"/>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"locator" : "146", "uris" : [ "http://www.mendeley.com/documents/?uuid=c6ababa2-8d41-451a-9e68-b2460e76eeb8" ] } ], "mendeley" : { "previouslyFormattedCitation" : "(Hay et al., 2006, p. 146)" }, "properties" : { "noteIndex" : 0 }, "schema" : "https://github.com/citation-style-language/schema/raw/master/csl-citation.json" }</w:instrText>
      </w:r>
      <w:r w:rsidR="004A36DA">
        <w:rPr>
          <w:rFonts w:ascii="Times New Roman" w:hAnsi="Times New Roman"/>
          <w:color w:val="231F20"/>
          <w:sz w:val="22"/>
        </w:rPr>
        <w:fldChar w:fldCharType="separate"/>
      </w:r>
      <w:r w:rsidR="001A3C03" w:rsidRPr="001A3C03">
        <w:rPr>
          <w:rFonts w:ascii="Times New Roman" w:hAnsi="Times New Roman"/>
          <w:noProof/>
          <w:color w:val="231F20"/>
          <w:sz w:val="22"/>
        </w:rPr>
        <w:t>(Hay et al., 2006, p. 146)</w:t>
      </w:r>
      <w:r w:rsidR="004A36DA">
        <w:rPr>
          <w:rFonts w:ascii="Times New Roman" w:hAnsi="Times New Roman"/>
          <w:color w:val="231F20"/>
          <w:sz w:val="22"/>
        </w:rPr>
        <w:fldChar w:fldCharType="end"/>
      </w:r>
      <w:r>
        <w:rPr>
          <w:rFonts w:ascii="Times New Roman" w:hAnsi="Times New Roman"/>
          <w:color w:val="231F20"/>
          <w:sz w:val="22"/>
        </w:rPr>
        <w:t xml:space="preserve">. This was illustrated in the next equation: </w:t>
      </w:r>
    </w:p>
    <w:p w:rsidR="00144315" w:rsidRDefault="00144315" w:rsidP="00144315">
      <w:pPr>
        <w:spacing w:line="360" w:lineRule="auto"/>
      </w:pPr>
    </w:p>
    <w:p w:rsidR="00144315" w:rsidRPr="00D15F9F" w:rsidRDefault="001B0B3C" w:rsidP="001B0B3C">
      <w:pPr>
        <w:spacing w:line="360" w:lineRule="auto"/>
        <w:ind w:left="284"/>
        <w:jc w:val="both"/>
      </w:pPr>
      <w:r>
        <w:rPr>
          <w:color w:val="231F20"/>
          <w:sz w:val="22"/>
        </w:rPr>
        <w:t xml:space="preserve">                                          </w:t>
      </w:r>
      <m:oMath>
        <m:r>
          <m:rPr>
            <m:sty m:val="p"/>
          </m:rPr>
          <w:rPr>
            <w:rFonts w:ascii="Cambria Math" w:eastAsia="Cambria" w:hAnsi="Cambria Math" w:cs="Cambria"/>
            <w:color w:val="231F20"/>
            <w:sz w:val="22"/>
          </w:rPr>
          <m:t>Ln</m:t>
        </m:r>
        <m:r>
          <m:rPr>
            <m:sty m:val="p"/>
          </m:rPr>
          <w:rPr>
            <w:rFonts w:ascii="Cambria Math" w:hAnsi="Cambria Math"/>
          </w:rPr>
          <m:t xml:space="preserve"> </m:t>
        </m:r>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f</m:t>
            </m:r>
          </m:e>
          <m:sub>
            <m:r>
              <m:rPr>
                <m:sty m:val="p"/>
              </m:rPr>
              <w:rPr>
                <w:rFonts w:ascii="Cambria Math" w:eastAsia="Cambria" w:hAnsi="Cambria Math" w:cs="Cambria"/>
                <w:color w:val="231F20"/>
                <w:sz w:val="22"/>
              </w:rPr>
              <m:t>i</m:t>
            </m:r>
          </m:sub>
        </m:sSub>
        <m:r>
          <m:rPr>
            <m:sty m:val="p"/>
          </m:rPr>
          <w:rPr>
            <w:rFonts w:ascii="Cambria Math" w:hAnsi="Cambria Math"/>
          </w:rPr>
          <m:t xml:space="preserve"> </m:t>
        </m:r>
        <m:r>
          <m:rPr>
            <m:sty m:val="p"/>
          </m:rPr>
          <w:rPr>
            <w:rFonts w:ascii="Cambria Math" w:eastAsia="Cambria" w:hAnsi="Cambria Math" w:cs="Cambria"/>
            <w:color w:val="231F20"/>
            <w:sz w:val="22"/>
          </w:rPr>
          <m:t>=</m:t>
        </m:r>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b</m:t>
            </m:r>
          </m:e>
          <m:sub>
            <m:r>
              <m:rPr>
                <m:sty m:val="p"/>
              </m:rPr>
              <w:rPr>
                <w:rFonts w:ascii="Cambria Math" w:eastAsia="Cambria" w:hAnsi="Cambria Math" w:cs="Cambria"/>
                <w:color w:val="231F20"/>
                <w:sz w:val="22"/>
              </w:rPr>
              <m:t>0</m:t>
            </m:r>
          </m:sub>
        </m:sSub>
        <m:r>
          <m:rPr>
            <m:sty m:val="p"/>
          </m:rPr>
          <w:rPr>
            <w:rFonts w:ascii="Cambria Math" w:eastAsia="Cambria" w:hAnsi="Cambria Math" w:cs="Cambria"/>
            <w:color w:val="231F20"/>
            <w:sz w:val="22"/>
          </w:rPr>
          <m:t>+</m:t>
        </m:r>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b</m:t>
            </m:r>
          </m:e>
          <m:sub>
            <m:r>
              <m:rPr>
                <m:sty m:val="p"/>
              </m:rPr>
              <w:rPr>
                <w:rFonts w:ascii="Cambria Math" w:eastAsia="Cambria" w:hAnsi="Cambria Math" w:cs="Cambria"/>
                <w:color w:val="231F20"/>
                <w:sz w:val="22"/>
              </w:rPr>
              <m:t>1</m:t>
            </m:r>
          </m:sub>
        </m:sSub>
        <m:r>
          <m:rPr>
            <m:sty m:val="p"/>
          </m:rPr>
          <w:rPr>
            <w:rFonts w:ascii="Cambria Math" w:eastAsia="Cambria" w:hAnsi="Cambria Math" w:cs="Cambria"/>
            <w:color w:val="231F20"/>
            <w:sz w:val="22"/>
          </w:rPr>
          <m:t>Ln</m:t>
        </m:r>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A</m:t>
            </m:r>
          </m:e>
          <m:sub>
            <m:r>
              <m:rPr>
                <m:sty m:val="p"/>
              </m:rPr>
              <w:rPr>
                <w:rFonts w:ascii="Cambria Math" w:eastAsia="Cambria" w:hAnsi="Cambria Math" w:cs="Cambria"/>
                <w:color w:val="231F20"/>
                <w:sz w:val="22"/>
              </w:rPr>
              <m:t>i</m:t>
            </m:r>
          </m:sub>
        </m:sSub>
        <m:r>
          <m:rPr>
            <m:sty m:val="p"/>
          </m:rPr>
          <w:rPr>
            <w:rFonts w:ascii="Cambria Math" w:eastAsia="Cambria" w:hAnsi="Cambria Math" w:cs="Cambria"/>
            <w:color w:val="231F20"/>
            <w:sz w:val="22"/>
          </w:rPr>
          <m:t>+</m:t>
        </m:r>
        <m:nary>
          <m:naryPr>
            <m:chr m:val="∑"/>
            <m:subHide m:val="on"/>
            <m:supHide m:val="on"/>
            <m:ctrlPr>
              <w:rPr>
                <w:rFonts w:ascii="Cambria Math" w:eastAsia="Cambria" w:hAnsi="Cambria Math" w:cs="Cambria"/>
                <w:color w:val="231F20"/>
                <w:sz w:val="22"/>
              </w:rPr>
            </m:ctrlPr>
          </m:naryPr>
          <m:sub/>
          <m:sup/>
          <m:e>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b</m:t>
                </m:r>
              </m:e>
              <m:sub>
                <m:r>
                  <m:rPr>
                    <m:sty m:val="p"/>
                  </m:rPr>
                  <w:rPr>
                    <w:rFonts w:ascii="Cambria Math" w:eastAsia="Cambria" w:hAnsi="Cambria Math" w:cs="Cambria"/>
                    <w:color w:val="231F20"/>
                    <w:sz w:val="22"/>
                  </w:rPr>
                  <m:t>k</m:t>
                </m:r>
              </m:sub>
            </m:sSub>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g</m:t>
                </m:r>
              </m:e>
              <m:sub>
                <m:r>
                  <m:rPr>
                    <m:sty m:val="p"/>
                  </m:rPr>
                  <w:rPr>
                    <w:rFonts w:ascii="Cambria Math" w:eastAsia="Cambria" w:hAnsi="Cambria Math" w:cs="Cambria"/>
                    <w:color w:val="231F20"/>
                    <w:sz w:val="22"/>
                  </w:rPr>
                  <m:t>ik</m:t>
                </m:r>
              </m:sub>
            </m:sSub>
          </m:e>
        </m:nary>
        <m:r>
          <m:rPr>
            <m:sty m:val="p"/>
          </m:rPr>
          <w:rPr>
            <w:rFonts w:ascii="Cambria Math" w:eastAsia="Cambria" w:hAnsi="Cambria Math" w:cs="Cambria"/>
            <w:color w:val="231F20"/>
            <w:sz w:val="22"/>
          </w:rPr>
          <m:t>+</m:t>
        </m:r>
        <m:nary>
          <m:naryPr>
            <m:chr m:val="∑"/>
            <m:subHide m:val="on"/>
            <m:supHide m:val="on"/>
            <m:ctrlPr>
              <w:rPr>
                <w:rFonts w:ascii="Cambria Math" w:eastAsia="Cambria" w:hAnsi="Cambria Math" w:cs="Cambria"/>
                <w:color w:val="231F20"/>
                <w:sz w:val="22"/>
              </w:rPr>
            </m:ctrlPr>
          </m:naryPr>
          <m:sub/>
          <m:sup/>
          <m:e>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b</m:t>
                </m:r>
              </m:e>
              <m:sub>
                <m:r>
                  <m:rPr>
                    <m:sty m:val="p"/>
                  </m:rPr>
                  <w:rPr>
                    <w:rFonts w:ascii="Cambria Math" w:eastAsia="Cambria" w:hAnsi="Cambria Math" w:cs="Cambria"/>
                    <w:color w:val="231F20"/>
                    <w:sz w:val="22"/>
                  </w:rPr>
                  <m:t>e</m:t>
                </m:r>
              </m:sub>
            </m:sSub>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g</m:t>
                </m:r>
              </m:e>
              <m:sub>
                <m:r>
                  <m:rPr>
                    <m:sty m:val="p"/>
                  </m:rPr>
                  <w:rPr>
                    <w:rFonts w:ascii="Cambria Math" w:eastAsia="Cambria" w:hAnsi="Cambria Math" w:cs="Cambria"/>
                    <w:color w:val="231F20"/>
                    <w:sz w:val="22"/>
                  </w:rPr>
                  <m:t>ie</m:t>
                </m:r>
              </m:sub>
            </m:sSub>
          </m:e>
        </m:nary>
        <m:r>
          <m:rPr>
            <m:sty m:val="p"/>
          </m:rPr>
          <w:rPr>
            <w:rFonts w:ascii="Cambria Math" w:eastAsia="Cambria" w:hAnsi="Cambria Math" w:cs="Cambria"/>
            <w:color w:val="231F20"/>
            <w:sz w:val="22"/>
          </w:rPr>
          <m:t>+</m:t>
        </m:r>
        <m:sSub>
          <m:sSubPr>
            <m:ctrlPr>
              <w:rPr>
                <w:rFonts w:ascii="Cambria Math" w:eastAsia="Cambria" w:hAnsi="Cambria Math" w:cs="Cambria"/>
                <w:color w:val="231F20"/>
                <w:sz w:val="22"/>
              </w:rPr>
            </m:ctrlPr>
          </m:sSubPr>
          <m:e>
            <m:r>
              <m:rPr>
                <m:sty m:val="p"/>
              </m:rPr>
              <w:rPr>
                <w:rFonts w:ascii="Cambria Math" w:eastAsia="Cambria" w:hAnsi="Cambria Math" w:cs="Cambria"/>
                <w:color w:val="231F20"/>
                <w:sz w:val="22"/>
              </w:rPr>
              <m:t>e</m:t>
            </m:r>
          </m:e>
          <m:sub>
            <m:r>
              <m:rPr>
                <m:sty m:val="p"/>
              </m:rPr>
              <w:rPr>
                <w:rFonts w:ascii="Cambria Math" w:eastAsia="Cambria" w:hAnsi="Cambria Math" w:cs="Cambria"/>
                <w:color w:val="231F20"/>
                <w:sz w:val="22"/>
              </w:rPr>
              <m:t>i</m:t>
            </m:r>
          </m:sub>
        </m:sSub>
      </m:oMath>
      <w:r>
        <w:rPr>
          <w:color w:val="231F20"/>
          <w:sz w:val="22"/>
        </w:rPr>
        <w:t xml:space="preserve">      </w:t>
      </w:r>
      <w:r w:rsidR="00FA1A96">
        <w:rPr>
          <w:color w:val="231F20"/>
          <w:sz w:val="22"/>
        </w:rPr>
        <w:t xml:space="preserve">                        </w:t>
      </w:r>
      <w:r w:rsidR="00144315" w:rsidRPr="001B0B3C">
        <w:rPr>
          <w:rFonts w:ascii="Times New Roman" w:hAnsi="Times New Roman"/>
          <w:color w:val="231F20"/>
          <w:sz w:val="22"/>
        </w:rPr>
        <w:t>[2]</w:t>
      </w:r>
    </w:p>
    <w:p w:rsidR="00144315" w:rsidRDefault="001B0B3C" w:rsidP="00144315">
      <w:pPr>
        <w:spacing w:line="360" w:lineRule="auto"/>
        <w:jc w:val="both"/>
        <w:rPr>
          <w:rFonts w:ascii="Times New Roman" w:hAnsi="Times New Roman"/>
          <w:color w:val="231F20"/>
          <w:sz w:val="22"/>
        </w:rPr>
      </w:pPr>
      <w:r>
        <w:rPr>
          <w:rFonts w:ascii="Times New Roman" w:hAnsi="Times New Roman"/>
          <w:color w:val="231F20"/>
          <w:sz w:val="22"/>
        </w:rPr>
        <w:t>Where</w:t>
      </w:r>
    </w:p>
    <w:p w:rsidR="007D6479" w:rsidRPr="00204753" w:rsidRDefault="00525D67" w:rsidP="00144315">
      <w:pPr>
        <w:spacing w:line="360" w:lineRule="auto"/>
        <w:jc w:val="both"/>
        <w:rPr>
          <w:rFonts w:asciiTheme="majorHAnsi" w:hAnsiTheme="majorHAnsi"/>
          <w:color w:val="231F20"/>
          <w:sz w:val="22"/>
          <w:szCs w:val="22"/>
        </w:rPr>
      </w:pPr>
      <w:r>
        <w:rPr>
          <w:rFonts w:ascii="Cambria Math" w:hAnsi="Cambria Math"/>
          <w:color w:val="231F20"/>
          <w:sz w:val="22"/>
          <w:szCs w:val="22"/>
        </w:rPr>
        <w:t>Ln</w:t>
      </w:r>
      <w:r w:rsidR="007D6479" w:rsidRPr="001B0B3C">
        <w:rPr>
          <w:rFonts w:ascii="Cambria Math" w:hAnsi="Cambria Math"/>
          <w:color w:val="231F20"/>
          <w:sz w:val="22"/>
          <w:szCs w:val="22"/>
        </w:rPr>
        <w:t xml:space="preserve"> f</w:t>
      </w:r>
      <w:r w:rsidR="007D6479" w:rsidRPr="001B0B3C">
        <w:rPr>
          <w:rFonts w:ascii="Cambria Math" w:hAnsi="Cambria Math"/>
          <w:color w:val="231F20"/>
          <w:sz w:val="22"/>
          <w:szCs w:val="22"/>
          <w:vertAlign w:val="subscript"/>
        </w:rPr>
        <w:t>i</w:t>
      </w:r>
      <w:r w:rsidR="007D6479" w:rsidRPr="00204753">
        <w:rPr>
          <w:rFonts w:asciiTheme="majorHAnsi" w:hAnsiTheme="majorHAnsi"/>
          <w:color w:val="231F20"/>
          <w:sz w:val="22"/>
          <w:szCs w:val="22"/>
        </w:rPr>
        <w:t xml:space="preserve"> </w:t>
      </w:r>
      <w:r w:rsidR="00204753">
        <w:rPr>
          <w:rFonts w:asciiTheme="majorHAnsi" w:hAnsiTheme="majorHAnsi"/>
          <w:color w:val="231F20"/>
          <w:sz w:val="22"/>
          <w:szCs w:val="22"/>
        </w:rPr>
        <w:tab/>
      </w:r>
      <w:r w:rsidR="007D6479" w:rsidRPr="00204753">
        <w:rPr>
          <w:rFonts w:asciiTheme="majorHAnsi" w:hAnsiTheme="majorHAnsi"/>
          <w:color w:val="231F20"/>
          <w:sz w:val="22"/>
          <w:szCs w:val="22"/>
        </w:rPr>
        <w:t>= the audit fee (natural log)</w:t>
      </w:r>
    </w:p>
    <w:p w:rsidR="007D6479" w:rsidRPr="00204753" w:rsidRDefault="007D6479" w:rsidP="00144315">
      <w:pPr>
        <w:spacing w:line="360" w:lineRule="auto"/>
        <w:jc w:val="both"/>
        <w:rPr>
          <w:rFonts w:asciiTheme="majorHAnsi" w:hAnsiTheme="majorHAnsi"/>
          <w:color w:val="231F20"/>
          <w:sz w:val="22"/>
          <w:szCs w:val="22"/>
        </w:rPr>
      </w:pPr>
      <w:r w:rsidRPr="001B0B3C">
        <w:rPr>
          <w:rFonts w:ascii="Cambria Math" w:hAnsi="Cambria Math"/>
          <w:color w:val="231F20"/>
          <w:sz w:val="22"/>
          <w:szCs w:val="22"/>
        </w:rPr>
        <w:t>b</w:t>
      </w:r>
      <w:r w:rsidRPr="001B0B3C">
        <w:rPr>
          <w:rFonts w:ascii="Cambria Math" w:hAnsi="Cambria Math"/>
          <w:color w:val="231F20"/>
          <w:sz w:val="22"/>
          <w:szCs w:val="22"/>
          <w:vertAlign w:val="subscript"/>
        </w:rPr>
        <w:t>0</w:t>
      </w:r>
      <w:r w:rsidRPr="00204753">
        <w:rPr>
          <w:rFonts w:asciiTheme="majorHAnsi" w:hAnsiTheme="majorHAnsi"/>
          <w:color w:val="231F20"/>
          <w:sz w:val="22"/>
          <w:szCs w:val="22"/>
        </w:rPr>
        <w:t xml:space="preserve"> </w:t>
      </w:r>
      <w:r w:rsidR="00204753">
        <w:rPr>
          <w:rFonts w:asciiTheme="majorHAnsi" w:hAnsiTheme="majorHAnsi"/>
          <w:color w:val="231F20"/>
          <w:sz w:val="22"/>
          <w:szCs w:val="22"/>
        </w:rPr>
        <w:tab/>
      </w:r>
      <w:r w:rsidRPr="00204753">
        <w:rPr>
          <w:rFonts w:asciiTheme="majorHAnsi" w:hAnsiTheme="majorHAnsi"/>
          <w:color w:val="231F20"/>
          <w:sz w:val="22"/>
          <w:szCs w:val="22"/>
        </w:rPr>
        <w:t>= the intercept</w:t>
      </w:r>
    </w:p>
    <w:p w:rsidR="00204753" w:rsidRPr="00204753" w:rsidRDefault="00204753" w:rsidP="00144315">
      <w:pPr>
        <w:spacing w:line="360" w:lineRule="auto"/>
        <w:jc w:val="both"/>
        <w:rPr>
          <w:rFonts w:asciiTheme="majorHAnsi" w:hAnsiTheme="majorHAnsi"/>
          <w:color w:val="231F20"/>
          <w:sz w:val="22"/>
          <w:szCs w:val="22"/>
        </w:rPr>
      </w:pPr>
      <w:r w:rsidRPr="001B0B3C">
        <w:rPr>
          <w:rFonts w:ascii="Cambria Math" w:hAnsi="Cambria Math"/>
          <w:color w:val="231F20"/>
          <w:sz w:val="22"/>
          <w:szCs w:val="22"/>
        </w:rPr>
        <w:t>b</w:t>
      </w:r>
      <w:r w:rsidRPr="001B0B3C">
        <w:rPr>
          <w:rFonts w:ascii="Cambria Math" w:hAnsi="Cambria Math"/>
          <w:color w:val="231F20"/>
          <w:sz w:val="22"/>
          <w:szCs w:val="22"/>
          <w:vertAlign w:val="subscript"/>
        </w:rPr>
        <w:t>n</w:t>
      </w:r>
      <w:r w:rsidRPr="00204753">
        <w:rPr>
          <w:rFonts w:asciiTheme="majorHAnsi" w:hAnsiTheme="majorHAnsi"/>
          <w:color w:val="231F20"/>
          <w:sz w:val="22"/>
          <w:szCs w:val="22"/>
        </w:rPr>
        <w:t xml:space="preserve"> </w:t>
      </w:r>
      <w:r>
        <w:rPr>
          <w:rFonts w:asciiTheme="majorHAnsi" w:hAnsiTheme="majorHAnsi"/>
          <w:color w:val="231F20"/>
          <w:sz w:val="22"/>
          <w:szCs w:val="22"/>
        </w:rPr>
        <w:tab/>
      </w:r>
      <w:r w:rsidRPr="00204753">
        <w:rPr>
          <w:rFonts w:asciiTheme="majorHAnsi" w:hAnsiTheme="majorHAnsi"/>
          <w:color w:val="231F20"/>
          <w:sz w:val="22"/>
          <w:szCs w:val="22"/>
        </w:rPr>
        <w:t>= the coefficients</w:t>
      </w:r>
    </w:p>
    <w:p w:rsidR="00204753" w:rsidRPr="00204753" w:rsidRDefault="00525D67" w:rsidP="00144315">
      <w:pPr>
        <w:spacing w:line="360" w:lineRule="auto"/>
        <w:jc w:val="both"/>
        <w:rPr>
          <w:rFonts w:asciiTheme="majorHAnsi" w:hAnsiTheme="majorHAnsi"/>
          <w:sz w:val="22"/>
          <w:szCs w:val="22"/>
        </w:rPr>
      </w:pPr>
      <w:r>
        <w:rPr>
          <w:rFonts w:ascii="Cambria Math" w:hAnsi="Cambria Math"/>
          <w:sz w:val="22"/>
          <w:szCs w:val="22"/>
        </w:rPr>
        <w:t>Ln</w:t>
      </w:r>
      <w:r w:rsidR="00204753" w:rsidRPr="001B0B3C">
        <w:rPr>
          <w:rFonts w:ascii="Cambria Math" w:hAnsi="Cambria Math"/>
          <w:sz w:val="22"/>
          <w:szCs w:val="22"/>
        </w:rPr>
        <w:t xml:space="preserve"> A</w:t>
      </w:r>
      <w:r w:rsidR="00204753" w:rsidRPr="001B0B3C">
        <w:rPr>
          <w:rFonts w:ascii="Cambria Math" w:hAnsi="Cambria Math"/>
          <w:sz w:val="22"/>
          <w:szCs w:val="22"/>
          <w:vertAlign w:val="subscript"/>
        </w:rPr>
        <w:t>i</w:t>
      </w:r>
      <w:r w:rsidR="00204753" w:rsidRPr="00204753">
        <w:rPr>
          <w:rFonts w:asciiTheme="majorHAnsi" w:hAnsiTheme="majorHAnsi"/>
          <w:sz w:val="22"/>
          <w:szCs w:val="22"/>
        </w:rPr>
        <w:t xml:space="preserve"> </w:t>
      </w:r>
      <w:r w:rsidR="00204753">
        <w:rPr>
          <w:rFonts w:asciiTheme="majorHAnsi" w:hAnsiTheme="majorHAnsi"/>
          <w:sz w:val="22"/>
          <w:szCs w:val="22"/>
        </w:rPr>
        <w:tab/>
      </w:r>
      <w:r w:rsidR="00204753" w:rsidRPr="00204753">
        <w:rPr>
          <w:rFonts w:asciiTheme="majorHAnsi" w:hAnsiTheme="majorHAnsi"/>
          <w:sz w:val="22"/>
          <w:szCs w:val="22"/>
        </w:rPr>
        <w:t>= the audit client size measure (natural log)</w:t>
      </w:r>
    </w:p>
    <w:p w:rsidR="00204753" w:rsidRPr="00204753" w:rsidRDefault="00204753" w:rsidP="00144315">
      <w:pPr>
        <w:spacing w:line="360" w:lineRule="auto"/>
        <w:jc w:val="both"/>
        <w:rPr>
          <w:rFonts w:asciiTheme="majorHAnsi" w:hAnsiTheme="majorHAnsi"/>
          <w:sz w:val="22"/>
          <w:szCs w:val="22"/>
        </w:rPr>
      </w:pPr>
      <w:r w:rsidRPr="001B0B3C">
        <w:rPr>
          <w:rFonts w:ascii="Cambria Math" w:hAnsi="Cambria Math"/>
          <w:sz w:val="22"/>
          <w:szCs w:val="22"/>
        </w:rPr>
        <w:t>e</w:t>
      </w:r>
      <w:r w:rsidRPr="001B0B3C">
        <w:rPr>
          <w:rFonts w:ascii="Cambria Math" w:hAnsi="Cambria Math"/>
          <w:sz w:val="22"/>
          <w:szCs w:val="22"/>
          <w:vertAlign w:val="subscript"/>
        </w:rPr>
        <w:t>i</w:t>
      </w:r>
      <w:r w:rsidRPr="00204753">
        <w:rPr>
          <w:rFonts w:asciiTheme="majorHAnsi" w:hAnsiTheme="majorHAnsi"/>
          <w:sz w:val="22"/>
          <w:szCs w:val="22"/>
        </w:rPr>
        <w:t xml:space="preserve"> </w:t>
      </w:r>
      <w:r>
        <w:rPr>
          <w:rFonts w:asciiTheme="majorHAnsi" w:hAnsiTheme="majorHAnsi"/>
          <w:sz w:val="22"/>
          <w:szCs w:val="22"/>
        </w:rPr>
        <w:tab/>
      </w:r>
      <w:r w:rsidRPr="00204753">
        <w:rPr>
          <w:rFonts w:asciiTheme="majorHAnsi" w:hAnsiTheme="majorHAnsi"/>
          <w:sz w:val="22"/>
          <w:szCs w:val="22"/>
        </w:rPr>
        <w:t>= the error term</w:t>
      </w:r>
    </w:p>
    <w:p w:rsidR="00144315" w:rsidRDefault="00144315" w:rsidP="00144315">
      <w:pPr>
        <w:spacing w:line="360" w:lineRule="auto"/>
        <w:jc w:val="both"/>
      </w:pPr>
      <w:r>
        <w:rPr>
          <w:rFonts w:ascii="Times New Roman" w:hAnsi="Times New Roman"/>
          <w:sz w:val="22"/>
        </w:rPr>
        <w:t xml:space="preserve">The other two groups of variables </w:t>
      </w:r>
      <m:oMath>
        <m:sSub>
          <m:sSubPr>
            <m:ctrlPr>
              <w:rPr>
                <w:rFonts w:ascii="Cambria" w:eastAsia="Cambria" w:hAnsi="Cambria" w:cs="Cambria"/>
                <w:color w:val="231F20"/>
                <w:sz w:val="22"/>
              </w:rPr>
            </m:ctrlPr>
          </m:sSubPr>
          <m:e>
            <m:r>
              <m:rPr>
                <m:sty m:val="p"/>
              </m:rPr>
              <w:rPr>
                <w:rFonts w:ascii="Cambria" w:eastAsia="Cambria" w:hAnsi="Cambria" w:cs="Cambria"/>
                <w:color w:val="231F20"/>
                <w:sz w:val="22"/>
              </w:rPr>
              <m:t>g</m:t>
            </m:r>
          </m:e>
          <m:sub>
            <m:r>
              <m:rPr>
                <m:sty m:val="p"/>
              </m:rPr>
              <w:rPr>
                <w:rFonts w:ascii="Cambria" w:eastAsia="Cambria" w:hAnsi="Cambria" w:cs="Cambria"/>
                <w:color w:val="231F20"/>
                <w:sz w:val="22"/>
              </w:rPr>
              <m:t>ik</m:t>
            </m:r>
          </m:sub>
        </m:sSub>
      </m:oMath>
      <w:r>
        <w:rPr>
          <w:rFonts w:ascii="Times New Roman" w:hAnsi="Times New Roman"/>
          <w:color w:val="231F20"/>
          <w:sz w:val="22"/>
        </w:rPr>
        <w:t xml:space="preserve"> and </w:t>
      </w:r>
      <m:oMath>
        <m:sSub>
          <m:sSubPr>
            <m:ctrlPr>
              <w:rPr>
                <w:rFonts w:ascii="Cambria" w:eastAsia="Cambria" w:hAnsi="Cambria" w:cs="Cambria"/>
                <w:color w:val="231F20"/>
                <w:sz w:val="22"/>
              </w:rPr>
            </m:ctrlPr>
          </m:sSubPr>
          <m:e>
            <m:r>
              <m:rPr>
                <m:sty m:val="p"/>
              </m:rPr>
              <w:rPr>
                <w:rFonts w:ascii="Cambria" w:eastAsia="Cambria" w:hAnsi="Cambria" w:cs="Cambria"/>
                <w:color w:val="231F20"/>
                <w:sz w:val="22"/>
              </w:rPr>
              <m:t>g</m:t>
            </m:r>
          </m:e>
          <m:sub>
            <m:r>
              <m:rPr>
                <m:sty m:val="p"/>
              </m:rPr>
              <w:rPr>
                <w:rFonts w:ascii="Cambria" w:eastAsia="Cambria" w:hAnsi="Cambria" w:cs="Cambria"/>
                <w:color w:val="231F20"/>
                <w:sz w:val="22"/>
              </w:rPr>
              <m:t>ie</m:t>
            </m:r>
          </m:sub>
        </m:sSub>
      </m:oMath>
      <w:r>
        <w:rPr>
          <w:rFonts w:ascii="Times New Roman" w:hAnsi="Times New Roman"/>
          <w:color w:val="231F20"/>
          <w:sz w:val="22"/>
        </w:rPr>
        <w:t xml:space="preserve"> </w:t>
      </w:r>
      <w:r>
        <w:rPr>
          <w:rFonts w:ascii="Times New Roman" w:hAnsi="Times New Roman"/>
          <w:sz w:val="22"/>
        </w:rPr>
        <w:t xml:space="preserve">are the potential fee drivers to be tested. All the articles which will be presented in this chapter in their researches have used this. </w:t>
      </w:r>
    </w:p>
    <w:p w:rsidR="00144315" w:rsidRDefault="00144315" w:rsidP="00144315">
      <w:pPr>
        <w:spacing w:line="360" w:lineRule="auto"/>
        <w:jc w:val="both"/>
      </w:pPr>
    </w:p>
    <w:p w:rsidR="00144315" w:rsidRPr="00930EB7" w:rsidRDefault="00144315" w:rsidP="00C7705E">
      <w:pPr>
        <w:pStyle w:val="Subtitle"/>
        <w:spacing w:line="360" w:lineRule="auto"/>
        <w:jc w:val="left"/>
        <w:rPr>
          <w:b/>
        </w:rPr>
      </w:pPr>
      <w:bookmarkStart w:id="47" w:name="_Toc393872548"/>
      <w:r w:rsidRPr="00930EB7">
        <w:rPr>
          <w:b/>
        </w:rPr>
        <w:t xml:space="preserve">3.2 Common </w:t>
      </w:r>
      <w:r w:rsidR="004228D1">
        <w:rPr>
          <w:b/>
        </w:rPr>
        <w:t>D</w:t>
      </w:r>
      <w:r w:rsidRPr="00930EB7">
        <w:rPr>
          <w:b/>
        </w:rPr>
        <w:t>eterminants of Audit Fee</w:t>
      </w:r>
      <w:bookmarkEnd w:id="47"/>
    </w:p>
    <w:p w:rsidR="00144315" w:rsidRPr="00A23654" w:rsidRDefault="00144315" w:rsidP="00C7705E">
      <w:pPr>
        <w:spacing w:line="360" w:lineRule="auto"/>
        <w:rPr>
          <w:rStyle w:val="SubtleEmphasis"/>
          <w:rFonts w:asciiTheme="majorHAnsi" w:hAnsiTheme="majorHAnsi"/>
          <w:b/>
          <w:sz w:val="24"/>
        </w:rPr>
      </w:pPr>
      <w:r w:rsidRPr="00A23654">
        <w:rPr>
          <w:rStyle w:val="SubtleEmphasis"/>
          <w:rFonts w:asciiTheme="majorHAnsi" w:hAnsiTheme="majorHAnsi"/>
          <w:b/>
          <w:sz w:val="24"/>
        </w:rPr>
        <w:t xml:space="preserve">3.2.1 Audit </w:t>
      </w:r>
      <w:r w:rsidR="004228D1">
        <w:rPr>
          <w:rStyle w:val="SubtleEmphasis"/>
          <w:rFonts w:asciiTheme="majorHAnsi" w:hAnsiTheme="majorHAnsi"/>
          <w:b/>
          <w:sz w:val="24"/>
        </w:rPr>
        <w:t>C</w:t>
      </w:r>
      <w:r w:rsidRPr="00A23654">
        <w:rPr>
          <w:rStyle w:val="SubtleEmphasis"/>
          <w:rFonts w:asciiTheme="majorHAnsi" w:hAnsiTheme="majorHAnsi"/>
          <w:b/>
          <w:sz w:val="24"/>
        </w:rPr>
        <w:t xml:space="preserve">lient </w:t>
      </w:r>
      <w:r w:rsidR="004228D1">
        <w:rPr>
          <w:rStyle w:val="SubtleEmphasis"/>
          <w:rFonts w:asciiTheme="majorHAnsi" w:hAnsiTheme="majorHAnsi"/>
          <w:b/>
          <w:sz w:val="24"/>
        </w:rPr>
        <w:t>S</w:t>
      </w:r>
      <w:r w:rsidRPr="00A23654">
        <w:rPr>
          <w:rStyle w:val="SubtleEmphasis"/>
          <w:rFonts w:asciiTheme="majorHAnsi" w:hAnsiTheme="majorHAnsi"/>
          <w:b/>
          <w:sz w:val="24"/>
        </w:rPr>
        <w:t>ize</w:t>
      </w:r>
    </w:p>
    <w:p w:rsidR="00144315" w:rsidRDefault="00144315" w:rsidP="00C7705E">
      <w:pPr>
        <w:spacing w:line="360" w:lineRule="auto"/>
        <w:jc w:val="both"/>
      </w:pPr>
      <w:r>
        <w:rPr>
          <w:rFonts w:ascii="Times New Roman" w:hAnsi="Times New Roman"/>
          <w:sz w:val="22"/>
        </w:rPr>
        <w:t xml:space="preserve">Based on the audit pricing model, the audit client size is considered as the most important influential factor on the audit fee. In fact, to ensure the validity of the results in the audit fee regression it is </w:t>
      </w:r>
      <w:r>
        <w:rPr>
          <w:rFonts w:ascii="Times New Roman" w:hAnsi="Times New Roman"/>
          <w:sz w:val="22"/>
        </w:rPr>
        <w:lastRenderedPageBreak/>
        <w:t xml:space="preserve">always included as a control variable. In this section, two major articles studying the effect of the client size on audit fees will be presented. </w:t>
      </w:r>
    </w:p>
    <w:p w:rsidR="00144315" w:rsidRDefault="00144315" w:rsidP="00144315">
      <w:pPr>
        <w:spacing w:line="360" w:lineRule="auto"/>
        <w:jc w:val="both"/>
      </w:pPr>
    </w:p>
    <w:p w:rsidR="00144315" w:rsidRPr="00C7705E" w:rsidRDefault="00144315" w:rsidP="00C7705E">
      <w:pPr>
        <w:spacing w:after="240" w:line="360" w:lineRule="auto"/>
        <w:jc w:val="both"/>
        <w:rPr>
          <w:rStyle w:val="Emphasis"/>
        </w:rPr>
      </w:pPr>
      <w:r w:rsidRPr="00C7705E">
        <w:rPr>
          <w:rStyle w:val="Emphasis"/>
        </w:rPr>
        <w:t>3.2.1.1 Palmrose (1986)</w:t>
      </w:r>
    </w:p>
    <w:p w:rsidR="00144315" w:rsidRPr="001B5E46" w:rsidRDefault="00144315" w:rsidP="00C7705E">
      <w:pPr>
        <w:spacing w:line="360" w:lineRule="auto"/>
        <w:jc w:val="both"/>
        <w:rPr>
          <w:rFonts w:ascii="Times New Roman" w:hAnsi="Times New Roman"/>
          <w:noProof/>
          <w:sz w:val="22"/>
        </w:rPr>
      </w:pPr>
      <w:r>
        <w:rPr>
          <w:rFonts w:ascii="Times New Roman" w:hAnsi="Times New Roman"/>
          <w:sz w:val="22"/>
        </w:rPr>
        <w:t xml:space="preserve">This paper by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"10.2307/2490806", "ISBN" : "00218456", "ISSN" : "00218456", "PMID" : "6440003", "abstract" : "This article focuses on a study which analyzes the association between audit firm size and audit fees. The author notes that the structure of the market for public accounting services has received scrutiny form regulators, practitioners and researchers and that a major focus of this attention has fallen on a group of firms called the Big Eight. This group has received this attention due to them holding large shares of various markets. This research is concerned with examining the idea that the size of the auditing firm plays a significant role in the audit fees charged by these firms.", "author" : [ { "dropping-particle" : "", "family" : "Palmrose", "given" : "Zoe-Vonna", "non-dropping-particle" : "", "parse-names" : false, "suffix" : "" } ], "container-title" : "Journal of Accounting Research", "id" : "ITEM-1", "issued" : { "date-parts" : [ [ "1986" ] ] }, "page" : "97-110", "title" : "Audit Fees and Auditor Size: Further Evidence", "type" : "article-journal", "volume" : "24" }, "uris" : [ "http://www.mendeley.com/documents/?uuid=b8f7455d-ec7d-47a0-aae5-6f30a1aa4c8a" ] } ], "mendeley" : { "manualFormatting" : "Palmrose (1986)", "previouslyFormattedCitation" : "(Palmrose, 1986)"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Palmrose</w:t>
      </w:r>
      <w:r w:rsidRPr="001B5E46">
        <w:rPr>
          <w:rFonts w:ascii="Times New Roman" w:hAnsi="Times New Roman"/>
          <w:noProof/>
          <w:sz w:val="22"/>
        </w:rPr>
        <w:t xml:space="preserve"> </w:t>
      </w:r>
      <w:r>
        <w:rPr>
          <w:rFonts w:ascii="Times New Roman" w:hAnsi="Times New Roman"/>
          <w:noProof/>
          <w:sz w:val="22"/>
        </w:rPr>
        <w:t>(</w:t>
      </w:r>
      <w:r w:rsidRPr="001B5E46">
        <w:rPr>
          <w:rFonts w:ascii="Times New Roman" w:hAnsi="Times New Roman"/>
          <w:noProof/>
          <w:sz w:val="22"/>
        </w:rPr>
        <w:t>1986)</w:t>
      </w:r>
      <w:r w:rsidR="004A36DA">
        <w:rPr>
          <w:rFonts w:ascii="Times New Roman" w:hAnsi="Times New Roman"/>
          <w:sz w:val="22"/>
        </w:rPr>
        <w:fldChar w:fldCharType="end"/>
      </w:r>
      <w:r>
        <w:rPr>
          <w:rFonts w:ascii="Times New Roman" w:hAnsi="Times New Roman"/>
          <w:sz w:val="22"/>
        </w:rPr>
        <w:t xml:space="preserve"> was one of the earliest studies in the audit fee determinants. The main research objective of Palmrose’s study was to detect whether the auditor’s size has a systematically correlation with the audit fee. </w:t>
      </w:r>
      <w:r w:rsidR="007012D3">
        <w:rPr>
          <w:rFonts w:ascii="Times New Roman" w:hAnsi="Times New Roman"/>
          <w:sz w:val="22"/>
        </w:rPr>
        <w:t xml:space="preserve">Additionally, </w:t>
      </w:r>
      <w:r>
        <w:rPr>
          <w:rFonts w:ascii="Times New Roman" w:hAnsi="Times New Roman"/>
          <w:sz w:val="22"/>
        </w:rPr>
        <w:t>Palmrose believes that a large sized clien</w:t>
      </w:r>
      <w:r w:rsidR="007012D3">
        <w:rPr>
          <w:rFonts w:ascii="Times New Roman" w:hAnsi="Times New Roman"/>
          <w:sz w:val="22"/>
        </w:rPr>
        <w:t>t requires more audit procedure and t</w:t>
      </w:r>
      <w:r>
        <w:rPr>
          <w:rFonts w:ascii="Times New Roman" w:hAnsi="Times New Roman"/>
          <w:sz w:val="22"/>
        </w:rPr>
        <w:t xml:space="preserve">he increased audit effort would push up the audit fee to a higher level. </w:t>
      </w:r>
    </w:p>
    <w:p w:rsidR="00144315" w:rsidRDefault="00144315" w:rsidP="00144315">
      <w:pPr>
        <w:spacing w:line="360" w:lineRule="auto"/>
        <w:jc w:val="both"/>
      </w:pPr>
    </w:p>
    <w:p w:rsidR="00144315" w:rsidRPr="00CB7A4B" w:rsidRDefault="00144315" w:rsidP="00CB7A4B">
      <w:pPr>
        <w:spacing w:line="360" w:lineRule="auto"/>
        <w:jc w:val="both"/>
      </w:pPr>
      <w:r>
        <w:rPr>
          <w:rFonts w:ascii="Times New Roman" w:hAnsi="Times New Roman"/>
          <w:sz w:val="22"/>
        </w:rPr>
        <w:t>To test the assumption the study adopted a regression analysis. In this regression equation, the dependent variable was the audit fee and the independent variables contain the client size, the number of reports, the number of the audit locations, and the percentage reduction in the fees from the auditee inputs, the ownership indicator variable, the report modification indicator, the industry specialist indicator and the client industry indicator. However, the author did not specifically emphasize the hypotheses in this paper.</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data was obtained from questionnaires which aimed at individuals ‘who were considered most likely to be knowledgeable about the services of the public accounting firms’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"10.2307/2490806", "ISBN" : "00218456", "ISSN" : "00218456", "PMID" : "6440003", "abstract" : "This article focuses on a study which analyzes the association between audit firm size and audit fees. The author notes that the structure of the market for public accounting services has received scrutiny form regulators, practitioners and researchers and that a major focus of this attention has fallen on a group of firms called the Big Eight. This group has received this attention due to them holding large shares of various markets. This research is concerned with examining the idea that the size of the auditing firm plays a significant role in the audit fees charged by these firms.", "author" : [ { "dropping-particle" : "", "family" : "Palmrose", "given" : "Zoe-Vonna", "non-dropping-particle" : "", "parse-names" : false, "suffix" : "" } ], "container-title" : "Journal of Accounting Research", "id" : "ITEM-1", "issued" : { "date-parts" : [ [ "1986" ] ] }, "page" : "97-110", "title" : "Audit Fees and Auditor Size: Further Evidence", "type" : "article-journal", "volume" : "24" }, "locator" : "102", "uris" : [ "http://www.mendeley.com/documents/?uuid=b8f7455d-ec7d-47a0-aae5-6f30a1aa4c8a" ] } ], "mendeley" : { "previouslyFormattedCitation" : "(Palmrose, 1986, p. 102)" }, "properties" : { "noteIndex" : 0 }, "schema" : "https://github.com/citation-style-language/schema/raw/master/csl-citation.json" }</w:instrText>
      </w:r>
      <w:r w:rsidR="004A36DA">
        <w:rPr>
          <w:rFonts w:ascii="Times New Roman" w:hAnsi="Times New Roman"/>
          <w:sz w:val="22"/>
        </w:rPr>
        <w:fldChar w:fldCharType="separate"/>
      </w:r>
      <w:r w:rsidRPr="001B5E46">
        <w:rPr>
          <w:rFonts w:ascii="Times New Roman" w:hAnsi="Times New Roman"/>
          <w:noProof/>
          <w:sz w:val="22"/>
        </w:rPr>
        <w:t>(Palmrose, 1986, p. 102)</w:t>
      </w:r>
      <w:r w:rsidR="004A36DA">
        <w:rPr>
          <w:rFonts w:ascii="Times New Roman" w:hAnsi="Times New Roman"/>
          <w:sz w:val="22"/>
        </w:rPr>
        <w:fldChar w:fldCharType="end"/>
      </w:r>
      <w:r>
        <w:rPr>
          <w:rFonts w:ascii="Times New Roman" w:hAnsi="Times New Roman"/>
          <w:sz w:val="22"/>
        </w:rPr>
        <w:t xml:space="preserve">. The questionnaires were delivered to 1186 domestic public and non-public companies in the U.S. during early November and mid-December 1981. Overall, there were 361 usable responses, at a response rate of 30%, which is similar to the other survey studies performed regarding to audit fee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"Miller", "given" : "Dan E", "non-dropping-particle" : "", "parse-names" : false, "suffix" : "" } ], "container-title" : "Financial Executive", "id" : "ITEM-1", "issued" : { "date-parts" : [ [ "1978" ] ] }, "page" : "38-44", "title" : "The Annual Audit Revisited", "type" : "article-journal" }, "uris" : [ "http://www.mendeley.com/documents/?uuid=df5fc667-b8c8-4ea5-9a6d-5fc2f3de8602" ] }, { "id" : "ITEM-2",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"ITEM-2", "issued" : { "date-parts" : [ [ "1980" ] ] }, "page" : "161-190", "title" : "The Pricing of Audit Services: Theory and Evidence.", "type" : "article-journal", "volume" : "18" }, "uris" : [ "http://www.mendeley.com/documents/?uuid=eabaa36c-f862-49c4-a20b-93711d465784" ] } ], "mendeley" : { "previouslyFormattedCitation" : "(Miller, 1978; Simunic, 1980)" }, "properties" : { "noteIndex" : 0 }, "schema" : "https://github.com/citation-style-language/schema/raw/master/csl-citation.json" }</w:instrText>
      </w:r>
      <w:r w:rsidR="004A36DA">
        <w:rPr>
          <w:rFonts w:ascii="Times New Roman" w:hAnsi="Times New Roman"/>
          <w:sz w:val="22"/>
        </w:rPr>
        <w:fldChar w:fldCharType="separate"/>
      </w:r>
      <w:r w:rsidRPr="001B5E46">
        <w:rPr>
          <w:rFonts w:ascii="Times New Roman" w:hAnsi="Times New Roman"/>
          <w:noProof/>
          <w:sz w:val="22"/>
        </w:rPr>
        <w:t>(Miller, 1978; Simunic, 1980)</w:t>
      </w:r>
      <w:r w:rsidR="004A36DA">
        <w:rPr>
          <w:rFonts w:ascii="Times New Roman" w:hAnsi="Times New Roman"/>
          <w:sz w:val="22"/>
        </w:rPr>
        <w:fldChar w:fldCharType="end"/>
      </w:r>
      <w:r>
        <w:rPr>
          <w:rFonts w:ascii="Times New Roman" w:hAnsi="Times New Roman"/>
          <w:sz w:val="22"/>
        </w:rPr>
        <w:t>.</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term </w:t>
      </w:r>
      <w:r w:rsidR="00525D67">
        <w:rPr>
          <w:rFonts w:ascii="Times New Roman" w:hAnsi="Times New Roman"/>
          <w:i/>
          <w:sz w:val="22"/>
        </w:rPr>
        <w:t>Ln</w:t>
      </w:r>
      <w:r>
        <w:rPr>
          <w:rFonts w:ascii="Times New Roman" w:hAnsi="Times New Roman"/>
          <w:sz w:val="22"/>
        </w:rPr>
        <w:t>Assets had a coefficient of .470 which was significant at α = .01. Among the independent variables, the major explanatory variable in the pricing of the audit fee was the clients’ assets. This result is in conformity with the prediction that the size of the audit client is significant positively correlated with the audit fee.</w:t>
      </w:r>
    </w:p>
    <w:p w:rsidR="00144315" w:rsidRDefault="00144315" w:rsidP="00144315">
      <w:pPr>
        <w:spacing w:line="360" w:lineRule="auto"/>
        <w:jc w:val="both"/>
      </w:pPr>
    </w:p>
    <w:p w:rsidR="00144315" w:rsidRPr="00C7705E" w:rsidRDefault="00144315" w:rsidP="00C7705E">
      <w:pPr>
        <w:spacing w:after="240" w:line="360" w:lineRule="auto"/>
        <w:jc w:val="both"/>
        <w:rPr>
          <w:rStyle w:val="Emphasis"/>
        </w:rPr>
      </w:pPr>
      <w:r w:rsidRPr="00C7705E">
        <w:rPr>
          <w:rStyle w:val="Emphasis"/>
        </w:rPr>
        <w:t xml:space="preserve">3.2.1.2 </w:t>
      </w:r>
      <w:r w:rsidR="004A36DA" w:rsidRPr="00C7705E">
        <w:rPr>
          <w:rStyle w:val="Emphasis"/>
        </w:rPr>
        <w:fldChar w:fldCharType="begin" w:fldLock="1"/>
      </w:r>
      <w:r w:rsidR="002177CD">
        <w:rPr>
          <w:rStyle w:val="Emphasis"/>
        </w:rPr>
        <w:instrText>ADDIN CSL_CITATION { "citationItems" : [ { "id" : "ITEM-1", "itemData" : { "DOI" : "10.1111/j.1467-629X.2007.00213.x", "ISBN" : "1467-629X", "ISSN" : "08105391", "abstract" : "Abstract  This research note examines the impact of client size on the estimation of audit fee premiums in the Australian market for audit services. Previous research suggests that higher audit fees are expected for both larger clients and for industry specialization. We find that in the Australian market for audit services, the fee premium attributed to industry specialist audit firms is concentrated in the audit fees paid by the largest clients in each industry. One reason for higher fees paid by larger clients is the demand for additional audit services. We find higher fees for companies cross-listed on US exchanges. We also find that fee premiums to auditors that are city-industry leaders are strongly related to client size.", "author" : [ { "dropping-particle" : "", "family" : "Carson", "given" : "Elizabeth", "non-dropping-particle" : "", "parse-names" : false, "suffix" : "" }, { "dropping-particle" : "", "family" : "Fargher", "given" : "Neil", "non-dropping-particle" : "", "parse-names" : false, "suffix" : "" } ], "container-title" : "Accounting and Finance", "id" : "ITEM-1", "issued" : { "date-parts" : [ [ "2007" ] ] }, "page" : "423-446", "title" : "Note on audit fee premiums to client size and industry specialization", "type" : "article-journal", "volume" : "47" }, "uris" : [ "http://www.mendeley.com/documents/?uuid=fde4dd4b-1bc0-4710-8789-39f8e11f806e" ] } ], "mendeley" : { "manualFormatting" : "Carson &amp; Fargher (2007)", "previouslyFormattedCitation" : "(Carson &amp; Fargher, 2007)" }, "properties" : { "noteIndex" : 0 }, "schema" : "https://github.com/citation-style-language/schema/raw/master/csl-citation.json" }</w:instrText>
      </w:r>
      <w:r w:rsidR="004A36DA" w:rsidRPr="00C7705E">
        <w:rPr>
          <w:rStyle w:val="Emphasis"/>
        </w:rPr>
        <w:fldChar w:fldCharType="separate"/>
      </w:r>
      <w:r w:rsidRPr="00C7705E">
        <w:rPr>
          <w:rStyle w:val="Emphasis"/>
          <w:noProof/>
        </w:rPr>
        <w:t>Carson &amp; Fargher (2007)</w:t>
      </w:r>
      <w:r w:rsidR="004A36DA" w:rsidRPr="00C7705E">
        <w:rPr>
          <w:rStyle w:val="Emphasis"/>
        </w:rPr>
        <w:fldChar w:fldCharType="end"/>
      </w:r>
    </w:p>
    <w:p w:rsidR="00144315" w:rsidRDefault="00144315" w:rsidP="00144315">
      <w:pPr>
        <w:spacing w:line="360" w:lineRule="auto"/>
        <w:jc w:val="both"/>
      </w:pPr>
      <w:r>
        <w:rPr>
          <w:rFonts w:ascii="Times New Roman" w:hAnsi="Times New Roman"/>
          <w:sz w:val="22"/>
        </w:rPr>
        <w:t>This study examined whether larger clients are charged with a higher fee. Their intuition was that larger clients usually require more specialists to complete an audit engagement</w:t>
      </w:r>
      <w:r w:rsidR="002F69B8">
        <w:rPr>
          <w:rFonts w:ascii="Times New Roman" w:hAnsi="Times New Roman"/>
          <w:sz w:val="22"/>
        </w:rPr>
        <w:t>. C</w:t>
      </w:r>
      <w:r>
        <w:rPr>
          <w:rFonts w:ascii="Times New Roman" w:hAnsi="Times New Roman"/>
          <w:sz w:val="22"/>
        </w:rPr>
        <w:t xml:space="preserve">onsequently, </w:t>
      </w:r>
      <w:r w:rsidRPr="003C2327">
        <w:rPr>
          <w:rFonts w:ascii="Times New Roman" w:hAnsi="Times New Roman"/>
          <w:sz w:val="22"/>
        </w:rPr>
        <w:t xml:space="preserve">since previous studies have showed that a specialization increases the premium charged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"10.2308/accr.2003.78.2.429", "ISBN" : "00014826", "ISSN" : "0001-4826", "PMID" : "9682239", "abstract" : "This study examines the role of auditor industry expertise in the pricing of Big 5 audits in Australia. We test if the audit market prices an auditor's firm-wide industry expertise, or alternatively if the audit market only prices office-level expertise in those specific cities where the auditor is the industry leader. We document that there is an average premium of 24 percent associated with industry expertise when the auditor is 'both' the city-specific industry leader and one of the top two firms nationally in the industry. However, the top two firms nationally do not earn a premium in cities where they are not city leaders. We further document that national leadership rankings are, in fact, driven by the specific offices where accounting firms are city leaders. Thus, the overall evidence supports that the market perception and pricing of industry expertise in Australia is primarily based on office-level industry leadership in city-specific audit markets.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"Ferguson", "given" : "Andrew", "non-dropping-particle" : "", "parse-names" : false, "suffix" : "" }, { "dropping-particle" : "", "family" : "Francis", "given" : "Jere R.", "non-dropping-particle" : "", "parse-names" : false, "suffix" : "" }, { "dropping-particle" : "", "family" : "Stokes", "given" : "Donald J.", "non-dropping-particle" : "", "parse-names" : false, "suffix" : "" } ], "container-title" : "The Accounting Review", "id" : "ITEM-1", "issued" : { "date-parts" : [ [ "2003" ] ] }, "page" : "429-448", "title" : "The Effects of Firm\u2010Wide and Office\u2010Level Industry Expertise on Audit Pricing", "type" : "article", "volume" : "78" }, "uris" : [ "http://www.mendeley.com/documents/?uuid=7e14f038-b905-4e9a-99f3-f6282718bcab" ] } ], "mendeley" : { "previouslyFormattedCitation" : "(Ferguson, Francis, &amp; Stokes, 2003)" }, "properties" : { "noteIndex" : 0 }, "schema" : "https://github.com/citation-style-language/schema/raw/master/csl-citation.json" }</w:instrText>
      </w:r>
      <w:r w:rsidR="004A36DA">
        <w:rPr>
          <w:rFonts w:ascii="Times New Roman" w:hAnsi="Times New Roman"/>
          <w:sz w:val="22"/>
        </w:rPr>
        <w:fldChar w:fldCharType="separate"/>
      </w:r>
      <w:r w:rsidR="002F69B8" w:rsidRPr="002F69B8">
        <w:rPr>
          <w:rFonts w:ascii="Times New Roman" w:hAnsi="Times New Roman"/>
          <w:noProof/>
          <w:sz w:val="22"/>
        </w:rPr>
        <w:t>(Ferguson, Francis, &amp; Stokes, 2003)</w:t>
      </w:r>
      <w:r w:rsidR="004A36DA">
        <w:rPr>
          <w:rFonts w:ascii="Times New Roman" w:hAnsi="Times New Roman"/>
          <w:sz w:val="22"/>
        </w:rPr>
        <w:fldChar w:fldCharType="end"/>
      </w:r>
      <w:r>
        <w:rPr>
          <w:rFonts w:ascii="Times New Roman" w:hAnsi="Times New Roman"/>
          <w:sz w:val="22"/>
        </w:rPr>
        <w:t>, increase the audit fee. Consequently, they expected that</w:t>
      </w:r>
      <w:r w:rsidR="002F69B8">
        <w:rPr>
          <w:rFonts w:ascii="Times New Roman" w:hAnsi="Times New Roman"/>
          <w:sz w:val="22"/>
        </w:rPr>
        <w:t>,</w:t>
      </w:r>
      <w:r>
        <w:rPr>
          <w:rFonts w:ascii="Times New Roman" w:hAnsi="Times New Roman"/>
          <w:sz w:val="22"/>
        </w:rPr>
        <w:t xml:space="preserve"> to compensate the auditor’s specialization</w:t>
      </w:r>
      <w:r w:rsidR="002F69B8">
        <w:rPr>
          <w:rFonts w:ascii="Times New Roman" w:hAnsi="Times New Roman"/>
          <w:sz w:val="22"/>
        </w:rPr>
        <w:t>,</w:t>
      </w:r>
      <w:r>
        <w:rPr>
          <w:rFonts w:ascii="Times New Roman" w:hAnsi="Times New Roman"/>
          <w:sz w:val="22"/>
        </w:rPr>
        <w:t xml:space="preserve"> large clients would pay more audit fee.</w:t>
      </w:r>
      <w:r w:rsidR="00CB7A4B">
        <w:t xml:space="preserve"> </w:t>
      </w:r>
      <w:r>
        <w:rPr>
          <w:rFonts w:ascii="Times New Roman" w:hAnsi="Times New Roman"/>
          <w:sz w:val="22"/>
        </w:rPr>
        <w:t xml:space="preserve">In this paper no hypotheses are signaled.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lastRenderedPageBreak/>
        <w:t xml:space="preserve">The data was collected based on the audit engagements performed in the year 1998, 1999 and in 2004 in Australia. The data from 1998 were used to test the research question. Since Price Waterhouse Coopers and Lybrand merged in late 1997, which could potentially impacts their reputation and pricing, the data from 1999 and 2004 was used as sensitivity analysis. The samples of 1998 and of 1999 were drawn from the </w:t>
      </w:r>
      <w:r>
        <w:rPr>
          <w:rFonts w:ascii="Times New Roman" w:hAnsi="Times New Roman"/>
          <w:i/>
          <w:sz w:val="22"/>
        </w:rPr>
        <w:t>Who Audits Australia</w:t>
      </w:r>
      <w:r>
        <w:rPr>
          <w:rFonts w:ascii="Times New Roman" w:hAnsi="Times New Roman"/>
          <w:sz w:val="22"/>
        </w:rPr>
        <w:t xml:space="preserve"> database. This database contains the fees for audit services and for non-audit services of the Australian listed companies. In addition, the sample concerning 2004 was drawn from the University of New South Wales audit fee database.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finding of this study showed that the clients located in the upper quintiles regarding to firm size requires a significant higher audit fee. One explanation presented by the authors was that since their auditors are designated the industry specialist larger clients are charged with a higher fee. Consequently, the result was in conformity with the prediction that the audit fees are positively correlated with the audit client size. </w:t>
      </w:r>
    </w:p>
    <w:p w:rsidR="00144315" w:rsidRDefault="00144315" w:rsidP="00144315">
      <w:pPr>
        <w:spacing w:line="360" w:lineRule="auto"/>
      </w:pPr>
    </w:p>
    <w:p w:rsidR="00144315" w:rsidRPr="00A23654" w:rsidRDefault="00144315" w:rsidP="00C7705E">
      <w:pPr>
        <w:spacing w:after="240" w:line="360" w:lineRule="auto"/>
        <w:rPr>
          <w:rStyle w:val="SubtleEmphasis"/>
          <w:rFonts w:asciiTheme="majorHAnsi" w:hAnsiTheme="majorHAnsi"/>
          <w:b/>
          <w:sz w:val="24"/>
          <w:szCs w:val="24"/>
        </w:rPr>
      </w:pPr>
      <w:r w:rsidRPr="00A23654">
        <w:rPr>
          <w:rStyle w:val="SubtleEmphasis"/>
          <w:rFonts w:asciiTheme="majorHAnsi" w:hAnsiTheme="majorHAnsi"/>
          <w:b/>
          <w:sz w:val="24"/>
          <w:szCs w:val="24"/>
        </w:rPr>
        <w:t>3.2.2 Auditors’ Business Risk</w:t>
      </w:r>
    </w:p>
    <w:p w:rsidR="00144315" w:rsidRDefault="00144315" w:rsidP="00144315">
      <w:pPr>
        <w:spacing w:line="360" w:lineRule="auto"/>
        <w:jc w:val="both"/>
      </w:pPr>
      <w:r>
        <w:rPr>
          <w:rFonts w:ascii="Times New Roman" w:hAnsi="Times New Roman"/>
          <w:sz w:val="22"/>
        </w:rPr>
        <w:t xml:space="preserve">When determining the amount of audit fee, auditors should take the behavior of their client into consideration. For instance, clients might be tempted to perform risky conducts to achieve their objectives. These acts might create a wrong estimation of the accounting numbers. Since it is the auditors’ responsibility to ensure that the annual financial statements are free of material misstatements, risky conducts may increase the </w:t>
      </w:r>
      <w:r w:rsidR="002F69B8">
        <w:rPr>
          <w:rFonts w:ascii="Times New Roman" w:hAnsi="Times New Roman"/>
          <w:sz w:val="22"/>
        </w:rPr>
        <w:t>audit</w:t>
      </w:r>
      <w:r>
        <w:rPr>
          <w:rFonts w:ascii="Times New Roman" w:hAnsi="Times New Roman"/>
          <w:sz w:val="22"/>
        </w:rPr>
        <w:t xml:space="preserve"> risk of the auditors. Consequently, auditors would ask a compensation for the potential work needed to mitigate the </w:t>
      </w:r>
      <w:r w:rsidR="002F69B8">
        <w:rPr>
          <w:rFonts w:ascii="Times New Roman" w:hAnsi="Times New Roman"/>
          <w:sz w:val="22"/>
        </w:rPr>
        <w:t>audit</w:t>
      </w:r>
      <w:r>
        <w:rPr>
          <w:rFonts w:ascii="Times New Roman" w:hAnsi="Times New Roman"/>
          <w:sz w:val="22"/>
        </w:rPr>
        <w:t xml:space="preserve"> risk. A number of researches have examined whether a risky conduct of the audit clients could create a higher audit fee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"10.1111/1475-679X.00002", "ISSN" : "1475-679X", "author" : [ { "dropping-particle" : "", "family" : "Bell", "given" : "Timothy B", "non-dropping-particle" : "", "parse-names" : false, "suffix" : "" }, { "dropping-particle" : "", "family" : "Landsman", "given" : "Wayne R", "non-dropping-particle" : "", "parse-names" : false, "suffix" : "" }, { "dropping-particle" : "", "family" : "Shackelford", "given" : "Douglas A", "non-dropping-particle" : "", "parse-names" : false, "suffix" : "" } ], "container-title" : "Journal of Accounting Research", "id" : "ITEM-1", "issue" : "1", "issued" : { "date-parts" : [ [ "2001" ] ] }, "page" : "35-43", "publisher" : "Blackwell Publishers Inc", "title" : "Auditors' Perceived Business Risk and Audit Fees: Analysis and Evidence", "type" : "article-journal", "volume" : "39" }, "uris" : [ "http://www.mendeley.com/documents/?uuid=433eb72d-f76d-4a55-a9a7-0468b4317ad5" ] }, { "id" : "ITEM-2", "itemData" : { "DOI" : "10.2307/2491284", "ISSN" : "00218456", "author" : [ { "dropping-particle" : "", "family" : "O'Keefe", "given" : "Terrence B", "non-dropping-particle" : "", "parse-names" : false, "suffix" : "" }, { "dropping-particle" : "", "family" : "Simunic", "given" : "Dan A", "non-dropping-particle" : "", "parse-names" : false, "suffix" : "" }, { "dropping-particle" : "", "family" : "Stein", "given" : "Michael T", "non-dropping-particle" : "", "parse-names" : false, "suffix" : "" } ], "container-title" : "Journal of Accounting Research", "id" : "ITEM-2", "issue" : "2", "issued" : { "date-parts" : [ [ "1994", "10", "1" ] ] }, "page" : "241-261 CR  - Copyright &amp;#169; 1994 Accounting Res", "publisher" : "Wiley on behalf of Accounting Research Center, Booth School of Business, University of Chicago", "title" : "The Production of Audit Services: Evidence from a Major Public Accounting Firm", "type" : "article-journal", "volume" : "32" }, "uris" : [ "http://www.mendeley.com/documents/?uuid=2f3b77f9-d152-4bab-aacd-0fa1f0c653a4" ] }, { "id" : "ITEM-3",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"ITEM-3", "issued" : { "date-parts" : [ [ "2002" ] ] }, "page" : "91-115", "title" : "Litigation risk and audit fees: Evidence from UK firms cross-listed on US markets", "type" : "article-journal", "volume" : "33" }, "uris" : [ "http://www.mendeley.com/documents/?uuid=77910371-c31a-4d9a-87df-0b1def45d77a" ] } ], "mendeley" : { "previouslyFormattedCitation" : "(Bell et al., 2001; O\u2019Keefe et al., 1994; Seetharaman, Gul, &amp; Lynn, 2002)" }, "properties" : { "noteIndex" : 0 }, "schema" : "https://github.com/citation-style-language/schema/raw/master/csl-citation.json" }</w:instrText>
      </w:r>
      <w:r w:rsidR="004A36DA">
        <w:rPr>
          <w:rFonts w:ascii="Times New Roman" w:hAnsi="Times New Roman"/>
          <w:sz w:val="22"/>
        </w:rPr>
        <w:fldChar w:fldCharType="separate"/>
      </w:r>
      <w:r w:rsidR="001A3C03" w:rsidRPr="001A3C03">
        <w:rPr>
          <w:rFonts w:ascii="Times New Roman" w:hAnsi="Times New Roman"/>
          <w:noProof/>
          <w:sz w:val="22"/>
        </w:rPr>
        <w:t>(Bell et al., 2001; O’Keefe et al., 1994; Seetharaman, Gul, &amp; Lynn, 2002)</w:t>
      </w:r>
      <w:r w:rsidR="004A36DA">
        <w:rPr>
          <w:rFonts w:ascii="Times New Roman" w:hAnsi="Times New Roman"/>
          <w:sz w:val="22"/>
        </w:rPr>
        <w:fldChar w:fldCharType="end"/>
      </w:r>
      <w:r>
        <w:rPr>
          <w:rFonts w:ascii="Times New Roman" w:hAnsi="Times New Roman"/>
          <w:sz w:val="22"/>
        </w:rPr>
        <w:t xml:space="preserve">. Since no consistent measure exists of the term business risk, the results until now are mixed. In general, two possible business risks exist which may affect the auditors. One is the current business risk that could cause potential legal actions against the auditors in the future. For instance, auditors of risky clients face a higher possibility of liability payments. However, a problem with this approach is that not a common way exists to measure this possibility. Researchers exist who used a survey study to directly obtain the auditors’ opinion about the influence of their perceived business risk on the audit fee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"10.1111/1475-679X.00002", "ISSN" : "1475-679X", "author" : [ { "dropping-particle" : "", "family" : "Bell", "given" : "Timothy B", "non-dropping-particle" : "", "parse-names" : false, "suffix" : "" }, { "dropping-particle" : "", "family" : "Landsman", "given" : "Wayne R", "non-dropping-particle" : "", "parse-names" : false, "suffix" : "" }, { "dropping-particle" : "", "family" : "Shackelford", "given" : "Douglas A", "non-dropping-particle" : "", "parse-names" : false, "suffix" : "" } ], "container-title" : "Journal of Accounting Research", "id" : "ITEM-1", "issue" : "1", "issued" : { "date-parts" : [ [ "2001" ] ] }, "page" : "35-43", "publisher" : "Blackwell Publishers Inc", "title" : "Auditors' Perceived Business Risk and Audit Fees: Analysis and Evidence", "type" : "article-journal", "volume" : "39" }, "uris" : [ "http://www.mendeley.com/documents/?uuid=433eb72d-f76d-4a55-a9a7-0468b4317ad5" ] } ], "mendeley" : { "previouslyFormattedCitation" : "(Bell et al., 2001)" }, "properties" : { "noteIndex" : 0 }, "schema" : "https://github.com/citation-style-language/schema/raw/master/csl-citation.json" }</w:instrText>
      </w:r>
      <w:r w:rsidR="004A36DA">
        <w:rPr>
          <w:rFonts w:ascii="Times New Roman" w:hAnsi="Times New Roman"/>
          <w:sz w:val="22"/>
        </w:rPr>
        <w:fldChar w:fldCharType="separate"/>
      </w:r>
      <w:r w:rsidRPr="001B5E46">
        <w:rPr>
          <w:rFonts w:ascii="Times New Roman" w:hAnsi="Times New Roman"/>
          <w:noProof/>
          <w:sz w:val="22"/>
        </w:rPr>
        <w:t>(Bell et al., 2001)</w:t>
      </w:r>
      <w:r w:rsidR="004A36DA">
        <w:rPr>
          <w:rFonts w:ascii="Times New Roman" w:hAnsi="Times New Roman"/>
          <w:sz w:val="22"/>
        </w:rPr>
        <w:fldChar w:fldCharType="end"/>
      </w:r>
      <w:r>
        <w:rPr>
          <w:rFonts w:ascii="Times New Roman" w:hAnsi="Times New Roman"/>
          <w:sz w:val="22"/>
        </w:rPr>
        <w:t xml:space="preserve">. The other possible business risk arises from misconducts that are not by definition illegal. Based on the U.S. law those misconducts are totally legal and will not result in a misstated financial statement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"10.1111/j.1475-679x.2005.00165.x", "ISBN" : "1475-679X", "ISSN" : "00218456", "abstract" : "Previous research provides evidence that, for the clients of a large audit firm, audit clients with higher perceived business risk bear the expected costs of this risk with higher audit fees. We extend the literature, which focuses on the relation between litigation risk and audit fees, by examining alleged client misconduct that is not illegal but possibly increases business risk. In particular, we examine the relation between audit fees and business risk for audit clients doing business in developing countries where bribery of top government officials has been an accepted business practice. We hypothesize that bribery-paying clients are riskier because of both client business risk and audit business risk. Using data collected from Securities and Exchange Commission filings and audit fee data in the 1970s, before the passage of the Foreign Corrupt Practices Act, we provide evidence that audit fees were higher for clients that disclosed paying bribes. This evidence is consistent with an audit market where auditors assess business risk at the client level, then pass their expected costs to the client in the form of higher audit fees.", "author" : [ { "dropping-particle" : "", "family" : "Lyon", "given" : "John D.", "non-dropping-particle" : "", "parse-names" : false, "suffix" : "" }, { "dropping-particle" : "", "family" : "Maher", "given" : "Michael W.", "non-dropping-particle" : "", "parse-names" : false, "suffix" : "" } ], "container-title" : "Journal of Accounting Research", "id" : "ITEM-1", "issued" : { "date-parts" : [ [ "2005" ] ] }, "page" : "133-157", "title" : "The importance of business risk in setting audit fees: Evidence from cases of client misconduct", "type" : "article", "volume" : "43" }, "uris" : [ "http://www.mendeley.com/documents/?uuid=90b120f8-0878-44b6-b000-a28dd40c54e9" ] } ], "mendeley" : { "previouslyFormattedCitation" : "(Lyon &amp; Maher, 2005)" }, "properties" : { "noteIndex" : 0 }, "schema" : "https://github.com/citation-style-language/schema/raw/master/csl-citation.json" }</w:instrText>
      </w:r>
      <w:r w:rsidR="004A36DA">
        <w:rPr>
          <w:rFonts w:ascii="Times New Roman" w:hAnsi="Times New Roman"/>
          <w:sz w:val="22"/>
        </w:rPr>
        <w:fldChar w:fldCharType="separate"/>
      </w:r>
      <w:r w:rsidRPr="001B5E46">
        <w:rPr>
          <w:rFonts w:ascii="Times New Roman" w:hAnsi="Times New Roman"/>
          <w:noProof/>
          <w:sz w:val="22"/>
        </w:rPr>
        <w:t>(Lyon &amp; Maher, 2005)</w:t>
      </w:r>
      <w:r w:rsidR="004A36DA">
        <w:rPr>
          <w:rFonts w:ascii="Times New Roman" w:hAnsi="Times New Roman"/>
          <w:sz w:val="22"/>
        </w:rPr>
        <w:fldChar w:fldCharType="end"/>
      </w:r>
      <w:r>
        <w:rPr>
          <w:rFonts w:ascii="Times New Roman" w:hAnsi="Times New Roman"/>
          <w:sz w:val="22"/>
        </w:rPr>
        <w:t>. However, they could harm the reputation of the audit firm consequently decreases its attractiveness to existing and potential clients. T</w:t>
      </w:r>
      <w:r w:rsidRPr="00901983">
        <w:rPr>
          <w:rFonts w:ascii="Times New Roman" w:hAnsi="Times New Roman"/>
          <w:sz w:val="22"/>
        </w:rPr>
        <w:t xml:space="preserve">o measure this type of business risk </w:t>
      </w:r>
      <w:r>
        <w:rPr>
          <w:rFonts w:ascii="Times New Roman" w:hAnsi="Times New Roman"/>
          <w:sz w:val="22"/>
        </w:rPr>
        <w:t xml:space="preserve">researchers mostly use financial ratios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"ITEM-1", "issued" : { "date-parts" : [ [ "2002" ] ] }, "page" : "91-115", "title" : "Litigation risk and audit fees: Evidence from UK firms cross-listed on US markets", "type" : "article-journal", "volume" : "33" }, "uris" : [ "http://www.mendeley.com/documents/?uuid=77910371-c31a-4d9a-87df-0b1def45d77a" ] } ], "mendeley" : { "previouslyFormattedCitation" : "(Seetharaman et al., 2002)" }, "properties" : { "noteIndex" : 0 }, "schema" : "https://github.com/citation-style-language/schema/raw/master/csl-citation.json" }</w:instrText>
      </w:r>
      <w:r w:rsidR="004A36DA">
        <w:rPr>
          <w:rFonts w:ascii="Times New Roman" w:hAnsi="Times New Roman"/>
          <w:sz w:val="22"/>
        </w:rPr>
        <w:fldChar w:fldCharType="separate"/>
      </w:r>
      <w:r w:rsidRPr="001B5E46">
        <w:rPr>
          <w:rFonts w:ascii="Times New Roman" w:hAnsi="Times New Roman"/>
          <w:noProof/>
          <w:sz w:val="22"/>
        </w:rPr>
        <w:t>(Seetharaman et al., 2002)</w:t>
      </w:r>
      <w:r w:rsidR="004A36DA">
        <w:rPr>
          <w:rFonts w:ascii="Times New Roman" w:hAnsi="Times New Roman"/>
          <w:sz w:val="22"/>
        </w:rPr>
        <w:fldChar w:fldCharType="end"/>
      </w:r>
      <w:r>
        <w:rPr>
          <w:rFonts w:ascii="Times New Roman" w:hAnsi="Times New Roman"/>
          <w:sz w:val="22"/>
        </w:rPr>
        <w:t xml:space="preserve">. In this section, based on existing researches both types will be signaled. </w:t>
      </w:r>
    </w:p>
    <w:p w:rsidR="00144315" w:rsidRDefault="00144315" w:rsidP="00144315">
      <w:pPr>
        <w:spacing w:line="360" w:lineRule="auto"/>
        <w:jc w:val="both"/>
      </w:pPr>
    </w:p>
    <w:p w:rsidR="00144315" w:rsidRPr="00322F1B" w:rsidRDefault="00144315" w:rsidP="00322F1B">
      <w:pPr>
        <w:spacing w:after="240" w:line="360" w:lineRule="auto"/>
        <w:jc w:val="both"/>
        <w:rPr>
          <w:rStyle w:val="Emphasis"/>
        </w:rPr>
      </w:pPr>
      <w:r w:rsidRPr="00322F1B">
        <w:rPr>
          <w:rStyle w:val="Emphasis"/>
        </w:rPr>
        <w:lastRenderedPageBreak/>
        <w:t>3.2.2.1 Seetharaman, Gul and Lynn (2002)</w:t>
      </w:r>
    </w:p>
    <w:p w:rsidR="00144315" w:rsidRDefault="00144315" w:rsidP="00144315">
      <w:pPr>
        <w:spacing w:line="360" w:lineRule="auto"/>
        <w:jc w:val="both"/>
        <w:rPr>
          <w:rFonts w:ascii="Times New Roman" w:hAnsi="Times New Roman"/>
          <w:sz w:val="22"/>
        </w:rPr>
      </w:pPr>
      <w:r>
        <w:rPr>
          <w:rFonts w:ascii="Times New Roman" w:hAnsi="Times New Roman"/>
          <w:sz w:val="22"/>
        </w:rPr>
        <w:t xml:space="preserve">Seetharaman, Gul and Lynn studied the effect of the litigation risks of auditors on the audit fee. They assume that auditors would be in serious trouble if they underestimate their legal liability exposure. Legal actions against auditors do not only create liability payments, it represents the poor quality of the services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"10.2307/247679", "ISSN" : "00014826", "abstract" : "This study compares litigation activities of independent auditors to assess litigation as a means for making quality distinctions among auditors. The study provides a frame-work suggesting auditors with relatively low (high) litigation activity represent higher (lower) quality suppliers. The empirical analysis examines a sample of legal cases (n = 472) and resolutions for these cases (if available, n = 183). The cases involve audit-related litigation against both Big Eight and large non-Big Eight firms during 1960-1985. The results indicate that non-Big Eight firms as a group have higher litigation activity than Big Eight firms. This result is consistent with existing research supporting the Big Eight as quality-differentiated auditors. Comparisons among Big Eight firms reveal some significant differences. However, identification of particular Big Eight firms as low (high) litigation activity auditors appears sensitive to the type of analysis. CR  - Copyright &amp;#169; 1988 American Accounting Association", "author" : [ { "dropping-particle" : "", "family" : "Palmrose", "given" : "Zoe-Vonna", "non-dropping-particle" : "", "parse-names" : false, "suffix" : "" } ], "container-title" : "The Accounting Review", "id" : "ITEM-1", "issue" : "1", "issued" : { "date-parts" : [ [ "1988", "1", "1" ] ] }, "page" : "55-73", "publisher" : "American Accounting Association", "title" : "1987 Competitive Manuscript Co-Winner: An Analysis of Auditor Litigation and Audit Service Quality", "type" : "article-journal", "volume" : "63" }, "uris" : [ "http://www.mendeley.com/documents/?uuid=f67bec44-bb62-4021-99a5-2d7c1ded0929" ] } ], "mendeley" : { "previouslyFormattedCitation" : "(Palmrose, 1988)" }, "properties" : { "noteIndex" : 0 }, "schema" : "https://github.com/citation-style-language/schema/raw/master/csl-citation.json" }</w:instrText>
      </w:r>
      <w:r w:rsidR="004A36DA">
        <w:rPr>
          <w:rFonts w:ascii="Times New Roman" w:hAnsi="Times New Roman"/>
          <w:sz w:val="22"/>
        </w:rPr>
        <w:fldChar w:fldCharType="separate"/>
      </w:r>
      <w:r w:rsidRPr="005B60A0">
        <w:rPr>
          <w:rFonts w:ascii="Times New Roman" w:hAnsi="Times New Roman"/>
          <w:noProof/>
          <w:sz w:val="22"/>
        </w:rPr>
        <w:t>(Palmrose, 1988)</w:t>
      </w:r>
      <w:r w:rsidR="004A36DA">
        <w:rPr>
          <w:rFonts w:ascii="Times New Roman" w:hAnsi="Times New Roman"/>
          <w:sz w:val="22"/>
        </w:rPr>
        <w:fldChar w:fldCharType="end"/>
      </w:r>
      <w:r w:rsidR="00175A66">
        <w:rPr>
          <w:rFonts w:ascii="Times New Roman" w:hAnsi="Times New Roman"/>
          <w:sz w:val="22"/>
        </w:rPr>
        <w:t>. L</w:t>
      </w:r>
      <w:r>
        <w:rPr>
          <w:rFonts w:ascii="Times New Roman" w:hAnsi="Times New Roman"/>
          <w:sz w:val="22"/>
        </w:rPr>
        <w:t xml:space="preserve">itigation claims would reduce an audit firm’s reputation which could cause current or potential clients leave the audit firm. Consequently, </w:t>
      </w:r>
    </w:p>
    <w:p w:rsidR="00175A66" w:rsidRDefault="00175A66" w:rsidP="00144315">
      <w:pPr>
        <w:spacing w:line="360" w:lineRule="auto"/>
        <w:jc w:val="both"/>
      </w:pPr>
    </w:p>
    <w:p w:rsidR="00175A66" w:rsidRDefault="00144315" w:rsidP="00144315">
      <w:pPr>
        <w:spacing w:after="240" w:line="360" w:lineRule="auto"/>
        <w:jc w:val="both"/>
        <w:rPr>
          <w:rFonts w:ascii="Times New Roman" w:hAnsi="Times New Roman"/>
          <w:sz w:val="22"/>
        </w:rPr>
      </w:pPr>
      <w:r>
        <w:rPr>
          <w:rFonts w:ascii="Times New Roman" w:hAnsi="Times New Roman"/>
          <w:i/>
          <w:sz w:val="22"/>
        </w:rPr>
        <w:t xml:space="preserve">“the threat from litigation makes it incumbent upon auditors to continually assess their exposure to lawsuits and to incorporate that assessment into the planning and pricing of audit services”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"ITEM-1", "issued" : { "date-parts" : [ [ "2002" ] ] }, "page" : "91-115", "title" : "Litigation risk and audit fees: Evidence from UK firms cross-listed on US markets", "type" : "article-journal", "volume" : "33" }, "locator" : "92", "uris" : [ "http://www.mendeley.com/documents/?uuid=77910371-c31a-4d9a-87df-0b1def45d77a" ] } ], "mendeley" : { "previouslyFormattedCitation" : "(Seetharaman et al., 2002, p. 92)" }, "properties" : { "noteIndex" : 0 }, "schema" : "https://github.com/citation-style-language/schema/raw/master/csl-citation.json" }</w:instrText>
      </w:r>
      <w:r w:rsidR="004A36DA">
        <w:rPr>
          <w:rFonts w:ascii="Times New Roman" w:hAnsi="Times New Roman"/>
          <w:sz w:val="22"/>
        </w:rPr>
        <w:fldChar w:fldCharType="separate"/>
      </w:r>
      <w:r w:rsidRPr="005B60A0">
        <w:rPr>
          <w:rFonts w:ascii="Times New Roman" w:hAnsi="Times New Roman"/>
          <w:noProof/>
          <w:sz w:val="22"/>
        </w:rPr>
        <w:t>(Seetharaman et al., 2002, p. 92)</w:t>
      </w:r>
      <w:r w:rsidR="004A36DA">
        <w:rPr>
          <w:rFonts w:ascii="Times New Roman" w:hAnsi="Times New Roman"/>
          <w:sz w:val="22"/>
        </w:rPr>
        <w:fldChar w:fldCharType="end"/>
      </w:r>
      <w:r>
        <w:rPr>
          <w:rFonts w:ascii="Times New Roman" w:hAnsi="Times New Roman"/>
          <w:sz w:val="22"/>
        </w:rPr>
        <w:t xml:space="preserve">. </w:t>
      </w:r>
    </w:p>
    <w:p w:rsidR="00144315" w:rsidRDefault="00175A66" w:rsidP="00144315">
      <w:pPr>
        <w:spacing w:after="240" w:line="360" w:lineRule="auto"/>
        <w:jc w:val="both"/>
      </w:pPr>
      <w:r>
        <w:rPr>
          <w:rFonts w:ascii="Times New Roman" w:hAnsi="Times New Roman"/>
          <w:sz w:val="22"/>
        </w:rPr>
        <w:t>A</w:t>
      </w:r>
      <w:r w:rsidR="00144315">
        <w:rPr>
          <w:rFonts w:ascii="Times New Roman" w:hAnsi="Times New Roman"/>
          <w:sz w:val="22"/>
        </w:rPr>
        <w:t xml:space="preserve"> reason exists to assume that auditors will charge a premium for the potential consequences of the client’s litigation risk. The authors have not specifically formulated any hypotheses.</w:t>
      </w:r>
    </w:p>
    <w:p w:rsidR="00144315" w:rsidRDefault="00144315" w:rsidP="00144315">
      <w:pPr>
        <w:spacing w:line="360" w:lineRule="auto"/>
        <w:jc w:val="both"/>
      </w:pPr>
      <w:r>
        <w:rPr>
          <w:rFonts w:ascii="Times New Roman" w:hAnsi="Times New Roman"/>
          <w:sz w:val="22"/>
        </w:rPr>
        <w:t>As</w:t>
      </w:r>
      <w:r w:rsidRPr="008D69E9">
        <w:rPr>
          <w:rFonts w:ascii="Times New Roman" w:hAnsi="Times New Roman"/>
          <w:sz w:val="22"/>
        </w:rPr>
        <w:t xml:space="preserve"> a proxy to measure the auditors’ litigation risks</w:t>
      </w:r>
      <w:r>
        <w:rPr>
          <w:rFonts w:ascii="Times New Roman" w:hAnsi="Times New Roman"/>
          <w:sz w:val="22"/>
        </w:rPr>
        <w:t>,</w:t>
      </w:r>
      <w:r w:rsidRPr="008D69E9">
        <w:rPr>
          <w:rFonts w:ascii="Times New Roman" w:hAnsi="Times New Roman"/>
          <w:sz w:val="22"/>
        </w:rPr>
        <w:t xml:space="preserve"> </w:t>
      </w:r>
      <w:r>
        <w:rPr>
          <w:rFonts w:ascii="Times New Roman" w:hAnsi="Times New Roman"/>
          <w:sz w:val="22"/>
        </w:rPr>
        <w:t xml:space="preserve">Seetharaman et al. chose to use the number of legal environments in which audit clients are operating. .With the increase of the legal environments, the company faces variant financial reporting standards, which increases the possible litigation exposure. For instance, the “antifraud provision of the Securities Exchange Act of 1934 have a transnational jurisdiction applied, in particular, to non-US auditors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"ITEM-1", "issued" : { "date-parts" : [ [ "2002" ] ] }, "page" : "91-115", "title" : "Litigation risk and audit fees: Evidence from UK firms cross-listed on US markets", "type" : "article-journal", "volume" : "33" }, "locator" : "92", "uris" : [ "http://www.mendeley.com/documents/?uuid=77910371-c31a-4d9a-87df-0b1def45d77a" ] } ], "mendeley" : { "previouslyFormattedCitation" : "(Seetharaman et al., 2002, p. 92)" }, "properties" : { "noteIndex" : 0 }, "schema" : "https://github.com/citation-style-language/schema/raw/master/csl-citation.json" }</w:instrText>
      </w:r>
      <w:r w:rsidR="004A36DA">
        <w:rPr>
          <w:rFonts w:ascii="Times New Roman" w:hAnsi="Times New Roman"/>
          <w:sz w:val="22"/>
        </w:rPr>
        <w:fldChar w:fldCharType="separate"/>
      </w:r>
      <w:r w:rsidRPr="005B60A0">
        <w:rPr>
          <w:rFonts w:ascii="Times New Roman" w:hAnsi="Times New Roman"/>
          <w:noProof/>
          <w:sz w:val="22"/>
        </w:rPr>
        <w:t>(Seetharaman et al., 2002, p. 92)</w:t>
      </w:r>
      <w:r w:rsidR="004A36DA">
        <w:rPr>
          <w:rFonts w:ascii="Times New Roman" w:hAnsi="Times New Roman"/>
          <w:sz w:val="22"/>
        </w:rPr>
        <w:fldChar w:fldCharType="end"/>
      </w:r>
      <w:r>
        <w:rPr>
          <w:rFonts w:ascii="Times New Roman" w:hAnsi="Times New Roman"/>
          <w:sz w:val="22"/>
        </w:rPr>
        <w:t xml:space="preserve">. In other words, when Non-US companies are willing to issue equity in the US stock exchanges, they are exposed to the liabilities based on the American securities laws. Consequently, it is expected that </w:t>
      </w:r>
      <w:r w:rsidRPr="008D69E9">
        <w:rPr>
          <w:rFonts w:ascii="Times New Roman" w:hAnsi="Times New Roman"/>
          <w:sz w:val="22"/>
        </w:rPr>
        <w:t xml:space="preserve">if the clients are facing different legal environments </w:t>
      </w:r>
      <w:r>
        <w:rPr>
          <w:rFonts w:ascii="Times New Roman" w:hAnsi="Times New Roman"/>
          <w:sz w:val="22"/>
        </w:rPr>
        <w:t>an increase in the audit fee exists.</w:t>
      </w:r>
    </w:p>
    <w:p w:rsidR="00144315" w:rsidRDefault="00144315" w:rsidP="00144315">
      <w:pPr>
        <w:spacing w:line="360" w:lineRule="auto"/>
        <w:jc w:val="both"/>
      </w:pPr>
    </w:p>
    <w:p w:rsidR="00144315" w:rsidRPr="00CB7A4B" w:rsidRDefault="00144315" w:rsidP="00144315">
      <w:pPr>
        <w:spacing w:line="360" w:lineRule="auto"/>
        <w:jc w:val="both"/>
        <w:rPr>
          <w:rFonts w:ascii="Times New Roman" w:hAnsi="Times New Roman"/>
          <w:sz w:val="22"/>
        </w:rPr>
      </w:pPr>
      <w:r>
        <w:rPr>
          <w:rFonts w:ascii="Times New Roman" w:hAnsi="Times New Roman"/>
          <w:sz w:val="22"/>
        </w:rPr>
        <w:t xml:space="preserve">In order to test the hypotheses stated before, the authors </w:t>
      </w:r>
      <w:r w:rsidR="00A72168">
        <w:rPr>
          <w:rFonts w:ascii="Times New Roman" w:hAnsi="Times New Roman"/>
          <w:sz w:val="22"/>
        </w:rPr>
        <w:t>used a regression model to examine</w:t>
      </w:r>
      <w:r>
        <w:rPr>
          <w:rFonts w:ascii="Times New Roman" w:hAnsi="Times New Roman"/>
          <w:sz w:val="22"/>
        </w:rPr>
        <w:t xml:space="preserve"> whether the auditors of U.K. firms charge a fee premium for their clients accessing the U.S. capital markets. The data used in this study was obtained from the Financial Times Extel Company Analysis database, the Bank of New York ADR database and the Disclosure’s Global Access database. After excluding banks concerning the period 1996 up to and included 1998 they collected in total 3666 observations.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results of the study showed that the UK auditors indeed charge a higher fee when their non-US oriented clients have accessed the American market. However, it is worth noting that the measure of the business risk used in this study is similar to the complexity measures in other audit fee studies,</w:t>
      </w:r>
      <w:r w:rsidR="00A72168">
        <w:rPr>
          <w:rFonts w:ascii="Times New Roman" w:hAnsi="Times New Roman"/>
          <w:sz w:val="22"/>
        </w:rPr>
        <w:t xml:space="preserve"> namely </w:t>
      </w:r>
      <w:r>
        <w:rPr>
          <w:rFonts w:ascii="Times New Roman" w:hAnsi="Times New Roman"/>
          <w:sz w:val="22"/>
        </w:rPr>
        <w:t>the number of subsidiaries. The only difference is that the subsidiaries used in this study have to face different legal environments. Consequently, it cannot be determined whether the increase in the audit fee is due to the complexity,</w:t>
      </w:r>
      <w:r w:rsidDel="00DF2EF4">
        <w:rPr>
          <w:rFonts w:ascii="Times New Roman" w:hAnsi="Times New Roman"/>
          <w:sz w:val="22"/>
        </w:rPr>
        <w:t xml:space="preserve"> </w:t>
      </w:r>
      <w:r>
        <w:rPr>
          <w:rFonts w:ascii="Times New Roman" w:hAnsi="Times New Roman"/>
          <w:sz w:val="22"/>
        </w:rPr>
        <w:t xml:space="preserve">e.g. number of subsidiaries, or due of the different legal environments. </w:t>
      </w:r>
    </w:p>
    <w:p w:rsidR="00144315" w:rsidRDefault="00144315" w:rsidP="00144315">
      <w:pPr>
        <w:spacing w:line="360" w:lineRule="auto"/>
        <w:jc w:val="both"/>
      </w:pPr>
    </w:p>
    <w:p w:rsidR="00144315" w:rsidRPr="00322F1B" w:rsidRDefault="00144315" w:rsidP="00322F1B">
      <w:pPr>
        <w:spacing w:after="240" w:line="360" w:lineRule="auto"/>
        <w:jc w:val="both"/>
        <w:rPr>
          <w:rStyle w:val="Emphasis"/>
        </w:rPr>
      </w:pPr>
      <w:r w:rsidRPr="00322F1B">
        <w:rPr>
          <w:rStyle w:val="Emphasis"/>
        </w:rPr>
        <w:lastRenderedPageBreak/>
        <w:t>3.2.2.2 Lyon and Maher (2005)</w:t>
      </w:r>
    </w:p>
    <w:p w:rsidR="00144315" w:rsidRDefault="00144315" w:rsidP="00144315">
      <w:pPr>
        <w:spacing w:line="360" w:lineRule="auto"/>
        <w:jc w:val="both"/>
      </w:pPr>
      <w:r>
        <w:rPr>
          <w:rFonts w:ascii="Times New Roman" w:hAnsi="Times New Roman"/>
          <w:sz w:val="22"/>
        </w:rPr>
        <w:t xml:space="preserve">Lyon &amp; Maher (2005) studied another type of business risk: the legal misconducts and its association with the audit fee. As a proxy for the client misconduct, they employed clients’ bribery payments to high level government officials. A company bribes governmental officials to achieve its own business objectives. In a country where bribery is common, companies have to follow the rule of the game no matter whether they are willing too. Based on a legal perspective, in 1974 in the U.S. bribery payments were not illegal In fact, the SEC included a voluntary disclose program to request companies to report their questionable payments to the governmental officials. Consequently, nearly 200 companies did report their bribery payments which are mostly paid to government officials in developing countries. Based on the financial reporting perspective, the act of paying these bribes was not an accounting issue if the amount was reported correctly. Hence, since bribery did not create any misstatements auditors have the choice to accept this item. However, the bribery scandals attract widespread media attention and may harm the reputation of the audit firm. To cover themselves in this situation, auditors may need to spare more efforts in their audit to ensure their opinions about the company are correct. This consequently will drive up the audit fee.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authors developed the next hypothesis to test their assumption:</w:t>
      </w:r>
    </w:p>
    <w:p w:rsidR="00144315" w:rsidRDefault="00144315" w:rsidP="00144315">
      <w:pPr>
        <w:spacing w:line="360" w:lineRule="auto"/>
        <w:jc w:val="both"/>
        <w:rPr>
          <w:rFonts w:ascii="Times New Roman" w:hAnsi="Times New Roman"/>
          <w:i/>
          <w:sz w:val="22"/>
        </w:rPr>
      </w:pPr>
    </w:p>
    <w:p w:rsidR="00144315" w:rsidRDefault="00144315" w:rsidP="00144315">
      <w:pPr>
        <w:spacing w:line="360" w:lineRule="auto"/>
        <w:jc w:val="both"/>
      </w:pPr>
      <w:r>
        <w:rPr>
          <w:rFonts w:ascii="Times New Roman" w:hAnsi="Times New Roman"/>
          <w:i/>
          <w:sz w:val="22"/>
        </w:rPr>
        <w:t>Hypothesis 1</w:t>
      </w:r>
    </w:p>
    <w:p w:rsidR="00144315" w:rsidRDefault="00144315" w:rsidP="00144315">
      <w:pPr>
        <w:spacing w:line="360" w:lineRule="auto"/>
      </w:pPr>
      <w:r>
        <w:rPr>
          <w:rFonts w:ascii="Times New Roman" w:hAnsi="Times New Roman"/>
          <w:sz w:val="22"/>
        </w:rPr>
        <w:t>T</w:t>
      </w:r>
      <w:r w:rsidRPr="00DF2EF4">
        <w:rPr>
          <w:rFonts w:ascii="Times New Roman" w:hAnsi="Times New Roman"/>
          <w:sz w:val="22"/>
        </w:rPr>
        <w:t xml:space="preserve">o clients who pay bribes to foreign government official’s </w:t>
      </w:r>
      <w:r>
        <w:rPr>
          <w:rFonts w:ascii="Times New Roman" w:hAnsi="Times New Roman"/>
          <w:sz w:val="22"/>
        </w:rPr>
        <w:t>auditors charge higher fees than to clients who do not pay bribes to foreign government officials.</w:t>
      </w:r>
    </w:p>
    <w:p w:rsidR="00144315" w:rsidRDefault="00144315" w:rsidP="00144315">
      <w:pPr>
        <w:spacing w:line="360" w:lineRule="auto"/>
        <w:jc w:val="both"/>
      </w:pPr>
    </w:p>
    <w:p w:rsidR="00144315" w:rsidRPr="007A006D" w:rsidRDefault="00BA09E3" w:rsidP="00CB7A4B">
      <w:pPr>
        <w:spacing w:line="360" w:lineRule="auto"/>
        <w:jc w:val="both"/>
        <w:rPr>
          <w:rFonts w:ascii="Cambria" w:hAnsi="Cambria"/>
        </w:rPr>
      </w:pPr>
      <w:r>
        <w:rPr>
          <w:rFonts w:ascii="Times New Roman" w:hAnsi="Times New Roman"/>
          <w:sz w:val="22"/>
        </w:rPr>
        <w:t xml:space="preserve">To test the hypothesis </w:t>
      </w:r>
      <w:r w:rsidR="00144315">
        <w:rPr>
          <w:rFonts w:ascii="Times New Roman" w:hAnsi="Times New Roman"/>
          <w:sz w:val="22"/>
        </w:rPr>
        <w:t xml:space="preserve">a cross-sectional audit fee regression model was employed. A dummy variable was introduced which is equal to 1 if the company did report bribery, otherwise 0. Besides generally used control variables including clients’ size, audit complexity and auditor-client risk sharing, several variables in addition that are correlated with bribe and might directly affect the cost of an audit are included. These are geographical dispersion, percentage of assets in developing countries and corruption index. </w:t>
      </w:r>
    </w:p>
    <w:p w:rsidR="00144315" w:rsidRDefault="00144315" w:rsidP="00144315"/>
    <w:p w:rsidR="00144315" w:rsidRDefault="00144315" w:rsidP="00144315">
      <w:pPr>
        <w:spacing w:line="360" w:lineRule="auto"/>
        <w:jc w:val="both"/>
      </w:pPr>
      <w:r>
        <w:rPr>
          <w:rFonts w:ascii="Times New Roman" w:hAnsi="Times New Roman"/>
          <w:sz w:val="22"/>
        </w:rPr>
        <w:t xml:space="preserve">Data from 82 companies registered with the SEC were obtained from the Paton Accounting Center at the University of Michigan, SEC 10-K reports, Moody’s, and Compustat in 1974.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results showed that auditors, </w:t>
      </w:r>
      <w:r w:rsidRPr="00345BA2">
        <w:rPr>
          <w:rFonts w:ascii="Times New Roman" w:hAnsi="Times New Roman"/>
          <w:sz w:val="22"/>
        </w:rPr>
        <w:t>even though the misconduct is not illegal and does not cause any financial misstatements</w:t>
      </w:r>
      <w:r>
        <w:rPr>
          <w:rFonts w:ascii="Times New Roman" w:hAnsi="Times New Roman"/>
          <w:sz w:val="22"/>
        </w:rPr>
        <w:t>,</w:t>
      </w:r>
      <w:r w:rsidRPr="00345BA2">
        <w:rPr>
          <w:rFonts w:ascii="Times New Roman" w:hAnsi="Times New Roman"/>
          <w:sz w:val="22"/>
        </w:rPr>
        <w:t xml:space="preserve"> </w:t>
      </w:r>
      <w:r>
        <w:rPr>
          <w:rFonts w:ascii="Times New Roman" w:hAnsi="Times New Roman"/>
          <w:sz w:val="22"/>
        </w:rPr>
        <w:t xml:space="preserve">do allege corporate misconduct as risky business, and ask a higher audit fee. </w:t>
      </w:r>
    </w:p>
    <w:p w:rsidR="00144315" w:rsidRDefault="00144315" w:rsidP="00144315">
      <w:pPr>
        <w:spacing w:line="360" w:lineRule="auto"/>
        <w:jc w:val="both"/>
      </w:pPr>
    </w:p>
    <w:p w:rsidR="00144315" w:rsidRPr="00A23654" w:rsidRDefault="00144315" w:rsidP="00A23654">
      <w:pPr>
        <w:pStyle w:val="Subtitle"/>
        <w:spacing w:line="360" w:lineRule="auto"/>
        <w:jc w:val="left"/>
        <w:rPr>
          <w:b/>
        </w:rPr>
      </w:pPr>
      <w:bookmarkStart w:id="48" w:name="_Toc393872549"/>
      <w:r w:rsidRPr="00A23654">
        <w:rPr>
          <w:b/>
        </w:rPr>
        <w:t xml:space="preserve">3.3 Audit </w:t>
      </w:r>
      <w:r w:rsidR="004228D1">
        <w:rPr>
          <w:b/>
        </w:rPr>
        <w:t>C</w:t>
      </w:r>
      <w:r w:rsidRPr="00A23654">
        <w:rPr>
          <w:b/>
        </w:rPr>
        <w:t xml:space="preserve">lient </w:t>
      </w:r>
      <w:r w:rsidR="004228D1">
        <w:rPr>
          <w:b/>
        </w:rPr>
        <w:t>C</w:t>
      </w:r>
      <w:r w:rsidRPr="00A23654">
        <w:rPr>
          <w:b/>
        </w:rPr>
        <w:t>omplexity</w:t>
      </w:r>
      <w:bookmarkEnd w:id="48"/>
    </w:p>
    <w:p w:rsidR="00144315" w:rsidRDefault="00144315" w:rsidP="00144315">
      <w:pPr>
        <w:spacing w:line="360" w:lineRule="auto"/>
        <w:jc w:val="both"/>
      </w:pPr>
      <w:r>
        <w:rPr>
          <w:rFonts w:ascii="Times New Roman" w:hAnsi="Times New Roman"/>
          <w:sz w:val="22"/>
        </w:rPr>
        <w:lastRenderedPageBreak/>
        <w:t xml:space="preserve">Among the signaled determinants before, researchers in addition expect that audit client complexity is correlated with the audit fee. The reason is that a complex client </w:t>
      </w:r>
      <w:r w:rsidRPr="00345BA2">
        <w:rPr>
          <w:rFonts w:ascii="Times New Roman" w:hAnsi="Times New Roman"/>
          <w:sz w:val="22"/>
        </w:rPr>
        <w:t xml:space="preserve">to complete the audit procedures </w:t>
      </w:r>
      <w:r>
        <w:rPr>
          <w:rFonts w:ascii="Times New Roman" w:hAnsi="Times New Roman"/>
          <w:sz w:val="22"/>
        </w:rPr>
        <w:t xml:space="preserve">concerning the auditor will be more time-consuming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"10.1111/j.1911-3846.1997.tb00537.x", "ISBN" : "08239150", "ISSN" : "08239150", "abstract" : "We examine the empirical relationship between auditors' resource allocations and selected engagement characteristics. Our measure of resources is hours of grades of labor (partner, manager, etc.) \"charged\" to audit activities (planning, internal control evaluation, etc.). Engagement characteristics examined are client size, industry affiliation, client complexity, risk, auditor provision of management advisory services to the auditee, and degree of control reliance. The data were obtained from publicly available sources and a survey developed and administered by an international public accounting firm. We find the cross-sectional variation in the labor charged to various audit activities can be explained by engagement characteristics found to be important in prior studies on audit fees, total labor inputs, and the mix of labor inputs. Measures of client size, industry, complexity, risk, and services provided are associated with changes in the allocation of labor among audit activities. We find no substitution of internal control review/testing for substantive testing on reliance audits. Task assignments vary by rank. Measures of client size, complexity, risk, and services provided are associated with activity-specific changes in the labor mix.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"Hackenbrack", "given" : "Karl", "non-dropping-particle" : "", "parse-names" : false, "suffix" : "" }, { "dropping-particle" : "", "family" : "Knechel", "given" : "W. Robert", "non-dropping-particle" : "", "parse-names" : false, "suffix" : "" } ], "container-title" : "Contemporary Accounting Research", "id" : "ITEM-1", "issued" : { "date-parts" : [ [ "1997" ] ] }, "page" : "481-499", "title" : "Resource Allocation Decisions in Audit Engagements", "type" : "article-journal", "volume" : "14" }, "uris" : [ "http://www.mendeley.com/documents/?uuid=ba4ac3fe-7330-4528-8a9a-681729fad098" ] }, { "id" : "ITEM-2",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"ITEM-2", "issued" : { "date-parts" : [ [ "1980" ] ] }, "page" : "161-190", "title" : "The Pricing of Audit Services: Theory and Evidence.", "type" : "article-journal", "volume" : "18" }, "uris" : [ "http://www.mendeley.com/documents/?uuid=eabaa36c-f862-49c4-a20b-93711d465784" ] } ], "mendeley" : { "previouslyFormattedCitation" : "(Hackenbrack &amp; Knechel, 1997; Simunic, 1980)" }, "properties" : { "noteIndex" : 0 }, "schema" : "https://github.com/citation-style-language/schema/raw/master/csl-citation.json" }</w:instrText>
      </w:r>
      <w:r w:rsidR="004A36DA">
        <w:rPr>
          <w:rFonts w:ascii="Times New Roman" w:hAnsi="Times New Roman"/>
          <w:sz w:val="22"/>
        </w:rPr>
        <w:fldChar w:fldCharType="separate"/>
      </w:r>
      <w:r w:rsidRPr="00CE56F1">
        <w:rPr>
          <w:rFonts w:ascii="Times New Roman" w:hAnsi="Times New Roman"/>
          <w:noProof/>
          <w:sz w:val="22"/>
        </w:rPr>
        <w:t>(Hackenbrack &amp; Knechel, 1997; Simunic, 1980)</w:t>
      </w:r>
      <w:r w:rsidR="004A36DA">
        <w:rPr>
          <w:rFonts w:ascii="Times New Roman" w:hAnsi="Times New Roman"/>
          <w:sz w:val="22"/>
        </w:rPr>
        <w:fldChar w:fldCharType="end"/>
      </w:r>
      <w:r>
        <w:rPr>
          <w:rFonts w:ascii="Times New Roman" w:hAnsi="Times New Roman"/>
          <w:sz w:val="22"/>
        </w:rPr>
        <w:t xml:space="preserve">. Consequently, a complex client should be charged with a higher amount of audit fee. However, the measurement of the client complexity across studies is different. In general, two streams of complexity measure exist. On one hand, researchers assume that the client company structure can cause the complexity. They used the number of subsidiaries as the proxy to represent it, a company with more subsidiaries has decentralized operations and consequently is more complex concerning the audit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"10.1506/4XR4-KT5V-E8CN-91GX", "ISBN" : "08239150", "ISSN" : "0823-9150", "PMID" : "20797432", "abstract" : "We evaluate and summarize the large body of audit fee research and use meta-analysis to test the combined effect of the most commonly used independent variables. The perspective provided by the meta analysis allows us to reconsider the anomalies, mixed results, and gaps in audit fee research. We find that, although many independent variables have consistent results, several show no clear pattern to the results and others only show significant results in certain periods or particular countries. These variables include a loss by the client and leverage, which have become significant in comparatively recent studies; internal auditing and governance, both of which have mixed results; auditor specialization, regarding which there is still some uncertainty; and the audit opinion, which was a significant variable before 1990 but not in more recent studies.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"Hay", "given" : "David C", "non-dropping-particle" : "", "parse-names" : false, "suffix" : "" }, { "dropping-particle" : "", "family" : "Knechel", "given" : "W Robert", "non-dropping-particle" : "", "parse-names" : false, "suffix" : "" }, { "dropping-particle" : "", "family" : "Wong", "given" : "Norman", "non-dropping-particle" : "", "parse-names" : false, "suffix" : "" } ], "container-title" : "Contemporary Accounting Research", "id" : "ITEM-1", "issued" : { "date-parts" : [ [ "2006" ] ] }, "page" : "141-191", "title" : "Audit Fees: A Meta-analysis of the Effect of Supply and Demand Attributes", "type" : "article-journal", "volume" : "23" }, "uris" : [ "http://www.mendeley.com/documents/?uuid=c6ababa2-8d41-451a-9e68-b2460e76eeb8" ] } ], "mendeley" : { "previouslyFormattedCitation" : "(Hay et al., 2006)" }, "properties" : { "noteIndex" : 0 }, "schema" : "https://github.com/citation-style-language/schema/raw/master/csl-citation.json" }</w:instrText>
      </w:r>
      <w:r w:rsidR="004A36DA">
        <w:rPr>
          <w:rFonts w:ascii="Times New Roman" w:hAnsi="Times New Roman"/>
          <w:sz w:val="22"/>
        </w:rPr>
        <w:fldChar w:fldCharType="separate"/>
      </w:r>
      <w:r w:rsidRPr="00CE56F1">
        <w:rPr>
          <w:rFonts w:ascii="Times New Roman" w:hAnsi="Times New Roman"/>
          <w:noProof/>
          <w:sz w:val="22"/>
        </w:rPr>
        <w:t>(Hay et al., 2006)</w:t>
      </w:r>
      <w:r w:rsidR="004A36DA">
        <w:rPr>
          <w:rFonts w:ascii="Times New Roman" w:hAnsi="Times New Roman"/>
          <w:sz w:val="22"/>
        </w:rPr>
        <w:fldChar w:fldCharType="end"/>
      </w:r>
      <w:r>
        <w:rPr>
          <w:rFonts w:ascii="Times New Roman" w:hAnsi="Times New Roman"/>
          <w:sz w:val="22"/>
        </w:rPr>
        <w:t xml:space="preserve">. On the other hand, researchers assume that complexity can be qualified as an industry characteristic, which implies that some industries are more complex to the audit than others. Consequently, to assess the complexity they used the Standard Industrial Classification (SIC) codes. In the next section, two articles of each stream will be presented. </w:t>
      </w:r>
    </w:p>
    <w:p w:rsidR="00144315" w:rsidRDefault="00144315" w:rsidP="00144315">
      <w:pPr>
        <w:spacing w:line="360" w:lineRule="auto"/>
        <w:jc w:val="both"/>
      </w:pPr>
    </w:p>
    <w:p w:rsidR="00144315" w:rsidRPr="00322F1B" w:rsidRDefault="00144315" w:rsidP="00144315">
      <w:pPr>
        <w:spacing w:line="360" w:lineRule="auto"/>
        <w:jc w:val="both"/>
        <w:rPr>
          <w:rStyle w:val="Emphasis"/>
        </w:rPr>
      </w:pPr>
      <w:r w:rsidRPr="00322F1B">
        <w:rPr>
          <w:rStyle w:val="Emphasis"/>
        </w:rPr>
        <w:t>3.3.1 Sandra &amp; Patrick (1996)</w:t>
      </w:r>
    </w:p>
    <w:p w:rsidR="00144315" w:rsidRPr="00CE56F1" w:rsidRDefault="00144315" w:rsidP="00144315">
      <w:pPr>
        <w:spacing w:line="360" w:lineRule="auto"/>
        <w:jc w:val="both"/>
        <w:rPr>
          <w:rFonts w:ascii="Times New Roman" w:hAnsi="Times New Roman"/>
          <w:noProof/>
          <w:sz w:val="22"/>
        </w:rPr>
      </w:pPr>
      <w:r>
        <w:rPr>
          <w:rFonts w:ascii="Times New Roman" w:hAnsi="Times New Roman"/>
          <w:sz w:val="22"/>
        </w:rPr>
        <w:t xml:space="preserve">To have a better understanding of the components of the audit fee ,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"ISSN" : "1321-7348", "author" : [ { "dropping-particle" : "", "family" : "Sandra", "given" : "W M", "non-dropping-particle" : "", "parse-names" : false, "suffix" : "" }, { "dropping-particle" : "", "family" : "Patrick", "given" : "P H", "non-dropping-particle" : "", "parse-names" : false, "suffix" : "" } ], "container-title" : "Asian Review of Accounting", "id" : "ITEM-1", "issue" : "2", "issued" : { "date-parts" : [ [ "1996" ] ] }, "page" : "32-50", "publisher" : "MCB UP Ltd", "title" : "The deteminants of audit fees in HongKong: An empirical study", "type" : "article-journal", "volume" : "4" }, "uris" : [ "http://www.mendeley.com/documents/?uuid=e1438a18-7a93-440e-b1b6-8bcde1dd0ef6" ] } ], "mendeley" : { "manualFormatting" : "Sandra &amp; Patrick (1996)", "previouslyFormattedCitation" : "(Sandra &amp; Patrick, 1996)"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Sandra &amp; Patrick</w:t>
      </w:r>
      <w:r w:rsidRPr="00CE56F1">
        <w:rPr>
          <w:rFonts w:ascii="Times New Roman" w:hAnsi="Times New Roman"/>
          <w:noProof/>
          <w:sz w:val="22"/>
        </w:rPr>
        <w:t xml:space="preserve"> </w:t>
      </w:r>
      <w:r>
        <w:rPr>
          <w:rFonts w:ascii="Times New Roman" w:hAnsi="Times New Roman"/>
          <w:noProof/>
          <w:sz w:val="22"/>
        </w:rPr>
        <w:t>(</w:t>
      </w:r>
      <w:r w:rsidRPr="00CE56F1">
        <w:rPr>
          <w:rFonts w:ascii="Times New Roman" w:hAnsi="Times New Roman"/>
          <w:noProof/>
          <w:sz w:val="22"/>
        </w:rPr>
        <w:t>1996)</w:t>
      </w:r>
      <w:r w:rsidR="004A36DA">
        <w:rPr>
          <w:rFonts w:ascii="Times New Roman" w:hAnsi="Times New Roman"/>
          <w:sz w:val="22"/>
        </w:rPr>
        <w:fldChar w:fldCharType="end"/>
      </w:r>
      <w:r>
        <w:rPr>
          <w:rFonts w:ascii="Times New Roman" w:hAnsi="Times New Roman"/>
          <w:sz w:val="22"/>
        </w:rPr>
        <w:t xml:space="preserve"> studied the audit market in Hong Kong. Client complexity was one of their major interests, which was measured by the number of subsidiaries. They believe that a company with more subsidiaries has more diversified operations hence requiring more hours to complete the audit.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authors in total formulated 10 hypotheses to confirm the audit fee drivers found in U.S. and in U.K. studies in addition are valid to Hong Kong markets. </w:t>
      </w:r>
      <w:r w:rsidR="00C0526F">
        <w:rPr>
          <w:rFonts w:ascii="Times New Roman" w:hAnsi="Times New Roman"/>
          <w:sz w:val="22"/>
        </w:rPr>
        <w:t>Since the h</w:t>
      </w:r>
      <w:r>
        <w:rPr>
          <w:rFonts w:ascii="Times New Roman" w:hAnsi="Times New Roman"/>
          <w:sz w:val="22"/>
        </w:rPr>
        <w:t xml:space="preserve">ypothesis 6 has been developed to test the influence of the client complexity on the audit fee. </w:t>
      </w:r>
      <w:r w:rsidR="00C0526F">
        <w:rPr>
          <w:rFonts w:ascii="Times New Roman" w:hAnsi="Times New Roman"/>
          <w:sz w:val="22"/>
        </w:rPr>
        <w:t>This hypothesis will be given</w:t>
      </w:r>
      <w:r>
        <w:rPr>
          <w:rFonts w:ascii="Times New Roman" w:hAnsi="Times New Roman"/>
          <w:sz w:val="22"/>
        </w:rPr>
        <w:t>:</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Hypotheses 6</w:t>
      </w:r>
    </w:p>
    <w:p w:rsidR="00144315" w:rsidRDefault="00144315" w:rsidP="00144315">
      <w:pPr>
        <w:spacing w:line="360" w:lineRule="auto"/>
        <w:jc w:val="both"/>
      </w:pPr>
      <w:r>
        <w:rPr>
          <w:rFonts w:ascii="Times New Roman" w:hAnsi="Times New Roman"/>
          <w:sz w:val="22"/>
        </w:rPr>
        <w:t>Audit fee is positively associated with the number of principal subsidiaries in the group.</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In order to test these hypotheses, the authors adopted a regression model with audit fee as the dependent variable and several fee drivers as independent variables. Unfortunately, the authors in their paper did not provide their regression equation.</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sample used concerns companies listed on the Stock Exchange of Hong Kong Limited from the year 1992 and 1993. Since it is required for all listed companies in Hong Kong to disclose the amount of auditors’ fee, the authors are able to obtain the data from the annual financial reports included in the database Hong Kong City Hall Library. Companies were excluded if (1) no audit fee was disclosed,</w:t>
      </w:r>
      <w:r w:rsidDel="00DF72F6">
        <w:rPr>
          <w:rFonts w:ascii="Times New Roman" w:hAnsi="Times New Roman"/>
          <w:sz w:val="22"/>
        </w:rPr>
        <w:t xml:space="preserve"> </w:t>
      </w:r>
      <w:r>
        <w:rPr>
          <w:rFonts w:ascii="Times New Roman" w:hAnsi="Times New Roman"/>
          <w:sz w:val="22"/>
        </w:rPr>
        <w:t>some foreign companies are not required to report the audit fees; and (2) if they are from the banking industry. Consequently, there were 313 companies for the year 1992 and 396 companies for year 1993, which represent 76% and 83% of the population concerning the two years, respectively.</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This study has proved that a significant correlation exists between the number of subsidiaries and the audit fee required which suggests that the complexity in the audit pricing process is relevant. </w:t>
      </w:r>
    </w:p>
    <w:p w:rsidR="00144315" w:rsidRDefault="00144315" w:rsidP="00144315">
      <w:pPr>
        <w:spacing w:line="360" w:lineRule="auto"/>
        <w:jc w:val="both"/>
      </w:pPr>
    </w:p>
    <w:p w:rsidR="00144315" w:rsidRPr="00322F1B" w:rsidRDefault="00144315" w:rsidP="00144315">
      <w:pPr>
        <w:spacing w:line="360" w:lineRule="auto"/>
        <w:jc w:val="both"/>
        <w:rPr>
          <w:rStyle w:val="Emphasis"/>
        </w:rPr>
      </w:pPr>
      <w:r w:rsidRPr="00322F1B">
        <w:rPr>
          <w:rStyle w:val="Emphasis"/>
        </w:rPr>
        <w:t>3.3.2 Craswell, Francis and Taylor (1995)</w:t>
      </w:r>
    </w:p>
    <w:p w:rsidR="00B84397" w:rsidRDefault="00144315" w:rsidP="00144315">
      <w:pPr>
        <w:spacing w:line="360" w:lineRule="auto"/>
        <w:jc w:val="both"/>
        <w:rPr>
          <w:rFonts w:ascii="Times New Roman" w:hAnsi="Times New Roman"/>
          <w:sz w:val="22"/>
        </w:rPr>
      </w:pPr>
      <w:r>
        <w:rPr>
          <w:rFonts w:ascii="Times New Roman" w:hAnsi="Times New Roman"/>
          <w:sz w:val="22"/>
        </w:rPr>
        <w:t xml:space="preserve">One of the purposes of the study by Craswell, Francis and Taylor is to investigate whether the audit specialization premium asked are industry-specific. Their motivation is that some industries require different accounting technologies than other general industries. The accounting technology refers to a company’s accounting system and the selection and the application of accounting policies to report their activities. </w:t>
      </w:r>
    </w:p>
    <w:p w:rsidR="00B84397" w:rsidRDefault="00B84397" w:rsidP="00144315">
      <w:pPr>
        <w:spacing w:line="360" w:lineRule="auto"/>
        <w:jc w:val="both"/>
        <w:rPr>
          <w:rFonts w:ascii="Times New Roman" w:hAnsi="Times New Roman"/>
          <w:sz w:val="22"/>
        </w:rPr>
      </w:pPr>
    </w:p>
    <w:p w:rsidR="00B84397" w:rsidRDefault="00144315" w:rsidP="00144315">
      <w:pPr>
        <w:spacing w:line="360" w:lineRule="auto"/>
        <w:jc w:val="both"/>
        <w:rPr>
          <w:rFonts w:ascii="Times New Roman" w:hAnsi="Times New Roman"/>
          <w:sz w:val="22"/>
        </w:rPr>
      </w:pPr>
      <w:r>
        <w:rPr>
          <w:rFonts w:ascii="Times New Roman" w:hAnsi="Times New Roman"/>
          <w:i/>
          <w:sz w:val="22"/>
        </w:rPr>
        <w:t xml:space="preserve">“Crucial accounting policy issues concern the recognition and measurement of assets, liabilities, and income arising from the firm’s economic activity. To the extent accounting technology is industry-specific rather than generic, the firm’s agency/contracting problems and their method of resolution via accounting will also have unique industry features”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"ITEM-1", "issued" : { "date-parts" : [ [ "1995" ] ] }, "page" : "297-322", "title" : "Auditor brand name reputations and industry specializations", "type" : "article", "volume" : "20" }, "locator" : "300", "uris" : [ "http://www.mendeley.com/documents/?uuid=587b528c-c9ff-41c2-a4d5-0064050da82b" ] } ], "mendeley" : { "manualFormatting" : "(Craswell et al., 1995, p. 300)", "previouslyFormattedCitation" : "(Allen T Craswell et al., 1995, p. 300)" }, "properties" : { "noteIndex" : 0 }, "schema" : "https://github.com/citation-style-language/schema/raw/master/csl-citation.json" }</w:instrText>
      </w:r>
      <w:r w:rsidR="004A36DA">
        <w:rPr>
          <w:rFonts w:ascii="Times New Roman" w:hAnsi="Times New Roman"/>
          <w:sz w:val="22"/>
        </w:rPr>
        <w:fldChar w:fldCharType="separate"/>
      </w:r>
      <w:r w:rsidR="001A3C03" w:rsidRPr="001A3C03">
        <w:rPr>
          <w:rFonts w:ascii="Times New Roman" w:hAnsi="Times New Roman"/>
          <w:noProof/>
          <w:sz w:val="22"/>
        </w:rPr>
        <w:t>(Craswell et al., 1995, p. 300)</w:t>
      </w:r>
      <w:r w:rsidR="004A36DA">
        <w:rPr>
          <w:rFonts w:ascii="Times New Roman" w:hAnsi="Times New Roman"/>
          <w:sz w:val="22"/>
        </w:rPr>
        <w:fldChar w:fldCharType="end"/>
      </w:r>
    </w:p>
    <w:p w:rsidR="00B84397" w:rsidRDefault="00B84397" w:rsidP="00144315">
      <w:pPr>
        <w:spacing w:line="360" w:lineRule="auto"/>
        <w:jc w:val="both"/>
        <w:rPr>
          <w:rFonts w:ascii="Times New Roman" w:hAnsi="Times New Roman"/>
          <w:sz w:val="22"/>
        </w:rPr>
      </w:pPr>
    </w:p>
    <w:p w:rsidR="00144315" w:rsidRDefault="00144315" w:rsidP="00144315">
      <w:pPr>
        <w:spacing w:line="360" w:lineRule="auto"/>
        <w:jc w:val="both"/>
      </w:pPr>
      <w:r>
        <w:rPr>
          <w:rFonts w:ascii="Times New Roman" w:hAnsi="Times New Roman"/>
          <w:sz w:val="22"/>
        </w:rPr>
        <w:t xml:space="preserve">Based on that concerning the audit some industries are relatively more complex. </w:t>
      </w:r>
      <w:r w:rsidRPr="002F2247">
        <w:rPr>
          <w:rFonts w:ascii="Times New Roman" w:hAnsi="Times New Roman"/>
          <w:sz w:val="22"/>
        </w:rPr>
        <w:t>W</w:t>
      </w:r>
      <w:r>
        <w:rPr>
          <w:rFonts w:ascii="Times New Roman" w:hAnsi="Times New Roman"/>
          <w:sz w:val="22"/>
        </w:rPr>
        <w:t>hen auditing in these industries auditors need to have more industry specific knowledge. Hence, to compensate their training and education investment they will charge a higher fee. The authors in total have developed three hypotheses. The three hypotheses are formulated as followed:</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1</w:t>
      </w:r>
    </w:p>
    <w:p w:rsidR="00144315" w:rsidRDefault="00144315" w:rsidP="00144315">
      <w:pPr>
        <w:spacing w:line="360" w:lineRule="auto"/>
        <w:jc w:val="both"/>
      </w:pPr>
      <w:r>
        <w:rPr>
          <w:rFonts w:ascii="Times New Roman" w:hAnsi="Times New Roman"/>
          <w:sz w:val="22"/>
        </w:rPr>
        <w:t>In those industries not having specialist auditors, Big 8 auditors will have higher audit fees than non-Big 8 auditors.</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2</w:t>
      </w:r>
    </w:p>
    <w:p w:rsidR="00144315" w:rsidRDefault="00144315" w:rsidP="00144315">
      <w:pPr>
        <w:spacing w:line="360" w:lineRule="auto"/>
        <w:jc w:val="both"/>
      </w:pPr>
      <w:r>
        <w:rPr>
          <w:rFonts w:ascii="Times New Roman" w:hAnsi="Times New Roman"/>
          <w:sz w:val="22"/>
        </w:rPr>
        <w:t xml:space="preserve">In industries having specialist auditors, </w:t>
      </w:r>
      <w:r>
        <w:rPr>
          <w:rFonts w:ascii="Times New Roman" w:hAnsi="Times New Roman"/>
          <w:i/>
          <w:sz w:val="22"/>
        </w:rPr>
        <w:t xml:space="preserve">non-specialist </w:t>
      </w:r>
      <w:r>
        <w:rPr>
          <w:rFonts w:ascii="Times New Roman" w:hAnsi="Times New Roman"/>
          <w:sz w:val="22"/>
        </w:rPr>
        <w:t>Big 8 auditors wilt have higher audit fees than non-Big 8 auditors.</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3</w:t>
      </w:r>
    </w:p>
    <w:p w:rsidR="00144315" w:rsidRPr="00D85EFB" w:rsidRDefault="00144315" w:rsidP="00D85EFB">
      <w:pPr>
        <w:spacing w:line="360" w:lineRule="auto"/>
        <w:jc w:val="both"/>
      </w:pPr>
      <w:r>
        <w:rPr>
          <w:rFonts w:ascii="Times New Roman" w:hAnsi="Times New Roman"/>
          <w:sz w:val="22"/>
        </w:rPr>
        <w:t>In those industries having auditor specialists, specialist Big 8 auditors will have higher audit fees than non-specialist Big 8 auditors.</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sample used in this study was hand-collected from the annual reports of 1484 companies listed on the Australia Stock Exchange in the year 1987. The authors have classified 23 industry groups whereby 9 of them are labeled as complex which require industry specialists to perform the audit. Out of the 1484 listed companies 911 companies are regarded as complex.</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results showed that the auditors of complex industries in comparing with other general industries indeed charge a premium.</w:t>
      </w:r>
    </w:p>
    <w:p w:rsidR="00144315" w:rsidRDefault="00144315" w:rsidP="00144315"/>
    <w:p w:rsidR="00144315" w:rsidRDefault="00144315" w:rsidP="00144315">
      <w:pPr>
        <w:pStyle w:val="Subtitle"/>
        <w:spacing w:line="360" w:lineRule="auto"/>
        <w:jc w:val="left"/>
      </w:pPr>
      <w:bookmarkStart w:id="49" w:name="_Toc393872550"/>
      <w:r>
        <w:rPr>
          <w:b/>
        </w:rPr>
        <w:t>3.4 Auditor Industry Specialization</w:t>
      </w:r>
      <w:bookmarkEnd w:id="49"/>
    </w:p>
    <w:p w:rsidR="00144315" w:rsidRPr="00CE56F1" w:rsidRDefault="00144315" w:rsidP="00144315">
      <w:pPr>
        <w:spacing w:line="360" w:lineRule="auto"/>
        <w:jc w:val="both"/>
        <w:rPr>
          <w:rFonts w:ascii="Times New Roman" w:hAnsi="Times New Roman"/>
          <w:noProof/>
          <w:sz w:val="22"/>
        </w:rPr>
      </w:pPr>
      <w:r>
        <w:rPr>
          <w:rFonts w:ascii="Times New Roman" w:hAnsi="Times New Roman"/>
          <w:sz w:val="22"/>
        </w:rPr>
        <w:t xml:space="preserve">Auditor industry specialization in the scientific auditing literature is considered as a major </w:t>
      </w:r>
      <w:r w:rsidR="000F14CA">
        <w:rPr>
          <w:rFonts w:ascii="Times New Roman" w:hAnsi="Times New Roman"/>
          <w:sz w:val="22"/>
        </w:rPr>
        <w:t>subject</w:t>
      </w:r>
      <w:r>
        <w:rPr>
          <w:rFonts w:ascii="Times New Roman" w:hAnsi="Times New Roman"/>
          <w:sz w:val="22"/>
        </w:rPr>
        <w:t xml:space="preserve">. These specialists are important due to their contribution to a higher audit quality. For instance, an experiment by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"10.2307/2491403", "ISBN" : "00218456", "ISSN" : "0021-8456", "abstract" : "This article presents a study of what industry-specialist auditors know about financial statement errors and non-errors. The study aims to investigate the knowledge implications of industry specialists' focused training and direct experiences. For this study, the authors define industry specialists as auditors who are so designated by their firms and whose training and practice experience largely are in a particular industry. The authors describe two experiments to test hypotheses about error and non-error knowledge quantity and frequency accuracy gains.", "author" : [ { "dropping-particle" : "", "family" : "Solomon", "given" : "Ira", "non-dropping-particle" : "", "parse-names" : false, "suffix" : "" }, { "dropping-particle" : "", "family" : "Shields", "given" : "MD", "non-dropping-particle" : "", "parse-names" : false, "suffix" : "" }, { "dropping-particle" : "", "family" : "Whittington", "given" : "OR", "non-dropping-particle" : "", "parse-names" : false, "suffix" : "" } ], "container-title" : "Journal of Accounting Research", "id" : "ITEM-1", "issued" : { "date-parts" : [ [ "1999" ] ] }, "page" : "191-208", "title" : "What do industry-specialist auditors know?", "type" : "article-journal", "volume" : "37" }, "uris" : [ "http://www.mendeley.com/documents/?uuid=30421048-bc07-42c5-8760-49f86fa387ab" ] } ], "mendeley" : { "manualFormatting" : "Solomon, Shields, &amp; Whittington (1999)", "previouslyFormattedCitation" : "(Solomon, Shields, &amp; Whittington, 1999)"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Solomon, Shields, &amp; Whittington</w:t>
      </w:r>
      <w:r w:rsidRPr="00CE56F1">
        <w:rPr>
          <w:rFonts w:ascii="Times New Roman" w:hAnsi="Times New Roman"/>
          <w:noProof/>
          <w:sz w:val="22"/>
        </w:rPr>
        <w:t xml:space="preserve"> </w:t>
      </w:r>
      <w:r>
        <w:rPr>
          <w:rFonts w:ascii="Times New Roman" w:hAnsi="Times New Roman"/>
          <w:noProof/>
          <w:sz w:val="22"/>
        </w:rPr>
        <w:t>(</w:t>
      </w:r>
      <w:r w:rsidRPr="00CE56F1">
        <w:rPr>
          <w:rFonts w:ascii="Times New Roman" w:hAnsi="Times New Roman"/>
          <w:noProof/>
          <w:sz w:val="22"/>
        </w:rPr>
        <w:t>1999)</w:t>
      </w:r>
      <w:r w:rsidR="004A36DA">
        <w:rPr>
          <w:rFonts w:ascii="Times New Roman" w:hAnsi="Times New Roman"/>
          <w:sz w:val="22"/>
        </w:rPr>
        <w:fldChar w:fldCharType="end"/>
      </w:r>
      <w:r>
        <w:rPr>
          <w:rFonts w:ascii="Times New Roman" w:hAnsi="Times New Roman"/>
          <w:sz w:val="22"/>
        </w:rPr>
        <w:t xml:space="preserve"> showed that relative to other industries the industry specialists have more accurate predictions of the potential financial statement errors in their industries. In addition, industry specialized auditors are able to constrain the use of earnings management and consequently increase the quality of the published earnings.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"10.2308/aud.2003.22.2.71", "ISBN" : "02780380", "ISSN" : "0278-0380", "PMID" : "216741760", "abstract" : "This study examines the association between measures of earnings quality and auditor industry specialization. Prior work has examined the association between auditor brand name and earnings quality, using auditor brand name to proxy for audit quality. Recent work has hypothesized that auditor industry specialization also contrib- utes to audit quality. Extending this literature, we compare the absolute level of discre- tionary accruals (DAC) and earnings response coefficients (ERC) of firms audited by industry specialists with those of firms not audited by industry specialists. We restrict our study to clients of Big 6 (and later Big 5) auditors to control for brand name. Because industry specialization is unobservable, we use multiple proxies for it. After controlling for variables established in prior work to be related to DAC and the ERC, we find clients of industry specialist auditors have lower DAC and higher ERC than clients of nonspe- cialist auditors. This finding is consistent with clients of industry specialists having higher earnings quality than clients of nonspecialists.", "author" : [ { "dropping-particle" : "", "family" : "Balsam", "given" : "Steven", "non-dropping-particle" : "", "parse-names" : false, "suffix" : "" }, { "dropping-particle" : "", "family" : "Krishnan", "given" : "Jagan", "non-dropping-particle" : "", "parse-names" : false, "suffix" : "" }, { "dropping-particle" : "", "family" : "Yang", "given" : "Joon S.", "non-dropping-particle" : "", "parse-names" : false, "suffix" : "" } ], "container-title" : "AUDITING: A Journal of Practice &amp; Theory", "id" : "ITEM-1", "issued" : { "date-parts" : [ [ "2003" ] ] }, "page" : "71-97", "title" : "Auditor Industry Specialization and Earnings Quality", "type" : "article", "volume" : "22" }, "uris" : [ "http://www.mendeley.com/documents/?uuid=5c2051bf-c08b-44b1-a6cc-844cb1551d71" ] } ], "mendeley" : { "manualFormatting" : "Balsam, Krishnan, &amp; Yang (2003)", "previouslyFormattedCitation" : "(Balsam, Krishnan, &amp; Yang, 2003)"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Balsam, Krishnan, &amp; Yang</w:t>
      </w:r>
      <w:r w:rsidRPr="00CE56F1">
        <w:rPr>
          <w:rFonts w:ascii="Times New Roman" w:hAnsi="Times New Roman"/>
          <w:noProof/>
          <w:sz w:val="22"/>
        </w:rPr>
        <w:t xml:space="preserve"> </w:t>
      </w:r>
      <w:r>
        <w:rPr>
          <w:rFonts w:ascii="Times New Roman" w:hAnsi="Times New Roman"/>
          <w:noProof/>
          <w:sz w:val="22"/>
        </w:rPr>
        <w:t>(</w:t>
      </w:r>
      <w:r w:rsidRPr="00CE56F1">
        <w:rPr>
          <w:rFonts w:ascii="Times New Roman" w:hAnsi="Times New Roman"/>
          <w:noProof/>
          <w:sz w:val="22"/>
        </w:rPr>
        <w:t>2003)</w:t>
      </w:r>
      <w:r w:rsidR="004A36DA">
        <w:rPr>
          <w:rFonts w:ascii="Times New Roman" w:hAnsi="Times New Roman"/>
          <w:sz w:val="22"/>
        </w:rPr>
        <w:fldChar w:fldCharType="end"/>
      </w:r>
      <w:r>
        <w:rPr>
          <w:rFonts w:ascii="Times New Roman" w:hAnsi="Times New Roman"/>
          <w:sz w:val="22"/>
        </w:rPr>
        <w:t xml:space="preserve"> found that companies that are audited by industry specialists have lower discretionary accruals and a higher earnings response coefficient, which implies that the industry specialists are able to improve the quality of the earnings. Additionally,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"10.1108/02686900410537775", "ISSN" : "0268-6902", "abstract" : "This study examines the effect that client size has on the relation between industry-specialist auditors and fraudulent financial reporting. Most of the major accounting firms have organized their audit practices along industry lines, reflecting a belief that industry specialization leads to higher quality audits. Furthermore, regulatory bodies and extant research suggests that larger clients have greater bargaining power and are more likely to be able to convince the auditor to acquiesce to aggressive accounting. Also, it may be more difficult for an auditor to possess industry expertise for larger clients who are likely to be more complex and operate in more than one industry. Consistent with previous research, we generally find a significant negative relation between auditor industry specialization and client financial fraud. Also, as expected, the negative relation between auditor industry specialization and financial fraud is weaker for larger clients. This study provides evidence that the positive benefits of auditor industry specialization in deterring financial fraud is affected by client size.", "author" : [ { "dropping-particle" : "V.", "family" : "Carcello", "given" : "Joseph", "non-dropping-particle" : "", "parse-names" : false, "suffix" : "" }, { "dropping-particle" : "", "family" : "Nagy", "given" : "Albert L.", "non-dropping-particle" : "", "parse-names" : false, "suffix" : "" } ], "container-title" : "Managerial Auditing Journal", "id" : "ITEM-1", "issued" : { "date-parts" : [ [ "2004" ] ] }, "page" : "651-668", "title" : "Client size, auditor specialization and fraudulent financial reporting", "type" : "article", "volume" : "19" }, "uris" : [ "http://www.mendeley.com/documents/?uuid=03bf6716-7669-4ac4-acfc-3f6b4c2186ba" ] } ], "mendeley" : { "manualFormatting" : "Carcello &amp; Nagy (2004)", "previouslyFormattedCitation" : "(Carcello &amp; Nagy, 2004)"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Carcello &amp; Nagy</w:t>
      </w:r>
      <w:r w:rsidRPr="00CE56F1">
        <w:rPr>
          <w:rFonts w:ascii="Times New Roman" w:hAnsi="Times New Roman"/>
          <w:noProof/>
          <w:sz w:val="22"/>
        </w:rPr>
        <w:t xml:space="preserve"> </w:t>
      </w:r>
      <w:r>
        <w:rPr>
          <w:rFonts w:ascii="Times New Roman" w:hAnsi="Times New Roman"/>
          <w:noProof/>
          <w:sz w:val="22"/>
        </w:rPr>
        <w:t>(</w:t>
      </w:r>
      <w:r w:rsidRPr="00CE56F1">
        <w:rPr>
          <w:rFonts w:ascii="Times New Roman" w:hAnsi="Times New Roman"/>
          <w:noProof/>
          <w:sz w:val="22"/>
        </w:rPr>
        <w:t>2004)</w:t>
      </w:r>
      <w:r w:rsidR="004A36DA">
        <w:rPr>
          <w:rFonts w:ascii="Times New Roman" w:hAnsi="Times New Roman"/>
          <w:sz w:val="22"/>
        </w:rPr>
        <w:fldChar w:fldCharType="end"/>
      </w:r>
      <w:r>
        <w:rPr>
          <w:rFonts w:ascii="Times New Roman" w:hAnsi="Times New Roman"/>
          <w:sz w:val="22"/>
        </w:rPr>
        <w:t xml:space="preserve"> reported that a negative correlation exists between the industry specialists and financial fraud. Based on the additional trainings needed and the potential benefits of the specialized auditors, a reason exists to assume that specialization would create a higher audit fee.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Although many researches on the auditors’ specialization exist, the definition and the designation of the specialized auditors among the researchers are still not unified. Most researchers followed the definition communicated by Palmrose (1986) which stated that the largest, the second and the third largest suppliers can be qualified as specialists in each industry. This definition basically relies on the within-industry market share approach which considered that an auditor is to be industry specialists if he has a significant part of market share in that industry. An alternative approach is based on the within-firm portfolio, which stated that an auditor can be qualified as a specialist for industries that have the largest portfolio shares within the audit firm. The rationale behind this approach is that to an audit firm, industry with the largest portfolio share generates the most revenues hence attracts the most attention as well as efforts within the audit firm.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Moreover, in addition studies exist that provided evidence that auditor industry specialization does not increase the audit fee. For instance, to improve their bargaining position audit firms are able to choose for a differentiation strategy however, this does not necessarily creates higher audit fee.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"ISSN" : "0278-0380", "author" : [ { "dropping-particle" : "", "family" : "Casterella", "given" : "Jeffrey R", "non-dropping-particle" : "", "parse-names" : false, "suffix" : "" }, { "dropping-particle" : "", "family" : "Francis", "given" : "Jere R", "non-dropping-particle" : "", "parse-names" : false, "suffix" : "" }, { "dropping-particle" : "", "family" : "Lewis", "given" : "Barry L", "non-dropping-particle" : "", "parse-names" : false, "suffix" : "" }, { "dropping-particle" : "", "family" : "Walker", "given" : "Paul L", "non-dropping-particle" : "", "parse-names" : false, "suffix" : "" } ], "container-title" : "Auditing: A Journal of Practice &amp; Theory", "id" : "ITEM-1", "issue" : "1", "issued" : { "date-parts" : [ [ "2004" ] ] }, "page" : "123-140", "title" : "Auditor industry specialization, client bargaining power, and audit pricing", "type" : "article-journal", "volume" : "23" }, "uris" : [ "http://www.mendeley.com/documents/?uuid=f4ba612f-e944-495a-8ce0-8ea5ee06b28b" ] } ], "mendeley" : { "manualFormatting" : "Casterella, Francis, Lewis, &amp; Walker (2004)", "previouslyFormattedCitation" : "(Casterella, Francis, Lewis, &amp; Walker, 2004)" }, "properties" : { "noteIndex" : 0 }, "schema" : "https://github.com/citation-style-language/schema/raw/master/csl-citation.json" }</w:instrText>
      </w:r>
      <w:r w:rsidR="004A36DA">
        <w:rPr>
          <w:rFonts w:ascii="Times New Roman" w:hAnsi="Times New Roman"/>
          <w:sz w:val="22"/>
        </w:rPr>
        <w:fldChar w:fldCharType="separate"/>
      </w:r>
      <w:r w:rsidRPr="00CE56F1">
        <w:rPr>
          <w:rFonts w:ascii="Times New Roman" w:hAnsi="Times New Roman"/>
          <w:noProof/>
          <w:sz w:val="22"/>
        </w:rPr>
        <w:t>Caste</w:t>
      </w:r>
      <w:r>
        <w:rPr>
          <w:rFonts w:ascii="Times New Roman" w:hAnsi="Times New Roman"/>
          <w:noProof/>
          <w:sz w:val="22"/>
        </w:rPr>
        <w:t>rella, Francis, Lewis, &amp; Walker</w:t>
      </w:r>
      <w:r w:rsidRPr="00CE56F1">
        <w:rPr>
          <w:rFonts w:ascii="Times New Roman" w:hAnsi="Times New Roman"/>
          <w:noProof/>
          <w:sz w:val="22"/>
        </w:rPr>
        <w:t xml:space="preserve"> </w:t>
      </w:r>
      <w:r>
        <w:rPr>
          <w:rFonts w:ascii="Times New Roman" w:hAnsi="Times New Roman"/>
          <w:noProof/>
          <w:sz w:val="22"/>
        </w:rPr>
        <w:t>(</w:t>
      </w:r>
      <w:r w:rsidRPr="00CE56F1">
        <w:rPr>
          <w:rFonts w:ascii="Times New Roman" w:hAnsi="Times New Roman"/>
          <w:noProof/>
          <w:sz w:val="22"/>
        </w:rPr>
        <w:t>2004)</w:t>
      </w:r>
      <w:r w:rsidR="004A36DA">
        <w:rPr>
          <w:rFonts w:ascii="Times New Roman" w:hAnsi="Times New Roman"/>
          <w:sz w:val="22"/>
        </w:rPr>
        <w:fldChar w:fldCharType="end"/>
      </w:r>
      <w:r>
        <w:rPr>
          <w:rFonts w:ascii="Times New Roman" w:hAnsi="Times New Roman"/>
          <w:sz w:val="22"/>
        </w:rPr>
        <w:t xml:space="preserve"> provided explanation to this issue. Additionally, </w:t>
      </w:r>
      <w:r w:rsidRPr="00081F93">
        <w:rPr>
          <w:rFonts w:ascii="Times New Roman" w:hAnsi="Times New Roman"/>
          <w:sz w:val="22"/>
        </w:rPr>
        <w:t>to increase the cost efficiency</w:t>
      </w:r>
      <w:r>
        <w:rPr>
          <w:rFonts w:ascii="Times New Roman" w:hAnsi="Times New Roman"/>
          <w:sz w:val="22"/>
        </w:rPr>
        <w:t>,</w:t>
      </w:r>
      <w:r w:rsidRPr="00081F93">
        <w:rPr>
          <w:rFonts w:ascii="Times New Roman" w:hAnsi="Times New Roman"/>
          <w:sz w:val="22"/>
        </w:rPr>
        <w:t xml:space="preserve"> </w:t>
      </w:r>
      <w:r>
        <w:rPr>
          <w:rFonts w:ascii="Times New Roman" w:hAnsi="Times New Roman"/>
          <w:sz w:val="22"/>
        </w:rPr>
        <w:t xml:space="preserve">industry specialist are able to achieve economies of scale, which in turn could decrease the audit fee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"ITEM-1", "issued" : { "date-parts" : [ [ "2013" ] ] }, "title" : "Auditor Industry Specialization and Evidence of Cost Efficiencies in Homogenous Industries", "type" : "article-journal" }, "uris" : [ "http://www.mendeley.com/documents/?uuid=472adb44-fa27-4ee2-ac6b-711b33ac2bf3" ] } ], "mendeley" : { "previouslyFormattedCitation" : "(Bills, Jeter, &amp; Stein, 2013)" }, "properties" : { "noteIndex" : 0 }, "schema" : "https://github.com/citation-style-language/schema/raw/master/csl-citation.json" }</w:instrText>
      </w:r>
      <w:r w:rsidR="004A36DA">
        <w:rPr>
          <w:rFonts w:ascii="Times New Roman" w:hAnsi="Times New Roman"/>
          <w:sz w:val="22"/>
        </w:rPr>
        <w:fldChar w:fldCharType="separate"/>
      </w:r>
      <w:r w:rsidRPr="00C23EF2">
        <w:rPr>
          <w:rFonts w:ascii="Times New Roman" w:hAnsi="Times New Roman"/>
          <w:noProof/>
          <w:sz w:val="22"/>
        </w:rPr>
        <w:t>(Bills, Jeter, &amp; Stein, 2013)</w:t>
      </w:r>
      <w:r w:rsidR="004A36DA">
        <w:rPr>
          <w:rFonts w:ascii="Times New Roman" w:hAnsi="Times New Roman"/>
          <w:sz w:val="22"/>
        </w:rPr>
        <w:fldChar w:fldCharType="end"/>
      </w:r>
      <w:r>
        <w:rPr>
          <w:rFonts w:ascii="Times New Roman" w:hAnsi="Times New Roman"/>
          <w:sz w:val="22"/>
        </w:rPr>
        <w:t>.</w:t>
      </w:r>
    </w:p>
    <w:p w:rsidR="00144315" w:rsidRDefault="00144315" w:rsidP="00144315">
      <w:pPr>
        <w:spacing w:line="360" w:lineRule="auto"/>
        <w:jc w:val="both"/>
      </w:pPr>
    </w:p>
    <w:p w:rsidR="00144315" w:rsidRPr="00A23654" w:rsidRDefault="00144315" w:rsidP="00A23654">
      <w:pPr>
        <w:spacing w:after="240" w:line="360" w:lineRule="auto"/>
        <w:jc w:val="both"/>
        <w:rPr>
          <w:rStyle w:val="Emphasis"/>
        </w:rPr>
      </w:pPr>
      <w:r w:rsidRPr="00A23654">
        <w:rPr>
          <w:rStyle w:val="Emphasis"/>
        </w:rPr>
        <w:t>3.4.1 Casterella, Francis, Lewis, &amp; Walker (2004)</w:t>
      </w:r>
    </w:p>
    <w:p w:rsidR="00144315" w:rsidRDefault="00144315" w:rsidP="00144315">
      <w:pPr>
        <w:spacing w:line="360" w:lineRule="auto"/>
        <w:jc w:val="both"/>
      </w:pPr>
      <w:r>
        <w:rPr>
          <w:rFonts w:ascii="Times New Roman" w:hAnsi="Times New Roman"/>
          <w:sz w:val="22"/>
        </w:rPr>
        <w:lastRenderedPageBreak/>
        <w:t xml:space="preserve">Casterella, Francis, Lewis, &amp; Walker </w:t>
      </w:r>
      <w:r w:rsidR="00623295">
        <w:rPr>
          <w:rFonts w:ascii="Times New Roman" w:hAnsi="Times New Roman"/>
          <w:sz w:val="22"/>
        </w:rPr>
        <w:t xml:space="preserve">(2004) </w:t>
      </w:r>
      <w:r>
        <w:rPr>
          <w:rFonts w:ascii="Times New Roman" w:hAnsi="Times New Roman"/>
          <w:sz w:val="22"/>
        </w:rPr>
        <w:t xml:space="preserve">used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"10.1182/blood-2005-11-4354", "ISBN" : "0029250900", "ISSN" : "10688838", "PMID" : "24844896", "abstract" : "One of many theoretical approaches to link bet progressive HRM and sustained competitive advantage - points to importance of human resources in creation of firm competitive advantageIncludes typology of competitve strategies in business policy- cost leadership- differentiation - focus", "author" : [ { "dropping-particle" : "", "family" : "Porter", "given" : "Michael E", "non-dropping-particle" : "", "parse-names" : false, "suffix" : "" } ], "container-title" : "New York", "id" : "ITEM-1", "issued" : { "date-parts" : [ [ "1985" ] ] }, "page" : "xviii, 557", "title" : "Competitive Advantage: Creating and Sustaining Superior Performance", "type" : "book" }, "uris" : [ "http://www.mendeley.com/documents/?uuid=7b2d6db8-2bf4-4c58-b104-5dfaafc6b822" ] } ], "mendeley" : { "manualFormatting" : "Porter (1985)", "previouslyFormattedCitation" : "(M. E. Porter, 1985)" }, "properties" : { "noteIndex" : 0 }, "schema" : "https://github.com/citation-style-language/schema/raw/master/csl-citation.json" }</w:instrText>
      </w:r>
      <w:r w:rsidR="004A36DA">
        <w:rPr>
          <w:rFonts w:ascii="Times New Roman" w:hAnsi="Times New Roman"/>
          <w:sz w:val="22"/>
        </w:rPr>
        <w:fldChar w:fldCharType="separate"/>
      </w:r>
      <w:r>
        <w:rPr>
          <w:rFonts w:ascii="Times New Roman" w:hAnsi="Times New Roman"/>
          <w:noProof/>
          <w:sz w:val="22"/>
        </w:rPr>
        <w:t>Porter</w:t>
      </w:r>
      <w:r w:rsidRPr="00C23EF2">
        <w:rPr>
          <w:rFonts w:ascii="Times New Roman" w:hAnsi="Times New Roman"/>
          <w:noProof/>
          <w:sz w:val="22"/>
        </w:rPr>
        <w:t xml:space="preserve"> </w:t>
      </w:r>
      <w:r>
        <w:rPr>
          <w:rFonts w:ascii="Times New Roman" w:hAnsi="Times New Roman"/>
          <w:noProof/>
          <w:sz w:val="22"/>
        </w:rPr>
        <w:t>(</w:t>
      </w:r>
      <w:r w:rsidRPr="00C23EF2">
        <w:rPr>
          <w:rFonts w:ascii="Times New Roman" w:hAnsi="Times New Roman"/>
          <w:noProof/>
          <w:sz w:val="22"/>
        </w:rPr>
        <w:t>1985)</w:t>
      </w:r>
      <w:r w:rsidR="004A36DA">
        <w:rPr>
          <w:rFonts w:ascii="Times New Roman" w:hAnsi="Times New Roman"/>
          <w:sz w:val="22"/>
        </w:rPr>
        <w:fldChar w:fldCharType="end"/>
      </w:r>
      <w:r>
        <w:rPr>
          <w:rFonts w:ascii="Times New Roman" w:hAnsi="Times New Roman"/>
          <w:sz w:val="22"/>
        </w:rPr>
        <w:t xml:space="preserve"> analysis of the competitive strategy to understand an auditor’s choice of becoming industry specialists. They </w:t>
      </w:r>
      <w:r w:rsidR="00623295">
        <w:rPr>
          <w:rFonts w:ascii="Times New Roman" w:hAnsi="Times New Roman"/>
          <w:sz w:val="22"/>
        </w:rPr>
        <w:t>assessed</w:t>
      </w:r>
      <w:r>
        <w:rPr>
          <w:rFonts w:ascii="Times New Roman" w:hAnsi="Times New Roman"/>
          <w:sz w:val="22"/>
        </w:rPr>
        <w:t xml:space="preserve"> industry specialization as a differentiation strategy of audit firms which provides them sustainable competitive advantage over other auditors; hence permit them a stronger bargaining position. However, because of their size and the related revenues this bargaining power is much weaker particularly to large clients. Consequently, large firms have a stronger influence in negotiating their audit fees. Hence, the authors of this paper expected that small clients are more likely to pay a fee premium for industry specialists than large clients.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The authors did not provide the development of the hypotheses. In order to test their assumption, they adopted a regression model with audit fee as dependent variable and several fee driver</w:t>
      </w:r>
      <w:r w:rsidR="00D85EFB">
        <w:rPr>
          <w:rFonts w:ascii="Times New Roman" w:hAnsi="Times New Roman"/>
          <w:sz w:val="22"/>
        </w:rPr>
        <w:t xml:space="preserve">s as independent fee variables. </w:t>
      </w:r>
      <w:r>
        <w:rPr>
          <w:rFonts w:ascii="Times New Roman" w:hAnsi="Times New Roman"/>
          <w:sz w:val="22"/>
        </w:rPr>
        <w:t xml:space="preserve">Companies audited by Big 6 auditors and have a SIC code below 6000 excluding financial institutions were selected and a survey questionnaire was sent in which were requested the total audit fee, the auditor tenure, the number of subsidiaries and the comments of the nonrecurring events that might influence the audit fee. At a usable response rate of 21%, information from 651 companies was collected. In addition, auditors with 20 percent or more market share within an industry are labeled as industry specialist and clients with total assets less than $ 123 million are labeled as small clients.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result was in conformity with their prediction: compare to non-specialists specialists do require a higher audit fee, and this is only applicable to smaller companies. For large clients, companies not only do not pay an industry premium, in addition </w:t>
      </w:r>
      <w:r w:rsidRPr="00081F93">
        <w:rPr>
          <w:rFonts w:ascii="Times New Roman" w:hAnsi="Times New Roman"/>
          <w:sz w:val="22"/>
        </w:rPr>
        <w:t xml:space="preserve">when comparing with smaller firms </w:t>
      </w:r>
      <w:r>
        <w:rPr>
          <w:rFonts w:ascii="Times New Roman" w:hAnsi="Times New Roman"/>
          <w:sz w:val="22"/>
        </w:rPr>
        <w:t>their audit fee is relatively less.</w:t>
      </w:r>
    </w:p>
    <w:p w:rsidR="00144315" w:rsidRDefault="00144315" w:rsidP="00144315">
      <w:pPr>
        <w:pStyle w:val="Subtitle"/>
        <w:spacing w:line="360" w:lineRule="auto"/>
        <w:jc w:val="left"/>
      </w:pPr>
    </w:p>
    <w:p w:rsidR="00144315" w:rsidRPr="00A23654" w:rsidRDefault="004228D1" w:rsidP="00A23654">
      <w:pPr>
        <w:spacing w:after="240" w:line="360" w:lineRule="auto"/>
        <w:rPr>
          <w:rStyle w:val="Emphasis"/>
        </w:rPr>
      </w:pPr>
      <w:r>
        <w:rPr>
          <w:rStyle w:val="Emphasis"/>
        </w:rPr>
        <w:t>3.4.2 Bills, Jeter</w:t>
      </w:r>
      <w:r w:rsidR="00144315" w:rsidRPr="00A23654">
        <w:rPr>
          <w:rStyle w:val="Emphasis"/>
        </w:rPr>
        <w:t xml:space="preserve"> &amp; Stein (2013)</w:t>
      </w:r>
    </w:p>
    <w:p w:rsidR="00144315" w:rsidRDefault="00144315" w:rsidP="00144315">
      <w:pPr>
        <w:spacing w:line="360" w:lineRule="auto"/>
        <w:jc w:val="both"/>
      </w:pPr>
      <w:r>
        <w:rPr>
          <w:rFonts w:ascii="Times New Roman" w:hAnsi="Times New Roman"/>
          <w:sz w:val="22"/>
        </w:rPr>
        <w:t xml:space="preserve">The authors of this article assumed that the auditors’ industry specialization could create a decrease in the audit fee. Their argument was that companies of certain industries contain stable operations over time, which creates industry homogeneity and consequently are more easily to audit than other industries. Consequently, </w:t>
      </w:r>
      <w:r w:rsidRPr="00081F93">
        <w:rPr>
          <w:rFonts w:ascii="Times New Roman" w:hAnsi="Times New Roman"/>
          <w:sz w:val="22"/>
        </w:rPr>
        <w:t xml:space="preserve">to obtain cost based competitive advantages </w:t>
      </w:r>
      <w:r>
        <w:rPr>
          <w:rFonts w:ascii="Times New Roman" w:hAnsi="Times New Roman"/>
          <w:sz w:val="22"/>
        </w:rPr>
        <w:t xml:space="preserve">concerning auditors it is more attractive to stay within those industries with a greater homogeneity. In addition </w:t>
      </w:r>
      <w:r w:rsidRPr="001C342C">
        <w:rPr>
          <w:rFonts w:ascii="Times New Roman" w:hAnsi="Times New Roman"/>
          <w:sz w:val="22"/>
        </w:rPr>
        <w:t>to benefit from economies of scale</w:t>
      </w:r>
      <w:r w:rsidRPr="001C342C" w:rsidDel="001C342C">
        <w:rPr>
          <w:rFonts w:ascii="Times New Roman" w:hAnsi="Times New Roman"/>
          <w:sz w:val="22"/>
        </w:rPr>
        <w:t xml:space="preserve"> </w:t>
      </w:r>
      <w:r>
        <w:rPr>
          <w:rFonts w:ascii="Times New Roman" w:hAnsi="Times New Roman"/>
          <w:sz w:val="22"/>
        </w:rPr>
        <w:t xml:space="preserve">for auditors it is more likely to stay within these industries. Consequently, industry homogeneity enables industry specialists requiring lower audit compensation. An essential limitation is that, </w:t>
      </w:r>
      <w:r w:rsidRPr="001C342C">
        <w:rPr>
          <w:rFonts w:ascii="Times New Roman" w:hAnsi="Times New Roman"/>
          <w:sz w:val="22"/>
        </w:rPr>
        <w:t>since the audit firm cost data are not publicly available</w:t>
      </w:r>
      <w:r>
        <w:rPr>
          <w:rFonts w:ascii="Times New Roman" w:hAnsi="Times New Roman"/>
          <w:sz w:val="22"/>
        </w:rPr>
        <w:t>,</w:t>
      </w:r>
      <w:r w:rsidRPr="001C342C">
        <w:rPr>
          <w:rFonts w:ascii="Times New Roman" w:hAnsi="Times New Roman"/>
          <w:sz w:val="22"/>
        </w:rPr>
        <w:t xml:space="preserve"> </w:t>
      </w:r>
      <w:r>
        <w:rPr>
          <w:rFonts w:ascii="Times New Roman" w:hAnsi="Times New Roman"/>
          <w:sz w:val="22"/>
        </w:rPr>
        <w:t xml:space="preserve">the cost based competitive advantages cannot be observed. The authors are only able to test whether the industry homogeneity creates a decrease in audit fee for industry specialists. </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lastRenderedPageBreak/>
        <w:t>In order to test their argumentation, the authors developed the next hypotheses:</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1</w:t>
      </w:r>
    </w:p>
    <w:p w:rsidR="00144315" w:rsidRDefault="00144315" w:rsidP="00144315">
      <w:pPr>
        <w:spacing w:line="360" w:lineRule="auto"/>
        <w:jc w:val="both"/>
      </w:pPr>
      <w:r>
        <w:rPr>
          <w:rFonts w:ascii="Times New Roman" w:hAnsi="Times New Roman"/>
          <w:sz w:val="22"/>
        </w:rPr>
        <w:t>A</w:t>
      </w:r>
      <w:r w:rsidRPr="001C342C">
        <w:rPr>
          <w:rFonts w:ascii="Times New Roman" w:hAnsi="Times New Roman"/>
          <w:sz w:val="22"/>
        </w:rPr>
        <w:t>s evidenced by relatively lower fees for audits in industries with homogeneous operations</w:t>
      </w:r>
      <w:r>
        <w:rPr>
          <w:rFonts w:ascii="Times New Roman" w:hAnsi="Times New Roman"/>
          <w:sz w:val="22"/>
        </w:rPr>
        <w:t>,</w:t>
      </w:r>
      <w:r w:rsidRPr="001C342C">
        <w:rPr>
          <w:rFonts w:ascii="Times New Roman" w:hAnsi="Times New Roman"/>
          <w:sz w:val="22"/>
        </w:rPr>
        <w:t xml:space="preserve"> </w:t>
      </w:r>
      <w:r>
        <w:rPr>
          <w:rFonts w:ascii="Times New Roman" w:hAnsi="Times New Roman"/>
          <w:sz w:val="22"/>
        </w:rPr>
        <w:t>industry specialization results in cost efficiencies.</w:t>
      </w:r>
    </w:p>
    <w:p w:rsidR="00144315" w:rsidRDefault="00144315" w:rsidP="00144315">
      <w:pPr>
        <w:spacing w:line="360" w:lineRule="auto"/>
      </w:pPr>
    </w:p>
    <w:p w:rsidR="00144315" w:rsidRDefault="00144315" w:rsidP="00144315">
      <w:pPr>
        <w:spacing w:line="360" w:lineRule="auto"/>
        <w:jc w:val="both"/>
      </w:pPr>
      <w:r>
        <w:rPr>
          <w:rFonts w:ascii="Times New Roman" w:hAnsi="Times New Roman"/>
          <w:i/>
          <w:sz w:val="22"/>
        </w:rPr>
        <w:t>Hypothesis 2</w:t>
      </w:r>
    </w:p>
    <w:p w:rsidR="00144315" w:rsidRDefault="00144315" w:rsidP="00144315">
      <w:pPr>
        <w:spacing w:line="360" w:lineRule="auto"/>
        <w:jc w:val="both"/>
      </w:pPr>
      <w:r>
        <w:rPr>
          <w:rFonts w:ascii="Times New Roman" w:hAnsi="Times New Roman"/>
          <w:sz w:val="22"/>
        </w:rPr>
        <w:t>A</w:t>
      </w:r>
      <w:r w:rsidRPr="001C342C">
        <w:rPr>
          <w:rFonts w:ascii="Times New Roman" w:hAnsi="Times New Roman"/>
          <w:sz w:val="22"/>
        </w:rPr>
        <w:t xml:space="preserve">s evidenced by relatively lower fees for audits in complex industries with homogenous operations </w:t>
      </w:r>
      <w:r>
        <w:rPr>
          <w:rFonts w:ascii="Times New Roman" w:hAnsi="Times New Roman"/>
          <w:sz w:val="22"/>
        </w:rPr>
        <w:t>industry specialization results in cost efficiencies.</w:t>
      </w:r>
    </w:p>
    <w:p w:rsidR="00144315" w:rsidRDefault="00144315" w:rsidP="00144315">
      <w:pPr>
        <w:spacing w:line="360" w:lineRule="auto"/>
      </w:pPr>
    </w:p>
    <w:p w:rsidR="00144315" w:rsidRPr="00D85EFB" w:rsidRDefault="00144315" w:rsidP="00D85EFB">
      <w:pPr>
        <w:spacing w:line="360" w:lineRule="auto"/>
        <w:jc w:val="both"/>
      </w:pPr>
      <w:r>
        <w:rPr>
          <w:rFonts w:ascii="Times New Roman" w:hAnsi="Times New Roman"/>
          <w:sz w:val="22"/>
        </w:rPr>
        <w:t xml:space="preserve">The term homogeneity is classified following the study by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"10.2308/aud.2006.25.1.49", "ISBN" : "02780380", "ISSN" : "0278-0380", "abstract" : "In this study, we examine the association between industry homogeneity and auditor specialization. We find a significant association between our proxies for industry homogeneity (change in industry-member operating expenses) and auditor specialization (auditor concentration and auditor focus) after controlling for extent of industry regulation, litigiousness, growth, client-industry concentration, and the number of industry members. The positive relation between our specialist proxies and industry homogeneity indicates that auditors seek additional firms to audit in industries in which members have similar operations. This suggests that auditor specialization provides a cost-based competitive advantage because the cost of developing expertise is spread over more clients. Thus, in contrast to recent criticisms of auditor concentration, specialization results in more efficient audits. PUBLICATION ABSTRACT", "author" : [ { "dropping-particle" : "", "family" : "Cairney", "given" : "Timothy D.", "non-dropping-particle" : "", "parse-names" : false, "suffix" : "" }, { "dropping-particle" : "", "family" : "Young", "given" : "George R.", "non-dropping-particle" : "", "parse-names" : false, "suffix" : "" } ], "container-title" : "AUDITING: A Journal of Practice &amp; Theory", "id" : "ITEM-1", "issued" : { "date-parts" : [ [ "2006" ] ] }, "page" : "49-67", "title" : "Homogenous Industries and Auditor Specialization: An Indication of Production Economies", "type" : "article", "volume" : "25" }, "uris" : [ "http://www.mendeley.com/documents/?uuid=c3e0ed70-5626-43ce-a69e-c2e67802e38a" ] } ], "mendeley" : { "manualFormatting" : "Cairney &amp; Young (2006)", "previouslyFormattedCitation" : "(Cairney &amp; Young, 2006)" }, "properties" : { "noteIndex" : 0 }, "schema" : "https://github.com/citation-style-language/schema/raw/master/csl-citation.json" }</w:instrText>
      </w:r>
      <w:r w:rsidR="004A36DA">
        <w:rPr>
          <w:rFonts w:ascii="Times New Roman" w:hAnsi="Times New Roman"/>
          <w:sz w:val="22"/>
        </w:rPr>
        <w:fldChar w:fldCharType="separate"/>
      </w:r>
      <w:r w:rsidRPr="00C23EF2">
        <w:rPr>
          <w:rFonts w:ascii="Times New Roman" w:hAnsi="Times New Roman"/>
          <w:noProof/>
          <w:sz w:val="22"/>
        </w:rPr>
        <w:t xml:space="preserve">Cairney &amp; Young </w:t>
      </w:r>
      <w:r>
        <w:rPr>
          <w:rFonts w:ascii="Times New Roman" w:hAnsi="Times New Roman"/>
          <w:noProof/>
          <w:sz w:val="22"/>
        </w:rPr>
        <w:t>(</w:t>
      </w:r>
      <w:r w:rsidRPr="00C23EF2">
        <w:rPr>
          <w:rFonts w:ascii="Times New Roman" w:hAnsi="Times New Roman"/>
          <w:noProof/>
          <w:sz w:val="22"/>
        </w:rPr>
        <w:t>2006)</w:t>
      </w:r>
      <w:r w:rsidR="004A36DA">
        <w:rPr>
          <w:rFonts w:ascii="Times New Roman" w:hAnsi="Times New Roman"/>
          <w:sz w:val="22"/>
        </w:rPr>
        <w:fldChar w:fldCharType="end"/>
      </w:r>
      <w:r>
        <w:rPr>
          <w:rFonts w:ascii="Times New Roman" w:hAnsi="Times New Roman"/>
          <w:sz w:val="22"/>
        </w:rPr>
        <w:t xml:space="preserve"> which measured homogeneity by using the correlation of the differences in the year-to-year operating expenses for companies within an specific industry. S</w:t>
      </w:r>
      <w:r w:rsidRPr="00DD77BF">
        <w:rPr>
          <w:rFonts w:ascii="Times New Roman" w:hAnsi="Times New Roman"/>
          <w:sz w:val="22"/>
        </w:rPr>
        <w:t xml:space="preserve">ince concurrent economic conditions are resulting in a homogeneous reported financial impact in a relative way </w:t>
      </w:r>
      <w:r>
        <w:rPr>
          <w:rFonts w:ascii="Times New Roman" w:hAnsi="Times New Roman"/>
          <w:sz w:val="22"/>
        </w:rPr>
        <w:t xml:space="preserve">this measure reflects the underlying similarity of the companies’ operations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"10.2308/aud.2006.25.1.49", "ISBN" : "02780380", "ISSN" : "0278-0380", "abstract" : "In this study, we examine the association between industry homogeneity and auditor specialization. We find a significant association between our proxies for industry homogeneity (change in industry-member operating expenses) and auditor specialization (auditor concentration and auditor focus) after controlling for extent of industry regulation, litigiousness, growth, client-industry concentration, and the number of industry members. The positive relation between our specialist proxies and industry homogeneity indicates that auditors seek additional firms to audit in industries in which members have similar operations. This suggests that auditor specialization provides a cost-based competitive advantage because the cost of developing expertise is spread over more clients. Thus, in contrast to recent criticisms of auditor concentration, specialization results in more efficient audits. PUBLICATION ABSTRACT", "author" : [ { "dropping-particle" : "", "family" : "Cairney", "given" : "Timothy D.", "non-dropping-particle" : "", "parse-names" : false, "suffix" : "" }, { "dropping-particle" : "", "family" : "Young", "given" : "George R.", "non-dropping-particle" : "", "parse-names" : false, "suffix" : "" } ], "container-title" : "AUDITING: A Journal of Practice &amp; Theory", "id" : "ITEM-1", "issued" : { "date-parts" : [ [ "2006" ] ] }, "page" : "49-67", "title" : "Homogenous Industries and Auditor Specialization: An Indication of Production Economies", "type" : "article", "volume" : "25" }, "uris" : [ "http://www.mendeley.com/documents/?uuid=c3e0ed70-5626-43ce-a69e-c2e67802e38a" ] } ], "mendeley" : { "previouslyFormattedCitation" : "(Cairney &amp; Young, 2006)" }, "properties" : { "noteIndex" : 0 }, "schema" : "https://github.com/citation-style-language/schema/raw/master/csl-citation.json" }</w:instrText>
      </w:r>
      <w:r w:rsidR="004A36DA">
        <w:rPr>
          <w:rFonts w:ascii="Times New Roman" w:hAnsi="Times New Roman"/>
          <w:sz w:val="22"/>
        </w:rPr>
        <w:fldChar w:fldCharType="separate"/>
      </w:r>
      <w:r w:rsidRPr="00C23EF2">
        <w:rPr>
          <w:rFonts w:ascii="Times New Roman" w:hAnsi="Times New Roman"/>
          <w:noProof/>
          <w:sz w:val="22"/>
        </w:rPr>
        <w:t>(Cairney &amp; Young, 2006)</w:t>
      </w:r>
      <w:r w:rsidR="004A36DA">
        <w:rPr>
          <w:rFonts w:ascii="Times New Roman" w:hAnsi="Times New Roman"/>
          <w:sz w:val="22"/>
        </w:rPr>
        <w:fldChar w:fldCharType="end"/>
      </w:r>
      <w:r>
        <w:rPr>
          <w:rFonts w:ascii="Times New Roman" w:hAnsi="Times New Roman"/>
          <w:sz w:val="22"/>
        </w:rPr>
        <w:t>.</w:t>
      </w:r>
    </w:p>
    <w:p w:rsidR="00144315" w:rsidRDefault="00144315" w:rsidP="00144315">
      <w:pPr>
        <w:spacing w:line="360" w:lineRule="auto"/>
        <w:jc w:val="both"/>
        <w:rPr>
          <w:rFonts w:ascii="Times New Roman" w:hAnsi="Times New Roman"/>
          <w:sz w:val="22"/>
          <w:szCs w:val="22"/>
        </w:rPr>
      </w:pPr>
    </w:p>
    <w:p w:rsidR="00144315" w:rsidRPr="008F05C7" w:rsidRDefault="00144315" w:rsidP="00144315">
      <w:pPr>
        <w:spacing w:line="360" w:lineRule="auto"/>
        <w:jc w:val="both"/>
        <w:rPr>
          <w:rFonts w:ascii="Times New Roman" w:hAnsi="Times New Roman"/>
          <w:sz w:val="22"/>
          <w:szCs w:val="22"/>
        </w:rPr>
      </w:pPr>
      <w:r w:rsidRPr="008F05C7">
        <w:rPr>
          <w:rFonts w:ascii="Times New Roman" w:hAnsi="Times New Roman"/>
          <w:sz w:val="22"/>
          <w:szCs w:val="22"/>
        </w:rPr>
        <w:t xml:space="preserve">The sample was collected using </w:t>
      </w:r>
      <w:r>
        <w:rPr>
          <w:rFonts w:ascii="Times New Roman" w:hAnsi="Times New Roman"/>
          <w:sz w:val="22"/>
          <w:szCs w:val="22"/>
        </w:rPr>
        <w:t xml:space="preserve">the </w:t>
      </w:r>
      <w:r w:rsidRPr="008F05C7">
        <w:rPr>
          <w:rFonts w:ascii="Times New Roman" w:hAnsi="Times New Roman"/>
          <w:sz w:val="22"/>
          <w:szCs w:val="22"/>
        </w:rPr>
        <w:t xml:space="preserve">Audit Analytics and </w:t>
      </w:r>
      <w:r>
        <w:rPr>
          <w:rFonts w:ascii="Times New Roman" w:hAnsi="Times New Roman"/>
          <w:sz w:val="22"/>
          <w:szCs w:val="22"/>
        </w:rPr>
        <w:t xml:space="preserve">the </w:t>
      </w:r>
      <w:r w:rsidRPr="008F05C7">
        <w:rPr>
          <w:rFonts w:ascii="Times New Roman" w:hAnsi="Times New Roman"/>
          <w:sz w:val="22"/>
          <w:szCs w:val="22"/>
        </w:rPr>
        <w:t xml:space="preserve">Compustat. After excluding financial industries and observations with only one company within an industry, 23852 firm-year observations </w:t>
      </w:r>
      <w:r>
        <w:rPr>
          <w:rFonts w:ascii="Times New Roman" w:hAnsi="Times New Roman"/>
          <w:sz w:val="22"/>
          <w:szCs w:val="22"/>
        </w:rPr>
        <w:t xml:space="preserve">exist </w:t>
      </w:r>
      <w:r w:rsidRPr="008F05C7">
        <w:rPr>
          <w:rFonts w:ascii="Times New Roman" w:hAnsi="Times New Roman"/>
          <w:sz w:val="22"/>
          <w:szCs w:val="22"/>
        </w:rPr>
        <w:t xml:space="preserve">between fiscal years 2004 </w:t>
      </w:r>
      <w:r>
        <w:rPr>
          <w:rFonts w:ascii="Times New Roman" w:hAnsi="Times New Roman"/>
          <w:sz w:val="22"/>
          <w:szCs w:val="22"/>
        </w:rPr>
        <w:t xml:space="preserve">up to and included </w:t>
      </w:r>
      <w:r w:rsidRPr="008F05C7">
        <w:rPr>
          <w:rFonts w:ascii="Times New Roman" w:hAnsi="Times New Roman"/>
          <w:sz w:val="22"/>
          <w:szCs w:val="22"/>
        </w:rPr>
        <w:t xml:space="preserve">2009. </w:t>
      </w:r>
    </w:p>
    <w:p w:rsidR="00144315" w:rsidRDefault="00144315" w:rsidP="00144315">
      <w:pPr>
        <w:spacing w:line="360" w:lineRule="auto"/>
      </w:pPr>
    </w:p>
    <w:p w:rsidR="00144315" w:rsidRPr="0098349D" w:rsidRDefault="00144315" w:rsidP="00144315">
      <w:pPr>
        <w:spacing w:line="360" w:lineRule="auto"/>
        <w:jc w:val="both"/>
        <w:rPr>
          <w:rFonts w:ascii="Times New Roman" w:hAnsi="Times New Roman"/>
          <w:sz w:val="22"/>
          <w:szCs w:val="22"/>
        </w:rPr>
      </w:pPr>
      <w:r w:rsidRPr="0098349D">
        <w:rPr>
          <w:rFonts w:ascii="Times New Roman" w:hAnsi="Times New Roman"/>
          <w:sz w:val="22"/>
          <w:szCs w:val="22"/>
        </w:rPr>
        <w:t xml:space="preserve">The results </w:t>
      </w:r>
      <w:r>
        <w:rPr>
          <w:rFonts w:ascii="Times New Roman" w:hAnsi="Times New Roman"/>
          <w:sz w:val="22"/>
          <w:szCs w:val="22"/>
        </w:rPr>
        <w:t>suggested that the industry specialist require a fee premium for clients from non-homogenous industries, but charged an incrementally lower fee to clients from homogenous industries. In the sensitivity test, the authors found no significant differences in the audit quality concerning both industries.</w:t>
      </w:r>
    </w:p>
    <w:p w:rsidR="00144315" w:rsidRDefault="00144315" w:rsidP="00144315">
      <w:pPr>
        <w:pStyle w:val="Subtitle"/>
        <w:spacing w:line="360" w:lineRule="auto"/>
        <w:jc w:val="left"/>
        <w:rPr>
          <w:b/>
        </w:rPr>
      </w:pPr>
    </w:p>
    <w:p w:rsidR="00144315" w:rsidRDefault="00144315" w:rsidP="00144315">
      <w:pPr>
        <w:pStyle w:val="Subtitle"/>
        <w:spacing w:line="360" w:lineRule="auto"/>
        <w:jc w:val="left"/>
      </w:pPr>
      <w:bookmarkStart w:id="50" w:name="_Toc393872551"/>
      <w:r>
        <w:rPr>
          <w:b/>
        </w:rPr>
        <w:t>3.5 Hypotheses Development</w:t>
      </w:r>
      <w:bookmarkEnd w:id="50"/>
    </w:p>
    <w:p w:rsidR="00144315" w:rsidRDefault="00144315" w:rsidP="00144315">
      <w:pPr>
        <w:spacing w:line="360" w:lineRule="auto"/>
        <w:jc w:val="both"/>
        <w:rPr>
          <w:rFonts w:ascii="Times New Roman" w:hAnsi="Times New Roman"/>
          <w:sz w:val="22"/>
        </w:rPr>
      </w:pPr>
      <w:r>
        <w:rPr>
          <w:rFonts w:ascii="Times New Roman" w:hAnsi="Times New Roman"/>
          <w:sz w:val="22"/>
        </w:rPr>
        <w:t xml:space="preserve">Based on the examined prior research, the next hypotheses are formulated. </w:t>
      </w:r>
    </w:p>
    <w:p w:rsidR="00144315" w:rsidRDefault="00144315" w:rsidP="00144315">
      <w:pPr>
        <w:spacing w:line="360" w:lineRule="auto"/>
        <w:jc w:val="both"/>
        <w:rPr>
          <w:rFonts w:ascii="Times New Roman" w:hAnsi="Times New Roman"/>
          <w:sz w:val="22"/>
        </w:rPr>
      </w:pPr>
    </w:p>
    <w:p w:rsidR="00144315" w:rsidRPr="00925CB6" w:rsidRDefault="00144315" w:rsidP="00144315">
      <w:pPr>
        <w:spacing w:line="360" w:lineRule="auto"/>
        <w:jc w:val="both"/>
        <w:rPr>
          <w:rFonts w:ascii="Times New Roman" w:hAnsi="Times New Roman"/>
          <w:sz w:val="22"/>
        </w:rPr>
      </w:pPr>
      <w:r>
        <w:rPr>
          <w:rFonts w:ascii="Times New Roman" w:hAnsi="Times New Roman"/>
          <w:sz w:val="22"/>
        </w:rPr>
        <w:t>Audit client complexity in this thesis will be used as a determinant for the audit fee. This can be caused by many factors. One of them is the industry in which the audit clients are operating. For instance, the virtue of some industries requires special accounting policies, which increases the difficulty and the audit hours to complete the audit. Consequently, clients in a typical complex industry would be charged with a higher audit fee than clients in other general industries. In order to test this assumption, the next hypothesis is developed:</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1</w:t>
      </w:r>
    </w:p>
    <w:p w:rsidR="00144315" w:rsidRDefault="00144315" w:rsidP="00144315">
      <w:pPr>
        <w:spacing w:line="360" w:lineRule="auto"/>
        <w:jc w:val="both"/>
      </w:pPr>
      <w:r>
        <w:rPr>
          <w:rFonts w:ascii="Times New Roman" w:hAnsi="Times New Roman"/>
          <w:sz w:val="22"/>
        </w:rPr>
        <w:lastRenderedPageBreak/>
        <w:t>Higher complexity of the auditee would cause higher audit fee</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 xml:space="preserve">The amount of industry specific knowledge could create either higher or lower audit fee. Because they provide their personnel with additional trainings and educations in order to obtain industry specific knowledge, to cover the extra costs, the audit firms may charge their clients a higher audit fee. In addition, </w:t>
      </w:r>
      <w:r w:rsidRPr="00C16E4B">
        <w:rPr>
          <w:rFonts w:ascii="Times New Roman" w:hAnsi="Times New Roman"/>
          <w:sz w:val="22"/>
        </w:rPr>
        <w:t>by their valuable industry specialized knowledge</w:t>
      </w:r>
      <w:r>
        <w:rPr>
          <w:rFonts w:ascii="Times New Roman" w:hAnsi="Times New Roman"/>
          <w:sz w:val="22"/>
        </w:rPr>
        <w:t>,</w:t>
      </w:r>
      <w:r w:rsidRPr="00C16E4B">
        <w:rPr>
          <w:rFonts w:ascii="Times New Roman" w:hAnsi="Times New Roman"/>
          <w:sz w:val="22"/>
        </w:rPr>
        <w:t xml:space="preserve"> </w:t>
      </w:r>
      <w:r>
        <w:rPr>
          <w:rFonts w:ascii="Times New Roman" w:hAnsi="Times New Roman"/>
          <w:sz w:val="22"/>
        </w:rPr>
        <w:t xml:space="preserve">auditors could gain a competitive advantage over their competitors, hence charging a higher fee. On the other hand, industry specific knowledge in addition could create a lower audit fee. Since the auditors have more knowledge about the client’s industry, they are able to recognize the industry specific audit risks at an earlier stage. Additionally, industry specialists are more likely to attract potential clients from their specialized industry and in the end achieve economies of scales, which comparing with non-specialists could create a fee discount. Hence </w:t>
      </w:r>
      <w:r w:rsidRPr="00C16E4B">
        <w:rPr>
          <w:rFonts w:ascii="Times New Roman" w:hAnsi="Times New Roman"/>
          <w:sz w:val="22"/>
        </w:rPr>
        <w:t xml:space="preserve">to test which one is the case, and which correlation is significant </w:t>
      </w:r>
      <w:r>
        <w:rPr>
          <w:rFonts w:ascii="Times New Roman" w:hAnsi="Times New Roman"/>
          <w:sz w:val="22"/>
        </w:rPr>
        <w:t>the next hypotheses are developed.</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2a</w:t>
      </w:r>
    </w:p>
    <w:p w:rsidR="00144315" w:rsidRDefault="00144315" w:rsidP="00144315">
      <w:pPr>
        <w:spacing w:line="360" w:lineRule="auto"/>
        <w:jc w:val="both"/>
      </w:pPr>
      <w:r>
        <w:rPr>
          <w:rFonts w:ascii="Times New Roman" w:hAnsi="Times New Roman"/>
          <w:sz w:val="22"/>
        </w:rPr>
        <w:t>Industry specific knowledge would cause a higher audit fee</w:t>
      </w:r>
    </w:p>
    <w:p w:rsidR="00144315" w:rsidRDefault="00144315" w:rsidP="00144315">
      <w:pPr>
        <w:spacing w:line="360" w:lineRule="auto"/>
        <w:jc w:val="both"/>
      </w:pPr>
      <w:r>
        <w:rPr>
          <w:rFonts w:ascii="Times New Roman" w:hAnsi="Times New Roman"/>
          <w:i/>
          <w:sz w:val="22"/>
        </w:rPr>
        <w:t>Hypothesis 2b</w:t>
      </w:r>
    </w:p>
    <w:p w:rsidR="00144315" w:rsidRDefault="00144315" w:rsidP="00144315">
      <w:pPr>
        <w:spacing w:line="360" w:lineRule="auto"/>
        <w:jc w:val="both"/>
      </w:pPr>
      <w:r>
        <w:rPr>
          <w:rFonts w:ascii="Times New Roman" w:hAnsi="Times New Roman"/>
          <w:sz w:val="22"/>
        </w:rPr>
        <w:t>Industry specific knowledge would cause a low audit fee</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sz w:val="22"/>
        </w:rPr>
        <w:t>Based on the approach that audit clients’ complexity could create a higher audit fee, the industry specific knowledge of the auditors could reduce the relative complexity and increase the audit efficiency hence create a decreased audit fee particularly for complex clients. Consequently, the next hypothesis was developed:</w:t>
      </w:r>
    </w:p>
    <w:p w:rsidR="00144315" w:rsidRDefault="00144315" w:rsidP="00144315">
      <w:pPr>
        <w:spacing w:line="360" w:lineRule="auto"/>
        <w:jc w:val="both"/>
      </w:pPr>
    </w:p>
    <w:p w:rsidR="00144315" w:rsidRDefault="00144315" w:rsidP="00144315">
      <w:pPr>
        <w:spacing w:line="360" w:lineRule="auto"/>
        <w:jc w:val="both"/>
      </w:pPr>
      <w:r>
        <w:rPr>
          <w:rFonts w:ascii="Times New Roman" w:hAnsi="Times New Roman"/>
          <w:i/>
          <w:sz w:val="22"/>
        </w:rPr>
        <w:t>Hypothesis 3</w:t>
      </w:r>
    </w:p>
    <w:p w:rsidR="00144315" w:rsidRDefault="00144315" w:rsidP="00144315">
      <w:pPr>
        <w:spacing w:line="360" w:lineRule="auto"/>
        <w:jc w:val="both"/>
      </w:pPr>
      <w:r>
        <w:rPr>
          <w:rFonts w:ascii="Times New Roman" w:hAnsi="Times New Roman"/>
          <w:sz w:val="22"/>
        </w:rPr>
        <w:t>Industry specific knowledge decreases the effect of auditee’s complexity on the audit fee</w:t>
      </w:r>
    </w:p>
    <w:p w:rsidR="00144315" w:rsidRDefault="00144315" w:rsidP="00144315">
      <w:pPr>
        <w:spacing w:line="360" w:lineRule="auto"/>
      </w:pPr>
    </w:p>
    <w:p w:rsidR="00144315" w:rsidRDefault="00144315" w:rsidP="00144315">
      <w:pPr>
        <w:pStyle w:val="Subtitle"/>
        <w:spacing w:line="360" w:lineRule="auto"/>
        <w:jc w:val="left"/>
      </w:pPr>
      <w:bookmarkStart w:id="51" w:name="_Toc393872552"/>
      <w:r>
        <w:rPr>
          <w:b/>
        </w:rPr>
        <w:t>3.</w:t>
      </w:r>
      <w:r w:rsidR="00446B8E">
        <w:rPr>
          <w:b/>
        </w:rPr>
        <w:t>6</w:t>
      </w:r>
      <w:r>
        <w:rPr>
          <w:b/>
        </w:rPr>
        <w:t xml:space="preserve"> Summary</w:t>
      </w:r>
      <w:bookmarkEnd w:id="51"/>
      <w:r w:rsidR="00446B8E">
        <w:rPr>
          <w:b/>
        </w:rPr>
        <w:t xml:space="preserve"> </w:t>
      </w:r>
    </w:p>
    <w:p w:rsidR="00905B15" w:rsidRDefault="00446B8E" w:rsidP="00144315">
      <w:pPr>
        <w:spacing w:line="360" w:lineRule="auto"/>
        <w:jc w:val="both"/>
        <w:rPr>
          <w:rFonts w:ascii="Times New Roman" w:hAnsi="Times New Roman"/>
          <w:sz w:val="22"/>
        </w:rPr>
      </w:pPr>
      <w:r>
        <w:rPr>
          <w:rFonts w:ascii="Times New Roman" w:hAnsi="Times New Roman"/>
          <w:sz w:val="22"/>
        </w:rPr>
        <w:t xml:space="preserve">The chapter provided a short analysis of several studies concerning the audit fee determinants. </w:t>
      </w:r>
      <w:r w:rsidR="00593559">
        <w:rPr>
          <w:rFonts w:ascii="Times New Roman" w:hAnsi="Times New Roman"/>
          <w:sz w:val="22"/>
        </w:rPr>
        <w:t>All articles used a similar regression analysis to examine their assumed fee drivers and the most of them</w:t>
      </w:r>
      <w:r>
        <w:rPr>
          <w:rFonts w:ascii="Times New Roman" w:hAnsi="Times New Roman"/>
          <w:sz w:val="22"/>
        </w:rPr>
        <w:t xml:space="preserve"> are </w:t>
      </w:r>
      <w:r w:rsidR="00593559">
        <w:rPr>
          <w:rFonts w:ascii="Times New Roman" w:hAnsi="Times New Roman"/>
          <w:sz w:val="22"/>
        </w:rPr>
        <w:t>confirmed</w:t>
      </w:r>
      <w:r>
        <w:rPr>
          <w:rFonts w:ascii="Times New Roman" w:hAnsi="Times New Roman"/>
          <w:sz w:val="22"/>
        </w:rPr>
        <w:t xml:space="preserve"> to have a statistically significant influence </w:t>
      </w:r>
      <w:r w:rsidR="00905B15">
        <w:rPr>
          <w:rFonts w:ascii="Times New Roman" w:hAnsi="Times New Roman"/>
          <w:sz w:val="22"/>
        </w:rPr>
        <w:t xml:space="preserve">on the audit fee. </w:t>
      </w:r>
      <w:r w:rsidR="0083452F">
        <w:rPr>
          <w:rFonts w:ascii="Times New Roman" w:hAnsi="Times New Roman"/>
          <w:sz w:val="22"/>
        </w:rPr>
        <w:t>These confirmed determinants are also used in this thesis as control variables to eliminate their effect with the audit fee. However, t</w:t>
      </w:r>
      <w:r w:rsidR="00905B15">
        <w:rPr>
          <w:rFonts w:ascii="Times New Roman" w:hAnsi="Times New Roman"/>
          <w:sz w:val="22"/>
        </w:rPr>
        <w:t xml:space="preserve">here are several differences between the articles which will be highlighted subsequently. </w:t>
      </w:r>
      <w:r w:rsidR="00122864">
        <w:rPr>
          <w:rFonts w:ascii="Times New Roman" w:hAnsi="Times New Roman"/>
          <w:sz w:val="22"/>
        </w:rPr>
        <w:t>These differences did not cause opposite conclusions but are worthwhile to mention in order to prevent a wrong implementation. First, t</w:t>
      </w:r>
      <w:r w:rsidR="00905B15">
        <w:rPr>
          <w:rFonts w:ascii="Times New Roman" w:hAnsi="Times New Roman"/>
          <w:sz w:val="22"/>
        </w:rPr>
        <w:t xml:space="preserve">he sample selection method is different since only a few countries require a disclosure of the financial statements audit fee. Researchers of other countries need to collect fee data by themselves, which consequently decrease the sample size and external validity. </w:t>
      </w:r>
      <w:r w:rsidR="00122864">
        <w:rPr>
          <w:rFonts w:ascii="Times New Roman" w:hAnsi="Times New Roman"/>
          <w:sz w:val="22"/>
        </w:rPr>
        <w:lastRenderedPageBreak/>
        <w:t>Second</w:t>
      </w:r>
      <w:r w:rsidR="0028623C">
        <w:rPr>
          <w:rFonts w:ascii="Times New Roman" w:hAnsi="Times New Roman"/>
          <w:sz w:val="22"/>
        </w:rPr>
        <w:t xml:space="preserve">, the differences of legal environments are not taken into consideration as </w:t>
      </w:r>
      <w:r w:rsidR="00E71DF8">
        <w:rPr>
          <w:rFonts w:ascii="Times New Roman" w:hAnsi="Times New Roman"/>
          <w:sz w:val="22"/>
        </w:rPr>
        <w:t>well;</w:t>
      </w:r>
      <w:r w:rsidR="00593559">
        <w:rPr>
          <w:rFonts w:ascii="Times New Roman" w:hAnsi="Times New Roman"/>
          <w:sz w:val="22"/>
        </w:rPr>
        <w:t xml:space="preserve"> different legal environments may lead to a different approach for auditor in the planning phase regarding the client business risk assessment</w:t>
      </w:r>
      <w:r w:rsidR="0028623C">
        <w:rPr>
          <w:rFonts w:ascii="Times New Roman" w:hAnsi="Times New Roman"/>
          <w:sz w:val="22"/>
        </w:rPr>
        <w:t xml:space="preserve">. The conclusion then should be implemented more carefully. </w:t>
      </w:r>
      <w:r w:rsidR="00122864">
        <w:rPr>
          <w:rFonts w:ascii="Times New Roman" w:hAnsi="Times New Roman"/>
          <w:sz w:val="22"/>
        </w:rPr>
        <w:t>Last</w:t>
      </w:r>
      <w:r w:rsidR="00593559">
        <w:rPr>
          <w:rFonts w:ascii="Times New Roman" w:hAnsi="Times New Roman"/>
          <w:sz w:val="22"/>
        </w:rPr>
        <w:t xml:space="preserve">, the studies mostly used a Big N term as a control variable since Big N audit firms mostly require a higher audit fee due to their high audit quality. However, there have been series of mergers taken place whereby the number of Big N firms reduced from eight to four. The existing studies are not able to capture this effect into their analysis. </w:t>
      </w:r>
    </w:p>
    <w:p w:rsidR="00446B8E" w:rsidRDefault="00446B8E" w:rsidP="00144315">
      <w:pPr>
        <w:spacing w:line="360" w:lineRule="auto"/>
        <w:jc w:val="both"/>
        <w:rPr>
          <w:rFonts w:ascii="Times New Roman" w:hAnsi="Times New Roman"/>
          <w:sz w:val="22"/>
        </w:rPr>
      </w:pPr>
    </w:p>
    <w:p w:rsidR="00144315" w:rsidRDefault="00905B15" w:rsidP="00144315">
      <w:pPr>
        <w:spacing w:line="360" w:lineRule="auto"/>
        <w:jc w:val="both"/>
      </w:pPr>
      <w:r>
        <w:rPr>
          <w:rFonts w:ascii="Times New Roman" w:hAnsi="Times New Roman"/>
          <w:sz w:val="22"/>
        </w:rPr>
        <w:t>Concerning the auditor industry specialization, p</w:t>
      </w:r>
      <w:r w:rsidR="00144315">
        <w:rPr>
          <w:rFonts w:ascii="Times New Roman" w:hAnsi="Times New Roman"/>
          <w:sz w:val="22"/>
        </w:rPr>
        <w:t xml:space="preserve">revious researches presented mixed results regarding the effect of the auditor industry specialization on the level of the audit fee. All possible outcomes are found: positive correlation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"ISSN" : "0278-0380", "author" : [ { "dropping-particle" : "", "family" : "Casterella", "given" : "Jeffrey R", "non-dropping-particle" : "", "parse-names" : false, "suffix" : "" }, { "dropping-particle" : "", "family" : "Francis", "given" : "Jere R", "non-dropping-particle" : "", "parse-names" : false, "suffix" : "" }, { "dropping-particle" : "", "family" : "Lewis", "given" : "Barry L", "non-dropping-particle" : "", "parse-names" : false, "suffix" : "" }, { "dropping-particle" : "", "family" : "Walker", "given" : "Paul L", "non-dropping-particle" : "", "parse-names" : false, "suffix" : "" } ], "container-title" : "Auditing: A Journal of Practice &amp; Theory", "id" : "ITEM-1", "issue" : "1", "issued" : { "date-parts" : [ [ "2004" ] ] }, "page" : "123-140", "title" : "Auditor industry specialization, client bargaining power, and audit pricing", "type" : "article-journal", "volume" : "23" }, "uris" : [ "http://www.mendeley.com/documents/?uuid=f4ba612f-e944-495a-8ce0-8ea5ee06b28b" ] }, { "id" : "ITEM-2",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"ITEM-2", "issued" : { "date-parts" : [ [ "1995" ] ] }, "page" : "297-322", "title" : "Auditor brand name reputations and industry specializations", "type" : "article", "volume" : "20" }, "uris" : [ "http://www.mendeley.com/documents/?uuid=587b528c-c9ff-41c2-a4d5-0064050da82b" ] }, { "id" : "ITEM-3", "itemData" : { "DOI" : "10.2308/aud.2000.19.1.49", "ISBN" : "02780380", "ISSN" : "0278-0380", "abstract" : "Audit fees of Big 6 and non-Big 6 accounting firms are examined for 348 publicly listed Hong Kong companies. Using more recent data than prior studies, we find evidence of Big 6 premiums for both general brand name and for industry specialization. In addition, we find that the large local firm Kwan Wong Tan &amp; Fong, which is the market leader in the property sector, has significantly lower fees than both Big 6 and other non-Big 6 auditors in that industry. Specialization thus leads to different results for Big 6 and non-Big 6 firms and suggests a market segment not previously identified: non-Big 6 specialization, which leads to production economies and the capture of market share through lower fees for a clientele seeking low-priced audits. These results also suggest that prior studies do not recognize sufficiently that Big 6 brand-name reputation is a necessary foundation on which to achieve higher priced quality-differentiated audits based on industry specialization. ABSTRACT FROM AUTHOR Copyright of Auditing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"DeFond", "given" : "Mark L.", "non-dropping-particle" : "", "parse-names" : false, "suffix" : "" }, { "dropping-particle" : "", "family" : "Francis", "given" : "Jere R.", "non-dropping-particle" : "", "parse-names" : false, "suffix" : "" }, { "dropping-particle" : "", "family" : "Wong", "given" : "T. J.", "non-dropping-particle" : "", "parse-names" : false, "suffix" : "" } ], "container-title" : "AUDITING: A Journal of Practice &amp; Theory", "id" : "ITEM-3", "issued" : { "date-parts" : [ [ "2000" ] ] }, "page" : "49-66", "title" : "Auditor Industry Specialization and Market Segmentation: Evidence from Hong Kong", "type" : "article", "volume" : "19" }, "uris" : [ "http://www.mendeley.com/documents/?uuid=0a78f2dd-cab8-4118-9e7d-3176e76871fd" ] }, { "id" : "ITEM-4", "itemData" : { "DOI" : "10.2308/accr.2003.78.2.429", "ISBN" : "00014826", "ISSN" : "0001-4826", "PMID" : "9682239", "abstract" : "This study examines the role of auditor industry expertise in the pricing of Big 5 audits in Australia. We test if the audit market prices an auditor's firm-wide industry expertise, or alternatively if the audit market only prices office-level expertise in those specific cities where the auditor is the industry leader. We document that there is an average premium of 24 percent associated with industry expertise when the auditor is 'both' the city-specific industry leader and one of the top two firms nationally in the industry. However, the top two firms nationally do not earn a premium in cities where they are not city leaders. We further document that national leadership rankings are, in fact, driven by the specific offices where accounting firms are city leaders. Thus, the overall evidence supports that the market perception and pricing of industry expertise in Australia is primarily based on office-level industry leadership in city-specific audit markets. [ABSTRACT FROM AUTHOR] Copyright of Accounting Review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"Ferguson", "given" : "Andrew", "non-dropping-particle" : "", "parse-names" : false, "suffix" : "" }, { "dropping-particle" : "", "family" : "Francis", "given" : "Jere R.", "non-dropping-particle" : "", "parse-names" : false, "suffix" : "" }, { "dropping-particle" : "", "family" : "Stokes", "given" : "Donald J.", "non-dropping-particle" : "", "parse-names" : false, "suffix" : "" } ], "container-title" : "The Accounting Review", "id" : "ITEM-4", "issued" : { "date-parts" : [ [ "2003" ] ] }, "page" : "429-448", "title" : "The Effects of Firm\u2010Wide and Office\u2010Level Industry Expertise on Audit Pricing", "type" : "article", "volume" : "78" }, "uris" : [ "http://www.mendeley.com/documents/?uuid=7e14f038-b905-4e9a-99f3-f6282718bcab" ] }, { "id" : "ITEM-5", "itemData" : { "DOI" : "10.1506/VF1T-VRT0-5LB3-766M", "ISSN" : "1911-3846", "author" : [ { "dropping-particle" : "", "family" : "Ferguson", "given" : "Andrew", "non-dropping-particle" : "", "parse-names" : false, "suffix" : "" }, { "dropping-particle" : "", "family" : "Stokes", "given" : "Donald", "non-dropping-particle" : "", "parse-names" : false, "suffix" : "" } ], "container-title" : "Contemporary Accounting Research", "id" : "ITEM-5", "issue" : "1", "issued" : { "date-parts" : [ [ "2002", "3", "1" ] ] }, "page" : "77-110", "publisher" : "Blackwell Publishing Ltd", "title" : "Brand Name Audit Pricing, Industry Specialization, and Leadership Premiums post-Big 8 and Big 6 Mergers*", "type" : "article-journal", "volume" : "19" }, "uris" : [ "http://www.mendeley.com/documents/?uuid=e25d9657-ac1c-4c6a-b038-fe8fdd22a581" ] }, { "id" : "ITEM-6", "itemData" : { "DOI" : "10.2308/aud.2003.22.2.33", "ISBN" : "02780380", "ISSN" : "0278-0380", "PMID" : "11721433", "abstract" : "This paper examines IPO audit fees to assess the use of industry specialization as a differentiation strategy by audit firms. We extend existing theory on the impact of industry specialization on audit fees by incorporating Porter's (1985) theory of competition and differentiation. We suggest that market share enables audit firms to gain competitive advantages in terms of cost and service. However, the impact of such advantages on fees depends on whether the audit firm has successfully differentiated itself from competitors within client industries. Our results indicate that as audit firm industry market share increases without a differentiation in market share, the audit fee charged for a given IPO decreases. In the context of Porter (1985), this result suggests that the client is able to bargain for a portion of the auditor's cost savings because the audit firm has not successfully differentiated itself from competitors. In contrast, we show that audit firms that possess significantly higher market shares than their industry competitors earn fee premiums, suggesting that audit firms that have successfully differentiated themselves retain a stronger bargaining position with their clients. [ABSTRACT FROM AUTHOR] Copyright of Auditing is the property of American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"Mayhew", "given" : "Brian W.", "non-dropping-particle" : "", "parse-names" : false, "suffix" : "" }, { "dropping-particle" : "", "family" : "Wilkins", "given" : "Michael S.", "non-dropping-particle" : "", "parse-names" : false, "suffix" : "" } ], "container-title" : "AUDITING: A Journal of Practice &amp; Theory", "id" : "ITEM-6", "issued" : { "date-parts" : [ [ "2003" ] ] }, "page" : "33-52", "title" : "Audit Firm Industry Specialization as a Differentiation Strategy: Evidence from Fees Charged to Firms Going Public", "type" : "article", "volume" : "22" }, "uris" : [ "http://www.mendeley.com/documents/?uuid=0712cfae-4366-462d-a2bd-77b495704767" ] }, { "id" : "ITEM-7", "itemData" : { "ISBN" : "00014826", "ISSN" : "0001-4826", "abstract" : "Develops a municipal audit fees model which incorporates additional variables that reflect unique aspects of the municipal accounting and auditing environment.  Fee model for a sample of Michigan municipalities; Association of audit fees with the number of audit adjustments; Agency and political costs; Political competition; Auditor experience; Opinion qualifications.", "author" : [ { "dropping-particle" : "", "family" : "Ward", "given" : "D Dewey", "non-dropping-particle" : "", "parse-names" : false, "suffix" : "" }, { "dropping-particle" : "", "family" : "Elder", "given" : "Randal J", "non-dropping-particle" : "", "parse-names" : false, "suffix" : "" } ], "container-title" : "Accounting Review", "id" : "ITEM-7", "issued" : { "date-parts" : [ [ "1994" ] ] }, "page" : "399-411", "title" : "Further Evidence on the Determinants of Municipal Audit Fees", "type" : "article-journal", "volume" : "69" }, "uris" : [ "http://www.mendeley.com/documents/?uuid=7076fad8-55b7-491c-88c1-2f1984304e7e" ] } ], "mendeley" : { "manualFormatting" : "(Casterella et al., 2004; Craswell et al., 1995)", "previouslyFormattedCitation" : "(Casterella et al., 2004; Allen T Craswell et al., 1995; DeFond, Francis, &amp; Wong, 2000; Ferguson et al., 2003; Ferguson &amp; Stokes, 2002; Mayhew &amp; Wilkins, 2003; Ward &amp; Elder, 1994)" }, "properties" : { "noteIndex" : 0 }, "schema" : "https://github.com/citation-style-language/schema/raw/master/csl-citation.json" }</w:instrText>
      </w:r>
      <w:r w:rsidR="004A36DA">
        <w:rPr>
          <w:rFonts w:ascii="Times New Roman" w:hAnsi="Times New Roman"/>
          <w:sz w:val="22"/>
        </w:rPr>
        <w:fldChar w:fldCharType="separate"/>
      </w:r>
      <w:r w:rsidR="00144315" w:rsidRPr="00925CB6">
        <w:rPr>
          <w:rFonts w:ascii="Times New Roman" w:hAnsi="Times New Roman"/>
          <w:noProof/>
          <w:sz w:val="22"/>
        </w:rPr>
        <w:t>(Casterella et al., 2004; Cr</w:t>
      </w:r>
      <w:r w:rsidR="00144315">
        <w:rPr>
          <w:rFonts w:ascii="Times New Roman" w:hAnsi="Times New Roman"/>
          <w:noProof/>
          <w:sz w:val="22"/>
        </w:rPr>
        <w:t>aswell et al., 1995</w:t>
      </w:r>
      <w:r w:rsidR="00144315" w:rsidRPr="00925CB6">
        <w:rPr>
          <w:rFonts w:ascii="Times New Roman" w:hAnsi="Times New Roman"/>
          <w:noProof/>
          <w:sz w:val="22"/>
        </w:rPr>
        <w:t>)</w:t>
      </w:r>
      <w:r w:rsidR="004A36DA">
        <w:rPr>
          <w:rFonts w:ascii="Times New Roman" w:hAnsi="Times New Roman"/>
          <w:sz w:val="22"/>
        </w:rPr>
        <w:fldChar w:fldCharType="end"/>
      </w:r>
      <w:r w:rsidR="00144315">
        <w:rPr>
          <w:rFonts w:ascii="Times New Roman" w:hAnsi="Times New Roman"/>
          <w:sz w:val="22"/>
        </w:rPr>
        <w:t xml:space="preserve"> and no correlation </w:t>
      </w:r>
      <w:r w:rsidR="004A36DA">
        <w:rPr>
          <w:rFonts w:ascii="Times New Roman" w:hAnsi="Times New Roman"/>
          <w:sz w:val="22"/>
        </w:rPr>
        <w:fldChar w:fldCharType="begin" w:fldLock="1"/>
      </w:r>
      <w:r w:rsidR="002177CD">
        <w:rPr>
          <w:rFonts w:ascii="Times New Roman" w:hAnsi="Times New Roman"/>
          <w:sz w:val="22"/>
        </w:rPr>
        <w:instrText>ADDIN CSL_CITATION { "citationItems" : [ { "id" : "ITEM-1", "itemData" : { "DOI" : "10.2307/2491284", "ISSN" : "00218456", "author" : [ { "dropping-particle" : "", "family" : "O'Keefe", "given" : "Terrence B", "non-dropping-particle" : "", "parse-names" : false, "suffix" : "" }, { "dropping-particle" : "", "family" : "Simunic", "given" : "Dan A", "non-dropping-particle" : "", "parse-names" : false, "suffix" : "" }, { "dropping-particle" : "", "family" : "Stein", "given" : "Michael T", "non-dropping-particle" : "", "parse-names" : false, "suffix" : "" } ], "container-title" : "Journal of Accounting Research", "id" : "ITEM-1", "issue" : "2", "issued" : { "date-parts" : [ [ "1994", "10", "1" ] ] }, "page" : "241-261 CR  - Copyright &amp;#169; 1994 Accounting Res", "publisher" : "Wiley on behalf of Accounting Research Center, Booth School of Business, University of Chicago", "title" : "The Production of Audit Services: Evidence from a Major Public Accounting Firm", "type" : "article-journal", "volume" : "32" }, "uris" : [ "http://www.mendeley.com/documents/?uuid=2f3b77f9-d152-4bab-aacd-0fa1f0c653a4" ] }, { "id" : "ITEM-2", "itemData" : { "DOI" : "10.2307/2490806", "ISBN" : "00218456", "ISSN" : "00218456", "PMID" : "6440003", "abstract" : "This article focuses on a study which analyzes the association between audit firm size and audit fees. The author notes that the structure of the market for public accounting services has received scrutiny form regulators, practitioners and researchers and that a major focus of this attention has fallen on a group of firms called the Big Eight. This group has received this attention due to them holding large shares of various markets. This research is concerned with examining the idea that the size of the auditing firm plays a significant role in the audit fees charged by these firms.", "author" : [ { "dropping-particle" : "", "family" : "Palmrose", "given" : "Zoe-Vonna", "non-dropping-particle" : "", "parse-names" : false, "suffix" : "" } ], "container-title" : "Journal of Accounting Research", "id" : "ITEM-2", "issued" : { "date-parts" : [ [ "1986" ] ] }, "page" : "97-110", "title" : "Audit Fees and Auditor Size: Further Evidence", "type" : "article-journal", "volume" : "24" }, "uris" : [ "http://www.mendeley.com/documents/?uuid=b8f7455d-ec7d-47a0-aae5-6f30a1aa4c8a" ] }, { "id" : "ITEM-3", "itemData" : { "DOI" : "10.1111/j.1911-3846.1994.tb00439.x", "ISBN" : "08239150", "ISSN" : "08239150", "PMID" : "10987362", "abstract" : "This article investigates the relationship between supplier concentration and competition in the market for audit services. The study is motivated by the concern that high levels of concentration may be detrimental, resulting in lower levels of competition, which could harm clients through higher fees and lower levels of service. However, a counterargument is that high levels of concentration may not be detrimental but may result because market leaders display exceptional performance, providing lower-priced audits (perhaps due to economies of scale) and/or enhanced service to clients. We obtained audit fee and financial data on 140 life and health insurance companies and 101 property and casualty insurance companies. Our findings indicate that concentration is negatively associated with fees, suggesting that higher levels of concentration are related to higher levels of price competition (i.e., lower fees). Additionally, we address the validity of concentration as a surrogate for competition by examining competition among the market leaders. Our analysis examines the fees paid by 47 insurance companies that switched auditors during the sample period. We investigate the effect of industry specialization on fees paid by clients that switch auditors, finding evidence of significant fee cutting among market leaders for each others' clients but no evidence of fee reductions for clients switching from nonleaders to market leaders. This is consistent with the claim that there is significant price competition for clients among the market leaders, suggesting that high concentration need not result in low levels of price competition (i.e., higher fees). [ABSTRACT FROM AUTHOR] Copyright of Contemporary Accounting Research is the property of Canadian Academic Accounting Association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"Pearson", "given" : "T I M", "non-dropping-particle" : "", "parse-names" : false, "suffix" : "" }, { "dropping-particle" : "", "family" : "Trompeter", "given" : "Greg", "non-dropping-particle" : "", "parse-names" : false, "suffix" : "" } ], "container-title" : "Contemporary Accounting Research", "id" : "ITEM-3", "issued" : { "date-parts" : [ [ "1994" ] ] }, "page" : "115-135", "title" : "Competition in the Market for Audit Services: The Effect of Supplier Concentration on Audit Fees", "type" : "article-journal", "volume" : "11" }, "uris" : [ "http://www.mendeley.com/documents/?uuid=720e51fc-e92f-433d-be92-b26e27f57e0c" ] } ], "mendeley" : { "manualFormatting" : "(Palmrose, 1986)", "previouslyFormattedCitation" : "(O\u2019Keefe et al., 1994; Palmrose, 1986; Pearson &amp; Trompeter, 1994)" }, "properties" : { "noteIndex" : 0 }, "schema" : "https://github.com/citation-style-language/schema/raw/master/csl-citation.json" }</w:instrText>
      </w:r>
      <w:r w:rsidR="004A36DA">
        <w:rPr>
          <w:rFonts w:ascii="Times New Roman" w:hAnsi="Times New Roman"/>
          <w:sz w:val="22"/>
        </w:rPr>
        <w:fldChar w:fldCharType="separate"/>
      </w:r>
      <w:r w:rsidR="00144315" w:rsidRPr="00C23EF2">
        <w:rPr>
          <w:rFonts w:ascii="Times New Roman" w:hAnsi="Times New Roman"/>
          <w:noProof/>
          <w:sz w:val="22"/>
        </w:rPr>
        <w:t>(</w:t>
      </w:r>
      <w:r w:rsidR="00144315">
        <w:rPr>
          <w:rFonts w:ascii="Times New Roman" w:hAnsi="Times New Roman"/>
          <w:noProof/>
          <w:sz w:val="22"/>
        </w:rPr>
        <w:t>Palmrose, 1986</w:t>
      </w:r>
      <w:r w:rsidR="00144315" w:rsidRPr="00C23EF2">
        <w:rPr>
          <w:rFonts w:ascii="Times New Roman" w:hAnsi="Times New Roman"/>
          <w:noProof/>
          <w:sz w:val="22"/>
        </w:rPr>
        <w:t>)</w:t>
      </w:r>
      <w:r w:rsidR="004A36DA">
        <w:rPr>
          <w:rFonts w:ascii="Times New Roman" w:hAnsi="Times New Roman"/>
          <w:sz w:val="22"/>
        </w:rPr>
        <w:fldChar w:fldCharType="end"/>
      </w:r>
      <w:r w:rsidR="00144315">
        <w:rPr>
          <w:rFonts w:ascii="Times New Roman" w:hAnsi="Times New Roman"/>
          <w:sz w:val="22"/>
        </w:rPr>
        <w:t>. The conflict results are mainly due to the differences in periods, in the locations and especially in the measurements of the specialization. It is not surprising</w:t>
      </w:r>
      <w:r w:rsidR="00144315" w:rsidRPr="00DD77BF">
        <w:t xml:space="preserve"> </w:t>
      </w:r>
      <w:r w:rsidR="00144315" w:rsidRPr="00DD77BF">
        <w:rPr>
          <w:rFonts w:ascii="Times New Roman" w:hAnsi="Times New Roman"/>
          <w:sz w:val="22"/>
        </w:rPr>
        <w:t>if they use different standards for measuring the specialization of the auditor</w:t>
      </w:r>
      <w:r w:rsidR="00144315">
        <w:rPr>
          <w:rFonts w:ascii="Times New Roman" w:hAnsi="Times New Roman"/>
          <w:sz w:val="22"/>
        </w:rPr>
        <w:t xml:space="preserve"> that researchers have distinct findings. Because most researches in studying the audit specialization follows the approach stated by Palmrose (1986), this thesis will adapt the same definition: the auditors with large market shares are industry specialists.</w:t>
      </w:r>
    </w:p>
    <w:p w:rsidR="00144315" w:rsidRDefault="00144315" w:rsidP="00144315">
      <w:pPr>
        <w:spacing w:line="360" w:lineRule="auto"/>
        <w:jc w:val="both"/>
      </w:pPr>
    </w:p>
    <w:p w:rsidR="00144315" w:rsidRDefault="00144315" w:rsidP="00144315">
      <w:pPr>
        <w:spacing w:line="360" w:lineRule="auto"/>
        <w:jc w:val="both"/>
        <w:rPr>
          <w:rFonts w:ascii="Times New Roman" w:hAnsi="Times New Roman"/>
          <w:sz w:val="22"/>
        </w:rPr>
      </w:pPr>
      <w:r>
        <w:rPr>
          <w:rFonts w:ascii="Times New Roman" w:hAnsi="Times New Roman"/>
          <w:sz w:val="22"/>
        </w:rPr>
        <w:t>In addition, although many researches have studied the association between the auditor industry specialization and the audit fee using the U.S. data, the results of their studies do not represent the full range of industries served by audit firms. Only particular industries were selected. For instance, the survey studies conducted by Casterella et al., (2004) and Palmrose (1986) had a very limited coverage even the response rate was quite high or the studies focused solely on certain industries. Since companies were not obligated to report the fee for auditors this was the reason that they were not able to obtain the audit fee data. Thanks to the Audit Analytics database, this thesis is going to extend the range of the industries and study the impact of the auditor industry specialization on the association between the audit client complexity and the audit fee.</w:t>
      </w:r>
    </w:p>
    <w:p w:rsidR="00144315" w:rsidRDefault="00144315" w:rsidP="00144315">
      <w:pPr>
        <w:spacing w:line="360" w:lineRule="auto"/>
        <w:jc w:val="both"/>
        <w:rPr>
          <w:rFonts w:ascii="Times New Roman" w:hAnsi="Times New Roman"/>
          <w:sz w:val="22"/>
        </w:rPr>
      </w:pPr>
    </w:p>
    <w:p w:rsidR="00144315" w:rsidRPr="00DD546C" w:rsidRDefault="00144315" w:rsidP="00144315">
      <w:pPr>
        <w:spacing w:line="360" w:lineRule="auto"/>
        <w:jc w:val="both"/>
        <w:rPr>
          <w:rFonts w:ascii="Times New Roman" w:hAnsi="Times New Roman"/>
          <w:sz w:val="22"/>
          <w:szCs w:val="22"/>
        </w:rPr>
      </w:pPr>
      <w:r w:rsidRPr="00DD546C">
        <w:rPr>
          <w:rFonts w:ascii="Times New Roman" w:hAnsi="Times New Roman"/>
          <w:sz w:val="22"/>
          <w:szCs w:val="22"/>
        </w:rPr>
        <w:t xml:space="preserve">The next chapter further </w:t>
      </w:r>
      <w:r>
        <w:rPr>
          <w:rFonts w:ascii="Times New Roman" w:hAnsi="Times New Roman"/>
          <w:sz w:val="22"/>
          <w:szCs w:val="22"/>
        </w:rPr>
        <w:t xml:space="preserve">comments </w:t>
      </w:r>
      <w:r w:rsidRPr="00DD546C">
        <w:rPr>
          <w:rFonts w:ascii="Times New Roman" w:hAnsi="Times New Roman"/>
          <w:sz w:val="22"/>
          <w:szCs w:val="22"/>
        </w:rPr>
        <w:t>the research design and the selected sample that are used to test the hypotheses. The expectation is that the hypotheses will be verified by using statistical methods, assuring that the auditor specialization will affect the association between client complexity and audit fees.</w:t>
      </w:r>
    </w:p>
    <w:p w:rsidR="00144315" w:rsidRDefault="00144315">
      <w:pPr>
        <w:overflowPunct/>
        <w:autoSpaceDE/>
        <w:autoSpaceDN/>
        <w:adjustRightInd/>
        <w:spacing w:after="200" w:line="276" w:lineRule="auto"/>
        <w:textAlignment w:val="auto"/>
        <w:rPr>
          <w:rFonts w:ascii="Times New Roman" w:hAnsi="Times New Roman"/>
          <w:sz w:val="22"/>
          <w:szCs w:val="22"/>
        </w:rPr>
      </w:pPr>
      <w:r>
        <w:rPr>
          <w:rFonts w:ascii="Times New Roman" w:hAnsi="Times New Roman"/>
          <w:sz w:val="22"/>
          <w:szCs w:val="22"/>
        </w:rPr>
        <w:br w:type="page"/>
      </w:r>
    </w:p>
    <w:p w:rsidR="00144315" w:rsidRDefault="00144315" w:rsidP="00144315">
      <w:pPr>
        <w:pStyle w:val="Title"/>
        <w:spacing w:line="360" w:lineRule="auto"/>
        <w:jc w:val="left"/>
      </w:pPr>
      <w:bookmarkStart w:id="52" w:name="_Toc393872553"/>
      <w:r>
        <w:lastRenderedPageBreak/>
        <w:t>4. Research Design</w:t>
      </w:r>
      <w:bookmarkEnd w:id="52"/>
      <w:r>
        <w:t xml:space="preserve"> </w:t>
      </w:r>
    </w:p>
    <w:p w:rsidR="00144315" w:rsidRDefault="00144315" w:rsidP="00144315">
      <w:pPr>
        <w:pStyle w:val="Subtitle"/>
        <w:spacing w:line="360" w:lineRule="auto"/>
        <w:jc w:val="left"/>
      </w:pPr>
      <w:bookmarkStart w:id="53" w:name="_Toc393872554"/>
      <w:r>
        <w:rPr>
          <w:b/>
        </w:rPr>
        <w:t>4.1 Introduction</w:t>
      </w:r>
      <w:bookmarkEnd w:id="53"/>
    </w:p>
    <w:p w:rsidR="00144315" w:rsidRDefault="00144315" w:rsidP="00144315">
      <w:pPr>
        <w:pStyle w:val="BodyText"/>
        <w:spacing w:after="0" w:line="360" w:lineRule="auto"/>
        <w:jc w:val="both"/>
        <w:rPr>
          <w:rFonts w:ascii="Times New Roman" w:hAnsi="Times New Roman" w:cs="Times New Roman"/>
          <w:sz w:val="22"/>
          <w:szCs w:val="22"/>
          <w:lang w:val="en-US"/>
        </w:rPr>
      </w:pPr>
      <w:r>
        <w:rPr>
          <w:rFonts w:ascii="Times New Roman" w:hAnsi="Times New Roman" w:cs="Times New Roman"/>
          <w:sz w:val="22"/>
          <w:szCs w:val="22"/>
          <w:lang w:val="en-US"/>
        </w:rPr>
        <w:t>I</w:t>
      </w:r>
      <w:r w:rsidRPr="00167A63">
        <w:rPr>
          <w:rFonts w:ascii="Times New Roman" w:hAnsi="Times New Roman" w:cs="Times New Roman"/>
          <w:sz w:val="22"/>
          <w:szCs w:val="22"/>
          <w:lang w:val="en-US"/>
        </w:rPr>
        <w:t>n order to test the developed hypotheses</w:t>
      </w:r>
      <w:r>
        <w:rPr>
          <w:rFonts w:ascii="Times New Roman" w:hAnsi="Times New Roman" w:cs="Times New Roman"/>
          <w:sz w:val="22"/>
          <w:szCs w:val="22"/>
          <w:lang w:val="en-US"/>
        </w:rPr>
        <w:t>,</w:t>
      </w:r>
      <w:r w:rsidRPr="00167A63">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this chapter will </w:t>
      </w:r>
      <w:r w:rsidR="00C733F1">
        <w:rPr>
          <w:rFonts w:ascii="Times New Roman" w:hAnsi="Times New Roman" w:cs="Times New Roman"/>
          <w:sz w:val="22"/>
          <w:szCs w:val="22"/>
          <w:lang w:val="en-US"/>
        </w:rPr>
        <w:t xml:space="preserve">first </w:t>
      </w:r>
      <w:r>
        <w:rPr>
          <w:rFonts w:ascii="Times New Roman" w:hAnsi="Times New Roman" w:cs="Times New Roman"/>
          <w:sz w:val="22"/>
          <w:szCs w:val="22"/>
          <w:lang w:val="en-US"/>
        </w:rPr>
        <w:t>present the research approach</w:t>
      </w:r>
      <w:r w:rsidR="00C733F1">
        <w:rPr>
          <w:rFonts w:ascii="Times New Roman" w:hAnsi="Times New Roman" w:cs="Times New Roman"/>
          <w:sz w:val="22"/>
          <w:szCs w:val="22"/>
          <w:lang w:val="en-US"/>
        </w:rPr>
        <w:t xml:space="preserve"> that is</w:t>
      </w:r>
      <w:r>
        <w:rPr>
          <w:rFonts w:ascii="Times New Roman" w:hAnsi="Times New Roman" w:cs="Times New Roman"/>
          <w:sz w:val="22"/>
          <w:szCs w:val="22"/>
          <w:lang w:val="en-US"/>
        </w:rPr>
        <w:t xml:space="preserve"> adopted in this thesis. It starts with an overview of all the research approaches available for examining the determinants of the audit fee and further elaborates on the methodology utilized in this thesis. To demonstrate the casual relations between the dependent and the independent variables, a predictive validity framework called Libby boxes are presented.</w:t>
      </w:r>
      <w:r w:rsidRPr="00A15137">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Concerning the clarification and the repeatability for further researches at the end, the method of data collection is presented. It is essential to note that the theoretical background and the prior research in previous chapters will be applied and as foundation service for this chapter. </w:t>
      </w:r>
    </w:p>
    <w:p w:rsidR="00144315" w:rsidRDefault="00144315" w:rsidP="00144315">
      <w:pPr>
        <w:pStyle w:val="BodyText"/>
        <w:spacing w:after="0" w:line="360" w:lineRule="auto"/>
        <w:jc w:val="both"/>
        <w:rPr>
          <w:rFonts w:ascii="Times New Roman" w:hAnsi="Times New Roman" w:cs="Times New Roman"/>
          <w:sz w:val="22"/>
          <w:szCs w:val="22"/>
          <w:lang w:val="en-US"/>
        </w:rPr>
      </w:pPr>
    </w:p>
    <w:p w:rsidR="00144315" w:rsidRDefault="00144315" w:rsidP="00144315">
      <w:pPr>
        <w:pStyle w:val="Subtitle"/>
        <w:spacing w:line="360" w:lineRule="auto"/>
        <w:jc w:val="left"/>
        <w:rPr>
          <w:b/>
        </w:rPr>
      </w:pPr>
      <w:bookmarkStart w:id="54" w:name="_Toc393872555"/>
      <w:r>
        <w:rPr>
          <w:b/>
        </w:rPr>
        <w:t>4.2 Research Approaches in Accounting</w:t>
      </w:r>
      <w:bookmarkEnd w:id="54"/>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Some educational books from the accounting field describe accounting researchers as ‘parasites’ who prey on the work of existing scientific literature to generate their own findings (e.g.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"author" : [ { "dropping-particle" : "", "family" : "Brownwell", "given" : "Peter", "non-dropping-particle" : "", "parse-names" : false, "suffix" : "" } ], "id" : "ITEM-1", "issued" : { "date-parts" : [ [ "1995" ] ] }, "publisher" : "Coopers and Lybrand and Accounting Association of Australia and New Zealand", "publisher-place" : "Melbourne, Vic", "title" : "Research methods in management accounting", "type" : "book" }, "locator" : "2", "uris" : [ "http://www.mendeley.com/documents/?uuid=580177e1-4ca1-4627-806d-d57cc03631f6" ] } ], "mendeley" : { "manualFormatting" : "Brownwell, 1995, p. 2)", "previouslyFormattedCitation" : "(Brownwell, 1995, p. 2)" }, "properties" : { "noteIndex" : 0 }, "schema" : "https://github.com/citation-style-language/schema/raw/master/csl-citation.json" }</w:instrText>
      </w:r>
      <w:r w:rsidR="004A36DA">
        <w:rPr>
          <w:rFonts w:ascii="Times New Roman" w:hAnsi="Times New Roman"/>
          <w:sz w:val="22"/>
          <w:szCs w:val="22"/>
        </w:rPr>
        <w:fldChar w:fldCharType="separate"/>
      </w:r>
      <w:r w:rsidRPr="0081041E">
        <w:rPr>
          <w:rFonts w:ascii="Times New Roman" w:hAnsi="Times New Roman"/>
          <w:noProof/>
          <w:sz w:val="22"/>
          <w:szCs w:val="22"/>
        </w:rPr>
        <w:t>Brownwell, 1995, p. 2)</w:t>
      </w:r>
      <w:r w:rsidR="004A36DA">
        <w:rPr>
          <w:rFonts w:ascii="Times New Roman" w:hAnsi="Times New Roman"/>
          <w:sz w:val="22"/>
          <w:szCs w:val="22"/>
        </w:rPr>
        <w:fldChar w:fldCharType="end"/>
      </w:r>
      <w:r>
        <w:rPr>
          <w:rFonts w:ascii="Times New Roman" w:hAnsi="Times New Roman"/>
          <w:sz w:val="22"/>
          <w:szCs w:val="22"/>
        </w:rPr>
        <w:t xml:space="preserve">. This is obviously an overstatement; however it is not completely false. The reason why accounting researchers to a great extent rely on prior researches is that they have little theory or specific research method of their own and only a few instruments exist to rely on within this scientific topic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"author" : [ { "dropping-particle" : "", "family" : "Smith", "given" : "Malcolm", "non-dropping-particle" : "", "parse-names" : false, "suffix" : "" } ], "edition" : "2e", "id" : "ITEM-1", "issued" : { "date-parts" : [ [ "2011" ] ] }, "publisher" : "SAGE Publicatons LTD", "publisher-place" : "London", "title" : "Research Methods in Accounting", "type" : "book" }, "uris" : [ "http://www.mendeley.com/documents/?uuid=37e628eb-6930-489f-9aaf-b97408a3962e" ] } ], "mendeley" : { "previouslyFormattedCitation" : "(Smith, 2011)" }, "properties" : { "noteIndex" : 0 }, "schema" : "https://github.com/citation-style-language/schema/raw/master/csl-citation.json" }</w:instrText>
      </w:r>
      <w:r w:rsidR="004A36DA">
        <w:rPr>
          <w:rFonts w:ascii="Times New Roman" w:hAnsi="Times New Roman"/>
          <w:sz w:val="22"/>
          <w:szCs w:val="22"/>
        </w:rPr>
        <w:fldChar w:fldCharType="separate"/>
      </w:r>
      <w:r w:rsidRPr="00EE3EFF">
        <w:rPr>
          <w:rFonts w:ascii="Times New Roman" w:hAnsi="Times New Roman"/>
          <w:noProof/>
          <w:sz w:val="22"/>
          <w:szCs w:val="22"/>
        </w:rPr>
        <w:t>(Smith, 2011)</w:t>
      </w:r>
      <w:r w:rsidR="004A36DA">
        <w:rPr>
          <w:rFonts w:ascii="Times New Roman" w:hAnsi="Times New Roman"/>
          <w:sz w:val="22"/>
          <w:szCs w:val="22"/>
        </w:rPr>
        <w:fldChar w:fldCharType="end"/>
      </w:r>
      <w:r>
        <w:rPr>
          <w:rFonts w:ascii="Times New Roman" w:hAnsi="Times New Roman"/>
          <w:sz w:val="22"/>
          <w:szCs w:val="22"/>
        </w:rPr>
        <w:t xml:space="preserve">. </w:t>
      </w:r>
    </w:p>
    <w:p w:rsidR="00144315" w:rsidRDefault="00144315" w:rsidP="00144315">
      <w:pPr>
        <w:spacing w:line="360" w:lineRule="auto"/>
        <w:jc w:val="both"/>
        <w:rPr>
          <w:rFonts w:ascii="Times New Roman" w:hAnsi="Times New Roman"/>
          <w:sz w:val="22"/>
          <w:szCs w:val="22"/>
        </w:rPr>
      </w:pP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Researches concerning accounting are mostly conducted to provide explanations and prediction for the real market. In this field two major research approaches exist, quantitative and qualitative research. The major difference between these two</w:t>
      </w:r>
      <w:r w:rsidR="002B4D42">
        <w:rPr>
          <w:rFonts w:ascii="Times New Roman" w:hAnsi="Times New Roman"/>
          <w:sz w:val="22"/>
          <w:szCs w:val="22"/>
        </w:rPr>
        <w:t xml:space="preserve"> types</w:t>
      </w:r>
      <w:r>
        <w:rPr>
          <w:rFonts w:ascii="Times New Roman" w:hAnsi="Times New Roman"/>
          <w:sz w:val="22"/>
          <w:szCs w:val="22"/>
        </w:rPr>
        <w:t xml:space="preserve"> is the likelihood to apply the results to real scenarios. Quantitative researches use numerical evidence which permits researchers to construct complex predictive models to test the correlation between two or more variables. However, one drawback is that </w:t>
      </w:r>
      <w:r w:rsidRPr="00167A63">
        <w:rPr>
          <w:rFonts w:ascii="Times New Roman" w:hAnsi="Times New Roman"/>
          <w:sz w:val="22"/>
          <w:szCs w:val="22"/>
        </w:rPr>
        <w:t xml:space="preserve">in most cases </w:t>
      </w:r>
      <w:r>
        <w:rPr>
          <w:rFonts w:ascii="Times New Roman" w:hAnsi="Times New Roman"/>
          <w:sz w:val="22"/>
          <w:szCs w:val="22"/>
        </w:rPr>
        <w:t xml:space="preserve">the quantitative data are not able to include the motives behind the correlation. In other words, quantitative researches face the threats of the external validity. On the other hand, by asking the actors for their intuitions and motives directly qualitative researches can mostly be used to fill this gap. As a starting point to development a research question and a research methodology this approach often requires a theory. Since there are limited theories for them to reply on, concerning accounting researchers this creates difficulties. Consequently, the most accounting researches remain quantitative researches. </w:t>
      </w:r>
    </w:p>
    <w:p w:rsidR="00144315" w:rsidRDefault="00144315" w:rsidP="00144315">
      <w:pPr>
        <w:spacing w:line="360" w:lineRule="auto"/>
        <w:jc w:val="both"/>
        <w:rPr>
          <w:rFonts w:ascii="Times New Roman" w:hAnsi="Times New Roman"/>
          <w:sz w:val="22"/>
          <w:szCs w:val="22"/>
        </w:rPr>
      </w:pP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Following the past studies, this thesis adopts a quantitative research method and examines the association between the auditor industry specialization and the audit fee. The data are collected solely from the databases Compustat and Audit Analytics. </w:t>
      </w:r>
    </w:p>
    <w:p w:rsidR="00144315" w:rsidRPr="00A23654" w:rsidRDefault="00144315" w:rsidP="00144315">
      <w:pPr>
        <w:pStyle w:val="Subtitle"/>
        <w:spacing w:line="360" w:lineRule="auto"/>
        <w:jc w:val="left"/>
        <w:rPr>
          <w:rStyle w:val="SubtleEmphasis"/>
          <w:b/>
        </w:rPr>
      </w:pPr>
      <w:bookmarkStart w:id="55" w:name="_Toc393872556"/>
      <w:r w:rsidRPr="00A23654">
        <w:rPr>
          <w:rStyle w:val="SubtleEmphasis"/>
          <w:b/>
        </w:rPr>
        <w:lastRenderedPageBreak/>
        <w:t xml:space="preserve">4.2.1 Quantitative </w:t>
      </w:r>
      <w:r w:rsidR="004228D1">
        <w:rPr>
          <w:rStyle w:val="SubtleEmphasis"/>
          <w:b/>
        </w:rPr>
        <w:t>R</w:t>
      </w:r>
      <w:r w:rsidRPr="00A23654">
        <w:rPr>
          <w:rStyle w:val="SubtleEmphasis"/>
          <w:b/>
        </w:rPr>
        <w:t>esearches</w:t>
      </w:r>
      <w:bookmarkEnd w:id="55"/>
      <w:r w:rsidRPr="00A23654">
        <w:rPr>
          <w:rStyle w:val="SubtleEmphasis"/>
          <w:b/>
        </w:rPr>
        <w:t xml:space="preserve"> </w:t>
      </w: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Several </w:t>
      </w:r>
      <w:r w:rsidRPr="00EB772B">
        <w:rPr>
          <w:rFonts w:ascii="Times New Roman" w:hAnsi="Times New Roman"/>
          <w:sz w:val="22"/>
          <w:szCs w:val="22"/>
        </w:rPr>
        <w:t xml:space="preserve">types of quantitative researches </w:t>
      </w:r>
      <w:r>
        <w:rPr>
          <w:rFonts w:ascii="Times New Roman" w:hAnsi="Times New Roman"/>
          <w:sz w:val="22"/>
          <w:szCs w:val="22"/>
        </w:rPr>
        <w:t>exist that can be performed</w:t>
      </w:r>
      <w:r w:rsidRPr="00EB772B">
        <w:rPr>
          <w:rFonts w:ascii="Times New Roman" w:hAnsi="Times New Roman"/>
          <w:sz w:val="22"/>
          <w:szCs w:val="22"/>
        </w:rPr>
        <w:t xml:space="preserve">. </w:t>
      </w:r>
      <w:r>
        <w:rPr>
          <w:rFonts w:ascii="Times New Roman" w:hAnsi="Times New Roman"/>
          <w:sz w:val="22"/>
          <w:szCs w:val="22"/>
        </w:rPr>
        <w:t>One way to distinguish them is the data collection process</w:t>
      </w:r>
      <w:r w:rsidRPr="00EB772B">
        <w:rPr>
          <w:rFonts w:ascii="Times New Roman" w:hAnsi="Times New Roman"/>
          <w:sz w:val="22"/>
          <w:szCs w:val="22"/>
        </w:rPr>
        <w:t xml:space="preserve">. </w:t>
      </w:r>
      <w:r>
        <w:rPr>
          <w:rFonts w:ascii="Times New Roman" w:hAnsi="Times New Roman"/>
          <w:sz w:val="22"/>
          <w:szCs w:val="22"/>
        </w:rPr>
        <w:t>T</w:t>
      </w:r>
      <w:r w:rsidRPr="00EB772B">
        <w:rPr>
          <w:rFonts w:ascii="Times New Roman" w:hAnsi="Times New Roman"/>
          <w:sz w:val="22"/>
          <w:szCs w:val="22"/>
        </w:rPr>
        <w:t>o ask the motive of the participants</w:t>
      </w:r>
      <w:r>
        <w:rPr>
          <w:rFonts w:ascii="Times New Roman" w:hAnsi="Times New Roman"/>
          <w:sz w:val="22"/>
          <w:szCs w:val="22"/>
        </w:rPr>
        <w:t>,</w:t>
      </w:r>
      <w:r w:rsidRPr="00EB772B">
        <w:rPr>
          <w:rFonts w:ascii="Times New Roman" w:hAnsi="Times New Roman"/>
          <w:sz w:val="22"/>
          <w:szCs w:val="22"/>
        </w:rPr>
        <w:t xml:space="preserve"> </w:t>
      </w:r>
      <w:r>
        <w:rPr>
          <w:rFonts w:ascii="Times New Roman" w:hAnsi="Times New Roman"/>
          <w:sz w:val="22"/>
          <w:szCs w:val="22"/>
        </w:rPr>
        <w:t>r</w:t>
      </w:r>
      <w:r w:rsidRPr="00EB772B">
        <w:rPr>
          <w:rFonts w:ascii="Times New Roman" w:hAnsi="Times New Roman"/>
          <w:sz w:val="22"/>
          <w:szCs w:val="22"/>
        </w:rPr>
        <w:t>esearchers of survey studies</w:t>
      </w:r>
      <w:r>
        <w:rPr>
          <w:rFonts w:ascii="Times New Roman" w:hAnsi="Times New Roman"/>
          <w:sz w:val="22"/>
          <w:szCs w:val="22"/>
        </w:rPr>
        <w:t xml:space="preserve"> mostly</w:t>
      </w:r>
      <w:r w:rsidRPr="00EB772B">
        <w:rPr>
          <w:rFonts w:ascii="Times New Roman" w:hAnsi="Times New Roman"/>
          <w:sz w:val="22"/>
          <w:szCs w:val="22"/>
        </w:rPr>
        <w:t xml:space="preserve"> use a questionnaire. Obviously</w:t>
      </w:r>
      <w:r>
        <w:rPr>
          <w:rFonts w:ascii="Times New Roman" w:hAnsi="Times New Roman"/>
          <w:sz w:val="22"/>
          <w:szCs w:val="22"/>
        </w:rPr>
        <w:t>, concerning this thesis,</w:t>
      </w:r>
      <w:r w:rsidRPr="00EB772B">
        <w:rPr>
          <w:rFonts w:ascii="Times New Roman" w:hAnsi="Times New Roman"/>
          <w:sz w:val="22"/>
          <w:szCs w:val="22"/>
        </w:rPr>
        <w:t xml:space="preserve"> it is not possible to ask companies and their audit firms </w:t>
      </w:r>
      <w:r>
        <w:rPr>
          <w:rFonts w:ascii="Times New Roman" w:hAnsi="Times New Roman"/>
          <w:sz w:val="22"/>
          <w:szCs w:val="22"/>
        </w:rPr>
        <w:t xml:space="preserve">in which way </w:t>
      </w:r>
      <w:r w:rsidRPr="00EB772B">
        <w:rPr>
          <w:rFonts w:ascii="Times New Roman" w:hAnsi="Times New Roman"/>
          <w:sz w:val="22"/>
          <w:szCs w:val="22"/>
        </w:rPr>
        <w:t xml:space="preserve">they determined the audit fee. </w:t>
      </w:r>
      <w:r>
        <w:rPr>
          <w:rFonts w:ascii="Times New Roman" w:hAnsi="Times New Roman"/>
          <w:sz w:val="22"/>
          <w:szCs w:val="22"/>
        </w:rPr>
        <w:t>W</w:t>
      </w:r>
      <w:r w:rsidRPr="00EB772B">
        <w:rPr>
          <w:rFonts w:ascii="Times New Roman" w:hAnsi="Times New Roman"/>
          <w:sz w:val="22"/>
          <w:szCs w:val="22"/>
        </w:rPr>
        <w:t xml:space="preserve">hen a large research sample is needed </w:t>
      </w:r>
      <w:r>
        <w:rPr>
          <w:rFonts w:ascii="Times New Roman" w:hAnsi="Times New Roman"/>
          <w:sz w:val="22"/>
          <w:szCs w:val="22"/>
        </w:rPr>
        <w:t>a</w:t>
      </w:r>
      <w:r w:rsidRPr="00EB772B">
        <w:rPr>
          <w:rFonts w:ascii="Times New Roman" w:hAnsi="Times New Roman"/>
          <w:sz w:val="22"/>
          <w:szCs w:val="22"/>
        </w:rPr>
        <w:t xml:space="preserve">dditionally, survey research is costly and time consuming. </w:t>
      </w:r>
      <w:r>
        <w:rPr>
          <w:rFonts w:ascii="Times New Roman" w:hAnsi="Times New Roman"/>
          <w:sz w:val="22"/>
          <w:szCs w:val="22"/>
        </w:rPr>
        <w:t>Consequently</w:t>
      </w:r>
      <w:r w:rsidR="002B4D42">
        <w:rPr>
          <w:rFonts w:ascii="Times New Roman" w:hAnsi="Times New Roman"/>
          <w:sz w:val="22"/>
          <w:szCs w:val="22"/>
        </w:rPr>
        <w:t>,</w:t>
      </w:r>
      <w:r>
        <w:rPr>
          <w:rFonts w:ascii="Times New Roman" w:hAnsi="Times New Roman"/>
          <w:sz w:val="22"/>
          <w:szCs w:val="22"/>
        </w:rPr>
        <w:t xml:space="preserve"> d</w:t>
      </w:r>
      <w:r w:rsidRPr="00EB772B">
        <w:rPr>
          <w:rFonts w:ascii="Times New Roman" w:hAnsi="Times New Roman"/>
          <w:sz w:val="22"/>
          <w:szCs w:val="22"/>
        </w:rPr>
        <w:t xml:space="preserve">irect measurement of </w:t>
      </w:r>
      <w:r>
        <w:rPr>
          <w:rFonts w:ascii="Times New Roman" w:hAnsi="Times New Roman"/>
          <w:sz w:val="22"/>
          <w:szCs w:val="22"/>
        </w:rPr>
        <w:t xml:space="preserve">the </w:t>
      </w:r>
      <w:r w:rsidRPr="00EB772B">
        <w:rPr>
          <w:rFonts w:ascii="Times New Roman" w:hAnsi="Times New Roman"/>
          <w:sz w:val="22"/>
          <w:szCs w:val="22"/>
        </w:rPr>
        <w:t xml:space="preserve">audit fee determinants through a survey </w:t>
      </w:r>
      <w:r>
        <w:rPr>
          <w:rFonts w:ascii="Times New Roman" w:hAnsi="Times New Roman"/>
          <w:sz w:val="22"/>
          <w:szCs w:val="22"/>
        </w:rPr>
        <w:t>in this thesis is not applicable</w:t>
      </w:r>
      <w:r w:rsidRPr="00EB772B">
        <w:rPr>
          <w:rFonts w:ascii="Times New Roman" w:hAnsi="Times New Roman"/>
          <w:sz w:val="22"/>
          <w:szCs w:val="22"/>
        </w:rPr>
        <w:t>.</w:t>
      </w:r>
      <w:r w:rsidRPr="005635D8">
        <w:rPr>
          <w:rFonts w:ascii="Calibri" w:hAnsi="Calibri"/>
          <w:color w:val="000000"/>
          <w:lang w:val="en-GB"/>
        </w:rPr>
        <w:t xml:space="preserve"> </w:t>
      </w:r>
      <w:r w:rsidRPr="00EB772B">
        <w:rPr>
          <w:rFonts w:ascii="Times New Roman" w:hAnsi="Times New Roman"/>
          <w:sz w:val="22"/>
          <w:szCs w:val="22"/>
        </w:rPr>
        <w:t>Alternatively, p</w:t>
      </w:r>
      <w:r>
        <w:rPr>
          <w:rFonts w:ascii="Times New Roman" w:hAnsi="Times New Roman"/>
          <w:sz w:val="22"/>
          <w:szCs w:val="22"/>
        </w:rPr>
        <w:t xml:space="preserve">erforming an experiment is a way to conduct quantitative research. The nature of an experiment allows researchers to manipulate diverse variables to test their correlation with the subject which is randomly assigned to different groups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"author" : [ { "dropping-particle" : "", "family" : "Abdel-Khalik", "given" : "A.R.", "non-dropping-particle" : "", "parse-names" : false, "suffix" : "" }, { "dropping-particle" : "", "family" : "Ajinkya", "given" : "B.B.", "non-dropping-particle" : "", "parse-names" : false, "suffix" : "" } ], "edition" : "4", "id" : "ITEM-1", "issued" : { "date-parts" : [ [ "1979" ] ] }, "publisher" : "AMER ACCOUNTING ASSOC 5717 BESSIE DR, SARASOTA, FL 34233", "publisher-place" : "Sarasota FL", "title" : "Empirical Research in Accounting: A Methodology Viewpoint", "type" : "book" }, "uris" : [ "http://www.mendeley.com/documents/?uuid=3bb79c91-50d5-4fe5-945f-0d53725da5af" ] } ], "mendeley" : { "previouslyFormattedCitation" : "(Abdel-Khalik &amp; Ajinkya, 1979)" }, "properties" : { "noteIndex" : 0 }, "schema" : "https://github.com/citation-style-language/schema/raw/master/csl-citation.json" }</w:instrText>
      </w:r>
      <w:r w:rsidR="004A36DA">
        <w:rPr>
          <w:rFonts w:ascii="Times New Roman" w:hAnsi="Times New Roman"/>
          <w:sz w:val="22"/>
          <w:szCs w:val="22"/>
        </w:rPr>
        <w:fldChar w:fldCharType="separate"/>
      </w:r>
      <w:r w:rsidRPr="00E646AA">
        <w:rPr>
          <w:rFonts w:ascii="Times New Roman" w:hAnsi="Times New Roman"/>
          <w:noProof/>
          <w:sz w:val="22"/>
          <w:szCs w:val="22"/>
        </w:rPr>
        <w:t>(Abdel-Khalik &amp; Ajinkya, 1979)</w:t>
      </w:r>
      <w:r w:rsidR="004A36DA">
        <w:rPr>
          <w:rFonts w:ascii="Times New Roman" w:hAnsi="Times New Roman"/>
          <w:sz w:val="22"/>
          <w:szCs w:val="22"/>
        </w:rPr>
        <w:fldChar w:fldCharType="end"/>
      </w:r>
      <w:r>
        <w:rPr>
          <w:rFonts w:ascii="Times New Roman" w:hAnsi="Times New Roman"/>
          <w:sz w:val="22"/>
          <w:szCs w:val="22"/>
        </w:rPr>
        <w:t xml:space="preserve">. Experiments are designed to establish the causal relations between the dependent variable and the independent variables. The major advantage of an experiment is having a high internal validity, which relies heavily on the researchers’ experiment design ability by controlling the effect of all the possible influencing factors. Due to its high-control environment, a laboratory experiment will achieve the highest level of internal validity; however, they have an extremely low external validity which implies that the results are mostly not applicable in the real world. </w:t>
      </w:r>
    </w:p>
    <w:p w:rsidR="00144315" w:rsidRDefault="00144315" w:rsidP="00144315">
      <w:pPr>
        <w:spacing w:line="360" w:lineRule="auto"/>
        <w:jc w:val="both"/>
        <w:rPr>
          <w:rFonts w:ascii="Times New Roman" w:hAnsi="Times New Roman"/>
          <w:sz w:val="22"/>
          <w:szCs w:val="22"/>
        </w:rPr>
      </w:pP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Till so far, </w:t>
      </w:r>
      <w:r w:rsidRPr="000E0F27">
        <w:rPr>
          <w:rFonts w:ascii="Times New Roman" w:hAnsi="Times New Roman"/>
          <w:sz w:val="22"/>
          <w:szCs w:val="22"/>
        </w:rPr>
        <w:t xml:space="preserve">to generate the outcome </w:t>
      </w:r>
      <w:r>
        <w:rPr>
          <w:rFonts w:ascii="Times New Roman" w:hAnsi="Times New Roman"/>
          <w:sz w:val="22"/>
          <w:szCs w:val="22"/>
        </w:rPr>
        <w:t xml:space="preserve">researches focused on the determinants of the audit fee mostly used quantitative evidence. In addition studies exist that combined experiments together with evidence partly collected by using questionnaires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"DOI" : "10.2307/2490806", "ISBN" : "00218456", "ISSN" : "00218456", "PMID" : "6440003", "abstract" : "This article focuses on a study which analyzes the association between audit firm size and audit fees. The author notes that the structure of the market for public accounting services has received scrutiny form regulators, practitioners and researchers and that a major focus of this attention has fallen on a group of firms called the Big Eight. This group has received this attention due to them holding large shares of various markets. This research is concerned with examining the idea that the size of the auditing firm plays a significant role in the audit fees charged by these firms.", "author" : [ { "dropping-particle" : "", "family" : "Palmrose", "given" : "Zoe-Vonna", "non-dropping-particle" : "", "parse-names" : false, "suffix" : "" } ], "container-title" : "Journal of Accounting Research", "id" : "ITEM-1", "issued" : { "date-parts" : [ [ "1986" ] ] }, "page" : "97-110", "title" : "Audit Fees and Auditor Size: Further Evidence", "type" : "article-journal", "volume" : "24" }, "uris" : [ "http://www.mendeley.com/documents/?uuid=b8f7455d-ec7d-47a0-aae5-6f30a1aa4c8a" ] }, { "id" : "ITEM-2", "itemData" : { "DOI" : "10.1111/1475-679X.00002", "ISSN" : "1475-679X", "author" : [ { "dropping-particle" : "", "family" : "Bell", "given" : "Timothy B", "non-dropping-particle" : "", "parse-names" : false, "suffix" : "" }, { "dropping-particle" : "", "family" : "Landsman", "given" : "Wayne R", "non-dropping-particle" : "", "parse-names" : false, "suffix" : "" }, { "dropping-particle" : "", "family" : "Shackelford", "given" : "Douglas A", "non-dropping-particle" : "", "parse-names" : false, "suffix" : "" } ], "container-title" : "Journal of Accounting Research", "id" : "ITEM-2", "issue" : "1", "issued" : { "date-parts" : [ [ "2001" ] ] }, "page" : "35-43", "publisher" : "Blackwell Publishers Inc", "title" : "Auditors' Perceived Business Risk and Audit Fees: Analysis and Evidence", "type" : "article-journal", "volume" : "39" }, "uris" : [ "http://www.mendeley.com/documents/?uuid=433eb72d-f76d-4a55-a9a7-0468b4317ad5" ] }, { "id" : "ITEM-3", "itemData" : { "ISSN" : "0278-0380", "author" : [ { "dropping-particle" : "", "family" : "Casterella", "given" : "Jeffrey R", "non-dropping-particle" : "", "parse-names" : false, "suffix" : "" }, { "dropping-particle" : "", "family" : "Francis", "given" : "Jere R", "non-dropping-particle" : "", "parse-names" : false, "suffix" : "" }, { "dropping-particle" : "", "family" : "Lewis", "given" : "Barry L", "non-dropping-particle" : "", "parse-names" : false, "suffix" : "" }, { "dropping-particle" : "", "family" : "Walker", "given" : "Paul L", "non-dropping-particle" : "", "parse-names" : false, "suffix" : "" } ], "container-title" : "Auditing: A Journal of Practice &amp; Theory", "id" : "ITEM-3", "issue" : "1", "issued" : { "date-parts" : [ [ "2004" ] ] }, "page" : "123-140", "title" : "Auditor industry specialization, client bargaining power, and audit pricing", "type" : "article-journal", "volume" : "23" }, "uris" : [ "http://www.mendeley.com/documents/?uuid=f4ba612f-e944-495a-8ce0-8ea5ee06b28b" ] } ], "mendeley" : { "previouslyFormattedCitation" : "(Bell et al., 2001; Casterella et al., 2004; Palmrose, 1986)" }, "properties" : { "noteIndex" : 0 }, "schema" : "https://github.com/citation-style-language/schema/raw/master/csl-citation.json" }</w:instrText>
      </w:r>
      <w:r w:rsidR="004A36DA">
        <w:rPr>
          <w:rFonts w:ascii="Times New Roman" w:hAnsi="Times New Roman"/>
          <w:sz w:val="22"/>
          <w:szCs w:val="22"/>
        </w:rPr>
        <w:fldChar w:fldCharType="separate"/>
      </w:r>
      <w:r w:rsidR="001A3C03" w:rsidRPr="001A3C03">
        <w:rPr>
          <w:rFonts w:ascii="Times New Roman" w:hAnsi="Times New Roman"/>
          <w:noProof/>
          <w:sz w:val="22"/>
          <w:szCs w:val="22"/>
        </w:rPr>
        <w:t>(Bell et al., 2001; Casterella et al., 2004; Palmrose, 1986)</w:t>
      </w:r>
      <w:r w:rsidR="004A36DA">
        <w:rPr>
          <w:rFonts w:ascii="Times New Roman" w:hAnsi="Times New Roman"/>
          <w:sz w:val="22"/>
          <w:szCs w:val="22"/>
        </w:rPr>
        <w:fldChar w:fldCharType="end"/>
      </w:r>
      <w:r>
        <w:rPr>
          <w:rFonts w:ascii="Times New Roman" w:hAnsi="Times New Roman"/>
          <w:sz w:val="22"/>
          <w:szCs w:val="22"/>
        </w:rPr>
        <w:t xml:space="preserve">. The reason they combined different research methods is mostly due to the fact that some data were not publicly available, and using questionnaire was the only possibility for obtaining such data. A major disadvantage of a survey is the low response rate which significantly decreases the size of the sample. </w:t>
      </w:r>
    </w:p>
    <w:p w:rsidR="00144315" w:rsidRDefault="00144315" w:rsidP="00144315">
      <w:pPr>
        <w:spacing w:line="360" w:lineRule="auto"/>
        <w:jc w:val="both"/>
        <w:rPr>
          <w:rFonts w:ascii="Times New Roman" w:hAnsi="Times New Roman"/>
          <w:sz w:val="22"/>
          <w:szCs w:val="22"/>
        </w:rPr>
      </w:pP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Another method to conduct quantitative research, which in addition in this thesis will adopt, is desk research. In order to perform causal analyses, desk research uses existing groups of subjects and data that have been collected by databases.</w:t>
      </w:r>
      <w:r w:rsidRPr="005258D1">
        <w:rPr>
          <w:rFonts w:ascii="Times New Roman" w:hAnsi="Times New Roman"/>
          <w:sz w:val="22"/>
          <w:szCs w:val="22"/>
        </w:rPr>
        <w:t xml:space="preserve"> </w:t>
      </w:r>
      <w:r>
        <w:rPr>
          <w:rFonts w:ascii="Times New Roman" w:hAnsi="Times New Roman"/>
          <w:sz w:val="22"/>
          <w:szCs w:val="22"/>
        </w:rPr>
        <w:t>Thanks to the large databases like Compustat and Audit Analytics, recent audit fee researchers are able to obtain a large sample size within a relatively short time that h significant increases the reliability of the outcome.</w:t>
      </w:r>
    </w:p>
    <w:p w:rsidR="00144315" w:rsidRDefault="00144315" w:rsidP="00144315">
      <w:pPr>
        <w:spacing w:line="360" w:lineRule="auto"/>
        <w:jc w:val="both"/>
        <w:rPr>
          <w:b/>
        </w:rPr>
      </w:pPr>
    </w:p>
    <w:p w:rsidR="00144315" w:rsidRDefault="00144315" w:rsidP="00144315">
      <w:pPr>
        <w:pStyle w:val="Subtitle"/>
        <w:spacing w:line="360" w:lineRule="auto"/>
        <w:jc w:val="left"/>
        <w:rPr>
          <w:b/>
        </w:rPr>
      </w:pPr>
      <w:bookmarkStart w:id="56" w:name="_Toc393872557"/>
      <w:r>
        <w:rPr>
          <w:b/>
        </w:rPr>
        <w:t>4.3 Research Methodology</w:t>
      </w:r>
      <w:bookmarkEnd w:id="56"/>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To better understand the development of the research methodology the research question is recalled: </w:t>
      </w:r>
    </w:p>
    <w:p w:rsidR="00144315" w:rsidRDefault="00144315" w:rsidP="00144315">
      <w:pPr>
        <w:spacing w:line="360" w:lineRule="auto"/>
        <w:ind w:left="113" w:right="113"/>
        <w:rPr>
          <w:rFonts w:ascii="Times New Roman" w:hAnsi="Times New Roman"/>
          <w:i/>
        </w:rPr>
      </w:pPr>
    </w:p>
    <w:p w:rsidR="00144315" w:rsidRPr="00BE5F69" w:rsidRDefault="00144315" w:rsidP="00144315">
      <w:pPr>
        <w:spacing w:line="360" w:lineRule="auto"/>
        <w:ind w:left="113" w:right="113"/>
        <w:rPr>
          <w:rFonts w:ascii="Times New Roman" w:hAnsi="Times New Roman"/>
          <w:i/>
        </w:rPr>
      </w:pPr>
      <w:r w:rsidRPr="00BE5F69">
        <w:rPr>
          <w:rFonts w:ascii="Times New Roman" w:hAnsi="Times New Roman"/>
          <w:i/>
        </w:rPr>
        <w:t xml:space="preserve">Does the </w:t>
      </w:r>
      <w:r>
        <w:rPr>
          <w:rFonts w:ascii="Times New Roman" w:hAnsi="Times New Roman"/>
          <w:i/>
        </w:rPr>
        <w:t xml:space="preserve">public </w:t>
      </w:r>
      <w:r w:rsidRPr="00BE5F69">
        <w:rPr>
          <w:rFonts w:ascii="Times New Roman" w:hAnsi="Times New Roman"/>
          <w:i/>
        </w:rPr>
        <w:t>auditor’s industry specialization influence the association between the audit fee and the audit client complexity?</w:t>
      </w: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 </w:t>
      </w: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lastRenderedPageBreak/>
        <w:t>To answer the research question,</w:t>
      </w:r>
      <w:r w:rsidRPr="00AA7676">
        <w:rPr>
          <w:rFonts w:ascii="Times New Roman" w:eastAsia="Cambria" w:hAnsi="Times New Roman"/>
          <w:sz w:val="22"/>
          <w:szCs w:val="22"/>
        </w:rPr>
        <w:t xml:space="preserve"> </w:t>
      </w:r>
      <w:r>
        <w:rPr>
          <w:rFonts w:ascii="Times New Roman" w:eastAsia="Cambria" w:hAnsi="Times New Roman"/>
          <w:sz w:val="22"/>
          <w:szCs w:val="22"/>
        </w:rPr>
        <w:t xml:space="preserve">to establish the degree of association between the variables in order to develop an explanatory relationship between those variables in this thesis an OLS regression model is adopted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"author" : [ { "dropping-particle" : "", "family" : "Smith", "given" : "Malcolm", "non-dropping-particle" : "", "parse-names" : false, "suffix" : "" } ], "edition" : "2e", "id" : "ITEM-1", "issued" : { "date-parts" : [ [ "2011" ] ] }, "publisher" : "SAGE Publicatons LTD", "publisher-place" : "London", "title" : "Research Methods in Accounting", "type" : "book" }, "uris" : [ "http://www.mendeley.com/documents/?uuid=37e628eb-6930-489f-9aaf-b97408a3962e" ] } ], "mendeley" : { "previouslyFormattedCitation" : "(Smith, 2011)"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Pr="003A503F">
        <w:rPr>
          <w:rFonts w:ascii="Times New Roman" w:eastAsia="Cambria" w:hAnsi="Times New Roman"/>
          <w:noProof/>
          <w:sz w:val="22"/>
          <w:szCs w:val="22"/>
        </w:rPr>
        <w:t>(Smith, 2011)</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An OLS </w:t>
      </w:r>
      <w:bookmarkStart w:id="57" w:name="_GoBack"/>
      <w:r>
        <w:rPr>
          <w:rFonts w:ascii="Times New Roman" w:eastAsia="Cambria" w:hAnsi="Times New Roman"/>
          <w:sz w:val="22"/>
          <w:szCs w:val="22"/>
        </w:rPr>
        <w:t>regression</w:t>
      </w:r>
      <w:bookmarkEnd w:id="57"/>
      <w:r>
        <w:rPr>
          <w:rFonts w:ascii="Times New Roman" w:eastAsia="Cambria" w:hAnsi="Times New Roman"/>
          <w:sz w:val="22"/>
          <w:szCs w:val="22"/>
        </w:rPr>
        <w:t xml:space="preserve"> measures the vertical deviation of points away from a trend line and ensures that the sum of the squares of the distances to the trend line is as small as possible. The trend line is in a linear form </w:t>
      </w:r>
    </w:p>
    <w:p w:rsidR="00144315" w:rsidRDefault="00144315" w:rsidP="00144315">
      <w:pPr>
        <w:spacing w:line="360" w:lineRule="auto"/>
        <w:jc w:val="both"/>
        <w:rPr>
          <w:rFonts w:ascii="Times New Roman" w:eastAsia="Cambria" w:hAnsi="Times New Roman"/>
          <w:sz w:val="22"/>
          <w:szCs w:val="22"/>
        </w:rPr>
      </w:pPr>
    </w:p>
    <w:p w:rsidR="00144315" w:rsidRDefault="006E7435" w:rsidP="00144315">
      <w:pPr>
        <w:spacing w:line="360" w:lineRule="auto"/>
        <w:jc w:val="right"/>
        <w:rPr>
          <w:rFonts w:ascii="Times New Roman" w:eastAsia="Cambria" w:hAnsi="Times New Roman"/>
          <w:sz w:val="22"/>
          <w:szCs w:val="22"/>
        </w:rPr>
      </w:pPr>
      <m:oMath>
        <m:r>
          <m:rPr>
            <m:sty m:val="p"/>
          </m:rPr>
          <w:rPr>
            <w:rFonts w:ascii="Cambria Math" w:eastAsia="Cambria" w:hAnsi="Cambria Math"/>
            <w:sz w:val="22"/>
            <w:szCs w:val="22"/>
          </w:rPr>
          <m:t>Y=a+bX</m:t>
        </m:r>
      </m:oMath>
      <w:r w:rsidR="00144315" w:rsidRPr="005B46E8">
        <w:rPr>
          <w:rFonts w:ascii="Times New Roman" w:eastAsia="Cambria" w:hAnsi="Times New Roman"/>
          <w:sz w:val="22"/>
          <w:szCs w:val="22"/>
        </w:rPr>
        <w:t xml:space="preserve"> </w:t>
      </w:r>
      <w:r w:rsidR="00144315">
        <w:rPr>
          <w:rFonts w:ascii="Times New Roman" w:eastAsia="Cambria" w:hAnsi="Times New Roman"/>
          <w:sz w:val="22"/>
          <w:szCs w:val="22"/>
        </w:rPr>
        <w:t xml:space="preserve">           </w:t>
      </w:r>
      <w:r w:rsidR="00FA1A96">
        <w:rPr>
          <w:rFonts w:ascii="Times New Roman" w:eastAsia="Cambria" w:hAnsi="Times New Roman"/>
          <w:sz w:val="22"/>
          <w:szCs w:val="22"/>
        </w:rPr>
        <w:t xml:space="preserve">  </w:t>
      </w:r>
      <w:r w:rsidR="00144315">
        <w:rPr>
          <w:rFonts w:ascii="Times New Roman" w:eastAsia="Cambria" w:hAnsi="Times New Roman"/>
          <w:sz w:val="22"/>
          <w:szCs w:val="22"/>
        </w:rPr>
        <w:t xml:space="preserve">                                                    [</w:t>
      </w:r>
      <w:r w:rsidR="00FA1A96">
        <w:rPr>
          <w:rFonts w:ascii="Times New Roman" w:eastAsia="Cambria" w:hAnsi="Times New Roman"/>
          <w:sz w:val="22"/>
          <w:szCs w:val="22"/>
        </w:rPr>
        <w:t>3</w:t>
      </w:r>
      <w:r w:rsidR="00144315">
        <w:rPr>
          <w:rFonts w:ascii="Times New Roman" w:eastAsia="Cambria" w:hAnsi="Times New Roman"/>
          <w:sz w:val="22"/>
          <w:szCs w:val="22"/>
        </w:rPr>
        <w:t>]</w:t>
      </w:r>
    </w:p>
    <w:p w:rsidR="00144315" w:rsidRDefault="00144315" w:rsidP="00144315">
      <w:pPr>
        <w:spacing w:line="360" w:lineRule="auto"/>
        <w:jc w:val="center"/>
        <w:rPr>
          <w:rFonts w:ascii="Times New Roman" w:eastAsia="Cambria" w:hAnsi="Times New Roman"/>
          <w:sz w:val="22"/>
          <w:szCs w:val="22"/>
        </w:rPr>
      </w:pPr>
    </w:p>
    <w:p w:rsidR="00144315" w:rsidRDefault="000712E0"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Which</w:t>
      </w:r>
      <w:r w:rsidR="00144315">
        <w:rPr>
          <w:rFonts w:ascii="Times New Roman" w:eastAsia="Cambria" w:hAnsi="Times New Roman"/>
          <w:sz w:val="22"/>
          <w:szCs w:val="22"/>
        </w:rPr>
        <w:t xml:space="preserve"> contains only one explanatory variable and a represents the Y-intercept and the corresponding parameter of b is the slope of the line. Since b characterizes the relationship between the two variables, it is the coefficient of interest.</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Obviously concerning determining the audit fee more factors are involved. Consequently, this thesis uses a multi</w:t>
      </w:r>
      <w:r w:rsidR="002B4D42">
        <w:rPr>
          <w:rFonts w:ascii="Times New Roman" w:eastAsia="Cambria" w:hAnsi="Times New Roman"/>
          <w:sz w:val="22"/>
          <w:szCs w:val="22"/>
        </w:rPr>
        <w:t>ple</w:t>
      </w:r>
      <w:r>
        <w:rPr>
          <w:rFonts w:ascii="Times New Roman" w:eastAsia="Cambria" w:hAnsi="Times New Roman"/>
          <w:sz w:val="22"/>
          <w:szCs w:val="22"/>
        </w:rPr>
        <w:t xml:space="preserve"> regression in which more than one explanatory variable exists. This equation has the following form: </w:t>
      </w:r>
    </w:p>
    <w:p w:rsidR="00144315" w:rsidRDefault="00144315" w:rsidP="00144315">
      <w:pPr>
        <w:spacing w:line="360" w:lineRule="auto"/>
        <w:jc w:val="both"/>
        <w:rPr>
          <w:rFonts w:ascii="Times New Roman" w:eastAsia="Cambria" w:hAnsi="Times New Roman"/>
          <w:sz w:val="22"/>
          <w:szCs w:val="22"/>
        </w:rPr>
      </w:pPr>
    </w:p>
    <w:p w:rsidR="00144315" w:rsidRDefault="006E7435" w:rsidP="00144315">
      <w:pPr>
        <w:spacing w:line="360" w:lineRule="auto"/>
        <w:jc w:val="right"/>
        <w:rPr>
          <w:rFonts w:ascii="Times New Roman" w:eastAsia="Cambria" w:hAnsi="Times New Roman"/>
          <w:sz w:val="22"/>
          <w:szCs w:val="22"/>
        </w:rPr>
      </w:pPr>
      <m:oMath>
        <m:r>
          <m:rPr>
            <m:sty m:val="p"/>
          </m:rPr>
          <w:rPr>
            <w:rFonts w:ascii="Cambria Math" w:eastAsia="Cambria" w:hAnsi="Cambria Math"/>
            <w:sz w:val="22"/>
            <w:szCs w:val="22"/>
          </w:rPr>
          <m:t>Y=</m:t>
        </m:r>
        <m:sSub>
          <m:sSubPr>
            <m:ctrlPr>
              <w:rPr>
                <w:rFonts w:ascii="Cambria Math" w:eastAsia="Cambria" w:hAnsi="Cambria Math"/>
                <w:sz w:val="22"/>
                <w:szCs w:val="22"/>
              </w:rPr>
            </m:ctrlPr>
          </m:sSubPr>
          <m:e>
            <m:r>
              <m:rPr>
                <m:sty m:val="p"/>
              </m:rPr>
              <w:rPr>
                <w:rFonts w:ascii="Cambria Math" w:eastAsia="Cambria" w:hAnsi="Cambria Math"/>
                <w:sz w:val="22"/>
                <w:szCs w:val="22"/>
              </w:rPr>
              <m:t>a</m:t>
            </m:r>
          </m:e>
          <m:sub>
            <m:r>
              <m:rPr>
                <m:sty m:val="p"/>
              </m:rPr>
              <w:rPr>
                <w:rFonts w:ascii="Cambria Math" w:eastAsia="Cambria" w:hAnsi="Cambria Math"/>
                <w:sz w:val="22"/>
                <w:szCs w:val="22"/>
              </w:rPr>
              <m:t>0</m:t>
            </m:r>
          </m:sub>
        </m:sSub>
        <m:r>
          <m:rPr>
            <m:sty m:val="p"/>
          </m:rPr>
          <w:rPr>
            <w:rFonts w:ascii="Cambria Math" w:eastAsia="Cambria" w:hAnsi="Cambria Math"/>
            <w:sz w:val="22"/>
            <w:szCs w:val="22"/>
          </w:rPr>
          <m:t>+</m:t>
        </m:r>
        <m:sSub>
          <m:sSubPr>
            <m:ctrlPr>
              <w:rPr>
                <w:rFonts w:ascii="Cambria Math" w:eastAsia="Cambria" w:hAnsi="Cambria Math"/>
                <w:sz w:val="22"/>
                <w:szCs w:val="22"/>
              </w:rPr>
            </m:ctrlPr>
          </m:sSubPr>
          <m:e>
            <m:r>
              <m:rPr>
                <m:sty m:val="p"/>
              </m:rPr>
              <w:rPr>
                <w:rFonts w:ascii="Cambria Math" w:eastAsia="Cambria" w:hAnsi="Cambria Math"/>
                <w:sz w:val="22"/>
                <w:szCs w:val="22"/>
              </w:rPr>
              <m:t>b</m:t>
            </m:r>
          </m:e>
          <m:sub>
            <m:r>
              <m:rPr>
                <m:sty m:val="p"/>
              </m:rPr>
              <w:rPr>
                <w:rFonts w:ascii="Cambria Math" w:eastAsia="Cambria" w:hAnsi="Cambria Math"/>
                <w:sz w:val="22"/>
                <w:szCs w:val="22"/>
              </w:rPr>
              <m:t>1</m:t>
            </m:r>
          </m:sub>
        </m:sSub>
        <m:sSub>
          <m:sSubPr>
            <m:ctrlPr>
              <w:rPr>
                <w:rFonts w:ascii="Cambria Math" w:eastAsia="Cambria" w:hAnsi="Cambria Math"/>
                <w:sz w:val="22"/>
                <w:szCs w:val="22"/>
              </w:rPr>
            </m:ctrlPr>
          </m:sSubPr>
          <m:e>
            <m:r>
              <m:rPr>
                <m:sty m:val="p"/>
              </m:rPr>
              <w:rPr>
                <w:rFonts w:ascii="Cambria Math" w:eastAsia="Cambria" w:hAnsi="Cambria Math"/>
                <w:sz w:val="22"/>
                <w:szCs w:val="22"/>
              </w:rPr>
              <m:t>X</m:t>
            </m:r>
          </m:e>
          <m:sub>
            <m:r>
              <m:rPr>
                <m:sty m:val="p"/>
              </m:rPr>
              <w:rPr>
                <w:rFonts w:ascii="Cambria Math" w:eastAsia="Cambria" w:hAnsi="Cambria Math"/>
                <w:sz w:val="22"/>
                <w:szCs w:val="22"/>
              </w:rPr>
              <m:t>1</m:t>
            </m:r>
          </m:sub>
        </m:sSub>
        <m:r>
          <m:rPr>
            <m:sty m:val="p"/>
          </m:rPr>
          <w:rPr>
            <w:rFonts w:ascii="Cambria Math" w:eastAsia="Cambria" w:hAnsi="Cambria Math"/>
            <w:sz w:val="22"/>
            <w:szCs w:val="22"/>
          </w:rPr>
          <m:t>+</m:t>
        </m:r>
        <m:sSub>
          <m:sSubPr>
            <m:ctrlPr>
              <w:rPr>
                <w:rFonts w:ascii="Cambria Math" w:eastAsia="Cambria" w:hAnsi="Cambria Math"/>
                <w:sz w:val="22"/>
                <w:szCs w:val="22"/>
              </w:rPr>
            </m:ctrlPr>
          </m:sSubPr>
          <m:e>
            <m:r>
              <m:rPr>
                <m:sty m:val="p"/>
              </m:rPr>
              <w:rPr>
                <w:rFonts w:ascii="Cambria Math" w:eastAsia="Cambria" w:hAnsi="Cambria Math"/>
                <w:sz w:val="22"/>
                <w:szCs w:val="22"/>
              </w:rPr>
              <m:t>c</m:t>
            </m:r>
          </m:e>
          <m:sub>
            <m:r>
              <m:rPr>
                <m:sty m:val="p"/>
              </m:rPr>
              <w:rPr>
                <w:rFonts w:ascii="Cambria Math" w:eastAsia="Cambria" w:hAnsi="Cambria Math"/>
                <w:sz w:val="22"/>
                <w:szCs w:val="22"/>
              </w:rPr>
              <m:t>2</m:t>
            </m:r>
          </m:sub>
        </m:sSub>
        <m:sSub>
          <m:sSubPr>
            <m:ctrlPr>
              <w:rPr>
                <w:rFonts w:ascii="Cambria Math" w:eastAsia="Cambria" w:hAnsi="Cambria Math"/>
                <w:sz w:val="22"/>
                <w:szCs w:val="22"/>
              </w:rPr>
            </m:ctrlPr>
          </m:sSubPr>
          <m:e>
            <m:r>
              <m:rPr>
                <m:sty m:val="p"/>
              </m:rPr>
              <w:rPr>
                <w:rFonts w:ascii="Cambria Math" w:eastAsia="Cambria" w:hAnsi="Cambria Math"/>
                <w:sz w:val="22"/>
                <w:szCs w:val="22"/>
              </w:rPr>
              <m:t>X</m:t>
            </m:r>
          </m:e>
          <m:sub>
            <m:r>
              <m:rPr>
                <m:sty m:val="p"/>
              </m:rPr>
              <w:rPr>
                <w:rFonts w:ascii="Cambria Math" w:eastAsia="Cambria" w:hAnsi="Cambria Math"/>
                <w:sz w:val="22"/>
                <w:szCs w:val="22"/>
              </w:rPr>
              <m:t>2</m:t>
            </m:r>
          </m:sub>
        </m:sSub>
        <m:r>
          <m:rPr>
            <m:sty m:val="p"/>
          </m:rPr>
          <w:rPr>
            <w:rFonts w:ascii="Cambria Math" w:eastAsia="Cambria" w:hAnsi="Cambria Math"/>
            <w:sz w:val="22"/>
            <w:szCs w:val="22"/>
          </w:rPr>
          <m:t>+e</m:t>
        </m:r>
      </m:oMath>
      <w:r w:rsidR="00144315">
        <w:rPr>
          <w:rFonts w:ascii="Times New Roman" w:eastAsia="Cambria" w:hAnsi="Times New Roman"/>
          <w:sz w:val="22"/>
          <w:szCs w:val="22"/>
        </w:rPr>
        <w:t xml:space="preserve">                                 </w:t>
      </w:r>
      <w:r w:rsidR="00FA1A96">
        <w:rPr>
          <w:rFonts w:ascii="Times New Roman" w:eastAsia="Cambria" w:hAnsi="Times New Roman"/>
          <w:sz w:val="22"/>
          <w:szCs w:val="22"/>
        </w:rPr>
        <w:t xml:space="preserve">  </w:t>
      </w:r>
      <w:r w:rsidR="00144315">
        <w:rPr>
          <w:rFonts w:ascii="Times New Roman" w:eastAsia="Cambria" w:hAnsi="Times New Roman"/>
          <w:sz w:val="22"/>
          <w:szCs w:val="22"/>
        </w:rPr>
        <w:t xml:space="preserve">                    [</w:t>
      </w:r>
      <w:r w:rsidR="00FA1A96">
        <w:rPr>
          <w:rFonts w:ascii="Times New Roman" w:eastAsia="Cambria" w:hAnsi="Times New Roman"/>
          <w:sz w:val="22"/>
          <w:szCs w:val="22"/>
        </w:rPr>
        <w:t>4]</w:t>
      </w:r>
    </w:p>
    <w:p w:rsidR="00144315" w:rsidRPr="004B53F1"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In which the dependent variable Y is the audit fee and other explanatory variables are potential fee determinants. In addition, the ‘interaction’ term in the regression model will be added that represents the moderating effect of the auditor industry specialization on the association between the client complexity and the audit fee. By adding the interaction term the regression equation is changed into the next form:</w:t>
      </w:r>
    </w:p>
    <w:p w:rsidR="00144315" w:rsidRDefault="00FA1A96"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 </w:t>
      </w:r>
    </w:p>
    <w:p w:rsidR="00144315" w:rsidRDefault="006E7435" w:rsidP="00A23654">
      <w:pPr>
        <w:spacing w:after="240" w:line="360" w:lineRule="auto"/>
        <w:jc w:val="right"/>
        <w:rPr>
          <w:rFonts w:ascii="Times New Roman" w:eastAsia="Cambria" w:hAnsi="Times New Roman"/>
          <w:sz w:val="22"/>
          <w:szCs w:val="22"/>
        </w:rPr>
      </w:pPr>
      <m:oMath>
        <m:r>
          <m:rPr>
            <m:sty m:val="p"/>
          </m:rPr>
          <w:rPr>
            <w:rFonts w:ascii="Cambria Math" w:eastAsia="Cambria" w:hAnsi="Cambria Math"/>
            <w:sz w:val="22"/>
            <w:szCs w:val="22"/>
          </w:rPr>
          <m:t>Y=</m:t>
        </m:r>
        <m:sSub>
          <m:sSubPr>
            <m:ctrlPr>
              <w:rPr>
                <w:rFonts w:ascii="Cambria Math" w:eastAsia="Cambria" w:hAnsi="Cambria Math"/>
                <w:sz w:val="22"/>
                <w:szCs w:val="22"/>
              </w:rPr>
            </m:ctrlPr>
          </m:sSubPr>
          <m:e>
            <m:r>
              <m:rPr>
                <m:sty m:val="p"/>
              </m:rPr>
              <w:rPr>
                <w:rFonts w:ascii="Cambria Math" w:eastAsia="Cambria" w:hAnsi="Cambria Math"/>
                <w:sz w:val="22"/>
                <w:szCs w:val="22"/>
              </w:rPr>
              <m:t>a</m:t>
            </m:r>
          </m:e>
          <m:sub>
            <m:r>
              <m:rPr>
                <m:sty m:val="p"/>
              </m:rPr>
              <w:rPr>
                <w:rFonts w:ascii="Cambria Math" w:eastAsia="Cambria" w:hAnsi="Cambria Math"/>
                <w:sz w:val="22"/>
                <w:szCs w:val="22"/>
              </w:rPr>
              <m:t>0</m:t>
            </m:r>
          </m:sub>
        </m:sSub>
        <m:r>
          <m:rPr>
            <m:sty m:val="p"/>
          </m:rPr>
          <w:rPr>
            <w:rFonts w:ascii="Cambria Math" w:eastAsia="Cambria" w:hAnsi="Cambria Math"/>
            <w:sz w:val="22"/>
            <w:szCs w:val="22"/>
          </w:rPr>
          <m:t>+</m:t>
        </m:r>
        <m:sSub>
          <m:sSubPr>
            <m:ctrlPr>
              <w:rPr>
                <w:rFonts w:ascii="Cambria Math" w:eastAsia="Cambria" w:hAnsi="Cambria Math"/>
                <w:sz w:val="22"/>
                <w:szCs w:val="22"/>
              </w:rPr>
            </m:ctrlPr>
          </m:sSubPr>
          <m:e>
            <m:r>
              <m:rPr>
                <m:sty m:val="p"/>
              </m:rPr>
              <w:rPr>
                <w:rFonts w:ascii="Cambria Math" w:eastAsia="Cambria" w:hAnsi="Cambria Math"/>
                <w:sz w:val="22"/>
                <w:szCs w:val="22"/>
              </w:rPr>
              <m:t>b</m:t>
            </m:r>
          </m:e>
          <m:sub>
            <m:r>
              <m:rPr>
                <m:sty m:val="p"/>
              </m:rPr>
              <w:rPr>
                <w:rFonts w:ascii="Cambria Math" w:eastAsia="Cambria" w:hAnsi="Cambria Math"/>
                <w:sz w:val="22"/>
                <w:szCs w:val="22"/>
              </w:rPr>
              <m:t>1</m:t>
            </m:r>
          </m:sub>
        </m:sSub>
        <m:sSub>
          <m:sSubPr>
            <m:ctrlPr>
              <w:rPr>
                <w:rFonts w:ascii="Cambria Math" w:eastAsia="Cambria" w:hAnsi="Cambria Math"/>
                <w:sz w:val="22"/>
                <w:szCs w:val="22"/>
              </w:rPr>
            </m:ctrlPr>
          </m:sSubPr>
          <m:e>
            <m:r>
              <m:rPr>
                <m:sty m:val="p"/>
              </m:rPr>
              <w:rPr>
                <w:rFonts w:ascii="Cambria Math" w:eastAsia="Cambria" w:hAnsi="Cambria Math"/>
                <w:sz w:val="22"/>
                <w:szCs w:val="22"/>
              </w:rPr>
              <m:t>X</m:t>
            </m:r>
          </m:e>
          <m:sub>
            <m:r>
              <m:rPr>
                <m:sty m:val="p"/>
              </m:rPr>
              <w:rPr>
                <w:rFonts w:ascii="Cambria Math" w:eastAsia="Cambria" w:hAnsi="Cambria Math"/>
                <w:sz w:val="22"/>
                <w:szCs w:val="22"/>
              </w:rPr>
              <m:t>1</m:t>
            </m:r>
          </m:sub>
        </m:sSub>
        <m:r>
          <m:rPr>
            <m:sty m:val="p"/>
          </m:rPr>
          <w:rPr>
            <w:rFonts w:ascii="Cambria Math" w:eastAsia="Cambria" w:hAnsi="Cambria Math"/>
            <w:sz w:val="22"/>
            <w:szCs w:val="22"/>
          </w:rPr>
          <m:t>+</m:t>
        </m:r>
        <m:sSub>
          <m:sSubPr>
            <m:ctrlPr>
              <w:rPr>
                <w:rFonts w:ascii="Cambria Math" w:eastAsia="Cambria" w:hAnsi="Cambria Math"/>
                <w:sz w:val="22"/>
                <w:szCs w:val="22"/>
              </w:rPr>
            </m:ctrlPr>
          </m:sSubPr>
          <m:e>
            <m:r>
              <m:rPr>
                <m:sty m:val="p"/>
              </m:rPr>
              <w:rPr>
                <w:rFonts w:ascii="Cambria Math" w:eastAsia="Cambria" w:hAnsi="Cambria Math"/>
                <w:sz w:val="22"/>
                <w:szCs w:val="22"/>
              </w:rPr>
              <m:t>c</m:t>
            </m:r>
          </m:e>
          <m:sub>
            <m:r>
              <m:rPr>
                <m:sty m:val="p"/>
              </m:rPr>
              <w:rPr>
                <w:rFonts w:ascii="Cambria Math" w:eastAsia="Cambria" w:hAnsi="Cambria Math"/>
                <w:sz w:val="22"/>
                <w:szCs w:val="22"/>
              </w:rPr>
              <m:t>2</m:t>
            </m:r>
          </m:sub>
        </m:sSub>
        <m:sSub>
          <m:sSubPr>
            <m:ctrlPr>
              <w:rPr>
                <w:rFonts w:ascii="Cambria Math" w:eastAsia="Cambria" w:hAnsi="Cambria Math"/>
                <w:sz w:val="22"/>
                <w:szCs w:val="22"/>
              </w:rPr>
            </m:ctrlPr>
          </m:sSubPr>
          <m:e>
            <m:r>
              <m:rPr>
                <m:sty m:val="p"/>
              </m:rPr>
              <w:rPr>
                <w:rFonts w:ascii="Cambria Math" w:eastAsia="Cambria" w:hAnsi="Cambria Math"/>
                <w:sz w:val="22"/>
                <w:szCs w:val="22"/>
              </w:rPr>
              <m:t>X</m:t>
            </m:r>
          </m:e>
          <m:sub>
            <m:r>
              <m:rPr>
                <m:sty m:val="p"/>
              </m:rPr>
              <w:rPr>
                <w:rFonts w:ascii="Cambria Math" w:eastAsia="Cambria" w:hAnsi="Cambria Math"/>
                <w:sz w:val="22"/>
                <w:szCs w:val="22"/>
              </w:rPr>
              <m:t>2</m:t>
            </m:r>
          </m:sub>
        </m:sSub>
        <m:r>
          <m:rPr>
            <m:sty m:val="p"/>
          </m:rPr>
          <w:rPr>
            <w:rFonts w:ascii="Cambria Math" w:eastAsia="Cambria" w:hAnsi="Cambria Math"/>
            <w:sz w:val="22"/>
            <w:szCs w:val="22"/>
          </w:rPr>
          <m:t>+</m:t>
        </m:r>
        <m:sSub>
          <m:sSubPr>
            <m:ctrlPr>
              <w:rPr>
                <w:rFonts w:ascii="Cambria Math" w:eastAsia="Cambria" w:hAnsi="Cambria Math"/>
                <w:sz w:val="22"/>
                <w:szCs w:val="22"/>
              </w:rPr>
            </m:ctrlPr>
          </m:sSubPr>
          <m:e>
            <m:r>
              <m:rPr>
                <m:sty m:val="p"/>
              </m:rPr>
              <w:rPr>
                <w:rFonts w:ascii="Cambria Math" w:eastAsia="Cambria" w:hAnsi="Cambria Math"/>
                <w:sz w:val="22"/>
                <w:szCs w:val="22"/>
              </w:rPr>
              <m:t>d</m:t>
            </m:r>
          </m:e>
          <m:sub>
            <m:r>
              <m:rPr>
                <m:sty m:val="p"/>
              </m:rPr>
              <w:rPr>
                <w:rFonts w:ascii="Cambria Math" w:eastAsia="Cambria" w:hAnsi="Cambria Math"/>
                <w:sz w:val="22"/>
                <w:szCs w:val="22"/>
              </w:rPr>
              <m:t>3</m:t>
            </m:r>
          </m:sub>
        </m:sSub>
        <m:d>
          <m:dPr>
            <m:ctrlPr>
              <w:rPr>
                <w:rFonts w:ascii="Cambria Math" w:eastAsia="Cambria" w:hAnsi="Cambria Math"/>
                <w:sz w:val="22"/>
                <w:szCs w:val="22"/>
              </w:rPr>
            </m:ctrlPr>
          </m:dPr>
          <m:e>
            <m:sSub>
              <m:sSubPr>
                <m:ctrlPr>
                  <w:rPr>
                    <w:rFonts w:ascii="Cambria Math" w:eastAsia="Cambria" w:hAnsi="Cambria Math"/>
                    <w:sz w:val="22"/>
                    <w:szCs w:val="22"/>
                  </w:rPr>
                </m:ctrlPr>
              </m:sSubPr>
              <m:e>
                <m:sSub>
                  <m:sSubPr>
                    <m:ctrlPr>
                      <w:rPr>
                        <w:rFonts w:ascii="Cambria Math" w:eastAsia="Cambria" w:hAnsi="Cambria Math"/>
                        <w:sz w:val="22"/>
                        <w:szCs w:val="22"/>
                      </w:rPr>
                    </m:ctrlPr>
                  </m:sSubPr>
                  <m:e>
                    <m:r>
                      <m:rPr>
                        <m:sty m:val="p"/>
                      </m:rPr>
                      <w:rPr>
                        <w:rFonts w:ascii="Cambria Math" w:eastAsia="Cambria" w:hAnsi="Cambria Math"/>
                        <w:sz w:val="22"/>
                        <w:szCs w:val="22"/>
                      </w:rPr>
                      <m:t>X</m:t>
                    </m:r>
                  </m:e>
                  <m:sub>
                    <m:r>
                      <m:rPr>
                        <m:sty m:val="p"/>
                      </m:rPr>
                      <w:rPr>
                        <w:rFonts w:ascii="Cambria Math" w:eastAsia="Cambria" w:hAnsi="Cambria Math"/>
                        <w:sz w:val="22"/>
                        <w:szCs w:val="22"/>
                      </w:rPr>
                      <m:t>1</m:t>
                    </m:r>
                  </m:sub>
                </m:sSub>
                <m:r>
                  <m:rPr>
                    <m:sty m:val="p"/>
                  </m:rPr>
                  <w:rPr>
                    <w:rFonts w:ascii="Cambria Math" w:eastAsia="Cambria" w:hAnsi="Cambria Math"/>
                    <w:sz w:val="22"/>
                    <w:szCs w:val="22"/>
                  </w:rPr>
                  <m:t>*X</m:t>
                </m:r>
              </m:e>
              <m:sub>
                <m:r>
                  <m:rPr>
                    <m:sty m:val="p"/>
                  </m:rPr>
                  <w:rPr>
                    <w:rFonts w:ascii="Cambria Math" w:eastAsia="Cambria" w:hAnsi="Cambria Math"/>
                    <w:sz w:val="22"/>
                    <w:szCs w:val="22"/>
                  </w:rPr>
                  <m:t>2</m:t>
                </m:r>
              </m:sub>
            </m:sSub>
          </m:e>
        </m:d>
        <m:r>
          <m:rPr>
            <m:sty m:val="p"/>
          </m:rPr>
          <w:rPr>
            <w:rFonts w:ascii="Cambria Math" w:eastAsia="Cambria" w:hAnsi="Cambria Math"/>
            <w:sz w:val="22"/>
            <w:szCs w:val="22"/>
          </w:rPr>
          <m:t>+e</m:t>
        </m:r>
      </m:oMath>
      <w:r w:rsidR="00144315">
        <w:rPr>
          <w:rFonts w:ascii="Times New Roman" w:eastAsia="Cambria" w:hAnsi="Times New Roman"/>
          <w:sz w:val="22"/>
          <w:szCs w:val="22"/>
        </w:rPr>
        <w:t xml:space="preserve">                              </w:t>
      </w:r>
      <w:r w:rsidR="00FA1A96">
        <w:rPr>
          <w:rFonts w:ascii="Times New Roman" w:eastAsia="Cambria" w:hAnsi="Times New Roman"/>
          <w:sz w:val="22"/>
          <w:szCs w:val="22"/>
        </w:rPr>
        <w:t xml:space="preserve">  </w:t>
      </w:r>
      <w:r w:rsidR="00144315">
        <w:rPr>
          <w:rFonts w:ascii="Times New Roman" w:eastAsia="Cambria" w:hAnsi="Times New Roman"/>
          <w:sz w:val="22"/>
          <w:szCs w:val="22"/>
        </w:rPr>
        <w:t xml:space="preserve">           [</w:t>
      </w:r>
      <w:r w:rsidR="00FA1A96">
        <w:rPr>
          <w:rFonts w:ascii="Times New Roman" w:eastAsia="Cambria" w:hAnsi="Times New Roman"/>
          <w:sz w:val="22"/>
          <w:szCs w:val="22"/>
        </w:rPr>
        <w:t>5</w:t>
      </w:r>
      <w:r w:rsidR="00144315">
        <w:rPr>
          <w:rFonts w:ascii="Times New Roman" w:eastAsia="Cambria" w:hAnsi="Times New Roman"/>
          <w:sz w:val="22"/>
          <w:szCs w:val="22"/>
        </w:rPr>
        <w:t>]</w:t>
      </w:r>
    </w:p>
    <w:p w:rsidR="00144315" w:rsidRPr="00D0299B"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This product term </w:t>
      </w:r>
      <m:oMath>
        <m:d>
          <m:dPr>
            <m:ctrlPr>
              <w:rPr>
                <w:rFonts w:ascii="Cambria Math" w:eastAsia="Cambria" w:hAnsi="Cambria Math"/>
                <w:i/>
                <w:sz w:val="22"/>
                <w:szCs w:val="22"/>
              </w:rPr>
            </m:ctrlPr>
          </m:dPr>
          <m:e>
            <m:sSub>
              <m:sSubPr>
                <m:ctrlPr>
                  <w:rPr>
                    <w:rFonts w:ascii="Cambria Math" w:eastAsia="Cambria" w:hAnsi="Cambria Math"/>
                    <w:i/>
                    <w:sz w:val="22"/>
                    <w:szCs w:val="22"/>
                  </w:rPr>
                </m:ctrlPr>
              </m:sSubPr>
              <m:e>
                <m:sSub>
                  <m:sSubPr>
                    <m:ctrlPr>
                      <w:rPr>
                        <w:rFonts w:ascii="Cambria Math" w:eastAsia="Cambria" w:hAnsi="Cambria Math"/>
                        <w:i/>
                        <w:sz w:val="22"/>
                        <w:szCs w:val="22"/>
                      </w:rPr>
                    </m:ctrlPr>
                  </m:sSubPr>
                  <m:e>
                    <m:r>
                      <w:rPr>
                        <w:rFonts w:ascii="Cambria Math" w:eastAsia="Cambria" w:hAnsi="Cambria Math"/>
                        <w:sz w:val="22"/>
                        <w:szCs w:val="22"/>
                      </w:rPr>
                      <m:t>X</m:t>
                    </m:r>
                  </m:e>
                  <m:sub>
                    <m:r>
                      <w:rPr>
                        <w:rFonts w:ascii="Cambria Math" w:eastAsia="Cambria" w:hAnsi="Cambria Math"/>
                        <w:sz w:val="22"/>
                        <w:szCs w:val="22"/>
                      </w:rPr>
                      <m:t>1</m:t>
                    </m:r>
                  </m:sub>
                </m:sSub>
                <m:r>
                  <w:rPr>
                    <w:rFonts w:ascii="Cambria Math" w:eastAsia="Cambria" w:hAnsi="Cambria Math"/>
                    <w:sz w:val="22"/>
                    <w:szCs w:val="22"/>
                  </w:rPr>
                  <m:t>*X</m:t>
                </m:r>
              </m:e>
              <m:sub>
                <m:r>
                  <w:rPr>
                    <w:rFonts w:ascii="Cambria Math" w:eastAsia="Cambria" w:hAnsi="Cambria Math"/>
                    <w:sz w:val="22"/>
                    <w:szCs w:val="22"/>
                  </w:rPr>
                  <m:t>2</m:t>
                </m:r>
              </m:sub>
            </m:sSub>
          </m:e>
        </m:d>
      </m:oMath>
      <w:r>
        <w:rPr>
          <w:rFonts w:ascii="Times New Roman" w:eastAsia="Cambria" w:hAnsi="Times New Roman"/>
          <w:sz w:val="22"/>
          <w:szCs w:val="22"/>
        </w:rPr>
        <w:t xml:space="preserve"> represents the moderating effect of </w:t>
      </w:r>
      <w:r>
        <w:rPr>
          <w:rFonts w:ascii="Times New Roman" w:eastAsia="Cambria" w:hAnsi="Times New Roman"/>
          <w:i/>
          <w:sz w:val="22"/>
          <w:szCs w:val="22"/>
        </w:rPr>
        <w:t>X</w:t>
      </w:r>
      <w:r>
        <w:rPr>
          <w:rFonts w:ascii="Times New Roman" w:eastAsia="Cambria" w:hAnsi="Times New Roman"/>
          <w:i/>
          <w:sz w:val="22"/>
          <w:szCs w:val="22"/>
          <w:vertAlign w:val="subscript"/>
        </w:rPr>
        <w:t>2</w:t>
      </w:r>
      <w:r>
        <w:rPr>
          <w:rFonts w:ascii="Times New Roman" w:eastAsia="Cambria" w:hAnsi="Times New Roman"/>
          <w:sz w:val="22"/>
          <w:szCs w:val="22"/>
        </w:rPr>
        <w:t xml:space="preserve">, which is the auditor industry specialization, on the correlation between </w:t>
      </w:r>
      <w:r>
        <w:rPr>
          <w:rFonts w:ascii="Times New Roman" w:eastAsia="Cambria" w:hAnsi="Times New Roman"/>
          <w:i/>
          <w:sz w:val="22"/>
          <w:szCs w:val="22"/>
        </w:rPr>
        <w:t>X</w:t>
      </w:r>
      <w:r>
        <w:rPr>
          <w:rFonts w:ascii="Times New Roman" w:eastAsia="Cambria" w:hAnsi="Times New Roman"/>
          <w:i/>
          <w:sz w:val="22"/>
          <w:szCs w:val="22"/>
          <w:vertAlign w:val="subscript"/>
        </w:rPr>
        <w:t>1</w:t>
      </w:r>
      <w:r>
        <w:rPr>
          <w:rFonts w:ascii="Times New Roman" w:eastAsia="Cambria" w:hAnsi="Times New Roman"/>
          <w:sz w:val="22"/>
          <w:szCs w:val="22"/>
        </w:rPr>
        <w:t xml:space="preserve">, client complexity, and Y, the audit fee. When the coefficient </w:t>
      </w:r>
      <m:oMath>
        <m:sSub>
          <m:sSubPr>
            <m:ctrlPr>
              <w:rPr>
                <w:rFonts w:ascii="Cambria Math" w:eastAsia="Cambria" w:hAnsi="Cambria Math"/>
                <w:i/>
                <w:sz w:val="22"/>
                <w:szCs w:val="22"/>
              </w:rPr>
            </m:ctrlPr>
          </m:sSubPr>
          <m:e>
            <m:r>
              <w:rPr>
                <w:rFonts w:ascii="Cambria Math" w:eastAsia="Cambria" w:hAnsi="Cambria Math"/>
                <w:sz w:val="22"/>
                <w:szCs w:val="22"/>
              </w:rPr>
              <m:t>d</m:t>
            </m:r>
          </m:e>
          <m:sub>
            <m:r>
              <w:rPr>
                <w:rFonts w:ascii="Cambria Math" w:eastAsia="Cambria" w:hAnsi="Cambria Math"/>
                <w:sz w:val="22"/>
                <w:szCs w:val="22"/>
              </w:rPr>
              <m:t>3</m:t>
            </m:r>
          </m:sub>
        </m:sSub>
      </m:oMath>
      <w:r>
        <w:rPr>
          <w:rFonts w:ascii="Times New Roman" w:eastAsia="Cambria" w:hAnsi="Times New Roman"/>
          <w:sz w:val="22"/>
          <w:szCs w:val="22"/>
        </w:rPr>
        <w:t xml:space="preserve"> is statistically significant, </w:t>
      </w:r>
      <w:r>
        <w:rPr>
          <w:rFonts w:ascii="Times New Roman" w:eastAsia="Cambria" w:hAnsi="Times New Roman"/>
          <w:i/>
          <w:sz w:val="22"/>
          <w:szCs w:val="22"/>
        </w:rPr>
        <w:t>X</w:t>
      </w:r>
      <w:r>
        <w:rPr>
          <w:rFonts w:ascii="Times New Roman" w:eastAsia="Cambria" w:hAnsi="Times New Roman"/>
          <w:i/>
          <w:sz w:val="22"/>
          <w:szCs w:val="22"/>
          <w:vertAlign w:val="subscript"/>
        </w:rPr>
        <w:t>2</w:t>
      </w:r>
      <w:r>
        <w:rPr>
          <w:rFonts w:ascii="Times New Roman" w:eastAsia="Cambria" w:hAnsi="Times New Roman"/>
          <w:sz w:val="22"/>
          <w:szCs w:val="22"/>
        </w:rPr>
        <w:t xml:space="preserve"> then has a significant moderating effect. In other words, the correlation between </w:t>
      </w:r>
      <w:r>
        <w:rPr>
          <w:rFonts w:ascii="Times New Roman" w:eastAsia="Cambria" w:hAnsi="Times New Roman"/>
          <w:i/>
          <w:sz w:val="22"/>
          <w:szCs w:val="22"/>
        </w:rPr>
        <w:t>X</w:t>
      </w:r>
      <w:r>
        <w:rPr>
          <w:rFonts w:ascii="Times New Roman" w:eastAsia="Cambria" w:hAnsi="Times New Roman"/>
          <w:i/>
          <w:sz w:val="22"/>
          <w:szCs w:val="22"/>
          <w:vertAlign w:val="subscript"/>
        </w:rPr>
        <w:t>1</w:t>
      </w:r>
      <w:r>
        <w:rPr>
          <w:rFonts w:ascii="Times New Roman" w:eastAsia="Cambria" w:hAnsi="Times New Roman"/>
          <w:sz w:val="22"/>
          <w:szCs w:val="22"/>
        </w:rPr>
        <w:t xml:space="preserve"> and Y is conditional on the value of </w:t>
      </w:r>
      <w:r>
        <w:rPr>
          <w:rFonts w:ascii="Times New Roman" w:eastAsia="Cambria" w:hAnsi="Times New Roman"/>
          <w:i/>
          <w:sz w:val="22"/>
          <w:szCs w:val="22"/>
        </w:rPr>
        <w:t>X</w:t>
      </w:r>
      <w:r>
        <w:rPr>
          <w:rFonts w:ascii="Times New Roman" w:eastAsia="Cambria" w:hAnsi="Times New Roman"/>
          <w:i/>
          <w:sz w:val="22"/>
          <w:szCs w:val="22"/>
          <w:vertAlign w:val="subscript"/>
        </w:rPr>
        <w:t>2</w:t>
      </w:r>
      <w:r>
        <w:rPr>
          <w:rFonts w:ascii="Times New Roman" w:eastAsia="Cambria" w:hAnsi="Times New Roman"/>
          <w:sz w:val="22"/>
          <w:szCs w:val="22"/>
        </w:rPr>
        <w:t xml:space="preserve">.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The next section will provide the detailed components of the regression equation used in this study. </w:t>
      </w:r>
    </w:p>
    <w:p w:rsidR="00144315" w:rsidRDefault="00144315" w:rsidP="00144315">
      <w:pPr>
        <w:spacing w:line="360" w:lineRule="auto"/>
        <w:jc w:val="both"/>
        <w:rPr>
          <w:rFonts w:ascii="Cambria" w:eastAsia="Cambria" w:hAnsi="Cambria" w:cs="Cambria"/>
          <w:b/>
          <w:i/>
          <w:color w:val="666666"/>
          <w:sz w:val="24"/>
        </w:rPr>
      </w:pPr>
    </w:p>
    <w:p w:rsidR="00144315" w:rsidRPr="00A23654" w:rsidRDefault="00144315" w:rsidP="00144315">
      <w:pPr>
        <w:spacing w:line="360" w:lineRule="auto"/>
        <w:jc w:val="both"/>
        <w:rPr>
          <w:rStyle w:val="SubtleEmphasis"/>
          <w:rFonts w:asciiTheme="majorHAnsi" w:eastAsia="Cambria" w:hAnsiTheme="majorHAnsi"/>
          <w:b/>
          <w:sz w:val="24"/>
        </w:rPr>
      </w:pPr>
      <w:r w:rsidRPr="00A23654">
        <w:rPr>
          <w:rStyle w:val="SubtleEmphasis"/>
          <w:rFonts w:asciiTheme="majorHAnsi" w:eastAsia="Cambria" w:hAnsiTheme="majorHAnsi"/>
          <w:b/>
          <w:sz w:val="24"/>
        </w:rPr>
        <w:t xml:space="preserve">4.3.1 Measuring Client Complexity </w:t>
      </w: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Researchers labeled client complexity as a major factor that could influence the level of the audit fee. A problem with the client complexity is that it cannot be observed directly. Past researchers often use the number of subsidiaries to represent the complexity, which can be understood as the more </w:t>
      </w:r>
      <w:r>
        <w:rPr>
          <w:rFonts w:ascii="Times New Roman" w:eastAsia="Cambria" w:hAnsi="Times New Roman"/>
          <w:sz w:val="22"/>
          <w:szCs w:val="22"/>
        </w:rPr>
        <w:lastRenderedPageBreak/>
        <w:t xml:space="preserve">subsidiaries a client has the more time-consuming the audit will be. A drawback of this measurement is that the researchers assume that the industry characteristics are not influencing a company’s complexity, since some risks are typically associated with a certain industry, this is not the case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"author" : [ { "dropping-particle" : "", "family" : "Arens", "given" : "A.A.", "non-dropping-particle" : "", "parse-names" : false, "suffix" : "" }, { "dropping-particle" : "", "family" : "Elder", "given" : "R.J.", "non-dropping-particle" : "", "parse-names" : false, "suffix" : "" }, { "dropping-particle" : "", "family" : "Beasley", "given" : "M.S.", "non-dropping-particle" : "", "parse-names" : false, "suffix" : "" } ], "edition" : "15th revis", "id" : "ITEM-1", "issued" : { "date-parts" : [ [ "2013" ] ] }, "publisher" : "Pearson Education Limited", "title" : "Auditing and Assurance Services", "type" : "book" }, "uris" : [ "http://www.mendeley.com/documents/?uuid=61fd0778-f8cb-49fb-9fd8-815dad87c75d" ] } ], "mendeley" : { "previouslyFormattedCitation" : "(Arens et al., 2013)"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001A3C03" w:rsidRPr="001A3C03">
        <w:rPr>
          <w:rFonts w:ascii="Times New Roman" w:eastAsia="Cambria" w:hAnsi="Times New Roman"/>
          <w:noProof/>
          <w:sz w:val="22"/>
          <w:szCs w:val="22"/>
        </w:rPr>
        <w:t>(Arens et al., 2013)</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This thesis uses another approach explained by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"ITEM-1", "issued" : { "date-parts" : [ [ "2013" ] ] }, "title" : "Auditor Industry Specialization and Evidence of Cost Efficiencies in Homogenous Industries", "type" : "article-journal" }, "uris" : [ "http://www.mendeley.com/documents/?uuid=472adb44-fa27-4ee2-ac6b-711b33ac2bf3" ] } ], "mendeley" : { "manualFormatting" : "Bills, Jeter, &amp; Stein (2013)", "previouslyFormattedCitation" : "(Bills et al., 2013)" }, "properties" : { "noteIndex" : 0 }, "schema" : "https://github.com/citation-style-language/schema/raw/master/csl-citation.json" }</w:instrText>
      </w:r>
      <w:r w:rsidR="004A36DA">
        <w:rPr>
          <w:rFonts w:ascii="Times New Roman" w:eastAsia="Cambria" w:hAnsi="Times New Roman"/>
          <w:sz w:val="22"/>
          <w:szCs w:val="22"/>
        </w:rPr>
        <w:fldChar w:fldCharType="separate"/>
      </w:r>
      <w:r>
        <w:rPr>
          <w:rFonts w:ascii="Times New Roman" w:eastAsia="Cambria" w:hAnsi="Times New Roman"/>
          <w:noProof/>
          <w:sz w:val="22"/>
          <w:szCs w:val="22"/>
        </w:rPr>
        <w:t>Bills, Jeter, &amp; Stein</w:t>
      </w:r>
      <w:r w:rsidRPr="00A14A36">
        <w:rPr>
          <w:rFonts w:ascii="Times New Roman" w:eastAsia="Cambria" w:hAnsi="Times New Roman"/>
          <w:noProof/>
          <w:sz w:val="22"/>
          <w:szCs w:val="22"/>
        </w:rPr>
        <w:t xml:space="preserve"> </w:t>
      </w:r>
      <w:r>
        <w:rPr>
          <w:rFonts w:ascii="Times New Roman" w:eastAsia="Cambria" w:hAnsi="Times New Roman"/>
          <w:noProof/>
          <w:sz w:val="22"/>
          <w:szCs w:val="22"/>
        </w:rPr>
        <w:t>(</w:t>
      </w:r>
      <w:r w:rsidRPr="00A14A36">
        <w:rPr>
          <w:rFonts w:ascii="Times New Roman" w:eastAsia="Cambria" w:hAnsi="Times New Roman"/>
          <w:noProof/>
          <w:sz w:val="22"/>
          <w:szCs w:val="22"/>
        </w:rPr>
        <w:t>2013)</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that explains the complexity of a client by its industry. An industry differs from others by its operation structures, and consequently creating more difficulties to auditors to understand the business. The American Institute of Certified Public Accountants (AICPA) periodically issues specified guidance to help auditors handling complex audits across a variety of institutes. These guidance can be qualified as accounting profession’s assessment of industries that increase the accounting complexities in the financial reporting and the need of auditors for guidance as a supplement to the current accounting standards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"ITEM-1", "issued" : { "date-parts" : [ [ "2013" ] ] }, "title" : "Auditor Industry Specialization and Evidence of Cost Efficiencies in Homogenous Industries", "type" : "article-journal" }, "uris" : [ "http://www.mendeley.com/documents/?uuid=472adb44-fa27-4ee2-ac6b-711b33ac2bf3" ] } ], "mendeley" : { "previouslyFormattedCitation" : "(Bills et al., 2013)"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Pr="00A14A36">
        <w:rPr>
          <w:rFonts w:ascii="Times New Roman" w:eastAsia="Cambria" w:hAnsi="Times New Roman"/>
          <w:noProof/>
          <w:sz w:val="22"/>
          <w:szCs w:val="22"/>
        </w:rPr>
        <w:t>(Bills et al., 2013)</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Consequently, the variable </w:t>
      </w:r>
      <w:r w:rsidRPr="00DF30AD">
        <w:rPr>
          <w:rFonts w:ascii="Times New Roman" w:eastAsia="Cambria" w:hAnsi="Times New Roman"/>
          <w:i/>
          <w:sz w:val="22"/>
          <w:szCs w:val="22"/>
        </w:rPr>
        <w:t>COMPLEX</w:t>
      </w:r>
      <w:r>
        <w:rPr>
          <w:rFonts w:ascii="Times New Roman" w:eastAsia="Cambria" w:hAnsi="Times New Roman"/>
          <w:sz w:val="22"/>
          <w:szCs w:val="22"/>
        </w:rPr>
        <w:t xml:space="preserve"> equals 1 for industries, based on two-digit SIC codes, with a specific auditing and accounting guides, otherwise 0.</w:t>
      </w:r>
    </w:p>
    <w:p w:rsidR="00144315" w:rsidRDefault="00144315" w:rsidP="00144315">
      <w:pPr>
        <w:spacing w:line="360" w:lineRule="auto"/>
        <w:jc w:val="both"/>
        <w:rPr>
          <w:rFonts w:ascii="Times New Roman" w:eastAsia="Cambria" w:hAnsi="Times New Roman"/>
          <w:sz w:val="22"/>
          <w:szCs w:val="22"/>
        </w:rPr>
      </w:pPr>
    </w:p>
    <w:p w:rsidR="00144315" w:rsidRPr="00A23654" w:rsidRDefault="00144315" w:rsidP="00144315">
      <w:pPr>
        <w:spacing w:line="360" w:lineRule="auto"/>
        <w:jc w:val="both"/>
        <w:rPr>
          <w:rStyle w:val="SubtleEmphasis"/>
          <w:rFonts w:asciiTheme="majorHAnsi" w:eastAsia="Cambria" w:hAnsiTheme="majorHAnsi"/>
          <w:b/>
          <w:sz w:val="24"/>
          <w:szCs w:val="24"/>
        </w:rPr>
      </w:pPr>
      <w:r w:rsidRPr="00A23654">
        <w:rPr>
          <w:rStyle w:val="SubtleEmphasis"/>
          <w:rFonts w:asciiTheme="majorHAnsi" w:eastAsia="Cambria" w:hAnsiTheme="majorHAnsi"/>
          <w:b/>
          <w:sz w:val="24"/>
          <w:szCs w:val="24"/>
        </w:rPr>
        <w:t xml:space="preserve">4.3.2 Measuring Auditor Industry Specialization </w:t>
      </w: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As signaled in chapter 3, this thesis follows the definition presented by Palmrose (1986) that used the size of auditor’s within-industry market share as an indicator for the auditor industry specialization. The market share is measured at a national level based on the audit fee within a two-digit SIC category. The market share is calculated as follows:</w:t>
      </w:r>
    </w:p>
    <w:p w:rsidR="00144315" w:rsidRDefault="00144315" w:rsidP="00144315">
      <w:pPr>
        <w:spacing w:line="360" w:lineRule="auto"/>
        <w:jc w:val="both"/>
        <w:rPr>
          <w:rFonts w:ascii="Times New Roman" w:hAnsi="Times New Roman"/>
          <w:sz w:val="22"/>
          <w:szCs w:val="22"/>
        </w:rPr>
      </w:pPr>
    </w:p>
    <w:p w:rsidR="00144315" w:rsidRDefault="004A36DA" w:rsidP="00144315">
      <w:pPr>
        <w:spacing w:line="360" w:lineRule="auto"/>
        <w:jc w:val="right"/>
        <w:rPr>
          <w:rFonts w:ascii="Times New Roman" w:hAnsi="Times New Roman"/>
          <w:sz w:val="22"/>
          <w:szCs w:val="22"/>
        </w:rPr>
      </w:pPr>
      <m:oMath>
        <m:sSub>
          <m:sSubPr>
            <m:ctrlPr>
              <w:rPr>
                <w:rFonts w:ascii="Cambria Math" w:hAnsi="Cambria Math"/>
                <w:sz w:val="22"/>
                <w:szCs w:val="22"/>
              </w:rPr>
            </m:ctrlPr>
          </m:sSubPr>
          <m:e>
            <m:r>
              <m:rPr>
                <m:sty m:val="p"/>
              </m:rPr>
              <w:rPr>
                <w:rFonts w:ascii="Cambria Math" w:hAnsi="Cambria Math"/>
                <w:sz w:val="22"/>
                <w:szCs w:val="22"/>
              </w:rPr>
              <m:t>MARKETSHARE</m:t>
            </m:r>
          </m:e>
          <m:sub>
            <m:r>
              <m:rPr>
                <m:sty m:val="p"/>
              </m:rPr>
              <w:rPr>
                <w:rFonts w:ascii="Cambria Math" w:hAnsi="Cambria Math"/>
                <w:sz w:val="22"/>
                <w:szCs w:val="22"/>
              </w:rPr>
              <m:t>k,i</m:t>
            </m:r>
          </m:sub>
        </m:sSub>
        <m:r>
          <m:rPr>
            <m:sty m:val="p"/>
          </m:rPr>
          <w:rPr>
            <w:rFonts w:ascii="Cambria Math" w:hAnsi="Cambria Math"/>
            <w:sz w:val="22"/>
            <w:szCs w:val="22"/>
          </w:rPr>
          <m:t>=</m:t>
        </m:r>
        <m:f>
          <m:fPr>
            <m:ctrlPr>
              <w:rPr>
                <w:rFonts w:ascii="Cambria Math" w:hAnsi="Cambria Math"/>
                <w:sz w:val="22"/>
                <w:szCs w:val="22"/>
              </w:rPr>
            </m:ctrlPr>
          </m:fPr>
          <m:num>
            <m:nary>
              <m:naryPr>
                <m:chr m:val="∑"/>
                <m:limLoc m:val="subSup"/>
                <m:ctrlPr>
                  <w:rPr>
                    <w:rFonts w:ascii="Cambria Math" w:hAnsi="Cambria Math"/>
                    <w:sz w:val="22"/>
                    <w:szCs w:val="22"/>
                  </w:rPr>
                </m:ctrlPr>
              </m:naryPr>
              <m:sub>
                <m:r>
                  <m:rPr>
                    <m:sty m:val="p"/>
                  </m:rPr>
                  <w:rPr>
                    <w:rFonts w:ascii="Cambria Math" w:hAnsi="Cambria Math"/>
                    <w:sz w:val="22"/>
                    <w:szCs w:val="22"/>
                  </w:rPr>
                  <m:t>j=1</m:t>
                </m:r>
              </m:sub>
              <m:sup>
                <m:r>
                  <m:rPr>
                    <m:sty m:val="p"/>
                  </m:rPr>
                  <w:rPr>
                    <w:rFonts w:ascii="Cambria Math" w:hAnsi="Cambria Math"/>
                    <w:sz w:val="22"/>
                    <w:szCs w:val="22"/>
                  </w:rPr>
                  <m:t>J</m:t>
                </m:r>
              </m:sup>
              <m:e>
                <m:sSub>
                  <m:sSubPr>
                    <m:ctrlPr>
                      <w:rPr>
                        <w:rFonts w:ascii="Cambria Math" w:hAnsi="Cambria Math"/>
                        <w:sz w:val="22"/>
                        <w:szCs w:val="22"/>
                      </w:rPr>
                    </m:ctrlPr>
                  </m:sSubPr>
                  <m:e>
                    <m:r>
                      <m:rPr>
                        <m:sty m:val="p"/>
                      </m:rPr>
                      <w:rPr>
                        <w:rFonts w:ascii="Cambria Math" w:hAnsi="Cambria Math"/>
                        <w:sz w:val="22"/>
                        <w:szCs w:val="22"/>
                      </w:rPr>
                      <m:t>TA</m:t>
                    </m:r>
                  </m:e>
                  <m:sub>
                    <m:r>
                      <m:rPr>
                        <m:sty m:val="p"/>
                      </m:rPr>
                      <w:rPr>
                        <w:rFonts w:ascii="Cambria Math" w:hAnsi="Cambria Math"/>
                        <w:sz w:val="22"/>
                        <w:szCs w:val="22"/>
                      </w:rPr>
                      <m:t>kij</m:t>
                    </m:r>
                  </m:sub>
                </m:sSub>
              </m:e>
            </m:nary>
          </m:num>
          <m:den>
            <m:nary>
              <m:naryPr>
                <m:chr m:val="∑"/>
                <m:limLoc m:val="subSup"/>
                <m:ctrlPr>
                  <w:rPr>
                    <w:rFonts w:ascii="Cambria Math" w:hAnsi="Cambria Math"/>
                    <w:sz w:val="22"/>
                    <w:szCs w:val="22"/>
                  </w:rPr>
                </m:ctrlPr>
              </m:naryPr>
              <m:sub>
                <m:r>
                  <m:rPr>
                    <m:sty m:val="p"/>
                  </m:rPr>
                  <w:rPr>
                    <w:rFonts w:ascii="Cambria Math" w:hAnsi="Cambria Math"/>
                    <w:sz w:val="22"/>
                    <w:szCs w:val="22"/>
                  </w:rPr>
                  <m:t>i=1</m:t>
                </m:r>
              </m:sub>
              <m:sup>
                <m:r>
                  <m:rPr>
                    <m:sty m:val="p"/>
                  </m:rPr>
                  <w:rPr>
                    <w:rFonts w:ascii="Cambria Math" w:hAnsi="Cambria Math"/>
                    <w:sz w:val="22"/>
                    <w:szCs w:val="22"/>
                  </w:rPr>
                  <m:t>I</m:t>
                </m:r>
              </m:sup>
              <m:e>
                <m:nary>
                  <m:naryPr>
                    <m:chr m:val="∑"/>
                    <m:limLoc m:val="subSup"/>
                    <m:ctrlPr>
                      <w:rPr>
                        <w:rFonts w:ascii="Cambria Math" w:hAnsi="Cambria Math"/>
                        <w:sz w:val="22"/>
                        <w:szCs w:val="22"/>
                      </w:rPr>
                    </m:ctrlPr>
                  </m:naryPr>
                  <m:sub>
                    <m:r>
                      <m:rPr>
                        <m:sty m:val="p"/>
                      </m:rPr>
                      <w:rPr>
                        <w:rFonts w:ascii="Cambria Math" w:hAnsi="Cambria Math"/>
                        <w:sz w:val="22"/>
                        <w:szCs w:val="22"/>
                      </w:rPr>
                      <m:t>j=1</m:t>
                    </m:r>
                  </m:sub>
                  <m:sup>
                    <m:r>
                      <m:rPr>
                        <m:sty m:val="p"/>
                      </m:rPr>
                      <w:rPr>
                        <w:rFonts w:ascii="Cambria Math" w:hAnsi="Cambria Math"/>
                        <w:sz w:val="22"/>
                        <w:szCs w:val="22"/>
                      </w:rPr>
                      <m:t>J</m:t>
                    </m:r>
                  </m:sup>
                  <m:e>
                    <m:sSub>
                      <m:sSubPr>
                        <m:ctrlPr>
                          <w:rPr>
                            <w:rFonts w:ascii="Cambria Math" w:hAnsi="Cambria Math"/>
                            <w:sz w:val="22"/>
                            <w:szCs w:val="22"/>
                          </w:rPr>
                        </m:ctrlPr>
                      </m:sSubPr>
                      <m:e>
                        <m:r>
                          <m:rPr>
                            <m:sty m:val="p"/>
                          </m:rPr>
                          <w:rPr>
                            <w:rFonts w:ascii="Cambria Math" w:hAnsi="Cambria Math"/>
                            <w:sz w:val="22"/>
                            <w:szCs w:val="22"/>
                          </w:rPr>
                          <m:t>TA</m:t>
                        </m:r>
                      </m:e>
                      <m:sub>
                        <m:r>
                          <m:rPr>
                            <m:sty m:val="p"/>
                          </m:rPr>
                          <w:rPr>
                            <w:rFonts w:ascii="Cambria Math" w:hAnsi="Cambria Math"/>
                            <w:sz w:val="22"/>
                            <w:szCs w:val="22"/>
                          </w:rPr>
                          <m:t>kij</m:t>
                        </m:r>
                      </m:sub>
                    </m:sSub>
                  </m:e>
                </m:nary>
              </m:e>
            </m:nary>
          </m:den>
        </m:f>
      </m:oMath>
      <w:r w:rsidR="00144315">
        <w:rPr>
          <w:rFonts w:ascii="Times New Roman" w:hAnsi="Times New Roman"/>
          <w:sz w:val="22"/>
          <w:szCs w:val="22"/>
        </w:rPr>
        <w:t xml:space="preserve">                                       </w:t>
      </w:r>
      <w:r w:rsidR="00FA1A96">
        <w:rPr>
          <w:rFonts w:ascii="Times New Roman" w:hAnsi="Times New Roman"/>
          <w:sz w:val="22"/>
          <w:szCs w:val="22"/>
        </w:rPr>
        <w:t xml:space="preserve">  </w:t>
      </w:r>
      <w:r w:rsidR="00144315">
        <w:rPr>
          <w:rFonts w:ascii="Times New Roman" w:hAnsi="Times New Roman"/>
          <w:sz w:val="22"/>
          <w:szCs w:val="22"/>
        </w:rPr>
        <w:t xml:space="preserve">         [</w:t>
      </w:r>
      <w:r w:rsidR="00FA1A96">
        <w:rPr>
          <w:rFonts w:ascii="Times New Roman" w:hAnsi="Times New Roman"/>
          <w:sz w:val="22"/>
          <w:szCs w:val="22"/>
        </w:rPr>
        <w:t>6</w:t>
      </w:r>
      <w:r w:rsidR="00144315">
        <w:rPr>
          <w:rFonts w:ascii="Times New Roman" w:hAnsi="Times New Roman"/>
          <w:sz w:val="22"/>
          <w:szCs w:val="22"/>
        </w:rPr>
        <w:t>]</w:t>
      </w:r>
    </w:p>
    <w:p w:rsidR="00144315" w:rsidRPr="00B843B4" w:rsidRDefault="00144315" w:rsidP="00144315">
      <w:pPr>
        <w:spacing w:line="360" w:lineRule="auto"/>
        <w:jc w:val="both"/>
        <w:rPr>
          <w:rFonts w:ascii="Times New Roman" w:hAnsi="Times New Roman"/>
          <w:sz w:val="22"/>
          <w:szCs w:val="22"/>
        </w:rPr>
      </w:pPr>
    </w:p>
    <w:p w:rsidR="00144315" w:rsidRDefault="00144315" w:rsidP="00144315">
      <w:pPr>
        <w:spacing w:line="360" w:lineRule="auto"/>
        <w:rPr>
          <w:rFonts w:ascii="Times New Roman" w:hAnsi="Times New Roman"/>
          <w:sz w:val="22"/>
          <w:szCs w:val="22"/>
        </w:rPr>
      </w:pPr>
      <w:r>
        <w:rPr>
          <w:rFonts w:ascii="Times New Roman" w:hAnsi="Times New Roman"/>
          <w:sz w:val="22"/>
          <w:szCs w:val="22"/>
        </w:rPr>
        <w:t xml:space="preserve">Where, </w:t>
      </w:r>
    </w:p>
    <w:p w:rsidR="00144315" w:rsidRDefault="004A36DA" w:rsidP="00144315">
      <w:pPr>
        <w:spacing w:line="360" w:lineRule="auto"/>
        <w:rPr>
          <w:rFonts w:ascii="Times New Roman" w:hAnsi="Times New Roman"/>
          <w:i/>
          <w:sz w:val="22"/>
          <w:szCs w:val="22"/>
        </w:rPr>
      </w:pPr>
      <m:oMath>
        <m:sSub>
          <m:sSubPr>
            <m:ctrlPr>
              <w:rPr>
                <w:rFonts w:ascii="Cambria Math" w:hAnsi="Cambria Math"/>
                <w:sz w:val="22"/>
                <w:szCs w:val="22"/>
              </w:rPr>
            </m:ctrlPr>
          </m:sSubPr>
          <m:e>
            <m:r>
              <m:rPr>
                <m:sty m:val="p"/>
              </m:rPr>
              <w:rPr>
                <w:rFonts w:ascii="Cambria Math" w:hAnsi="Cambria Math"/>
                <w:sz w:val="22"/>
                <w:szCs w:val="22"/>
              </w:rPr>
              <m:t>MARKETSHARE</m:t>
            </m:r>
          </m:e>
          <m:sub>
            <m:r>
              <m:rPr>
                <m:sty m:val="p"/>
              </m:rPr>
              <w:rPr>
                <w:rFonts w:ascii="Cambria Math" w:hAnsi="Cambria Math"/>
                <w:sz w:val="22"/>
                <w:szCs w:val="22"/>
              </w:rPr>
              <m:t>k,i</m:t>
            </m:r>
          </m:sub>
        </m:sSub>
      </m:oMath>
      <w:r w:rsidR="00144315">
        <w:rPr>
          <w:rFonts w:ascii="Times New Roman" w:hAnsi="Times New Roman"/>
          <w:sz w:val="22"/>
          <w:szCs w:val="22"/>
        </w:rPr>
        <w:t xml:space="preserve"> = the market share of auditor </w:t>
      </w:r>
      <w:r w:rsidR="00144315">
        <w:rPr>
          <w:rFonts w:ascii="Times New Roman" w:hAnsi="Times New Roman"/>
          <w:i/>
          <w:sz w:val="22"/>
          <w:szCs w:val="22"/>
        </w:rPr>
        <w:t xml:space="preserve">i </w:t>
      </w:r>
      <w:r w:rsidR="00144315">
        <w:rPr>
          <w:rFonts w:ascii="Times New Roman" w:hAnsi="Times New Roman"/>
          <w:sz w:val="22"/>
          <w:szCs w:val="22"/>
        </w:rPr>
        <w:t xml:space="preserve">of industry </w:t>
      </w:r>
      <w:r w:rsidR="00144315">
        <w:rPr>
          <w:rFonts w:ascii="Times New Roman" w:hAnsi="Times New Roman"/>
          <w:i/>
          <w:sz w:val="22"/>
          <w:szCs w:val="22"/>
        </w:rPr>
        <w:t xml:space="preserve">k. </w:t>
      </w:r>
    </w:p>
    <w:p w:rsidR="00144315" w:rsidRDefault="00144315" w:rsidP="00144315">
      <w:pPr>
        <w:spacing w:line="360" w:lineRule="auto"/>
        <w:ind w:left="1701" w:hanging="1701"/>
        <w:rPr>
          <w:rFonts w:ascii="Times New Roman" w:hAnsi="Times New Roman"/>
          <w:sz w:val="22"/>
          <w:szCs w:val="22"/>
        </w:rPr>
      </w:pPr>
      <w:r w:rsidRPr="006E7435">
        <w:rPr>
          <w:rFonts w:ascii="Times New Roman" w:hAnsi="Times New Roman"/>
          <w:sz w:val="22"/>
          <w:szCs w:val="22"/>
        </w:rPr>
        <w:t>TA</w:t>
      </w:r>
      <w:r w:rsidRPr="006E7435">
        <w:rPr>
          <w:rFonts w:ascii="Times New Roman" w:hAnsi="Times New Roman"/>
          <w:sz w:val="22"/>
          <w:szCs w:val="22"/>
          <w:vertAlign w:val="subscript"/>
        </w:rPr>
        <w:t>kij</w:t>
      </w:r>
      <w:r w:rsidR="004228D1" w:rsidRPr="006E7435">
        <w:rPr>
          <w:rFonts w:ascii="Times New Roman" w:hAnsi="Times New Roman"/>
          <w:sz w:val="22"/>
          <w:szCs w:val="22"/>
          <w:vertAlign w:val="subscript"/>
        </w:rPr>
        <w:t xml:space="preserve"> </w:t>
      </w:r>
      <w:r w:rsidR="004228D1">
        <w:rPr>
          <w:rFonts w:ascii="Times New Roman" w:hAnsi="Times New Roman"/>
          <w:i/>
          <w:sz w:val="22"/>
          <w:szCs w:val="22"/>
          <w:vertAlign w:val="subscript"/>
        </w:rPr>
        <w:tab/>
      </w:r>
      <w:r>
        <w:rPr>
          <w:rFonts w:ascii="Times New Roman" w:hAnsi="Times New Roman"/>
          <w:i/>
          <w:sz w:val="22"/>
          <w:szCs w:val="22"/>
        </w:rPr>
        <w:t xml:space="preserve"> </w:t>
      </w:r>
      <w:r>
        <w:rPr>
          <w:rFonts w:ascii="Times New Roman" w:hAnsi="Times New Roman"/>
          <w:sz w:val="22"/>
          <w:szCs w:val="22"/>
        </w:rPr>
        <w:t xml:space="preserve">= the size of client company </w:t>
      </w:r>
      <w:r>
        <w:rPr>
          <w:rFonts w:ascii="Times New Roman" w:hAnsi="Times New Roman"/>
          <w:i/>
          <w:sz w:val="22"/>
          <w:szCs w:val="22"/>
        </w:rPr>
        <w:t xml:space="preserve">j </w:t>
      </w:r>
      <w:r>
        <w:rPr>
          <w:rFonts w:ascii="Times New Roman" w:hAnsi="Times New Roman"/>
          <w:sz w:val="22"/>
          <w:szCs w:val="22"/>
        </w:rPr>
        <w:t xml:space="preserve">measured in total assets in the industry </w:t>
      </w:r>
      <w:r>
        <w:rPr>
          <w:rFonts w:ascii="Times New Roman" w:hAnsi="Times New Roman"/>
          <w:i/>
          <w:sz w:val="22"/>
          <w:szCs w:val="22"/>
        </w:rPr>
        <w:t xml:space="preserve">k </w:t>
      </w:r>
      <w:r>
        <w:rPr>
          <w:rFonts w:ascii="Times New Roman" w:hAnsi="Times New Roman"/>
          <w:sz w:val="22"/>
          <w:szCs w:val="22"/>
        </w:rPr>
        <w:t xml:space="preserve">audited by auditor </w:t>
      </w:r>
      <w:r>
        <w:rPr>
          <w:rFonts w:ascii="Times New Roman" w:hAnsi="Times New Roman"/>
          <w:i/>
          <w:sz w:val="22"/>
          <w:szCs w:val="22"/>
        </w:rPr>
        <w:t>i</w:t>
      </w:r>
      <w:r>
        <w:rPr>
          <w:rFonts w:ascii="Times New Roman" w:hAnsi="Times New Roman"/>
          <w:sz w:val="22"/>
          <w:szCs w:val="22"/>
        </w:rPr>
        <w:t xml:space="preserve">. </w:t>
      </w:r>
    </w:p>
    <w:p w:rsidR="00144315" w:rsidRDefault="00144315" w:rsidP="00144315">
      <w:pPr>
        <w:spacing w:line="360" w:lineRule="auto"/>
        <w:ind w:left="1695" w:hanging="1695"/>
        <w:rPr>
          <w:rFonts w:ascii="Times New Roman" w:hAnsi="Times New Roman"/>
          <w:sz w:val="22"/>
          <w:szCs w:val="22"/>
        </w:rPr>
      </w:pPr>
      <w:r w:rsidRPr="006E7435">
        <w:rPr>
          <w:rFonts w:ascii="Times New Roman" w:hAnsi="Times New Roman"/>
          <w:sz w:val="22"/>
          <w:szCs w:val="22"/>
        </w:rPr>
        <w:t xml:space="preserve">J </w:t>
      </w:r>
      <w:r>
        <w:rPr>
          <w:rFonts w:ascii="Times New Roman" w:hAnsi="Times New Roman"/>
          <w:sz w:val="22"/>
          <w:szCs w:val="22"/>
        </w:rPr>
        <w:tab/>
      </w:r>
      <w:r>
        <w:rPr>
          <w:rFonts w:ascii="Times New Roman" w:hAnsi="Times New Roman"/>
          <w:sz w:val="22"/>
          <w:szCs w:val="22"/>
        </w:rPr>
        <w:tab/>
        <w:t xml:space="preserve">= the number of clients that auditor </w:t>
      </w:r>
      <w:r>
        <w:rPr>
          <w:rFonts w:ascii="Times New Roman" w:hAnsi="Times New Roman"/>
          <w:i/>
          <w:sz w:val="22"/>
          <w:szCs w:val="22"/>
        </w:rPr>
        <w:t xml:space="preserve">i </w:t>
      </w:r>
      <w:r>
        <w:rPr>
          <w:rFonts w:ascii="Times New Roman" w:hAnsi="Times New Roman"/>
          <w:sz w:val="22"/>
          <w:szCs w:val="22"/>
        </w:rPr>
        <w:t xml:space="preserve">serve in industry </w:t>
      </w:r>
      <w:r>
        <w:rPr>
          <w:rFonts w:ascii="Times New Roman" w:hAnsi="Times New Roman"/>
          <w:i/>
          <w:sz w:val="22"/>
          <w:szCs w:val="22"/>
        </w:rPr>
        <w:t xml:space="preserve">k </w:t>
      </w:r>
      <w:r>
        <w:rPr>
          <w:rFonts w:ascii="Times New Roman" w:hAnsi="Times New Roman"/>
          <w:sz w:val="22"/>
          <w:szCs w:val="22"/>
        </w:rPr>
        <w:t xml:space="preserve">and </w:t>
      </w:r>
      <w:r>
        <w:rPr>
          <w:rFonts w:ascii="Times New Roman" w:hAnsi="Times New Roman"/>
          <w:i/>
          <w:sz w:val="22"/>
          <w:szCs w:val="22"/>
        </w:rPr>
        <w:t xml:space="preserve">I </w:t>
      </w:r>
      <w:r>
        <w:rPr>
          <w:rFonts w:ascii="Times New Roman" w:hAnsi="Times New Roman"/>
          <w:sz w:val="22"/>
          <w:szCs w:val="22"/>
        </w:rPr>
        <w:t xml:space="preserve">is the number of audit firms in industry </w:t>
      </w:r>
      <w:r>
        <w:rPr>
          <w:rFonts w:ascii="Times New Roman" w:hAnsi="Times New Roman"/>
          <w:i/>
          <w:sz w:val="22"/>
          <w:szCs w:val="22"/>
        </w:rPr>
        <w:t>k</w:t>
      </w:r>
      <w:r>
        <w:rPr>
          <w:rFonts w:ascii="Times New Roman" w:hAnsi="Times New Roman"/>
          <w:sz w:val="22"/>
          <w:szCs w:val="22"/>
        </w:rPr>
        <w:t xml:space="preserve">. </w:t>
      </w:r>
    </w:p>
    <w:p w:rsidR="00144315" w:rsidRDefault="00144315" w:rsidP="00144315">
      <w:pPr>
        <w:keepNext/>
        <w:spacing w:line="360" w:lineRule="auto"/>
        <w:jc w:val="both"/>
        <w:rPr>
          <w:rFonts w:ascii="Times New Roman" w:hAnsi="Times New Roman"/>
          <w:sz w:val="22"/>
          <w:szCs w:val="22"/>
        </w:rPr>
      </w:pPr>
    </w:p>
    <w:p w:rsidR="00144315" w:rsidRPr="00B749C6" w:rsidRDefault="00144315" w:rsidP="00144315">
      <w:pPr>
        <w:keepNext/>
        <w:spacing w:line="360" w:lineRule="auto"/>
        <w:jc w:val="both"/>
        <w:rPr>
          <w:rFonts w:ascii="Times New Roman" w:hAnsi="Times New Roman"/>
          <w:sz w:val="22"/>
          <w:szCs w:val="22"/>
        </w:rPr>
      </w:pPr>
      <w:r>
        <w:rPr>
          <w:rFonts w:ascii="Times New Roman" w:hAnsi="Times New Roman"/>
          <w:sz w:val="22"/>
          <w:szCs w:val="22"/>
        </w:rPr>
        <w:t xml:space="preserve">Following the approach by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"ITEM-1", "issued" : { "date-parts" : [ [ "1995" ] ] }, "page" : "297-322", "title" : "Auditor brand name reputations and industry specializations", "type" : "article", "volume" : "20" }, "uris" : [ "http://www.mendeley.com/documents/?uuid=587b528c-c9ff-41c2-a4d5-0064050da82b" ] } ], "mendeley" : { "manualFormatting" : "(Craswell et al., 1995)", "previouslyFormattedCitation" : "(Allen T Craswell et al., 1995)" }, "properties" : { "noteIndex" : 0 }, "schema" : "https://github.com/citation-style-language/schema/raw/master/csl-citation.json" }</w:instrText>
      </w:r>
      <w:r w:rsidR="004A36DA">
        <w:rPr>
          <w:rFonts w:ascii="Times New Roman" w:hAnsi="Times New Roman"/>
          <w:sz w:val="22"/>
          <w:szCs w:val="22"/>
        </w:rPr>
        <w:fldChar w:fldCharType="separate"/>
      </w:r>
      <w:r w:rsidR="001A3C03" w:rsidRPr="001A3C03">
        <w:rPr>
          <w:rFonts w:ascii="Times New Roman" w:hAnsi="Times New Roman"/>
          <w:noProof/>
          <w:sz w:val="22"/>
          <w:szCs w:val="22"/>
        </w:rPr>
        <w:t>(Craswell et al., 1995)</w:t>
      </w:r>
      <w:r w:rsidR="004A36DA">
        <w:rPr>
          <w:rFonts w:ascii="Times New Roman" w:hAnsi="Times New Roman"/>
          <w:sz w:val="22"/>
          <w:szCs w:val="22"/>
        </w:rPr>
        <w:fldChar w:fldCharType="end"/>
      </w:r>
      <w:r>
        <w:rPr>
          <w:rFonts w:ascii="Times New Roman" w:hAnsi="Times New Roman"/>
          <w:sz w:val="22"/>
          <w:szCs w:val="22"/>
        </w:rPr>
        <w:t xml:space="preserve">, auditors with market share of more than 15% can be labeled as industry specialists, and the variable </w:t>
      </w:r>
      <w:r>
        <w:rPr>
          <w:rFonts w:ascii="Times New Roman" w:hAnsi="Times New Roman"/>
          <w:i/>
          <w:sz w:val="22"/>
          <w:szCs w:val="22"/>
        </w:rPr>
        <w:t>SPEC</w:t>
      </w:r>
      <w:r>
        <w:rPr>
          <w:rFonts w:ascii="Times New Roman" w:hAnsi="Times New Roman"/>
          <w:sz w:val="22"/>
          <w:szCs w:val="22"/>
        </w:rPr>
        <w:t xml:space="preserve"> equals 1. The assumption is that industry specialists are able to differentiate themselves from non-specialists by receiving education for a particular industry, and they are more likely to increase their market share to spread the investment costs to more clients.</w:t>
      </w:r>
    </w:p>
    <w:p w:rsidR="00144315" w:rsidRDefault="00144315" w:rsidP="00144315"/>
    <w:p w:rsidR="00144315" w:rsidRDefault="00144315" w:rsidP="00144315">
      <w:pPr>
        <w:pStyle w:val="Subtitle"/>
        <w:spacing w:line="360" w:lineRule="auto"/>
        <w:jc w:val="left"/>
        <w:rPr>
          <w:b/>
        </w:rPr>
      </w:pPr>
      <w:bookmarkStart w:id="58" w:name="_Toc393872558"/>
      <w:r>
        <w:rPr>
          <w:b/>
        </w:rPr>
        <w:lastRenderedPageBreak/>
        <w:t>4.3.3 Control Variables</w:t>
      </w:r>
      <w:bookmarkEnd w:id="58"/>
    </w:p>
    <w:p w:rsidR="00144315" w:rsidRPr="00F3077D" w:rsidRDefault="00144315" w:rsidP="00144315">
      <w:pPr>
        <w:spacing w:line="360" w:lineRule="auto"/>
        <w:jc w:val="both"/>
        <w:rPr>
          <w:rFonts w:ascii="Times New Roman" w:hAnsi="Times New Roman"/>
          <w:sz w:val="22"/>
          <w:szCs w:val="22"/>
          <w:lang w:val="en-GB"/>
        </w:rPr>
      </w:pPr>
      <w:r>
        <w:rPr>
          <w:rFonts w:ascii="Times New Roman" w:hAnsi="Times New Roman"/>
          <w:sz w:val="22"/>
          <w:szCs w:val="22"/>
          <w:lang w:val="en-GB"/>
        </w:rPr>
        <w:t>The</w:t>
      </w:r>
      <w:r w:rsidRPr="00F3077D">
        <w:rPr>
          <w:rFonts w:ascii="Times New Roman" w:hAnsi="Times New Roman"/>
          <w:sz w:val="22"/>
          <w:szCs w:val="22"/>
          <w:lang w:val="en-GB"/>
        </w:rPr>
        <w:t xml:space="preserve"> regression model measure</w:t>
      </w:r>
      <w:r>
        <w:rPr>
          <w:rFonts w:ascii="Times New Roman" w:hAnsi="Times New Roman"/>
          <w:sz w:val="22"/>
          <w:szCs w:val="22"/>
        </w:rPr>
        <w:t>s</w:t>
      </w:r>
      <w:r w:rsidRPr="00F3077D">
        <w:rPr>
          <w:rFonts w:ascii="Times New Roman" w:hAnsi="Times New Roman"/>
          <w:sz w:val="22"/>
          <w:szCs w:val="22"/>
          <w:lang w:val="en-GB"/>
        </w:rPr>
        <w:t xml:space="preserve"> the effect of </w:t>
      </w:r>
      <w:r>
        <w:rPr>
          <w:rFonts w:ascii="Times New Roman" w:hAnsi="Times New Roman"/>
          <w:sz w:val="22"/>
          <w:szCs w:val="22"/>
          <w:lang w:val="en-GB"/>
        </w:rPr>
        <w:t>the auditor industry specialization</w:t>
      </w:r>
      <w:r w:rsidRPr="00F3077D">
        <w:rPr>
          <w:rFonts w:ascii="Times New Roman" w:hAnsi="Times New Roman"/>
          <w:sz w:val="22"/>
          <w:szCs w:val="22"/>
          <w:lang w:val="en-GB"/>
        </w:rPr>
        <w:t xml:space="preserve"> on </w:t>
      </w:r>
      <w:r>
        <w:rPr>
          <w:rFonts w:ascii="Times New Roman" w:hAnsi="Times New Roman"/>
          <w:sz w:val="22"/>
          <w:szCs w:val="22"/>
          <w:lang w:val="en-GB"/>
        </w:rPr>
        <w:t>the audit fee</w:t>
      </w:r>
      <w:r w:rsidRPr="00F3077D">
        <w:rPr>
          <w:rFonts w:ascii="Times New Roman" w:hAnsi="Times New Roman"/>
          <w:sz w:val="22"/>
          <w:szCs w:val="22"/>
          <w:lang w:val="en-GB"/>
        </w:rPr>
        <w:t xml:space="preserve">. As stated in the </w:t>
      </w:r>
      <w:r>
        <w:rPr>
          <w:rFonts w:ascii="Times New Roman" w:hAnsi="Times New Roman"/>
          <w:sz w:val="22"/>
          <w:szCs w:val="22"/>
          <w:lang w:val="en-GB"/>
        </w:rPr>
        <w:t>chapter 3</w:t>
      </w:r>
      <w:r w:rsidRPr="00F3077D">
        <w:rPr>
          <w:rFonts w:ascii="Times New Roman" w:hAnsi="Times New Roman"/>
          <w:sz w:val="22"/>
          <w:szCs w:val="22"/>
          <w:lang w:val="en-GB"/>
        </w:rPr>
        <w:t xml:space="preserve">, </w:t>
      </w:r>
      <w:r>
        <w:rPr>
          <w:rFonts w:ascii="Times New Roman" w:hAnsi="Times New Roman"/>
          <w:sz w:val="22"/>
          <w:szCs w:val="22"/>
          <w:lang w:val="en-GB"/>
        </w:rPr>
        <w:t>various</w:t>
      </w:r>
      <w:r w:rsidRPr="00F3077D">
        <w:rPr>
          <w:rFonts w:ascii="Times New Roman" w:hAnsi="Times New Roman"/>
          <w:sz w:val="22"/>
          <w:szCs w:val="22"/>
          <w:lang w:val="en-GB"/>
        </w:rPr>
        <w:t xml:space="preserve"> factors </w:t>
      </w:r>
      <w:r>
        <w:rPr>
          <w:rFonts w:ascii="Times New Roman" w:hAnsi="Times New Roman"/>
          <w:sz w:val="22"/>
          <w:szCs w:val="22"/>
          <w:lang w:val="en-GB"/>
        </w:rPr>
        <w:t xml:space="preserve">can </w:t>
      </w:r>
      <w:r w:rsidRPr="00F3077D">
        <w:rPr>
          <w:rFonts w:ascii="Times New Roman" w:hAnsi="Times New Roman"/>
          <w:sz w:val="22"/>
          <w:szCs w:val="22"/>
          <w:lang w:val="en-GB"/>
        </w:rPr>
        <w:t>influence</w:t>
      </w:r>
      <w:r>
        <w:rPr>
          <w:rFonts w:ascii="Times New Roman" w:hAnsi="Times New Roman"/>
          <w:sz w:val="22"/>
          <w:szCs w:val="22"/>
          <w:lang w:val="en-GB"/>
        </w:rPr>
        <w:t xml:space="preserve"> the</w:t>
      </w:r>
      <w:r w:rsidRPr="00F3077D">
        <w:rPr>
          <w:rFonts w:ascii="Times New Roman" w:hAnsi="Times New Roman"/>
          <w:sz w:val="22"/>
          <w:szCs w:val="22"/>
          <w:lang w:val="en-GB"/>
        </w:rPr>
        <w:t xml:space="preserve"> </w:t>
      </w:r>
      <w:r>
        <w:rPr>
          <w:rFonts w:ascii="Times New Roman" w:hAnsi="Times New Roman"/>
          <w:sz w:val="22"/>
          <w:szCs w:val="22"/>
          <w:lang w:val="en-GB"/>
        </w:rPr>
        <w:t>level of the audit fee</w:t>
      </w:r>
      <w:r>
        <w:rPr>
          <w:rFonts w:ascii="Times New Roman" w:hAnsi="Times New Roman"/>
          <w:sz w:val="22"/>
          <w:szCs w:val="22"/>
        </w:rPr>
        <w:t xml:space="preserve"> including the client size, the business risk, the auditor identity and the geographic diversification</w:t>
      </w:r>
      <w:r w:rsidRPr="00F3077D">
        <w:rPr>
          <w:rFonts w:ascii="Times New Roman" w:hAnsi="Times New Roman"/>
          <w:sz w:val="22"/>
          <w:szCs w:val="22"/>
          <w:lang w:val="en-GB"/>
        </w:rPr>
        <w:t xml:space="preserve">. </w:t>
      </w:r>
      <w:r>
        <w:rPr>
          <w:rFonts w:ascii="Times New Roman" w:hAnsi="Times New Roman"/>
          <w:sz w:val="22"/>
          <w:szCs w:val="22"/>
          <w:lang w:val="en-GB"/>
        </w:rPr>
        <w:t>T</w:t>
      </w:r>
      <w:r w:rsidRPr="00EF7378">
        <w:rPr>
          <w:rFonts w:ascii="Times New Roman" w:hAnsi="Times New Roman"/>
          <w:sz w:val="22"/>
          <w:szCs w:val="22"/>
          <w:lang w:val="en-GB"/>
        </w:rPr>
        <w:t xml:space="preserve">o examine their correlation with the audit fee </w:t>
      </w:r>
      <w:r>
        <w:rPr>
          <w:rFonts w:ascii="Times New Roman" w:hAnsi="Times New Roman"/>
          <w:sz w:val="22"/>
          <w:szCs w:val="22"/>
          <w:lang w:val="en-GB"/>
        </w:rPr>
        <w:t>these factors in the test will be included as</w:t>
      </w:r>
      <w:r w:rsidRPr="00F3077D">
        <w:rPr>
          <w:rFonts w:ascii="Times New Roman" w:hAnsi="Times New Roman"/>
          <w:sz w:val="22"/>
          <w:szCs w:val="22"/>
          <w:lang w:val="en-GB"/>
        </w:rPr>
        <w:t xml:space="preserve"> control variables</w:t>
      </w:r>
      <w:r>
        <w:rPr>
          <w:rFonts w:ascii="Times New Roman" w:hAnsi="Times New Roman"/>
          <w:sz w:val="22"/>
          <w:szCs w:val="22"/>
          <w:lang w:val="en-GB"/>
        </w:rPr>
        <w:t xml:space="preserve">. </w:t>
      </w:r>
      <w:r w:rsidRPr="00F3077D">
        <w:rPr>
          <w:rFonts w:ascii="Times New Roman" w:hAnsi="Times New Roman"/>
          <w:sz w:val="22"/>
          <w:szCs w:val="22"/>
          <w:lang w:val="en-GB"/>
        </w:rPr>
        <w:t>Th</w:t>
      </w:r>
      <w:r>
        <w:rPr>
          <w:rFonts w:ascii="Times New Roman" w:hAnsi="Times New Roman"/>
          <w:sz w:val="22"/>
          <w:szCs w:val="22"/>
          <w:lang w:val="en-GB"/>
        </w:rPr>
        <w:t>is section will focus on the</w:t>
      </w:r>
      <w:r>
        <w:rPr>
          <w:rFonts w:ascii="Times New Roman" w:hAnsi="Times New Roman"/>
          <w:sz w:val="22"/>
          <w:szCs w:val="22"/>
        </w:rPr>
        <w:t>se</w:t>
      </w:r>
      <w:r>
        <w:rPr>
          <w:rFonts w:ascii="Times New Roman" w:hAnsi="Times New Roman"/>
          <w:sz w:val="22"/>
          <w:szCs w:val="22"/>
          <w:lang w:val="en-GB"/>
        </w:rPr>
        <w:t xml:space="preserve"> control variables.</w:t>
      </w:r>
      <w:r w:rsidRPr="00F3077D">
        <w:rPr>
          <w:rFonts w:ascii="Times New Roman" w:hAnsi="Times New Roman"/>
          <w:sz w:val="22"/>
          <w:szCs w:val="22"/>
          <w:lang w:val="en-GB"/>
        </w:rPr>
        <w:t xml:space="preserve"> </w:t>
      </w:r>
    </w:p>
    <w:p w:rsidR="00144315" w:rsidRPr="00F3077D" w:rsidRDefault="00144315" w:rsidP="00144315"/>
    <w:p w:rsidR="00144315" w:rsidRDefault="00144315" w:rsidP="00144315">
      <w:pPr>
        <w:spacing w:line="360" w:lineRule="auto"/>
        <w:rPr>
          <w:rFonts w:ascii="Cambria" w:eastAsia="Cambria" w:hAnsi="Cambria" w:cs="Cambria"/>
          <w:b/>
          <w:i/>
          <w:color w:val="666666"/>
          <w:sz w:val="24"/>
        </w:rPr>
      </w:pPr>
      <w:r w:rsidRPr="00624FAB">
        <w:rPr>
          <w:rFonts w:ascii="Cambria" w:eastAsia="Cambria" w:hAnsi="Cambria" w:cs="Cambria"/>
          <w:b/>
          <w:i/>
          <w:color w:val="666666"/>
          <w:sz w:val="24"/>
        </w:rPr>
        <w:t xml:space="preserve">Client </w:t>
      </w:r>
      <w:r w:rsidR="004228D1">
        <w:rPr>
          <w:rFonts w:ascii="Cambria" w:eastAsia="Cambria" w:hAnsi="Cambria" w:cs="Cambria"/>
          <w:b/>
          <w:i/>
          <w:color w:val="666666"/>
          <w:sz w:val="24"/>
        </w:rPr>
        <w:t>S</w:t>
      </w:r>
      <w:r w:rsidRPr="00624FAB">
        <w:rPr>
          <w:rFonts w:ascii="Cambria" w:eastAsia="Cambria" w:hAnsi="Cambria" w:cs="Cambria"/>
          <w:b/>
          <w:i/>
          <w:color w:val="666666"/>
          <w:sz w:val="24"/>
        </w:rPr>
        <w:t>ize</w:t>
      </w:r>
      <w:r>
        <w:rPr>
          <w:rFonts w:ascii="Cambria" w:eastAsia="Cambria" w:hAnsi="Cambria" w:cs="Cambria"/>
          <w:b/>
          <w:i/>
          <w:color w:val="666666"/>
          <w:sz w:val="24"/>
        </w:rPr>
        <w:t xml:space="preserve"> (TA and TURNOVER)</w:t>
      </w: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I</w:t>
      </w:r>
      <w:r w:rsidRPr="00EF7378">
        <w:rPr>
          <w:rFonts w:ascii="Times New Roman" w:eastAsia="Cambria" w:hAnsi="Times New Roman"/>
          <w:sz w:val="22"/>
          <w:szCs w:val="22"/>
        </w:rPr>
        <w:t xml:space="preserve">n determining the </w:t>
      </w:r>
      <w:r>
        <w:rPr>
          <w:rFonts w:ascii="Times New Roman" w:eastAsia="Cambria" w:hAnsi="Times New Roman"/>
          <w:sz w:val="22"/>
          <w:szCs w:val="22"/>
        </w:rPr>
        <w:t xml:space="preserve">level of the </w:t>
      </w:r>
      <w:r w:rsidRPr="00EF7378">
        <w:rPr>
          <w:rFonts w:ascii="Times New Roman" w:eastAsia="Cambria" w:hAnsi="Times New Roman"/>
          <w:sz w:val="22"/>
          <w:szCs w:val="22"/>
        </w:rPr>
        <w:t xml:space="preserve">audit fee </w:t>
      </w:r>
      <w:r>
        <w:rPr>
          <w:rFonts w:ascii="Times New Roman" w:eastAsia="Cambria" w:hAnsi="Times New Roman"/>
          <w:sz w:val="22"/>
          <w:szCs w:val="22"/>
        </w:rPr>
        <w:t xml:space="preserve">the client size is consistently confirmed to be the most significant explanatory variable. To collect representative evidence, to review their business operations and perform more audit procedures, auditors need to devote more time to large companies. Consequently, it is reasonable to expect that client size would create an increase in the audit fee.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Most researchers use</w:t>
      </w:r>
      <w:r w:rsidR="00D7060F">
        <w:rPr>
          <w:rFonts w:ascii="Times New Roman" w:eastAsia="Cambria" w:hAnsi="Times New Roman"/>
          <w:sz w:val="22"/>
          <w:szCs w:val="22"/>
        </w:rPr>
        <w:t>d the</w:t>
      </w:r>
      <w:r>
        <w:rPr>
          <w:rFonts w:ascii="Times New Roman" w:eastAsia="Cambria" w:hAnsi="Times New Roman"/>
          <w:sz w:val="22"/>
          <w:szCs w:val="22"/>
        </w:rPr>
        <w:t xml:space="preserve"> total assets as a proxy to measure the client size. This measure is suitable for auditors who adopt a balance sheet audit approach, which relies on the fact that verification of the balance sheet items in addition indirectly verifies the net income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Pr="00D12A7D">
        <w:rPr>
          <w:rFonts w:ascii="Times New Roman" w:eastAsia="Cambria" w:hAnsi="Times New Roman"/>
          <w:noProof/>
          <w:sz w:val="22"/>
          <w:szCs w:val="22"/>
        </w:rPr>
        <w:t>(Simunic, 1980)</w:t>
      </w:r>
      <w:r w:rsidR="004A36DA">
        <w:rPr>
          <w:rFonts w:ascii="Times New Roman" w:eastAsia="Cambria" w:hAnsi="Times New Roman"/>
          <w:sz w:val="22"/>
          <w:szCs w:val="22"/>
        </w:rPr>
        <w:fldChar w:fldCharType="end"/>
      </w:r>
      <w:r>
        <w:rPr>
          <w:rFonts w:ascii="Times New Roman" w:eastAsia="Cambria" w:hAnsi="Times New Roman"/>
          <w:sz w:val="22"/>
          <w:szCs w:val="22"/>
        </w:rPr>
        <w:t>. However, when companies have different age profiles of assets or the used accounting policy is different, this measure could significantly vary between companies even with comparable sizes. To conquer the problem signaled before, a measure of size based on the net turnover may be a better variable. This measure is suitable for auditors who employ a transactions based audit approach, which verifies the turnover and the net income directly. However, the turnover definition may vary between companies and industries. For instance, the turnover for manufacturing companies may differ in concept from the definition used by a financial institution. The regression model in this thesis as the measure for client size includes both total assets (</w:t>
      </w:r>
      <w:r w:rsidRPr="001B1FB6">
        <w:rPr>
          <w:rFonts w:ascii="Times New Roman" w:eastAsia="Cambria" w:hAnsi="Times New Roman"/>
          <w:i/>
          <w:sz w:val="22"/>
          <w:szCs w:val="22"/>
        </w:rPr>
        <w:t>TA</w:t>
      </w:r>
      <w:r>
        <w:rPr>
          <w:rFonts w:ascii="Times New Roman" w:eastAsia="Cambria" w:hAnsi="Times New Roman"/>
          <w:sz w:val="22"/>
          <w:szCs w:val="22"/>
        </w:rPr>
        <w:t>) and turnover (</w:t>
      </w:r>
      <w:r w:rsidRPr="001B1FB6">
        <w:rPr>
          <w:rFonts w:ascii="Times New Roman" w:eastAsia="Cambria" w:hAnsi="Times New Roman"/>
          <w:i/>
          <w:sz w:val="22"/>
          <w:szCs w:val="22"/>
        </w:rPr>
        <w:t>TURN</w:t>
      </w:r>
      <w:r>
        <w:rPr>
          <w:rFonts w:ascii="Times New Roman" w:eastAsia="Cambria" w:hAnsi="Times New Roman"/>
          <w:sz w:val="22"/>
          <w:szCs w:val="22"/>
        </w:rPr>
        <w:t>). Doing consequently will eliminate the possibility of multicollinearity of this two, consequently increases the predicting power of the coefficients of the variables.</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In addition, the economies of scale of the audit production and more sophisticated internal control procedures,</w:t>
      </w:r>
      <w:r w:rsidDel="00F47AC2">
        <w:rPr>
          <w:rFonts w:ascii="Times New Roman" w:eastAsia="Cambria" w:hAnsi="Times New Roman"/>
          <w:sz w:val="22"/>
          <w:szCs w:val="22"/>
        </w:rPr>
        <w:t xml:space="preserve"> </w:t>
      </w:r>
      <w:r>
        <w:rPr>
          <w:rFonts w:ascii="Times New Roman" w:eastAsia="Cambria" w:hAnsi="Times New Roman"/>
          <w:sz w:val="22"/>
          <w:szCs w:val="22"/>
        </w:rPr>
        <w:t xml:space="preserve">especially after SOX 404, within a large company suggest that the relationship between the audit fee and the clients’ size is not likely to be linear. Consequently, this thesis follows other researches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"DOI" : "10.2307/2490806", "ISBN" : "00218456", "ISSN" : "00218456", "PMID" : "6440003", "abstract" : "This article focuses on a study which analyzes the association between audit firm size and audit fees. The author notes that the structure of the market for public accounting services has received scrutiny form regulators, practitioners and researchers and that a major focus of this attention has fallen on a group of firms called the Big Eight. This group has received this attention due to them holding large shares of various markets. This research is concerned with examining the idea that the size of the auditing firm plays a significant role in the audit fees charged by these firms.", "author" : [ { "dropping-particle" : "", "family" : "Palmrose", "given" : "Zoe-Vonna", "non-dropping-particle" : "", "parse-names" : false, "suffix" : "" } ], "container-title" : "Journal of Accounting Research", "id" : "ITEM-1", "issued" : { "date-parts" : [ [ "1986" ] ] }, "page" : "97-110", "title" : "Audit Fees and Auditor Size: Further Evidence", "type" : "article-journal", "volume" : "24" }, "uris" : [ "http://www.mendeley.com/documents/?uuid=b8f7455d-ec7d-47a0-aae5-6f30a1aa4c8a" ] }, { "id" : "ITEM-2",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"ITEM-2", "issued" : { "date-parts" : [ [ "2002" ] ] }, "page" : "91-115", "title" : "Litigation risk and audit fees: Evidence from UK firms cross-listed on US markets", "type" : "article-journal", "volume" : "33" }, "uris" : [ "http://www.mendeley.com/documents/?uuid=77910371-c31a-4d9a-87df-0b1def45d77a" ] }, { "id" : "ITEM-3",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"ITEM-3", "issued" : { "date-parts" : [ [ "2013" ] ] }, "title" : "Auditor Industry Specialization and Evidence of Cost Efficiencies in Homogenous Industries", "type" : "article-journal" }, "uris" : [ "http://www.mendeley.com/documents/?uuid=472adb44-fa27-4ee2-ac6b-711b33ac2bf3" ] } ], "mendeley" : { "previouslyFormattedCitation" : "(Bills et al., 2013; Palmrose, 1986; Seetharaman et al., 2002)"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001A3C03" w:rsidRPr="001A3C03">
        <w:rPr>
          <w:rFonts w:ascii="Times New Roman" w:eastAsia="Cambria" w:hAnsi="Times New Roman"/>
          <w:noProof/>
          <w:sz w:val="22"/>
          <w:szCs w:val="22"/>
        </w:rPr>
        <w:t>(Bills et al., 2013; Palmrose, 1986; Seetharaman et al., 2002)</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by applying a log transformation to the total assets and to the turnover to reflect the likelihood that proportional increase function in the audit fees would create a decreasing function of the audit intensity.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rPr>
          <w:rFonts w:ascii="Cambria" w:eastAsia="Cambria" w:hAnsi="Cambria" w:cs="Cambria"/>
          <w:b/>
          <w:i/>
          <w:color w:val="666666"/>
          <w:sz w:val="24"/>
        </w:rPr>
      </w:pPr>
      <w:r w:rsidRPr="00624FAB">
        <w:rPr>
          <w:rFonts w:ascii="Cambria" w:eastAsia="Cambria" w:hAnsi="Cambria" w:cs="Cambria"/>
          <w:b/>
          <w:i/>
          <w:color w:val="666666"/>
          <w:sz w:val="24"/>
        </w:rPr>
        <w:t xml:space="preserve">Client </w:t>
      </w:r>
      <w:r w:rsidR="004228D1">
        <w:rPr>
          <w:rFonts w:ascii="Cambria" w:eastAsia="Cambria" w:hAnsi="Cambria" w:cs="Cambria"/>
          <w:b/>
          <w:i/>
          <w:color w:val="666666"/>
          <w:sz w:val="24"/>
        </w:rPr>
        <w:t>B</w:t>
      </w:r>
      <w:r>
        <w:rPr>
          <w:rFonts w:ascii="Cambria" w:eastAsia="Cambria" w:hAnsi="Cambria" w:cs="Cambria"/>
          <w:b/>
          <w:i/>
          <w:color w:val="666666"/>
          <w:sz w:val="24"/>
        </w:rPr>
        <w:t xml:space="preserve">usiness </w:t>
      </w:r>
      <w:r w:rsidR="004228D1">
        <w:rPr>
          <w:rFonts w:ascii="Cambria" w:eastAsia="Cambria" w:hAnsi="Cambria" w:cs="Cambria"/>
          <w:b/>
          <w:i/>
          <w:color w:val="666666"/>
          <w:sz w:val="24"/>
        </w:rPr>
        <w:t>R</w:t>
      </w:r>
      <w:r>
        <w:rPr>
          <w:rFonts w:ascii="Cambria" w:eastAsia="Cambria" w:hAnsi="Cambria" w:cs="Cambria"/>
          <w:b/>
          <w:i/>
          <w:color w:val="666666"/>
          <w:sz w:val="24"/>
        </w:rPr>
        <w:t>isk (QRATIO, DE, ROA and OPI)</w:t>
      </w: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In determining the level of the audit fee, auditors consider client business risk as an essential element. Increased lawsuits against auditors for negligence upon business failure could create reputational </w:t>
      </w:r>
      <w:r>
        <w:rPr>
          <w:rFonts w:ascii="Times New Roman" w:eastAsia="Cambria" w:hAnsi="Times New Roman"/>
          <w:sz w:val="22"/>
          <w:szCs w:val="22"/>
        </w:rPr>
        <w:lastRenderedPageBreak/>
        <w:t xml:space="preserve">damages for the audit firms which could decrease the attractiveness to potential and to existed clients. Consequently, to eliminate the likelihood of potential audit failures auditors of risky companies would increase their efforts. Additionally, to compensate the longer working hours on performing extra audit procedures on riskier areas they may charge a higher audit fee.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To represent the business risk, this thesis measures business risk by assessing the level of financial risk of the client firm. To test the company’s financial ability following the research by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"DOI" : "10.1016/S0165-4101(01)00046-5", "ISBN" : "01654101", "ISSN" : "01654101", "abstract" : "Two ingredients necessary to examine the relation between litigation risk and audit pricing are (a) a litigious legal environment, and (b) publicly disclosed auditor remuneration. We combine both ingredients by focusing on UK firms offering to sell their securities publicly in the United States. We find that UK auditors charge higher fees for their services when their clients access US, but not non-US, capital markets. Further, we show that the higher fees cannot be fully explained by the SEC's extensive disclosure requirements. Rather, these findings are consistent with audit fees reflecting risk differences across liability regimes. ?? 2002 Elsevier Science B.V. All rights reserved.", "author" : [ { "dropping-particle" : "", "family" : "Seetharaman", "given" : "Ananth", "non-dropping-particle" : "", "parse-names" : false, "suffix" : "" }, { "dropping-particle" : "", "family" : "Gul", "given" : "Ferdinand A.", "non-dropping-particle" : "", "parse-names" : false, "suffix" : "" }, { "dropping-particle" : "", "family" : "Lynn", "given" : "Stephen G.", "non-dropping-particle" : "", "parse-names" : false, "suffix" : "" } ], "container-title" : "Journal of Accounting and Economics", "id" : "ITEM-1", "issued" : { "date-parts" : [ [ "2002" ] ] }, "page" : "91-115", "title" : "Litigation risk and audit fees: Evidence from UK firms cross-listed on US markets", "type" : "article-journal", "volume" : "33" }, "uris" : [ "http://www.mendeley.com/documents/?uuid=77910371-c31a-4d9a-87df-0b1def45d77a" ] } ], "mendeley" : { "manualFormatting" : "Seetharaman, Gul, &amp; Lynn (2002)", "previouslyFormattedCitation" : "(Seetharaman et al., 2002)" }, "properties" : { "noteIndex" : 0 }, "schema" : "https://github.com/citation-style-language/schema/raw/master/csl-citation.json" }</w:instrText>
      </w:r>
      <w:r w:rsidR="004A36DA">
        <w:rPr>
          <w:rFonts w:ascii="Times New Roman" w:eastAsia="Cambria" w:hAnsi="Times New Roman"/>
          <w:sz w:val="22"/>
          <w:szCs w:val="22"/>
        </w:rPr>
        <w:fldChar w:fldCharType="separate"/>
      </w:r>
      <w:r>
        <w:rPr>
          <w:rFonts w:ascii="Times New Roman" w:eastAsia="Cambria" w:hAnsi="Times New Roman"/>
          <w:noProof/>
          <w:sz w:val="22"/>
          <w:szCs w:val="22"/>
        </w:rPr>
        <w:t>Seetharaman, Gul, &amp; Lynn</w:t>
      </w:r>
      <w:r w:rsidRPr="00676591">
        <w:rPr>
          <w:rFonts w:ascii="Times New Roman" w:eastAsia="Cambria" w:hAnsi="Times New Roman"/>
          <w:noProof/>
          <w:sz w:val="22"/>
          <w:szCs w:val="22"/>
        </w:rPr>
        <w:t xml:space="preserve"> </w:t>
      </w:r>
      <w:r>
        <w:rPr>
          <w:rFonts w:ascii="Times New Roman" w:eastAsia="Cambria" w:hAnsi="Times New Roman"/>
          <w:noProof/>
          <w:sz w:val="22"/>
          <w:szCs w:val="22"/>
        </w:rPr>
        <w:t>(</w:t>
      </w:r>
      <w:r w:rsidRPr="00676591">
        <w:rPr>
          <w:rFonts w:ascii="Times New Roman" w:eastAsia="Cambria" w:hAnsi="Times New Roman"/>
          <w:noProof/>
          <w:sz w:val="22"/>
          <w:szCs w:val="22"/>
        </w:rPr>
        <w:t>2002)</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several variables are included. The next variables are included: quick ratio (QRATIO), debt ratio (DE) and the return on assets (ROA).</w:t>
      </w:r>
      <w:r w:rsidRPr="0048295A">
        <w:rPr>
          <w:rFonts w:ascii="Times New Roman" w:eastAsia="Cambria" w:hAnsi="Times New Roman"/>
          <w:sz w:val="22"/>
          <w:szCs w:val="22"/>
        </w:rPr>
        <w:t xml:space="preserve"> </w:t>
      </w:r>
      <w:r>
        <w:rPr>
          <w:rFonts w:ascii="Times New Roman" w:eastAsia="Cambria" w:hAnsi="Times New Roman"/>
          <w:sz w:val="22"/>
          <w:szCs w:val="22"/>
        </w:rPr>
        <w:t>To measure a company’s ability to use its quick assets, e.g. cash, cash equivalent, marketable securities and accounting receivable, to pay off its current liability immediately, the quick ratio is adopted. The debt ratio is calculated as the total debt divided by the total assets. Since the firm has high obligated payment a high debt ratio is associated with a high financial risk. The return on assets (ROA</w:t>
      </w:r>
      <w:r>
        <w:rPr>
          <w:rFonts w:ascii="Times New Roman" w:eastAsia="Cambria" w:hAnsi="Times New Roman" w:hint="eastAsia"/>
          <w:sz w:val="22"/>
          <w:szCs w:val="22"/>
        </w:rPr>
        <w:t>)</w:t>
      </w:r>
      <w:r>
        <w:rPr>
          <w:rFonts w:ascii="Times New Roman" w:eastAsia="Cambria" w:hAnsi="Times New Roman"/>
          <w:sz w:val="22"/>
          <w:szCs w:val="22"/>
        </w:rPr>
        <w:t xml:space="preserve"> represents the profitability of a company relative to its total assets. This represents how well the management is employing the company’s total assets in realizing profit. Consequently, if auditors are taking the financial risks into consideration when determining the audit fee, the coefficient on the DE is expected to be significantly positive and the coefficients of QRATIO and ROA are expected to be significantly negative.  </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jc w:val="both"/>
        <w:rPr>
          <w:rFonts w:ascii="Times New Roman" w:eastAsia="Cambria" w:hAnsi="Times New Roman"/>
          <w:sz w:val="22"/>
          <w:szCs w:val="22"/>
        </w:rPr>
      </w:pPr>
      <w:r>
        <w:rPr>
          <w:rFonts w:ascii="Times New Roman" w:eastAsia="Cambria" w:hAnsi="Times New Roman"/>
          <w:sz w:val="22"/>
          <w:szCs w:val="22"/>
        </w:rPr>
        <w:t>Additionally, the audit opinion (OPI) from previous fiscal year into the regression model is included. An unqualified audit opinion represents that the company’s financial statements are free of material misstatements. A departure from an unqualified opinion will definitely attract the auditor’s attention thereby increasing their attention and their audit efforts. Consequently, a dichotomous variable is used to represent the auditor’s opinion from the last fiscal year. Companies that received a qualified or an adverse opinion (value = 1) last year are expected to have a higher fee this year.</w:t>
      </w:r>
    </w:p>
    <w:p w:rsidR="00144315" w:rsidRDefault="00144315" w:rsidP="00144315">
      <w:pPr>
        <w:spacing w:line="360" w:lineRule="auto"/>
        <w:jc w:val="both"/>
        <w:rPr>
          <w:rFonts w:ascii="Times New Roman" w:eastAsia="Cambria" w:hAnsi="Times New Roman"/>
          <w:sz w:val="22"/>
          <w:szCs w:val="22"/>
        </w:rPr>
      </w:pPr>
    </w:p>
    <w:p w:rsidR="00144315" w:rsidRDefault="00144315" w:rsidP="00144315">
      <w:pPr>
        <w:spacing w:line="360" w:lineRule="auto"/>
        <w:rPr>
          <w:rFonts w:ascii="Cambria" w:eastAsia="Cambria" w:hAnsi="Cambria" w:cs="Cambria"/>
          <w:b/>
          <w:i/>
          <w:color w:val="666666"/>
          <w:sz w:val="24"/>
        </w:rPr>
      </w:pPr>
      <w:r>
        <w:rPr>
          <w:rFonts w:ascii="Cambria" w:eastAsia="Cambria" w:hAnsi="Cambria" w:cs="Cambria"/>
          <w:b/>
          <w:i/>
          <w:color w:val="666666"/>
          <w:sz w:val="24"/>
        </w:rPr>
        <w:t>Geographical Diversification (GeoDiv)</w:t>
      </w:r>
    </w:p>
    <w:p w:rsidR="00144315" w:rsidRPr="00DB6C44" w:rsidRDefault="00144315" w:rsidP="00A23654">
      <w:pPr>
        <w:spacing w:after="240" w:line="360" w:lineRule="auto"/>
        <w:jc w:val="both"/>
        <w:rPr>
          <w:rFonts w:ascii="Times New Roman" w:eastAsia="Cambria" w:hAnsi="Times New Roman"/>
          <w:sz w:val="22"/>
          <w:szCs w:val="22"/>
        </w:rPr>
      </w:pPr>
      <w:r w:rsidRPr="00ED1446">
        <w:rPr>
          <w:rFonts w:ascii="Times New Roman" w:eastAsia="Cambria" w:hAnsi="Times New Roman"/>
          <w:sz w:val="22"/>
          <w:szCs w:val="22"/>
        </w:rPr>
        <w:t>Ge</w:t>
      </w:r>
      <w:r>
        <w:rPr>
          <w:rFonts w:ascii="Times New Roman" w:eastAsia="Cambria" w:hAnsi="Times New Roman"/>
          <w:sz w:val="22"/>
          <w:szCs w:val="22"/>
        </w:rPr>
        <w:t xml:space="preserve">ographical diversification is likely to be correlated with the level of the audit fee. Subsidiaries in different countries have to comply with a variety of professional requirements for financial reporting and disclosures which entails additional audit procedures. Consequently, clients with subsidiaries across different countries are expected to pay a higher fee. This variable is presented with </w:t>
      </w:r>
      <w:r w:rsidRPr="000C1909">
        <w:rPr>
          <w:rFonts w:ascii="Times New Roman" w:eastAsia="Cambria" w:hAnsi="Times New Roman"/>
          <w:i/>
          <w:sz w:val="22"/>
          <w:szCs w:val="22"/>
        </w:rPr>
        <w:t>GeoDiv</w:t>
      </w:r>
      <w:r>
        <w:rPr>
          <w:rFonts w:ascii="Times New Roman" w:eastAsia="Cambria" w:hAnsi="Times New Roman"/>
          <w:sz w:val="22"/>
          <w:szCs w:val="22"/>
        </w:rPr>
        <w:t xml:space="preserve"> which measures the number of geographical subsidiaries of the audit client. To conclude, the regression model is summarized as follows:</w:t>
      </w:r>
    </w:p>
    <w:p w:rsidR="00144315" w:rsidRDefault="00525D67" w:rsidP="00A23654">
      <w:pPr>
        <w:spacing w:line="360" w:lineRule="auto"/>
        <w:ind w:left="284"/>
        <w:rPr>
          <w:rFonts w:ascii="Times New Roman" w:eastAsia="Cambria" w:hAnsi="Times New Roman"/>
          <w:sz w:val="22"/>
          <w:szCs w:val="22"/>
        </w:rPr>
      </w:pPr>
      <m:oMath>
        <m:r>
          <m:rPr>
            <m:sty m:val="p"/>
          </m:rPr>
          <w:rPr>
            <w:rFonts w:ascii="Cambria Math" w:eastAsia="Cambria" w:hAnsi="Cambria Math" w:cs="Cambria"/>
            <w:sz w:val="22"/>
          </w:rPr>
          <m:t>LnAF=</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0</m:t>
            </m:r>
          </m:sub>
        </m:sSub>
        <m:r>
          <m:rPr>
            <m:sty m:val="p"/>
          </m:rPr>
          <w:rPr>
            <w:rFonts w:ascii="Cambria Math" w:eastAsia="Cambria" w:hAnsi="Cambria Math" w:cs="Cambria"/>
            <w:sz w:val="22"/>
          </w:rPr>
          <m:t>+</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1</m:t>
            </m:r>
          </m:sub>
        </m:sSub>
        <m:r>
          <m:rPr>
            <m:sty m:val="p"/>
          </m:rPr>
          <w:rPr>
            <w:rFonts w:ascii="Cambria Math" w:eastAsia="Cambria" w:hAnsi="Cambria Math" w:cs="Cambria"/>
            <w:sz w:val="22"/>
          </w:rPr>
          <m:t>LnTA+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2</m:t>
            </m:r>
          </m:sub>
        </m:sSub>
        <m:r>
          <m:rPr>
            <m:sty m:val="p"/>
          </m:rPr>
          <w:rPr>
            <w:rFonts w:ascii="Cambria Math" w:eastAsia="Cambria" w:hAnsi="Cambria Math" w:cs="Cambria"/>
            <w:sz w:val="22"/>
          </w:rPr>
          <m:t>LnTURNOVER+</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3</m:t>
            </m:r>
          </m:sub>
        </m:sSub>
        <m:r>
          <m:rPr>
            <m:sty m:val="p"/>
          </m:rPr>
          <w:rPr>
            <w:rFonts w:ascii="Cambria Math" w:eastAsia="Cambria" w:hAnsi="Cambria Math" w:cs="Cambria"/>
            <w:sz w:val="22"/>
          </w:rPr>
          <m:t>QRATIO+</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4</m:t>
            </m:r>
          </m:sub>
        </m:sSub>
        <m:r>
          <m:rPr>
            <m:sty m:val="p"/>
          </m:rPr>
          <w:rPr>
            <w:rFonts w:ascii="Cambria Math" w:eastAsia="Cambria" w:hAnsi="Cambria Math" w:cs="Cambria"/>
            <w:sz w:val="22"/>
          </w:rPr>
          <m:t>DE+</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5</m:t>
            </m:r>
          </m:sub>
        </m:sSub>
        <m:r>
          <m:rPr>
            <m:sty m:val="p"/>
          </m:rPr>
          <w:rPr>
            <w:rFonts w:ascii="Cambria Math" w:eastAsia="Cambria" w:hAnsi="Cambria Math" w:cs="Cambria"/>
            <w:sz w:val="22"/>
          </w:rPr>
          <m:t>ROA+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6</m:t>
            </m:r>
          </m:sub>
        </m:sSub>
        <m:r>
          <m:rPr>
            <m:sty m:val="p"/>
          </m:rPr>
          <w:rPr>
            <w:rFonts w:ascii="Cambria Math" w:eastAsia="Cambria" w:hAnsi="Cambria Math" w:cs="Cambria"/>
            <w:sz w:val="22"/>
          </w:rPr>
          <m:t>GeoDiv+</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7</m:t>
            </m:r>
          </m:sub>
        </m:sSub>
        <m:r>
          <m:rPr>
            <m:sty m:val="p"/>
          </m:rPr>
          <w:rPr>
            <w:rFonts w:ascii="Cambria Math" w:eastAsia="Cambria" w:hAnsi="Cambria Math" w:cs="Cambria"/>
            <w:sz w:val="22"/>
          </w:rPr>
          <m:t>OPI+</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8</m:t>
            </m:r>
          </m:sub>
        </m:sSub>
        <m:r>
          <m:rPr>
            <m:sty m:val="p"/>
          </m:rPr>
          <w:rPr>
            <w:rFonts w:ascii="Cambria Math" w:eastAsia="Cambria" w:hAnsi="Cambria Math" w:cs="Cambria"/>
            <w:sz w:val="22"/>
          </w:rPr>
          <m:t>COMPLEX+</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9</m:t>
            </m:r>
          </m:sub>
        </m:sSub>
        <m:r>
          <m:rPr>
            <m:sty m:val="p"/>
          </m:rPr>
          <w:rPr>
            <w:rFonts w:ascii="Cambria Math" w:eastAsia="Cambria" w:hAnsi="Cambria Math" w:cs="Cambria"/>
            <w:sz w:val="22"/>
          </w:rPr>
          <m:t>SPE+</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10</m:t>
            </m:r>
          </m:sub>
        </m:sSub>
        <m:r>
          <m:rPr>
            <m:sty m:val="p"/>
          </m:rPr>
          <w:rPr>
            <w:rFonts w:ascii="Cambria Math" w:eastAsia="Cambria" w:hAnsi="Cambria Math" w:cs="Cambria"/>
            <w:sz w:val="22"/>
          </w:rPr>
          <m:t>(COMPLEX*SPE)+e</m:t>
        </m:r>
      </m:oMath>
      <w:r w:rsidR="00144315">
        <w:t xml:space="preserve">                      </w:t>
      </w:r>
      <w:r w:rsidR="00A23654">
        <w:t xml:space="preserve">                      </w:t>
      </w:r>
      <w:r w:rsidR="00FA1A96">
        <w:t xml:space="preserve">  </w:t>
      </w:r>
      <w:r w:rsidR="00A23654">
        <w:t xml:space="preserve">  </w:t>
      </w:r>
      <w:r w:rsidR="00660DD3">
        <w:t xml:space="preserve">    </w:t>
      </w:r>
      <w:r w:rsidR="00A23654">
        <w:t xml:space="preserve"> </w:t>
      </w:r>
      <w:r w:rsidR="00144315">
        <w:t xml:space="preserve">   </w:t>
      </w:r>
      <w:r w:rsidR="00144315">
        <w:rPr>
          <w:rFonts w:ascii="Times New Roman" w:eastAsia="Cambria" w:hAnsi="Times New Roman"/>
          <w:sz w:val="22"/>
          <w:szCs w:val="22"/>
        </w:rPr>
        <w:t>[</w:t>
      </w:r>
      <w:r w:rsidR="00FA1A96">
        <w:rPr>
          <w:rFonts w:ascii="Times New Roman" w:eastAsia="Cambria" w:hAnsi="Times New Roman"/>
          <w:sz w:val="22"/>
          <w:szCs w:val="22"/>
        </w:rPr>
        <w:t>7</w:t>
      </w:r>
      <w:r w:rsidR="00144315">
        <w:rPr>
          <w:rFonts w:ascii="Times New Roman" w:eastAsia="Cambria" w:hAnsi="Times New Roman"/>
          <w:sz w:val="22"/>
          <w:szCs w:val="22"/>
        </w:rPr>
        <w:t>]</w:t>
      </w:r>
      <w:r w:rsidR="00144315">
        <w:t xml:space="preserve">                         </w:t>
      </w:r>
    </w:p>
    <w:p w:rsidR="00144315" w:rsidRDefault="00144315" w:rsidP="00144315"/>
    <w:p w:rsidR="00144315" w:rsidRDefault="00144315" w:rsidP="00144315">
      <w:pPr>
        <w:spacing w:line="360" w:lineRule="auto"/>
        <w:rPr>
          <w:rFonts w:ascii="Times New Roman" w:eastAsia="Cambria" w:hAnsi="Times New Roman"/>
          <w:sz w:val="22"/>
          <w:szCs w:val="22"/>
        </w:rPr>
      </w:pPr>
      <w:r>
        <w:rPr>
          <w:rFonts w:ascii="Times New Roman" w:eastAsia="Cambria" w:hAnsi="Times New Roman"/>
          <w:sz w:val="22"/>
          <w:szCs w:val="22"/>
        </w:rPr>
        <w:t>Where</w:t>
      </w:r>
    </w:p>
    <w:p w:rsidR="00144315" w:rsidRDefault="00525D67" w:rsidP="00144315">
      <w:pPr>
        <w:spacing w:line="360" w:lineRule="auto"/>
        <w:rPr>
          <w:rFonts w:ascii="Cambria" w:hAnsi="Cambria"/>
          <w:sz w:val="22"/>
        </w:rPr>
      </w:pPr>
      <w:r>
        <w:rPr>
          <w:rFonts w:ascii="Cambria Math" w:hAnsi="Cambria Math"/>
          <w:sz w:val="22"/>
        </w:rPr>
        <w:lastRenderedPageBreak/>
        <w:t>Ln</w:t>
      </w:r>
      <w:r w:rsidR="00144315" w:rsidRPr="006E7435">
        <w:rPr>
          <w:rFonts w:ascii="Cambria Math" w:hAnsi="Cambria Math"/>
          <w:sz w:val="22"/>
        </w:rPr>
        <w:t xml:space="preserve"> AF </w:t>
      </w:r>
      <w:r w:rsidR="00144315" w:rsidRPr="006E7435">
        <w:rPr>
          <w:rFonts w:ascii="Cambria Math" w:hAnsi="Cambria Math"/>
          <w:sz w:val="22"/>
        </w:rPr>
        <w:tab/>
      </w:r>
      <w:r w:rsidR="00144315">
        <w:rPr>
          <w:rFonts w:ascii="Cambria" w:hAnsi="Cambria"/>
          <w:i/>
          <w:sz w:val="22"/>
        </w:rPr>
        <w:tab/>
      </w:r>
      <w:r w:rsidR="00144315">
        <w:rPr>
          <w:rFonts w:ascii="Cambria" w:hAnsi="Cambria"/>
          <w:i/>
          <w:sz w:val="22"/>
        </w:rPr>
        <w:tab/>
      </w:r>
      <w:r w:rsidR="00144315" w:rsidRPr="007A006D">
        <w:rPr>
          <w:rFonts w:ascii="Cambria" w:hAnsi="Cambria"/>
          <w:sz w:val="22"/>
        </w:rPr>
        <w:t>= natural log of audit fee</w:t>
      </w:r>
      <w:r w:rsidR="00144315">
        <w:rPr>
          <w:rFonts w:ascii="Cambria" w:hAnsi="Cambria"/>
          <w:sz w:val="22"/>
        </w:rPr>
        <w:t>,</w:t>
      </w:r>
    </w:p>
    <w:p w:rsidR="00144315" w:rsidRDefault="00525D67" w:rsidP="00144315">
      <w:pPr>
        <w:spacing w:line="360" w:lineRule="auto"/>
        <w:rPr>
          <w:rFonts w:ascii="Cambria" w:hAnsi="Cambria"/>
          <w:sz w:val="22"/>
        </w:rPr>
      </w:pPr>
      <w:r>
        <w:rPr>
          <w:rFonts w:ascii="Cambria Math" w:hAnsi="Cambria Math"/>
          <w:sz w:val="22"/>
        </w:rPr>
        <w:t>Ln</w:t>
      </w:r>
      <w:r w:rsidR="00144315" w:rsidRPr="006E7435">
        <w:rPr>
          <w:rFonts w:ascii="Cambria Math" w:hAnsi="Cambria Math"/>
          <w:sz w:val="22"/>
        </w:rPr>
        <w:t xml:space="preserve"> TURNOVER </w:t>
      </w:r>
      <w:r w:rsidR="00144315">
        <w:rPr>
          <w:rFonts w:ascii="Cambria" w:hAnsi="Cambria"/>
          <w:i/>
          <w:sz w:val="22"/>
        </w:rPr>
        <w:tab/>
      </w:r>
      <w:r w:rsidR="00144315" w:rsidRPr="007A006D">
        <w:rPr>
          <w:rFonts w:ascii="Cambria" w:hAnsi="Cambria"/>
          <w:sz w:val="22"/>
        </w:rPr>
        <w:t xml:space="preserve">= natural log of </w:t>
      </w:r>
      <w:r w:rsidR="00144315">
        <w:rPr>
          <w:rFonts w:ascii="Cambria" w:hAnsi="Cambria"/>
          <w:sz w:val="22"/>
        </w:rPr>
        <w:t>turnover,</w:t>
      </w:r>
    </w:p>
    <w:p w:rsidR="00144315" w:rsidRDefault="00144315" w:rsidP="00144315">
      <w:pPr>
        <w:spacing w:line="360" w:lineRule="auto"/>
        <w:rPr>
          <w:rFonts w:ascii="Cambria" w:hAnsi="Cambria"/>
          <w:sz w:val="22"/>
        </w:rPr>
      </w:pPr>
      <w:r w:rsidRPr="006E7435">
        <w:rPr>
          <w:rFonts w:ascii="Cambria Math" w:hAnsi="Cambria Math"/>
          <w:sz w:val="22"/>
        </w:rPr>
        <w:t>QRATIO</w:t>
      </w:r>
      <w:r>
        <w:rPr>
          <w:rFonts w:ascii="Cambria" w:hAnsi="Cambria"/>
          <w:sz w:val="22"/>
        </w:rPr>
        <w:t xml:space="preserve"> </w:t>
      </w:r>
      <w:r>
        <w:rPr>
          <w:rFonts w:ascii="Cambria" w:hAnsi="Cambria"/>
          <w:sz w:val="22"/>
        </w:rPr>
        <w:tab/>
      </w:r>
      <w:r>
        <w:rPr>
          <w:rFonts w:ascii="Cambria" w:hAnsi="Cambria"/>
          <w:sz w:val="22"/>
        </w:rPr>
        <w:tab/>
      </w:r>
      <w:r w:rsidRPr="007A006D">
        <w:rPr>
          <w:rFonts w:ascii="Cambria" w:hAnsi="Cambria"/>
          <w:sz w:val="22"/>
        </w:rPr>
        <w:t>= the ratio of current assets less inventories to current liabilities</w:t>
      </w:r>
      <w:r>
        <w:rPr>
          <w:rFonts w:ascii="Cambria" w:hAnsi="Cambria"/>
          <w:sz w:val="22"/>
        </w:rPr>
        <w:t>,</w:t>
      </w:r>
    </w:p>
    <w:p w:rsidR="00144315" w:rsidRDefault="00144315" w:rsidP="00144315">
      <w:pPr>
        <w:spacing w:line="360" w:lineRule="auto"/>
        <w:rPr>
          <w:rFonts w:ascii="Cambria" w:hAnsi="Cambria"/>
          <w:sz w:val="22"/>
        </w:rPr>
      </w:pPr>
      <w:r w:rsidRPr="006E7435">
        <w:rPr>
          <w:rFonts w:ascii="Cambria Math" w:hAnsi="Cambria Math"/>
          <w:sz w:val="22"/>
        </w:rPr>
        <w:t xml:space="preserve">DE </w:t>
      </w:r>
      <w:r>
        <w:rPr>
          <w:rFonts w:ascii="Cambria" w:hAnsi="Cambria"/>
          <w:sz w:val="22"/>
        </w:rPr>
        <w:tab/>
      </w:r>
      <w:r>
        <w:rPr>
          <w:rFonts w:ascii="Cambria" w:hAnsi="Cambria"/>
          <w:sz w:val="22"/>
        </w:rPr>
        <w:tab/>
      </w:r>
      <w:r>
        <w:rPr>
          <w:rFonts w:ascii="Cambria" w:hAnsi="Cambria"/>
          <w:sz w:val="22"/>
        </w:rPr>
        <w:tab/>
        <w:t xml:space="preserve">= </w:t>
      </w:r>
      <w:r w:rsidRPr="007A006D">
        <w:rPr>
          <w:rFonts w:ascii="Cambria" w:hAnsi="Cambria"/>
          <w:sz w:val="22"/>
        </w:rPr>
        <w:t>the ratio of long-term debt to total assets,</w:t>
      </w:r>
    </w:p>
    <w:p w:rsidR="00144315" w:rsidRDefault="00144315" w:rsidP="00144315">
      <w:pPr>
        <w:spacing w:line="360" w:lineRule="auto"/>
        <w:rPr>
          <w:rFonts w:ascii="Cambria" w:hAnsi="Cambria"/>
          <w:sz w:val="22"/>
        </w:rPr>
      </w:pPr>
      <w:r w:rsidRPr="006E7435">
        <w:rPr>
          <w:rFonts w:ascii="Cambria Math" w:eastAsia="Cambria" w:hAnsi="Cambria Math"/>
          <w:sz w:val="22"/>
          <w:szCs w:val="22"/>
        </w:rPr>
        <w:t>ROA</w:t>
      </w:r>
      <w:r>
        <w:rPr>
          <w:rFonts w:ascii="Times New Roman" w:eastAsia="Cambria" w:hAnsi="Times New Roman"/>
          <w:sz w:val="22"/>
          <w:szCs w:val="22"/>
        </w:rPr>
        <w:t xml:space="preserve"> </w:t>
      </w:r>
      <w:r>
        <w:rPr>
          <w:rFonts w:ascii="Times New Roman" w:eastAsia="Cambria" w:hAnsi="Times New Roman"/>
          <w:sz w:val="22"/>
          <w:szCs w:val="22"/>
        </w:rPr>
        <w:tab/>
      </w:r>
      <w:r>
        <w:rPr>
          <w:rFonts w:ascii="Times New Roman" w:eastAsia="Cambria" w:hAnsi="Times New Roman"/>
          <w:sz w:val="22"/>
          <w:szCs w:val="22"/>
        </w:rPr>
        <w:tab/>
      </w:r>
      <w:r>
        <w:rPr>
          <w:rFonts w:ascii="Times New Roman" w:eastAsia="Cambria" w:hAnsi="Times New Roman"/>
          <w:sz w:val="22"/>
          <w:szCs w:val="22"/>
        </w:rPr>
        <w:tab/>
        <w:t xml:space="preserve">= </w:t>
      </w:r>
      <w:r w:rsidRPr="007A006D">
        <w:rPr>
          <w:rFonts w:ascii="Cambria" w:hAnsi="Cambria"/>
          <w:sz w:val="22"/>
        </w:rPr>
        <w:t>the ratio of net income to total assets</w:t>
      </w:r>
      <w:r>
        <w:rPr>
          <w:rFonts w:ascii="Cambria" w:hAnsi="Cambria"/>
          <w:sz w:val="22"/>
        </w:rPr>
        <w:t>,</w:t>
      </w:r>
    </w:p>
    <w:p w:rsidR="00144315" w:rsidRPr="00624FAB" w:rsidRDefault="00144315" w:rsidP="00144315">
      <w:pPr>
        <w:spacing w:line="360" w:lineRule="auto"/>
        <w:rPr>
          <w:rFonts w:ascii="Times New Roman" w:eastAsia="Cambria" w:hAnsi="Times New Roman"/>
          <w:sz w:val="22"/>
          <w:szCs w:val="22"/>
        </w:rPr>
      </w:pPr>
      <w:r w:rsidRPr="006E7435">
        <w:rPr>
          <w:rFonts w:ascii="Cambria Math" w:hAnsi="Cambria Math"/>
          <w:sz w:val="22"/>
        </w:rPr>
        <w:t>GeoDiv</w:t>
      </w:r>
      <w:r>
        <w:rPr>
          <w:rFonts w:ascii="Cambria" w:hAnsi="Cambria"/>
          <w:sz w:val="22"/>
        </w:rPr>
        <w:t xml:space="preserve"> </w:t>
      </w:r>
      <w:r>
        <w:rPr>
          <w:rFonts w:ascii="Cambria" w:hAnsi="Cambria"/>
          <w:sz w:val="22"/>
        </w:rPr>
        <w:tab/>
      </w:r>
      <w:r>
        <w:rPr>
          <w:rFonts w:ascii="Cambria" w:hAnsi="Cambria"/>
          <w:sz w:val="22"/>
        </w:rPr>
        <w:tab/>
        <w:t>= number of geographical locations,</w:t>
      </w:r>
    </w:p>
    <w:p w:rsidR="00144315" w:rsidRDefault="00144315" w:rsidP="00144315">
      <w:pPr>
        <w:spacing w:line="360" w:lineRule="auto"/>
        <w:ind w:left="1701" w:hanging="1701"/>
        <w:rPr>
          <w:rFonts w:ascii="Cambria" w:hAnsi="Cambria"/>
          <w:sz w:val="22"/>
        </w:rPr>
      </w:pPr>
      <w:r w:rsidRPr="006E7435">
        <w:rPr>
          <w:rFonts w:ascii="Cambria Math" w:hAnsi="Cambria Math"/>
          <w:sz w:val="22"/>
        </w:rPr>
        <w:t xml:space="preserve">OPI </w:t>
      </w:r>
      <w:r>
        <w:rPr>
          <w:rFonts w:ascii="Cambria" w:hAnsi="Cambria"/>
          <w:sz w:val="22"/>
        </w:rPr>
        <w:tab/>
        <w:t xml:space="preserve">= </w:t>
      </w:r>
      <w:r w:rsidRPr="007A006D">
        <w:rPr>
          <w:rFonts w:ascii="Cambria" w:hAnsi="Cambria"/>
          <w:sz w:val="22"/>
        </w:rPr>
        <w:t>indicator variable, 1 = qualified audit report</w:t>
      </w:r>
      <w:r>
        <w:rPr>
          <w:rFonts w:ascii="Cambria" w:hAnsi="Cambria"/>
          <w:sz w:val="22"/>
        </w:rPr>
        <w:t>, adverse opinion or disclaimer of opinion,</w:t>
      </w:r>
    </w:p>
    <w:p w:rsidR="00144315" w:rsidRDefault="00144315" w:rsidP="00144315">
      <w:pPr>
        <w:spacing w:line="360" w:lineRule="auto"/>
        <w:rPr>
          <w:rFonts w:ascii="Cambria" w:hAnsi="Cambria"/>
          <w:sz w:val="22"/>
        </w:rPr>
      </w:pPr>
      <w:r w:rsidRPr="006E7435">
        <w:rPr>
          <w:rFonts w:ascii="Cambria Math" w:hAnsi="Cambria Math"/>
          <w:sz w:val="22"/>
        </w:rPr>
        <w:t>COMPLEX</w:t>
      </w:r>
      <w:r>
        <w:rPr>
          <w:rFonts w:ascii="Cambria" w:hAnsi="Cambria"/>
          <w:sz w:val="22"/>
        </w:rPr>
        <w:t xml:space="preserve"> </w:t>
      </w:r>
      <w:r>
        <w:rPr>
          <w:rFonts w:ascii="Cambria" w:hAnsi="Cambria"/>
          <w:sz w:val="22"/>
        </w:rPr>
        <w:tab/>
      </w:r>
      <w:r>
        <w:rPr>
          <w:rFonts w:ascii="Cambria" w:hAnsi="Cambria"/>
          <w:sz w:val="22"/>
        </w:rPr>
        <w:tab/>
        <w:t>= indicator variable, 1 = complex industry,</w:t>
      </w:r>
    </w:p>
    <w:p w:rsidR="00144315" w:rsidRDefault="00144315" w:rsidP="00144315">
      <w:pPr>
        <w:spacing w:line="360" w:lineRule="auto"/>
        <w:rPr>
          <w:rFonts w:ascii="Cambria" w:hAnsi="Cambria"/>
          <w:sz w:val="22"/>
        </w:rPr>
      </w:pPr>
      <w:r w:rsidRPr="006E7435">
        <w:rPr>
          <w:rFonts w:ascii="Cambria Math" w:hAnsi="Cambria Math"/>
          <w:sz w:val="22"/>
        </w:rPr>
        <w:t>SPE</w:t>
      </w:r>
      <w:r>
        <w:rPr>
          <w:rFonts w:ascii="Cambria" w:hAnsi="Cambria"/>
          <w:sz w:val="22"/>
        </w:rPr>
        <w:t xml:space="preserve"> </w:t>
      </w:r>
      <w:r>
        <w:rPr>
          <w:rFonts w:ascii="Cambria" w:hAnsi="Cambria"/>
          <w:sz w:val="22"/>
        </w:rPr>
        <w:tab/>
      </w:r>
      <w:r>
        <w:rPr>
          <w:rFonts w:ascii="Cambria" w:hAnsi="Cambria"/>
          <w:sz w:val="22"/>
        </w:rPr>
        <w:tab/>
      </w:r>
      <w:r>
        <w:rPr>
          <w:rFonts w:ascii="Cambria" w:hAnsi="Cambria"/>
          <w:sz w:val="22"/>
        </w:rPr>
        <w:tab/>
        <w:t xml:space="preserve">= indicator variable, 1 = auditors are industry specialist, and </w:t>
      </w:r>
    </w:p>
    <w:p w:rsidR="00144315" w:rsidRPr="0006046B" w:rsidRDefault="00144315" w:rsidP="00144315">
      <w:pPr>
        <w:spacing w:line="360" w:lineRule="auto"/>
        <w:rPr>
          <w:rFonts w:ascii="Cambria" w:hAnsi="Cambria"/>
          <w:sz w:val="22"/>
        </w:rPr>
      </w:pPr>
      <w:r w:rsidRPr="006E7435">
        <w:rPr>
          <w:rFonts w:ascii="Cambria Math" w:hAnsi="Cambria Math"/>
          <w:sz w:val="22"/>
        </w:rPr>
        <w:t xml:space="preserve">e </w:t>
      </w:r>
      <w:r>
        <w:rPr>
          <w:rFonts w:ascii="Cambria" w:hAnsi="Cambria"/>
          <w:sz w:val="22"/>
        </w:rPr>
        <w:tab/>
      </w:r>
      <w:r>
        <w:rPr>
          <w:rFonts w:ascii="Cambria" w:hAnsi="Cambria"/>
          <w:sz w:val="22"/>
        </w:rPr>
        <w:tab/>
      </w:r>
      <w:r>
        <w:rPr>
          <w:rFonts w:ascii="Cambria" w:hAnsi="Cambria"/>
          <w:sz w:val="22"/>
        </w:rPr>
        <w:tab/>
        <w:t>= error term.</w:t>
      </w: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To visualize the constructs of the research concepts and the underlying proxies used for the measurement of the variables, the predictive framework of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"ISBN" : "0130018007", "author" : [ { "dropping-particle" : "", "family" : "Libby", "given" : "Robert", "non-dropping-particle" : "", "parse-names" : false, "suffix" : "" } ], "id" : "ITEM-1", "issued" : { "date-parts" : [ [ "1981" ] ] }, "publisher" : "Prentice-Hall Englewood Cliffs, NJ", "title" : "Accounting and human information processing: Theory and applications", "type" : "book" }, "uris" : [ "http://www.mendeley.com/documents/?uuid=8e197761-534f-45e2-a503-bdcd446bba91" ] } ], "mendeley" : { "manualFormatting" : "Libby (1981)", "previouslyFormattedCitation" : "(Libby, 1981)" }, "properties" : { "noteIndex" : 0 }, "schema" : "https://github.com/citation-style-language/schema/raw/master/csl-citation.json" }</w:instrText>
      </w:r>
      <w:r w:rsidR="004A36DA">
        <w:rPr>
          <w:rFonts w:ascii="Times New Roman" w:hAnsi="Times New Roman"/>
          <w:sz w:val="22"/>
          <w:szCs w:val="22"/>
        </w:rPr>
        <w:fldChar w:fldCharType="separate"/>
      </w:r>
      <w:r>
        <w:rPr>
          <w:rFonts w:ascii="Times New Roman" w:hAnsi="Times New Roman"/>
          <w:noProof/>
          <w:sz w:val="22"/>
          <w:szCs w:val="22"/>
        </w:rPr>
        <w:t>Libby</w:t>
      </w:r>
      <w:r w:rsidRPr="00283257">
        <w:rPr>
          <w:rFonts w:ascii="Times New Roman" w:hAnsi="Times New Roman"/>
          <w:noProof/>
          <w:sz w:val="22"/>
          <w:szCs w:val="22"/>
        </w:rPr>
        <w:t xml:space="preserve"> </w:t>
      </w:r>
      <w:r>
        <w:rPr>
          <w:rFonts w:ascii="Times New Roman" w:hAnsi="Times New Roman"/>
          <w:noProof/>
          <w:sz w:val="22"/>
          <w:szCs w:val="22"/>
        </w:rPr>
        <w:t>(</w:t>
      </w:r>
      <w:r w:rsidRPr="00283257">
        <w:rPr>
          <w:rFonts w:ascii="Times New Roman" w:hAnsi="Times New Roman"/>
          <w:noProof/>
          <w:sz w:val="22"/>
          <w:szCs w:val="22"/>
        </w:rPr>
        <w:t>1981)</w:t>
      </w:r>
      <w:r w:rsidR="004A36DA">
        <w:rPr>
          <w:rFonts w:ascii="Times New Roman" w:hAnsi="Times New Roman"/>
          <w:sz w:val="22"/>
          <w:szCs w:val="22"/>
        </w:rPr>
        <w:fldChar w:fldCharType="end"/>
      </w:r>
      <w:r>
        <w:rPr>
          <w:rFonts w:ascii="Times New Roman" w:hAnsi="Times New Roman"/>
          <w:sz w:val="22"/>
          <w:szCs w:val="22"/>
        </w:rPr>
        <w:t xml:space="preserve"> is provided. </w:t>
      </w:r>
    </w:p>
    <w:p w:rsidR="00144315" w:rsidRDefault="00144315" w:rsidP="00144315">
      <w:pPr>
        <w:spacing w:line="360" w:lineRule="auto"/>
        <w:jc w:val="center"/>
      </w:pPr>
      <w:r>
        <w:rPr>
          <w:noProof/>
          <w:lang w:eastAsia="en-US"/>
        </w:rPr>
        <w:drawing>
          <wp:inline distT="0" distB="0" distL="0" distR="0">
            <wp:extent cx="4570810" cy="245469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0871" cy="2454727"/>
                    </a:xfrm>
                    <a:prstGeom prst="rect">
                      <a:avLst/>
                    </a:prstGeom>
                    <a:noFill/>
                  </pic:spPr>
                </pic:pic>
              </a:graphicData>
            </a:graphic>
          </wp:inline>
        </w:drawing>
      </w:r>
    </w:p>
    <w:p w:rsidR="00144315" w:rsidRDefault="00144315" w:rsidP="00A23654">
      <w:pPr>
        <w:pStyle w:val="Caption"/>
        <w:spacing w:after="240"/>
        <w:jc w:val="center"/>
        <w:rPr>
          <w:rFonts w:ascii="Times New Roman" w:hAnsi="Times New Roman"/>
          <w:b w:val="0"/>
          <w:color w:val="auto"/>
        </w:rPr>
      </w:pPr>
      <w:r w:rsidRPr="00750F8F">
        <w:rPr>
          <w:rFonts w:ascii="Times New Roman" w:hAnsi="Times New Roman"/>
          <w:b w:val="0"/>
          <w:color w:val="auto"/>
        </w:rPr>
        <w:t xml:space="preserve">Figure </w:t>
      </w:r>
      <w:r w:rsidR="004A36DA" w:rsidRPr="00750F8F">
        <w:rPr>
          <w:rFonts w:ascii="Times New Roman" w:hAnsi="Times New Roman"/>
          <w:b w:val="0"/>
          <w:color w:val="auto"/>
        </w:rPr>
        <w:fldChar w:fldCharType="begin"/>
      </w:r>
      <w:r w:rsidRPr="00750F8F">
        <w:rPr>
          <w:rFonts w:ascii="Times New Roman" w:hAnsi="Times New Roman"/>
          <w:b w:val="0"/>
          <w:color w:val="auto"/>
        </w:rPr>
        <w:instrText xml:space="preserve"> SEQ Figure \* ARABIC </w:instrText>
      </w:r>
      <w:r w:rsidR="004A36DA" w:rsidRPr="00750F8F">
        <w:rPr>
          <w:rFonts w:ascii="Times New Roman" w:hAnsi="Times New Roman"/>
          <w:b w:val="0"/>
          <w:color w:val="auto"/>
        </w:rPr>
        <w:fldChar w:fldCharType="separate"/>
      </w:r>
      <w:r w:rsidR="0017076D">
        <w:rPr>
          <w:rFonts w:ascii="Times New Roman" w:hAnsi="Times New Roman"/>
          <w:b w:val="0"/>
          <w:noProof/>
          <w:color w:val="auto"/>
        </w:rPr>
        <w:t>1</w:t>
      </w:r>
      <w:r w:rsidR="004A36DA" w:rsidRPr="00750F8F">
        <w:rPr>
          <w:rFonts w:ascii="Times New Roman" w:hAnsi="Times New Roman"/>
          <w:b w:val="0"/>
          <w:color w:val="auto"/>
        </w:rPr>
        <w:fldChar w:fldCharType="end"/>
      </w:r>
      <w:r w:rsidRPr="00750F8F">
        <w:rPr>
          <w:rFonts w:ascii="Times New Roman" w:hAnsi="Times New Roman"/>
          <w:b w:val="0"/>
          <w:color w:val="auto"/>
        </w:rPr>
        <w:t xml:space="preserve"> Libby Boxes</w:t>
      </w: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This framework provides several links between different variable which are explained subsequently. Link 1 represents the external validity, which can be implied as the extent the results of this study can be generalized for other studies. Link 2 and 3 represent the construct validity, which is the validity of the proxies that can be used to measure the unobservable latent variables. Link 4 is the statistical conclusion validity that reports whether a statistical conclusion can be drawn. Link 5 and link 6 represents the internal validity, which reflects the confidence about the inferences regarding the causal relationship.</w:t>
      </w:r>
    </w:p>
    <w:p w:rsidR="00144315" w:rsidRPr="002E02E3" w:rsidRDefault="00144315" w:rsidP="00144315"/>
    <w:p w:rsidR="00144315" w:rsidRDefault="00144315" w:rsidP="00144315">
      <w:pPr>
        <w:pStyle w:val="Subtitle"/>
        <w:spacing w:line="360" w:lineRule="auto"/>
        <w:jc w:val="left"/>
        <w:rPr>
          <w:b/>
        </w:rPr>
      </w:pPr>
      <w:bookmarkStart w:id="59" w:name="_Toc393872559"/>
      <w:r>
        <w:rPr>
          <w:b/>
        </w:rPr>
        <w:t xml:space="preserve">4.4 Sample </w:t>
      </w:r>
      <w:r w:rsidR="004228D1">
        <w:rPr>
          <w:b/>
        </w:rPr>
        <w:t>C</w:t>
      </w:r>
      <w:r>
        <w:rPr>
          <w:b/>
        </w:rPr>
        <w:t>ollection</w:t>
      </w:r>
      <w:bookmarkEnd w:id="59"/>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 xml:space="preserve">The sample of U.S. publicly traded companies will be obtained from Compustat and from Audit Analytics between 2007 up to and included 2013. The Compustat database will be </w:t>
      </w:r>
      <w:r w:rsidR="00D7060F">
        <w:rPr>
          <w:rFonts w:ascii="Times New Roman" w:hAnsi="Times New Roman"/>
          <w:sz w:val="22"/>
          <w:szCs w:val="22"/>
        </w:rPr>
        <w:t xml:space="preserve">used </w:t>
      </w:r>
      <w:r>
        <w:rPr>
          <w:rFonts w:ascii="Times New Roman" w:hAnsi="Times New Roman"/>
          <w:sz w:val="22"/>
          <w:szCs w:val="22"/>
        </w:rPr>
        <w:t xml:space="preserve">concerning the annual financial information, e.g. balance sheet and income statement numbers, and the Audit </w:t>
      </w:r>
      <w:r>
        <w:rPr>
          <w:rFonts w:ascii="Times New Roman" w:hAnsi="Times New Roman"/>
          <w:sz w:val="22"/>
          <w:szCs w:val="22"/>
        </w:rPr>
        <w:lastRenderedPageBreak/>
        <w:t>Analytics will used concerning the audit fee data. It is essential to note that the audit fee is solely the fee paid for the financial statements audits.</w:t>
      </w:r>
    </w:p>
    <w:p w:rsidR="00144315" w:rsidRDefault="00144315" w:rsidP="00144315">
      <w:pPr>
        <w:spacing w:line="360" w:lineRule="auto"/>
        <w:jc w:val="both"/>
        <w:rPr>
          <w:rFonts w:ascii="Times New Roman" w:hAnsi="Times New Roman"/>
          <w:sz w:val="22"/>
          <w:szCs w:val="22"/>
        </w:rPr>
      </w:pPr>
    </w:p>
    <w:p w:rsidR="00144315" w:rsidRDefault="00144315" w:rsidP="00144315">
      <w:pPr>
        <w:spacing w:line="360" w:lineRule="auto"/>
        <w:jc w:val="both"/>
        <w:rPr>
          <w:rFonts w:ascii="Times New Roman" w:hAnsi="Times New Roman"/>
          <w:sz w:val="22"/>
          <w:szCs w:val="22"/>
        </w:rPr>
      </w:pPr>
      <w:r>
        <w:rPr>
          <w:rFonts w:ascii="Times New Roman" w:hAnsi="Times New Roman"/>
          <w:sz w:val="22"/>
          <w:szCs w:val="22"/>
        </w:rPr>
        <w:t>Since the amount of data for geographical dispersion is limited, this data was obtained at first. To collect the maximum amount data of segments, a search in the entire database of Compustat Historical Segments was performed. At the same time,</w:t>
      </w:r>
      <w:r w:rsidRPr="00800E47">
        <w:rPr>
          <w:rFonts w:ascii="Times New Roman" w:hAnsi="Times New Roman"/>
          <w:sz w:val="22"/>
          <w:szCs w:val="22"/>
        </w:rPr>
        <w:t xml:space="preserve"> </w:t>
      </w:r>
      <w:r>
        <w:rPr>
          <w:rFonts w:ascii="Times New Roman" w:hAnsi="Times New Roman"/>
          <w:sz w:val="22"/>
          <w:szCs w:val="22"/>
        </w:rPr>
        <w:t xml:space="preserve">to use as a reference the Central Index Key (CIK) </w:t>
      </w:r>
      <w:r w:rsidR="000712E0">
        <w:rPr>
          <w:rFonts w:ascii="Times New Roman" w:hAnsi="Times New Roman"/>
          <w:sz w:val="22"/>
          <w:szCs w:val="22"/>
        </w:rPr>
        <w:t>a code of each selected company was</w:t>
      </w:r>
      <w:r>
        <w:rPr>
          <w:rFonts w:ascii="Times New Roman" w:hAnsi="Times New Roman"/>
          <w:sz w:val="22"/>
          <w:szCs w:val="22"/>
        </w:rPr>
        <w:t xml:space="preserve"> included. By using the CIK codes, additional information was retrieved from Compustat Fundamentals and from Audit Analytics. Hereafter, because they are missing necessary data unusable firm observations are dropped in addition industries with less than 10 firm-year observations are dropped as well. In addition, firms from financial industry are excluded (SIC codes 6000-6999). Originally 13259 firm-year observations were collected, after the eliminations 10136 observations are kept for the thesis, see the next table. </w:t>
      </w:r>
    </w:p>
    <w:p w:rsidR="00144315" w:rsidRPr="0096651D" w:rsidRDefault="00144315" w:rsidP="00144315">
      <w:pPr>
        <w:spacing w:line="360" w:lineRule="auto"/>
        <w:jc w:val="both"/>
        <w:rPr>
          <w:rFonts w:ascii="Times New Roman" w:hAnsi="Times New Roman"/>
          <w:sz w:val="22"/>
          <w:szCs w:val="22"/>
        </w:rPr>
      </w:pPr>
    </w:p>
    <w:tbl>
      <w:tblPr>
        <w:tblStyle w:val="TableGrid"/>
        <w:tblW w:w="0" w:type="auto"/>
        <w:tblLook w:val="0600"/>
      </w:tblPr>
      <w:tblGrid>
        <w:gridCol w:w="9283"/>
      </w:tblGrid>
      <w:tr w:rsidR="00144315" w:rsidTr="006879C9">
        <w:tc>
          <w:tcPr>
            <w:tcW w:w="0" w:type="auto"/>
          </w:tcPr>
          <w:p w:rsidR="00144315" w:rsidRDefault="00144315" w:rsidP="006879C9">
            <w:pPr>
              <w:spacing w:before="240" w:line="360" w:lineRule="auto"/>
              <w:jc w:val="both"/>
              <w:rPr>
                <w:rFonts w:ascii="Times New Roman" w:hAnsi="Times New Roman"/>
              </w:rPr>
            </w:pPr>
            <w:r>
              <w:rPr>
                <w:rFonts w:ascii="Times New Roman" w:hAnsi="Times New Roman"/>
              </w:rPr>
              <w:t>Firm years o</w:t>
            </w:r>
            <w:r w:rsidRPr="00B462AF">
              <w:rPr>
                <w:rFonts w:ascii="Times New Roman" w:hAnsi="Times New Roman"/>
              </w:rPr>
              <w:t xml:space="preserve">bservations collected from Compustat and Audit Analytics for the period 2007 - 2013 </w:t>
            </w:r>
            <w:r>
              <w:rPr>
                <w:rFonts w:ascii="Times New Roman" w:hAnsi="Times New Roman"/>
              </w:rPr>
              <w:t xml:space="preserve">             </w:t>
            </w:r>
            <w:r w:rsidRPr="0096651D">
              <w:rPr>
                <w:rFonts w:ascii="Times New Roman" w:hAnsi="Times New Roman"/>
                <w:szCs w:val="22"/>
              </w:rPr>
              <w:t>1</w:t>
            </w:r>
            <w:r>
              <w:rPr>
                <w:rFonts w:ascii="Times New Roman" w:hAnsi="Times New Roman"/>
                <w:szCs w:val="22"/>
              </w:rPr>
              <w:t>3259</w:t>
            </w:r>
          </w:p>
          <w:p w:rsidR="00144315" w:rsidRDefault="00144315" w:rsidP="006879C9">
            <w:pPr>
              <w:spacing w:before="240" w:line="360" w:lineRule="auto"/>
              <w:rPr>
                <w:rFonts w:ascii="Times New Roman" w:hAnsi="Times New Roman"/>
                <w:szCs w:val="22"/>
              </w:rPr>
            </w:pPr>
            <w:r>
              <w:rPr>
                <w:rFonts w:ascii="Times New Roman" w:hAnsi="Times New Roman"/>
              </w:rPr>
              <w:t>-Missing necessary data (e.g. amongst others total assets and current liabilities)</w:t>
            </w:r>
            <w:r>
              <w:rPr>
                <w:rFonts w:ascii="Times New Roman" w:hAnsi="Times New Roman"/>
                <w:szCs w:val="22"/>
              </w:rPr>
              <w:t xml:space="preserve">                                             </w:t>
            </w:r>
            <w:r w:rsidRPr="0096651D">
              <w:rPr>
                <w:rFonts w:ascii="Times New Roman" w:hAnsi="Times New Roman"/>
                <w:szCs w:val="22"/>
              </w:rPr>
              <w:t>-</w:t>
            </w:r>
            <w:r>
              <w:rPr>
                <w:rFonts w:ascii="Times New Roman" w:hAnsi="Times New Roman"/>
                <w:szCs w:val="22"/>
              </w:rPr>
              <w:t>1919</w:t>
            </w:r>
          </w:p>
          <w:p w:rsidR="00144315" w:rsidRDefault="00144315" w:rsidP="006879C9">
            <w:pPr>
              <w:spacing w:before="240" w:line="360" w:lineRule="auto"/>
              <w:rPr>
                <w:rFonts w:ascii="Times New Roman" w:hAnsi="Times New Roman"/>
                <w:szCs w:val="22"/>
              </w:rPr>
            </w:pPr>
            <w:r>
              <w:rPr>
                <w:rFonts w:ascii="Times New Roman" w:hAnsi="Times New Roman"/>
                <w:szCs w:val="22"/>
              </w:rPr>
              <w:t>-Less than 10 firm-year observation within an industry                                                                                        -51</w:t>
            </w:r>
          </w:p>
          <w:p w:rsidR="00144315" w:rsidRDefault="00144315" w:rsidP="006879C9">
            <w:pPr>
              <w:spacing w:before="240" w:line="360" w:lineRule="auto"/>
              <w:rPr>
                <w:rFonts w:ascii="Times New Roman" w:hAnsi="Times New Roman"/>
              </w:rPr>
            </w:pPr>
            <w:r>
              <w:rPr>
                <w:rFonts w:ascii="Times New Roman" w:hAnsi="Times New Roman"/>
              </w:rPr>
              <w:t xml:space="preserve">-Exclude SIC 6000-6999                                                                                                                                    </w:t>
            </w:r>
            <w:r>
              <w:rPr>
                <w:rFonts w:ascii="Times New Roman" w:hAnsi="Times New Roman"/>
                <w:szCs w:val="22"/>
              </w:rPr>
              <w:t>-1153</w:t>
            </w:r>
          </w:p>
          <w:p w:rsidR="00144315" w:rsidRPr="0096651D" w:rsidRDefault="00144315" w:rsidP="006879C9">
            <w:pPr>
              <w:spacing w:before="240" w:line="360" w:lineRule="auto"/>
              <w:jc w:val="both"/>
              <w:rPr>
                <w:rFonts w:ascii="Times New Roman" w:hAnsi="Times New Roman"/>
                <w:szCs w:val="22"/>
              </w:rPr>
            </w:pPr>
            <w:r>
              <w:rPr>
                <w:rFonts w:ascii="Times New Roman" w:hAnsi="Times New Roman"/>
              </w:rPr>
              <w:t xml:space="preserve">Total sample                                                                                                                                                      </w:t>
            </w:r>
            <w:r w:rsidRPr="0096651D">
              <w:rPr>
                <w:rFonts w:ascii="Times New Roman" w:hAnsi="Times New Roman"/>
                <w:szCs w:val="22"/>
              </w:rPr>
              <w:t>1</w:t>
            </w:r>
            <w:r>
              <w:rPr>
                <w:rFonts w:ascii="Times New Roman" w:hAnsi="Times New Roman"/>
                <w:szCs w:val="22"/>
              </w:rPr>
              <w:t>0136</w:t>
            </w:r>
          </w:p>
        </w:tc>
      </w:tr>
    </w:tbl>
    <w:p w:rsidR="00144315" w:rsidRPr="0096651D" w:rsidRDefault="00144315" w:rsidP="00144315">
      <w:pPr>
        <w:spacing w:line="360" w:lineRule="auto"/>
        <w:jc w:val="center"/>
        <w:rPr>
          <w:rFonts w:ascii="Times New Roman" w:hAnsi="Times New Roman"/>
          <w:sz w:val="18"/>
          <w:szCs w:val="18"/>
        </w:rPr>
      </w:pPr>
      <w:r w:rsidRPr="0096651D">
        <w:rPr>
          <w:rFonts w:ascii="Times New Roman" w:hAnsi="Times New Roman"/>
          <w:sz w:val="18"/>
          <w:szCs w:val="18"/>
        </w:rPr>
        <w:t xml:space="preserve">Table </w:t>
      </w:r>
      <w:r w:rsidR="004A36DA">
        <w:rPr>
          <w:rFonts w:ascii="Times New Roman" w:hAnsi="Times New Roman"/>
          <w:sz w:val="18"/>
          <w:szCs w:val="18"/>
        </w:rPr>
        <w:fldChar w:fldCharType="begin"/>
      </w:r>
      <w:r>
        <w:rPr>
          <w:rFonts w:ascii="Times New Roman" w:hAnsi="Times New Roman"/>
          <w:sz w:val="18"/>
          <w:szCs w:val="18"/>
        </w:rPr>
        <w:instrText xml:space="preserve"> SEQ Table \* ARABIC </w:instrText>
      </w:r>
      <w:r w:rsidR="004A36DA">
        <w:rPr>
          <w:rFonts w:ascii="Times New Roman" w:hAnsi="Times New Roman"/>
          <w:sz w:val="18"/>
          <w:szCs w:val="18"/>
        </w:rPr>
        <w:fldChar w:fldCharType="separate"/>
      </w:r>
      <w:r w:rsidR="0033247F">
        <w:rPr>
          <w:rFonts w:ascii="Times New Roman" w:hAnsi="Times New Roman"/>
          <w:noProof/>
          <w:sz w:val="18"/>
          <w:szCs w:val="18"/>
        </w:rPr>
        <w:t>1</w:t>
      </w:r>
      <w:r w:rsidR="004A36DA">
        <w:rPr>
          <w:rFonts w:ascii="Times New Roman" w:hAnsi="Times New Roman"/>
          <w:sz w:val="18"/>
          <w:szCs w:val="18"/>
        </w:rPr>
        <w:fldChar w:fldCharType="end"/>
      </w:r>
      <w:r w:rsidRPr="0096651D">
        <w:rPr>
          <w:rFonts w:ascii="Times New Roman" w:hAnsi="Times New Roman"/>
          <w:sz w:val="18"/>
          <w:szCs w:val="18"/>
        </w:rPr>
        <w:t xml:space="preserve"> Data elimination procedure</w:t>
      </w:r>
    </w:p>
    <w:p w:rsidR="00144315" w:rsidRDefault="00144315" w:rsidP="00144315"/>
    <w:p w:rsidR="00144315" w:rsidRPr="002321D2" w:rsidRDefault="00144315" w:rsidP="00144315">
      <w:pPr>
        <w:spacing w:after="240" w:line="360" w:lineRule="auto"/>
        <w:jc w:val="both"/>
        <w:rPr>
          <w:rFonts w:ascii="Times New Roman" w:hAnsi="Times New Roman"/>
          <w:sz w:val="22"/>
          <w:szCs w:val="22"/>
        </w:rPr>
      </w:pPr>
      <w:r>
        <w:rPr>
          <w:rFonts w:ascii="Times New Roman" w:hAnsi="Times New Roman"/>
          <w:sz w:val="22"/>
          <w:szCs w:val="22"/>
        </w:rPr>
        <w:t xml:space="preserve">Following the client complexity classification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"ITEM-1", "issued" : { "date-parts" : [ [ "2013" ] ] }, "title" : "Auditor Industry Specialization and Evidence of Cost Efficiencies in Homogenous Industries", "type" : "article-journal" }, "uris" : [ "http://www.mendeley.com/documents/?uuid=472adb44-fa27-4ee2-ac6b-711b33ac2bf3" ] } ], "mendeley" : { "previouslyFormattedCitation" : "(Bills et al., 2013)" }, "properties" : { "noteIndex" : 0 }, "schema" : "https://github.com/citation-style-language/schema/raw/master/csl-citation.json" }</w:instrText>
      </w:r>
      <w:r w:rsidR="004A36DA">
        <w:rPr>
          <w:rFonts w:ascii="Times New Roman" w:hAnsi="Times New Roman"/>
          <w:sz w:val="22"/>
          <w:szCs w:val="22"/>
        </w:rPr>
        <w:fldChar w:fldCharType="separate"/>
      </w:r>
      <w:r w:rsidRPr="00B632F4">
        <w:rPr>
          <w:rFonts w:ascii="Times New Roman" w:hAnsi="Times New Roman"/>
          <w:noProof/>
          <w:sz w:val="22"/>
          <w:szCs w:val="22"/>
        </w:rPr>
        <w:t>(Bills et al., 2013)</w:t>
      </w:r>
      <w:r w:rsidR="004A36DA">
        <w:rPr>
          <w:rFonts w:ascii="Times New Roman" w:hAnsi="Times New Roman"/>
          <w:sz w:val="22"/>
          <w:szCs w:val="22"/>
        </w:rPr>
        <w:fldChar w:fldCharType="end"/>
      </w:r>
      <w:r>
        <w:rPr>
          <w:rFonts w:ascii="Times New Roman" w:hAnsi="Times New Roman"/>
          <w:sz w:val="22"/>
          <w:szCs w:val="22"/>
        </w:rPr>
        <w:t>, companies from industries with complicated operations or accounting requirements are labeled as complex. These industries are presented in the next table; the industry specialists in addition are included.</w:t>
      </w:r>
    </w:p>
    <w:tbl>
      <w:tblPr>
        <w:tblStyle w:val="TableGrid"/>
        <w:tblW w:w="0" w:type="auto"/>
        <w:jc w:val="center"/>
        <w:tblLook w:val="04A0"/>
      </w:tblPr>
      <w:tblGrid>
        <w:gridCol w:w="2179"/>
        <w:gridCol w:w="3299"/>
        <w:gridCol w:w="2612"/>
      </w:tblGrid>
      <w:tr w:rsidR="00144315" w:rsidTr="006879C9">
        <w:trPr>
          <w:jc w:val="center"/>
        </w:trPr>
        <w:tc>
          <w:tcPr>
            <w:tcW w:w="0" w:type="auto"/>
          </w:tcPr>
          <w:p w:rsidR="00144315" w:rsidRPr="002321D2" w:rsidRDefault="00144315" w:rsidP="006879C9">
            <w:pPr>
              <w:spacing w:line="360" w:lineRule="auto"/>
              <w:rPr>
                <w:rFonts w:ascii="Cambria" w:hAnsi="Cambria"/>
                <w:b/>
                <w:sz w:val="22"/>
                <w:szCs w:val="22"/>
              </w:rPr>
            </w:pPr>
            <w:r w:rsidRPr="002321D2">
              <w:rPr>
                <w:rFonts w:ascii="Cambria" w:hAnsi="Cambria"/>
                <w:b/>
                <w:sz w:val="22"/>
                <w:szCs w:val="22"/>
              </w:rPr>
              <w:t>SIC Codes (2-digits)</w:t>
            </w:r>
          </w:p>
        </w:tc>
        <w:tc>
          <w:tcPr>
            <w:tcW w:w="0" w:type="auto"/>
          </w:tcPr>
          <w:p w:rsidR="00144315" w:rsidRPr="002321D2" w:rsidRDefault="00144315" w:rsidP="006879C9">
            <w:pPr>
              <w:spacing w:line="360" w:lineRule="auto"/>
              <w:rPr>
                <w:rFonts w:ascii="Cambria" w:hAnsi="Cambria"/>
                <w:b/>
                <w:sz w:val="22"/>
                <w:szCs w:val="22"/>
              </w:rPr>
            </w:pPr>
            <w:r w:rsidRPr="002321D2">
              <w:rPr>
                <w:rFonts w:ascii="Cambria" w:hAnsi="Cambria"/>
                <w:b/>
                <w:sz w:val="22"/>
                <w:szCs w:val="22"/>
              </w:rPr>
              <w:t>Industry Description</w:t>
            </w:r>
          </w:p>
        </w:tc>
        <w:tc>
          <w:tcPr>
            <w:tcW w:w="0" w:type="auto"/>
          </w:tcPr>
          <w:p w:rsidR="00144315" w:rsidRPr="002321D2" w:rsidRDefault="00144315" w:rsidP="006879C9">
            <w:pPr>
              <w:spacing w:line="360" w:lineRule="auto"/>
              <w:rPr>
                <w:rFonts w:ascii="Cambria" w:hAnsi="Cambria"/>
                <w:b/>
                <w:sz w:val="22"/>
                <w:szCs w:val="22"/>
              </w:rPr>
            </w:pPr>
            <w:r w:rsidRPr="002321D2">
              <w:rPr>
                <w:rFonts w:ascii="Cambria" w:hAnsi="Cambria"/>
                <w:b/>
                <w:sz w:val="22"/>
                <w:szCs w:val="22"/>
              </w:rPr>
              <w:t>Specialized audit firms</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1</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Agricultural Production Crops</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EY, Deloitte</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7</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Agricultural Services</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13</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Oil And Gas Extraction</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EY, 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15</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Building Construction</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EY, Deloitte</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16</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Heavy Construction</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EY</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17</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Construction Special</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EY, Deloitte</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37</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Transportation Equipment</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Deloitte, 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45</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Air Transportation</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EY</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73</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Business Services</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EY, Deloitte, 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lastRenderedPageBreak/>
              <w:t>79</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Amusement Recreation</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EY, 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80</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Health Services</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PwC, EY, Deloitte, KPMG</w:t>
            </w:r>
          </w:p>
        </w:tc>
      </w:tr>
      <w:tr w:rsidR="00144315" w:rsidTr="006879C9">
        <w:trPr>
          <w:jc w:val="center"/>
        </w:trPr>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hAnsi="Times New Roman"/>
                <w:sz w:val="22"/>
                <w:szCs w:val="22"/>
              </w:rPr>
              <w:t>87</w:t>
            </w:r>
          </w:p>
        </w:tc>
        <w:tc>
          <w:tcPr>
            <w:tcW w:w="0" w:type="auto"/>
          </w:tcPr>
          <w:p w:rsidR="00144315" w:rsidRPr="002321D2" w:rsidRDefault="00144315" w:rsidP="006879C9">
            <w:pPr>
              <w:spacing w:line="360" w:lineRule="auto"/>
              <w:rPr>
                <w:rFonts w:ascii="Times New Roman" w:hAnsi="Times New Roman"/>
                <w:sz w:val="22"/>
                <w:szCs w:val="22"/>
              </w:rPr>
            </w:pPr>
            <w:r w:rsidRPr="002321D2">
              <w:rPr>
                <w:rFonts w:ascii="Times New Roman" w:eastAsiaTheme="minorEastAsia" w:hAnsi="Times New Roman"/>
              </w:rPr>
              <w:t>Engineering and Accounting Research</w:t>
            </w:r>
          </w:p>
        </w:tc>
        <w:tc>
          <w:tcPr>
            <w:tcW w:w="0" w:type="auto"/>
          </w:tcPr>
          <w:p w:rsidR="00144315" w:rsidRPr="002321D2" w:rsidRDefault="00144315" w:rsidP="006879C9">
            <w:pPr>
              <w:keepNext/>
              <w:spacing w:line="360" w:lineRule="auto"/>
              <w:rPr>
                <w:rFonts w:ascii="Times New Roman" w:hAnsi="Times New Roman"/>
                <w:sz w:val="22"/>
                <w:szCs w:val="22"/>
              </w:rPr>
            </w:pPr>
            <w:r w:rsidRPr="002321D2">
              <w:rPr>
                <w:rFonts w:ascii="Times New Roman" w:hAnsi="Times New Roman"/>
                <w:sz w:val="22"/>
                <w:szCs w:val="22"/>
              </w:rPr>
              <w:t>PwC, EY, Deloitte, KPMG</w:t>
            </w:r>
          </w:p>
        </w:tc>
      </w:tr>
    </w:tbl>
    <w:p w:rsidR="00144315" w:rsidRDefault="00144315" w:rsidP="00144315">
      <w:pPr>
        <w:pStyle w:val="Caption"/>
        <w:jc w:val="center"/>
        <w:rPr>
          <w:rFonts w:ascii="Times New Roman" w:hAnsi="Times New Roman"/>
          <w:b w:val="0"/>
          <w:noProof/>
          <w:color w:val="auto"/>
        </w:rPr>
      </w:pPr>
      <w:r w:rsidRPr="002321D2">
        <w:rPr>
          <w:rFonts w:ascii="Times New Roman" w:hAnsi="Times New Roman"/>
          <w:b w:val="0"/>
          <w:color w:val="auto"/>
        </w:rPr>
        <w:t xml:space="preserve">Table </w:t>
      </w:r>
      <w:r w:rsidR="004A36DA" w:rsidRPr="002321D2">
        <w:rPr>
          <w:rFonts w:ascii="Times New Roman" w:hAnsi="Times New Roman"/>
          <w:b w:val="0"/>
          <w:color w:val="auto"/>
        </w:rPr>
        <w:fldChar w:fldCharType="begin"/>
      </w:r>
      <w:r w:rsidRPr="002321D2">
        <w:rPr>
          <w:rFonts w:ascii="Times New Roman" w:hAnsi="Times New Roman"/>
          <w:b w:val="0"/>
          <w:color w:val="auto"/>
        </w:rPr>
        <w:instrText xml:space="preserve"> SEQ Table \* ARABIC </w:instrText>
      </w:r>
      <w:r w:rsidR="004A36DA" w:rsidRPr="002321D2">
        <w:rPr>
          <w:rFonts w:ascii="Times New Roman" w:hAnsi="Times New Roman"/>
          <w:b w:val="0"/>
          <w:color w:val="auto"/>
        </w:rPr>
        <w:fldChar w:fldCharType="separate"/>
      </w:r>
      <w:r w:rsidR="0033247F">
        <w:rPr>
          <w:rFonts w:ascii="Times New Roman" w:hAnsi="Times New Roman"/>
          <w:b w:val="0"/>
          <w:noProof/>
          <w:color w:val="auto"/>
        </w:rPr>
        <w:t>2</w:t>
      </w:r>
      <w:r w:rsidR="004A36DA" w:rsidRPr="002321D2">
        <w:rPr>
          <w:rFonts w:ascii="Times New Roman" w:hAnsi="Times New Roman"/>
          <w:b w:val="0"/>
          <w:color w:val="auto"/>
        </w:rPr>
        <w:fldChar w:fldCharType="end"/>
      </w:r>
      <w:r w:rsidRPr="002321D2">
        <w:rPr>
          <w:rFonts w:ascii="Times New Roman" w:hAnsi="Times New Roman"/>
          <w:b w:val="0"/>
          <w:noProof/>
          <w:color w:val="auto"/>
        </w:rPr>
        <w:t xml:space="preserve"> Industry complexity classification and auditor specialization</w:t>
      </w:r>
    </w:p>
    <w:p w:rsidR="00144315" w:rsidRDefault="00144315" w:rsidP="00144315">
      <w:pPr>
        <w:rPr>
          <w:rFonts w:eastAsia="Cambria"/>
        </w:rPr>
      </w:pPr>
    </w:p>
    <w:p w:rsidR="00A23654" w:rsidRDefault="00144315" w:rsidP="00144315">
      <w:pPr>
        <w:spacing w:line="360" w:lineRule="auto"/>
        <w:rPr>
          <w:rFonts w:ascii="Times New Roman" w:hAnsi="Times New Roman"/>
          <w:sz w:val="22"/>
          <w:szCs w:val="22"/>
        </w:rPr>
      </w:pPr>
      <w:r w:rsidRPr="00F71AAE">
        <w:rPr>
          <w:rFonts w:ascii="Times New Roman" w:hAnsi="Times New Roman"/>
          <w:sz w:val="22"/>
          <w:szCs w:val="22"/>
        </w:rPr>
        <w:t xml:space="preserve">This chapter describes the development of the research method that will be used to answer the research question. </w:t>
      </w:r>
      <w:r>
        <w:rPr>
          <w:rFonts w:ascii="Times New Roman" w:hAnsi="Times New Roman"/>
          <w:sz w:val="22"/>
          <w:szCs w:val="22"/>
        </w:rPr>
        <w:t>Additionally, the procedure of sample selection and further classifications are provided. The next chapter will analyze the selected sample in order to test the hypotheses and eventually answer the research question.</w:t>
      </w:r>
    </w:p>
    <w:p w:rsidR="00A23654" w:rsidRDefault="00A23654">
      <w:pPr>
        <w:overflowPunct/>
        <w:autoSpaceDE/>
        <w:autoSpaceDN/>
        <w:adjustRightInd/>
        <w:spacing w:after="200" w:line="276" w:lineRule="auto"/>
        <w:textAlignment w:val="auto"/>
        <w:rPr>
          <w:rFonts w:ascii="Times New Roman" w:hAnsi="Times New Roman"/>
          <w:sz w:val="22"/>
          <w:szCs w:val="22"/>
        </w:rPr>
      </w:pPr>
      <w:r>
        <w:rPr>
          <w:rFonts w:ascii="Times New Roman" w:hAnsi="Times New Roman"/>
          <w:sz w:val="22"/>
          <w:szCs w:val="22"/>
        </w:rPr>
        <w:br w:type="page"/>
      </w:r>
    </w:p>
    <w:p w:rsidR="00A23654" w:rsidRDefault="00A23654" w:rsidP="00A23654">
      <w:pPr>
        <w:pStyle w:val="Title"/>
        <w:spacing w:line="360" w:lineRule="auto"/>
        <w:jc w:val="left"/>
      </w:pPr>
      <w:bookmarkStart w:id="60" w:name="_Toc393872560"/>
      <w:r>
        <w:lastRenderedPageBreak/>
        <w:t>5. Results</w:t>
      </w:r>
      <w:bookmarkEnd w:id="60"/>
      <w:r>
        <w:t xml:space="preserve"> </w:t>
      </w:r>
    </w:p>
    <w:p w:rsidR="00A23654" w:rsidRDefault="00A23654" w:rsidP="00A23654">
      <w:pPr>
        <w:pStyle w:val="Subtitle"/>
        <w:spacing w:line="360" w:lineRule="auto"/>
        <w:jc w:val="left"/>
        <w:rPr>
          <w:rFonts w:ascii="Times New Roman" w:eastAsiaTheme="minorEastAsia" w:hAnsi="Times New Roman"/>
        </w:rPr>
      </w:pPr>
      <w:bookmarkStart w:id="61" w:name="_Toc393872561"/>
      <w:r>
        <w:rPr>
          <w:b/>
        </w:rPr>
        <w:t>5.1 Introduction</w:t>
      </w:r>
      <w:bookmarkEnd w:id="61"/>
    </w:p>
    <w:p w:rsidR="00A23654" w:rsidRDefault="00A23654" w:rsidP="00A23654">
      <w:pPr>
        <w:spacing w:line="360" w:lineRule="auto"/>
        <w:jc w:val="both"/>
        <w:rPr>
          <w:rFonts w:ascii="Times New Roman" w:eastAsiaTheme="minorEastAsia" w:hAnsi="Times New Roman"/>
          <w:sz w:val="22"/>
          <w:szCs w:val="22"/>
        </w:rPr>
      </w:pPr>
      <w:r w:rsidRPr="00D80B6F">
        <w:rPr>
          <w:rFonts w:ascii="Times New Roman" w:eastAsiaTheme="minorEastAsia" w:hAnsi="Times New Roman"/>
          <w:sz w:val="22"/>
          <w:szCs w:val="22"/>
        </w:rPr>
        <w:t xml:space="preserve">This chapter presents the results of the statistical investigation conducted to determine the impacts of </w:t>
      </w:r>
      <w:r>
        <w:rPr>
          <w:rFonts w:ascii="Times New Roman" w:eastAsiaTheme="minorEastAsia" w:hAnsi="Times New Roman"/>
          <w:sz w:val="22"/>
          <w:szCs w:val="22"/>
        </w:rPr>
        <w:t xml:space="preserve">the </w:t>
      </w:r>
      <w:r w:rsidRPr="00D80B6F">
        <w:rPr>
          <w:rFonts w:ascii="Times New Roman" w:eastAsiaTheme="minorEastAsia" w:hAnsi="Times New Roman"/>
          <w:sz w:val="22"/>
          <w:szCs w:val="22"/>
        </w:rPr>
        <w:t xml:space="preserve">auditor industry </w:t>
      </w:r>
      <w:r>
        <w:rPr>
          <w:rFonts w:ascii="Times New Roman" w:eastAsiaTheme="minorEastAsia" w:hAnsi="Times New Roman"/>
          <w:sz w:val="22"/>
          <w:szCs w:val="22"/>
        </w:rPr>
        <w:t>specialization</w:t>
      </w:r>
      <w:r w:rsidRPr="00D80B6F">
        <w:rPr>
          <w:rFonts w:ascii="Times New Roman" w:eastAsiaTheme="minorEastAsia" w:hAnsi="Times New Roman"/>
          <w:sz w:val="22"/>
          <w:szCs w:val="22"/>
        </w:rPr>
        <w:t xml:space="preserve"> on the association between </w:t>
      </w:r>
      <w:r>
        <w:rPr>
          <w:rFonts w:ascii="Times New Roman" w:eastAsiaTheme="minorEastAsia" w:hAnsi="Times New Roman"/>
          <w:sz w:val="22"/>
          <w:szCs w:val="22"/>
        </w:rPr>
        <w:t xml:space="preserve">the </w:t>
      </w:r>
      <w:r w:rsidRPr="00D80B6F">
        <w:rPr>
          <w:rFonts w:ascii="Times New Roman" w:eastAsiaTheme="minorEastAsia" w:hAnsi="Times New Roman"/>
          <w:sz w:val="22"/>
          <w:szCs w:val="22"/>
        </w:rPr>
        <w:t>audit client complexity and the audit fee among U.S. listed firms. First,</w:t>
      </w:r>
      <w:r w:rsidRPr="00737CAF">
        <w:rPr>
          <w:rFonts w:ascii="Times New Roman" w:eastAsiaTheme="minorEastAsia" w:hAnsi="Times New Roman"/>
          <w:sz w:val="22"/>
          <w:szCs w:val="22"/>
        </w:rPr>
        <w:t xml:space="preserve"> </w:t>
      </w:r>
      <w:r>
        <w:rPr>
          <w:rFonts w:ascii="Times New Roman" w:eastAsiaTheme="minorEastAsia" w:hAnsi="Times New Roman"/>
          <w:sz w:val="22"/>
          <w:szCs w:val="22"/>
        </w:rPr>
        <w:t>to examine if the sample fulfills the requirements,</w:t>
      </w:r>
      <w:r w:rsidRPr="00D80B6F">
        <w:rPr>
          <w:rFonts w:ascii="Times New Roman" w:eastAsiaTheme="minorEastAsia" w:hAnsi="Times New Roman"/>
          <w:sz w:val="22"/>
          <w:szCs w:val="22"/>
        </w:rPr>
        <w:t xml:space="preserve"> </w:t>
      </w:r>
      <w:r>
        <w:rPr>
          <w:rFonts w:ascii="Times New Roman" w:eastAsiaTheme="minorEastAsia" w:hAnsi="Times New Roman"/>
          <w:sz w:val="22"/>
          <w:szCs w:val="22"/>
        </w:rPr>
        <w:t>the necessary assumptions of the sample are tested</w:t>
      </w:r>
      <w:r w:rsidRPr="00D80B6F">
        <w:rPr>
          <w:rFonts w:ascii="Times New Roman" w:eastAsiaTheme="minorEastAsia" w:hAnsi="Times New Roman"/>
          <w:sz w:val="22"/>
          <w:szCs w:val="22"/>
        </w:rPr>
        <w:t xml:space="preserve">. Second, the evidence of the regression analyses of the determinants for </w:t>
      </w:r>
      <w:r>
        <w:rPr>
          <w:rFonts w:ascii="Times New Roman" w:eastAsiaTheme="minorEastAsia" w:hAnsi="Times New Roman"/>
          <w:sz w:val="22"/>
          <w:szCs w:val="22"/>
        </w:rPr>
        <w:t xml:space="preserve">the </w:t>
      </w:r>
      <w:r w:rsidRPr="00D80B6F">
        <w:rPr>
          <w:rFonts w:ascii="Times New Roman" w:eastAsiaTheme="minorEastAsia" w:hAnsi="Times New Roman"/>
          <w:sz w:val="22"/>
          <w:szCs w:val="22"/>
        </w:rPr>
        <w:t>audit fee will be</w:t>
      </w:r>
      <w:r>
        <w:rPr>
          <w:rFonts w:ascii="Times New Roman" w:eastAsiaTheme="minorEastAsia" w:hAnsi="Times New Roman"/>
          <w:sz w:val="22"/>
          <w:szCs w:val="22"/>
        </w:rPr>
        <w:t xml:space="preserve"> presented</w:t>
      </w:r>
      <w:r w:rsidRPr="00D80B6F">
        <w:rPr>
          <w:rFonts w:ascii="Times New Roman" w:eastAsiaTheme="minorEastAsia" w:hAnsi="Times New Roman"/>
          <w:sz w:val="22"/>
          <w:szCs w:val="22"/>
        </w:rPr>
        <w:t>.</w:t>
      </w:r>
      <w:r>
        <w:rPr>
          <w:rFonts w:ascii="Times New Roman" w:eastAsiaTheme="minorEastAsia" w:hAnsi="Times New Roman"/>
          <w:sz w:val="22"/>
          <w:szCs w:val="22"/>
        </w:rPr>
        <w:t xml:space="preserve"> </w:t>
      </w:r>
      <w:r w:rsidRPr="00D80B6F">
        <w:rPr>
          <w:rFonts w:ascii="Times New Roman" w:eastAsiaTheme="minorEastAsia" w:hAnsi="Times New Roman"/>
          <w:sz w:val="22"/>
          <w:szCs w:val="22"/>
        </w:rPr>
        <w:t>Additionally,</w:t>
      </w:r>
      <w:r w:rsidRPr="006707CD">
        <w:t xml:space="preserve"> </w:t>
      </w:r>
      <w:r>
        <w:rPr>
          <w:rFonts w:ascii="Times New Roman" w:eastAsiaTheme="minorEastAsia" w:hAnsi="Times New Roman"/>
          <w:sz w:val="22"/>
          <w:szCs w:val="22"/>
        </w:rPr>
        <w:t>the evidence is interpreted to determine whether the hypotheses should be accepted or rejected.</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pStyle w:val="Subtitle"/>
        <w:spacing w:line="360" w:lineRule="auto"/>
        <w:ind w:left="374" w:hanging="374"/>
        <w:jc w:val="left"/>
        <w:rPr>
          <w:b/>
        </w:rPr>
      </w:pPr>
      <w:bookmarkStart w:id="62" w:name="_Toc393872562"/>
      <w:r>
        <w:rPr>
          <w:b/>
        </w:rPr>
        <w:t xml:space="preserve">5.2 Assumptions for </w:t>
      </w:r>
      <w:r w:rsidR="004228D1">
        <w:rPr>
          <w:b/>
        </w:rPr>
        <w:t>R</w:t>
      </w:r>
      <w:r>
        <w:rPr>
          <w:b/>
        </w:rPr>
        <w:t xml:space="preserve">egression </w:t>
      </w:r>
      <w:r w:rsidR="004228D1">
        <w:rPr>
          <w:b/>
        </w:rPr>
        <w:t>A</w:t>
      </w:r>
      <w:r>
        <w:rPr>
          <w:b/>
        </w:rPr>
        <w:t>nalysis</w:t>
      </w:r>
      <w:bookmarkEnd w:id="62"/>
    </w:p>
    <w:p w:rsidR="00A23654" w:rsidRDefault="00A23654" w:rsidP="00A23654">
      <w:pPr>
        <w:spacing w:after="240"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Several assumptions of multiple regressions exist that have to be fulfilled. A failure in one of the assumptions will disturb the validity and the correctness of the regression model. All of these assumptions are tested and necessary corrections are performed. The procedures are described in the paragraph below. </w:t>
      </w:r>
    </w:p>
    <w:p w:rsidR="00A23654" w:rsidRPr="00A23654" w:rsidRDefault="00A23654" w:rsidP="00A23654">
      <w:pPr>
        <w:spacing w:after="240" w:line="360" w:lineRule="auto"/>
        <w:jc w:val="both"/>
        <w:rPr>
          <w:rStyle w:val="SubtleEmphasis"/>
          <w:rFonts w:asciiTheme="majorHAnsi" w:eastAsia="Cambria" w:hAnsiTheme="majorHAnsi"/>
          <w:b/>
          <w:sz w:val="24"/>
          <w:szCs w:val="24"/>
        </w:rPr>
      </w:pPr>
      <w:r w:rsidRPr="00A23654">
        <w:rPr>
          <w:rStyle w:val="SubtleEmphasis"/>
          <w:rFonts w:asciiTheme="majorHAnsi" w:eastAsia="Cambria" w:hAnsiTheme="majorHAnsi"/>
          <w:b/>
          <w:sz w:val="24"/>
          <w:szCs w:val="24"/>
        </w:rPr>
        <w:t xml:space="preserve">5.2.1 The </w:t>
      </w:r>
      <w:r w:rsidR="004228D1">
        <w:rPr>
          <w:rStyle w:val="SubtleEmphasis"/>
          <w:rFonts w:asciiTheme="majorHAnsi" w:eastAsia="Cambria" w:hAnsiTheme="majorHAnsi"/>
          <w:b/>
          <w:sz w:val="24"/>
          <w:szCs w:val="24"/>
        </w:rPr>
        <w:t>A</w:t>
      </w:r>
      <w:r w:rsidRPr="00A23654">
        <w:rPr>
          <w:rStyle w:val="SubtleEmphasis"/>
          <w:rFonts w:asciiTheme="majorHAnsi" w:eastAsia="Cambria" w:hAnsiTheme="majorHAnsi"/>
          <w:b/>
          <w:sz w:val="24"/>
          <w:szCs w:val="24"/>
        </w:rPr>
        <w:t>ssumptions</w:t>
      </w:r>
    </w:p>
    <w:p w:rsidR="00A23654" w:rsidRDefault="00A23654" w:rsidP="00A23654">
      <w:pPr>
        <w:spacing w:after="240" w:line="360" w:lineRule="auto"/>
        <w:jc w:val="both"/>
        <w:rPr>
          <w:rFonts w:ascii="Times New Roman" w:eastAsiaTheme="minorEastAsia" w:hAnsi="Times New Roman"/>
          <w:sz w:val="22"/>
          <w:szCs w:val="22"/>
        </w:rPr>
      </w:pPr>
      <w:r w:rsidRPr="00F52D03">
        <w:rPr>
          <w:rFonts w:ascii="Times New Roman" w:eastAsiaTheme="minorEastAsia" w:hAnsi="Times New Roman"/>
          <w:sz w:val="22"/>
          <w:szCs w:val="22"/>
        </w:rPr>
        <w:t xml:space="preserve">First, </w:t>
      </w:r>
      <w:r>
        <w:rPr>
          <w:rFonts w:ascii="Times New Roman" w:eastAsiaTheme="minorEastAsia" w:hAnsi="Times New Roman"/>
          <w:sz w:val="22"/>
          <w:szCs w:val="22"/>
        </w:rPr>
        <w:t>in order to ensure the validity of the research outcome, outliers should be detected and eliminated. An outlier is an observation that does not follow the usual pattern of points, e.g. they are far away from the predicted value.</w:t>
      </w:r>
      <w:r w:rsidRPr="00737CAF">
        <w:rPr>
          <w:rFonts w:ascii="Times New Roman" w:eastAsiaTheme="minorEastAsia" w:hAnsi="Times New Roman"/>
          <w:sz w:val="22"/>
          <w:szCs w:val="22"/>
        </w:rPr>
        <w:t xml:space="preserve"> </w:t>
      </w:r>
      <w:r>
        <w:rPr>
          <w:rFonts w:ascii="Times New Roman" w:eastAsiaTheme="minorEastAsia" w:hAnsi="Times New Roman"/>
          <w:sz w:val="22"/>
          <w:szCs w:val="22"/>
        </w:rPr>
        <w:t>As they can overstate the coefficient of the determination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2</w:t>
      </w:r>
      <w:r>
        <w:rPr>
          <w:rFonts w:ascii="Times New Roman" w:eastAsiaTheme="minorEastAsia" w:hAnsi="Times New Roman"/>
          <w:sz w:val="22"/>
          <w:szCs w:val="22"/>
        </w:rPr>
        <w:t>), the linear regression technique is highly sensitive to outliers</w:t>
      </w:r>
      <w:r w:rsidRPr="00F52D03">
        <w:rPr>
          <w:rFonts w:ascii="Times New Roman" w:eastAsiaTheme="minorEastAsia" w:hAnsi="Times New Roman"/>
          <w:sz w:val="22"/>
          <w:szCs w:val="22"/>
        </w:rPr>
        <w:t>.</w:t>
      </w:r>
      <w:r w:rsidRPr="00F52D03">
        <w:rPr>
          <w:rFonts w:ascii="Times New Roman" w:hAnsi="Times New Roman"/>
          <w:sz w:val="22"/>
          <w:szCs w:val="22"/>
        </w:rPr>
        <w:t xml:space="preserve"> </w:t>
      </w:r>
      <w:r>
        <w:rPr>
          <w:rFonts w:ascii="Times New Roman" w:hAnsi="Times New Roman"/>
          <w:sz w:val="22"/>
          <w:szCs w:val="22"/>
        </w:rPr>
        <w:t>The outliers are detected by observing the standardized residuals which are greater than 3 times the standard deviation and by using statistical test of Cook’s distance measure</w:t>
      </w:r>
      <w:r w:rsidRPr="00F52D03">
        <w:rPr>
          <w:rFonts w:ascii="Times New Roman" w:eastAsiaTheme="minorEastAsia" w:hAnsi="Times New Roman"/>
          <w:sz w:val="22"/>
          <w:szCs w:val="22"/>
        </w:rPr>
        <w:t>. Second</w:t>
      </w:r>
      <w:r>
        <w:rPr>
          <w:rFonts w:ascii="Times New Roman" w:eastAsiaTheme="minorEastAsia" w:hAnsi="Times New Roman"/>
          <w:sz w:val="22"/>
          <w:szCs w:val="22"/>
        </w:rPr>
        <w:t>, the sample should follow a normal distribution</w:t>
      </w:r>
      <w:r w:rsidRPr="00F52D03">
        <w:rPr>
          <w:rFonts w:ascii="Times New Roman" w:eastAsiaTheme="minorEastAsia" w:hAnsi="Times New Roman"/>
          <w:sz w:val="22"/>
          <w:szCs w:val="22"/>
        </w:rPr>
        <w:t xml:space="preserve">. </w:t>
      </w:r>
      <w:r w:rsidRPr="00F52D03">
        <w:rPr>
          <w:rFonts w:ascii="Times New Roman" w:hAnsi="Times New Roman"/>
          <w:sz w:val="22"/>
          <w:szCs w:val="22"/>
        </w:rPr>
        <w:t xml:space="preserve">To </w:t>
      </w:r>
      <w:r w:rsidRPr="00F52D03">
        <w:rPr>
          <w:rFonts w:ascii="Times New Roman" w:eastAsiaTheme="minorEastAsia" w:hAnsi="Times New Roman"/>
          <w:sz w:val="22"/>
          <w:szCs w:val="22"/>
        </w:rPr>
        <w:t xml:space="preserve">assess the sample distribution this thesis uses </w:t>
      </w:r>
      <w:r>
        <w:rPr>
          <w:rFonts w:ascii="Times New Roman" w:eastAsiaTheme="minorEastAsia" w:hAnsi="Times New Roman"/>
          <w:sz w:val="22"/>
          <w:szCs w:val="22"/>
        </w:rPr>
        <w:t xml:space="preserve">a histogram and a </w:t>
      </w:r>
      <w:r w:rsidRPr="00F52D03">
        <w:rPr>
          <w:rFonts w:ascii="Times New Roman" w:eastAsiaTheme="minorEastAsia" w:hAnsi="Times New Roman"/>
          <w:sz w:val="22"/>
          <w:szCs w:val="22"/>
        </w:rPr>
        <w:t xml:space="preserve">Q_Q plot. </w:t>
      </w:r>
      <w:r>
        <w:rPr>
          <w:rFonts w:ascii="Times New Roman" w:eastAsiaTheme="minorEastAsia" w:hAnsi="Times New Roman"/>
          <w:sz w:val="22"/>
          <w:szCs w:val="22"/>
        </w:rPr>
        <w:t>Third, the assumption of homoscedasticity will be checked. This assumption suggests that the residuals are equal for all values of the dependent variable. The homoscedasticity is checked by using a scatter plot. Fourth, the multicollinearity should be investigated. Multicollinearity occurs when two or more determinants are highly correlated to each other. Multicollinearity is assessed by the inspection of the Pearson correlations and independence of the residuals is assessed by using Durbin-Watson statistic. Finally, the independent variables should be collectively linearly related to the dependent variables and each independent variable should be particular linearly related to the dependent variable as well. This will be tested by inspecting the partial regression plots. The categorical independent variables are ignored.</w:t>
      </w:r>
    </w:p>
    <w:p w:rsidR="00A23654" w:rsidRDefault="00A23654" w:rsidP="00A23654">
      <w:pPr>
        <w:overflowPunct/>
        <w:autoSpaceDE/>
        <w:autoSpaceDN/>
        <w:adjustRightInd/>
        <w:spacing w:after="200" w:line="276" w:lineRule="auto"/>
        <w:textAlignment w:val="auto"/>
        <w:rPr>
          <w:rFonts w:ascii="Cambria" w:eastAsia="Cambria" w:hAnsi="Cambria" w:cs="Cambria"/>
          <w:b/>
          <w:i/>
          <w:color w:val="666666"/>
        </w:rPr>
      </w:pPr>
      <w:r>
        <w:rPr>
          <w:rFonts w:ascii="Cambria" w:eastAsia="Cambria" w:hAnsi="Cambria" w:cs="Cambria"/>
          <w:b/>
          <w:i/>
          <w:color w:val="666666"/>
        </w:rPr>
        <w:br w:type="page"/>
      </w:r>
    </w:p>
    <w:p w:rsidR="00A23654" w:rsidRPr="00A23654" w:rsidRDefault="00A23654" w:rsidP="00A23654">
      <w:pPr>
        <w:spacing w:after="240" w:line="360" w:lineRule="auto"/>
        <w:jc w:val="both"/>
        <w:rPr>
          <w:rStyle w:val="SubtleEmphasis"/>
          <w:rFonts w:asciiTheme="majorHAnsi" w:eastAsia="Cambria" w:hAnsiTheme="majorHAnsi"/>
          <w:b/>
          <w:sz w:val="24"/>
          <w:szCs w:val="24"/>
        </w:rPr>
      </w:pPr>
      <w:r w:rsidRPr="00A23654">
        <w:rPr>
          <w:rStyle w:val="SubtleEmphasis"/>
          <w:rFonts w:asciiTheme="majorHAnsi" w:eastAsia="Cambria" w:hAnsiTheme="majorHAnsi"/>
          <w:b/>
          <w:sz w:val="24"/>
          <w:szCs w:val="24"/>
        </w:rPr>
        <w:lastRenderedPageBreak/>
        <w:t xml:space="preserve">5.2.2 The </w:t>
      </w:r>
      <w:r w:rsidR="004228D1">
        <w:rPr>
          <w:rStyle w:val="SubtleEmphasis"/>
          <w:rFonts w:asciiTheme="majorHAnsi" w:eastAsia="Cambria" w:hAnsiTheme="majorHAnsi"/>
          <w:b/>
          <w:sz w:val="24"/>
          <w:szCs w:val="24"/>
        </w:rPr>
        <w:t>T</w:t>
      </w:r>
      <w:r w:rsidRPr="00A23654">
        <w:rPr>
          <w:rStyle w:val="SubtleEmphasis"/>
          <w:rFonts w:asciiTheme="majorHAnsi" w:eastAsia="Cambria" w:hAnsiTheme="majorHAnsi"/>
          <w:b/>
          <w:sz w:val="24"/>
          <w:szCs w:val="24"/>
        </w:rPr>
        <w:t xml:space="preserve">est of </w:t>
      </w:r>
      <w:r w:rsidR="004228D1">
        <w:rPr>
          <w:rStyle w:val="SubtleEmphasis"/>
          <w:rFonts w:asciiTheme="majorHAnsi" w:eastAsia="Cambria" w:hAnsiTheme="majorHAnsi"/>
          <w:b/>
          <w:sz w:val="24"/>
          <w:szCs w:val="24"/>
        </w:rPr>
        <w:t>A</w:t>
      </w:r>
      <w:r w:rsidRPr="00A23654">
        <w:rPr>
          <w:rStyle w:val="SubtleEmphasis"/>
          <w:rFonts w:asciiTheme="majorHAnsi" w:eastAsia="Cambria" w:hAnsiTheme="majorHAnsi"/>
          <w:b/>
          <w:sz w:val="24"/>
          <w:szCs w:val="24"/>
        </w:rPr>
        <w:t>ssumptions</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Observations with standardized residuals greater than ±3 standard deviation are treated as an outlier. In total 36 observations exists with the standard deviation is more than 3 times large and consequently should be labeled as outliers, however they are kept for a further investigation of the Cook’s Distance. The Cook’s Distance estimates the influence of an observation when performing the regression analysis. The outlier will be dropped if it is too influential as assessed by the Cook’s Distance. Consequently, the maximum value of Cook’s Distance is 0,647, which suggests that no need exists to perform any corrections as they are below the cutoff guideline of 1. </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In order to be able to run inferential statistics, the sample should be normally distributed. This research used two ways to check for this assumption, a histogram with a superimposed normal curve and a P-P plot. The histogram is presented below.</w:t>
      </w:r>
    </w:p>
    <w:p w:rsidR="0017076D" w:rsidRDefault="00634238" w:rsidP="0017076D">
      <w:pPr>
        <w:keepNext/>
        <w:spacing w:line="360" w:lineRule="auto"/>
        <w:jc w:val="center"/>
      </w:pPr>
      <w:r>
        <w:rPr>
          <w:rFonts w:ascii="Times New Roman" w:eastAsiaTheme="minorEastAsia" w:hAnsi="Times New Roman"/>
          <w:noProof/>
          <w:sz w:val="22"/>
          <w:szCs w:val="22"/>
          <w:lang w:eastAsia="en-US"/>
        </w:rPr>
        <w:drawing>
          <wp:inline distT="0" distB="0" distL="0" distR="0">
            <wp:extent cx="2981325" cy="238885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2658" cy="2389920"/>
                    </a:xfrm>
                    <a:prstGeom prst="rect">
                      <a:avLst/>
                    </a:prstGeom>
                    <a:noFill/>
                  </pic:spPr>
                </pic:pic>
              </a:graphicData>
            </a:graphic>
          </wp:inline>
        </w:drawing>
      </w:r>
    </w:p>
    <w:p w:rsidR="00A23654" w:rsidRPr="0017076D" w:rsidRDefault="0017076D" w:rsidP="0017076D">
      <w:pPr>
        <w:pStyle w:val="Caption"/>
        <w:spacing w:after="240"/>
        <w:jc w:val="center"/>
        <w:rPr>
          <w:rFonts w:ascii="Times New Roman" w:hAnsi="Times New Roman"/>
          <w:b w:val="0"/>
          <w:color w:val="auto"/>
          <w:sz w:val="22"/>
          <w:szCs w:val="22"/>
        </w:rPr>
      </w:pPr>
      <w:r w:rsidRPr="0017076D">
        <w:rPr>
          <w:rFonts w:ascii="Times New Roman" w:hAnsi="Times New Roman"/>
          <w:b w:val="0"/>
          <w:color w:val="auto"/>
        </w:rPr>
        <w:t xml:space="preserve">Figure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Figure \* ARABIC </w:instrText>
      </w:r>
      <w:r w:rsidR="004A36DA" w:rsidRPr="0017076D">
        <w:rPr>
          <w:rFonts w:ascii="Times New Roman" w:hAnsi="Times New Roman"/>
          <w:b w:val="0"/>
          <w:color w:val="auto"/>
        </w:rPr>
        <w:fldChar w:fldCharType="separate"/>
      </w:r>
      <w:r>
        <w:rPr>
          <w:rFonts w:ascii="Times New Roman" w:hAnsi="Times New Roman"/>
          <w:b w:val="0"/>
          <w:noProof/>
          <w:color w:val="auto"/>
        </w:rPr>
        <w:t>2</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Normality histogram </w:t>
      </w:r>
      <w:r w:rsidR="00525D67">
        <w:rPr>
          <w:rFonts w:ascii="Times New Roman" w:hAnsi="Times New Roman"/>
          <w:b w:val="0"/>
          <w:color w:val="auto"/>
        </w:rPr>
        <w:t>Ln</w:t>
      </w:r>
      <w:r w:rsidRPr="0017076D">
        <w:rPr>
          <w:rFonts w:ascii="Times New Roman" w:hAnsi="Times New Roman"/>
          <w:b w:val="0"/>
          <w:color w:val="auto"/>
        </w:rPr>
        <w:t>AF</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Based on the histogram can be observed that the standardized residuals appear to be normally distributed. However,</w:t>
      </w:r>
      <w:r w:rsidRPr="00347BEE">
        <w:rPr>
          <w:rFonts w:ascii="Times New Roman" w:eastAsiaTheme="minorEastAsia" w:hAnsi="Times New Roman"/>
          <w:sz w:val="22"/>
          <w:szCs w:val="22"/>
        </w:rPr>
        <w:t xml:space="preserve"> </w:t>
      </w:r>
      <w:r>
        <w:rPr>
          <w:rFonts w:ascii="Times New Roman" w:eastAsiaTheme="minorEastAsia" w:hAnsi="Times New Roman"/>
          <w:sz w:val="22"/>
          <w:szCs w:val="22"/>
        </w:rPr>
        <w:t>since it could be deceptive because their appearance can be largely dependent on the selection of column width a solely inspection of the histogram for normally distribution might not be enough. Since it is really essential that the residuals are normally distributed,</w:t>
      </w:r>
      <w:r w:rsidRPr="00347BEE">
        <w:rPr>
          <w:rFonts w:ascii="Times New Roman" w:eastAsiaTheme="minorEastAsia" w:hAnsi="Times New Roman"/>
          <w:sz w:val="22"/>
          <w:szCs w:val="22"/>
        </w:rPr>
        <w:t xml:space="preserve"> </w:t>
      </w:r>
      <w:r>
        <w:rPr>
          <w:rFonts w:ascii="Times New Roman" w:eastAsiaTheme="minorEastAsia" w:hAnsi="Times New Roman"/>
          <w:sz w:val="22"/>
          <w:szCs w:val="22"/>
        </w:rPr>
        <w:t>as well to assess the distribution a P-P plot is used. The P-P plot is presented on the next page.</w:t>
      </w:r>
    </w:p>
    <w:p w:rsidR="0017076D" w:rsidRDefault="00634238" w:rsidP="0017076D">
      <w:pPr>
        <w:keepNext/>
        <w:spacing w:line="360" w:lineRule="auto"/>
        <w:jc w:val="center"/>
      </w:pPr>
      <w:r w:rsidRPr="00634238">
        <w:rPr>
          <w:rFonts w:ascii="Times New Roman" w:eastAsiaTheme="minorEastAsia" w:hAnsi="Times New Roman"/>
          <w:noProof/>
          <w:sz w:val="22"/>
          <w:szCs w:val="22"/>
          <w:lang w:eastAsia="en-US"/>
        </w:rPr>
        <w:lastRenderedPageBreak/>
        <w:drawing>
          <wp:inline distT="0" distB="0" distL="0" distR="0">
            <wp:extent cx="3066840" cy="245745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3072309" cy="2461832"/>
                    </a:xfrm>
                    <a:prstGeom prst="rect">
                      <a:avLst/>
                    </a:prstGeom>
                  </pic:spPr>
                </pic:pic>
              </a:graphicData>
            </a:graphic>
          </wp:inline>
        </w:drawing>
      </w:r>
    </w:p>
    <w:p w:rsidR="00A23654" w:rsidRPr="0017076D" w:rsidRDefault="0017076D" w:rsidP="0017076D">
      <w:pPr>
        <w:pStyle w:val="Caption"/>
        <w:spacing w:after="240"/>
        <w:jc w:val="center"/>
        <w:rPr>
          <w:rFonts w:ascii="Times New Roman" w:hAnsi="Times New Roman"/>
          <w:b w:val="0"/>
          <w:color w:val="auto"/>
          <w:sz w:val="22"/>
          <w:szCs w:val="22"/>
        </w:rPr>
      </w:pPr>
      <w:r w:rsidRPr="0017076D">
        <w:rPr>
          <w:rFonts w:ascii="Times New Roman" w:hAnsi="Times New Roman"/>
          <w:b w:val="0"/>
          <w:color w:val="auto"/>
        </w:rPr>
        <w:t xml:space="preserve">Figure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Figure \* ARABIC </w:instrText>
      </w:r>
      <w:r w:rsidR="004A36DA" w:rsidRPr="0017076D">
        <w:rPr>
          <w:rFonts w:ascii="Times New Roman" w:hAnsi="Times New Roman"/>
          <w:b w:val="0"/>
          <w:color w:val="auto"/>
        </w:rPr>
        <w:fldChar w:fldCharType="separate"/>
      </w:r>
      <w:r>
        <w:rPr>
          <w:rFonts w:ascii="Times New Roman" w:hAnsi="Times New Roman"/>
          <w:b w:val="0"/>
          <w:noProof/>
          <w:color w:val="auto"/>
        </w:rPr>
        <w:t>3</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Q_Q plot to assess normality</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When the residuals are normally distributed, the points will be aligned along the diagonal line. Based on this P-P plot, enough evidence exists to approve that the residuals are normally distributed. </w:t>
      </w:r>
    </w:p>
    <w:p w:rsidR="00A23654" w:rsidRDefault="00A23654" w:rsidP="00A23654">
      <w:pPr>
        <w:spacing w:line="360" w:lineRule="auto"/>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The homoscedasticity is assessed by plotting the regression standardized residuals against the regression standardized predicted values and inspect whether the residuals are equally spread over the predicted values of the dependent variable. The scatterplot is showed below.</w:t>
      </w:r>
    </w:p>
    <w:p w:rsidR="0017076D" w:rsidRDefault="00A23654" w:rsidP="0017076D">
      <w:pPr>
        <w:keepNext/>
        <w:spacing w:line="360" w:lineRule="auto"/>
        <w:jc w:val="center"/>
      </w:pPr>
      <w:r w:rsidRPr="00CE781E">
        <w:rPr>
          <w:rFonts w:ascii="Times New Roman" w:eastAsiaTheme="minorEastAsia" w:hAnsi="Times New Roman"/>
          <w:noProof/>
          <w:sz w:val="22"/>
          <w:szCs w:val="22"/>
          <w:lang w:eastAsia="en-US"/>
        </w:rPr>
        <w:drawing>
          <wp:inline distT="0" distB="0" distL="0" distR="0">
            <wp:extent cx="3810000" cy="30529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812079" cy="3054608"/>
                    </a:xfrm>
                    <a:prstGeom prst="rect">
                      <a:avLst/>
                    </a:prstGeom>
                  </pic:spPr>
                </pic:pic>
              </a:graphicData>
            </a:graphic>
          </wp:inline>
        </w:drawing>
      </w:r>
    </w:p>
    <w:p w:rsidR="00A23654" w:rsidRPr="0033247F" w:rsidRDefault="0017076D" w:rsidP="0017076D">
      <w:pPr>
        <w:pStyle w:val="Caption"/>
        <w:spacing w:after="240"/>
        <w:jc w:val="center"/>
        <w:rPr>
          <w:rFonts w:ascii="Times New Roman" w:hAnsi="Times New Roman"/>
          <w:b w:val="0"/>
          <w:color w:val="auto"/>
          <w:sz w:val="22"/>
          <w:szCs w:val="22"/>
        </w:rPr>
      </w:pPr>
      <w:r w:rsidRPr="0033247F">
        <w:rPr>
          <w:rFonts w:ascii="Times New Roman" w:hAnsi="Times New Roman"/>
          <w:b w:val="0"/>
          <w:color w:val="auto"/>
        </w:rPr>
        <w:t xml:space="preserve">Figure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Figure \* ARABIC </w:instrText>
      </w:r>
      <w:r w:rsidR="004A36DA" w:rsidRPr="0033247F">
        <w:rPr>
          <w:rFonts w:ascii="Times New Roman" w:hAnsi="Times New Roman"/>
          <w:b w:val="0"/>
          <w:color w:val="auto"/>
        </w:rPr>
        <w:fldChar w:fldCharType="separate"/>
      </w:r>
      <w:r w:rsidRPr="0033247F">
        <w:rPr>
          <w:rFonts w:ascii="Times New Roman" w:hAnsi="Times New Roman"/>
          <w:b w:val="0"/>
          <w:noProof/>
          <w:color w:val="auto"/>
        </w:rPr>
        <w:t>4</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Scatterplot to assess homoscedasticity</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Based on the scatterplot is visible that the points in the scatterplot are not equally spread, which suggests that heteroscedasticity exists. This implies that the OLS estimations are not the Best Linear Unbiased Estimators (BLUE), although the estimates of variance of coefficients can be biased, however, it does not cause unbiased coefficients estimates Consequently, the results from this OLS </w:t>
      </w:r>
      <w:r>
        <w:rPr>
          <w:rFonts w:ascii="Times New Roman" w:eastAsiaTheme="minorEastAsia" w:hAnsi="Times New Roman"/>
          <w:sz w:val="22"/>
          <w:szCs w:val="22"/>
        </w:rPr>
        <w:lastRenderedPageBreak/>
        <w:t xml:space="preserve">will still be able to provide an unbiased estimation of the relationship between the audit fee determinants and the audit fee. </w:t>
      </w:r>
    </w:p>
    <w:p w:rsidR="00A23654" w:rsidRDefault="00A23654" w:rsidP="00A23654">
      <w:pPr>
        <w:spacing w:line="360" w:lineRule="auto"/>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Next, the multicollinearity is assessed by an inspection of the Pearson correlation coefficients, which are showed in the next table. </w:t>
      </w:r>
    </w:p>
    <w:p w:rsidR="0017076D" w:rsidRDefault="00A23654" w:rsidP="0017076D">
      <w:pPr>
        <w:keepNext/>
        <w:spacing w:line="360" w:lineRule="auto"/>
        <w:jc w:val="both"/>
      </w:pPr>
      <w:r w:rsidRPr="00056678">
        <w:rPr>
          <w:rFonts w:ascii="Times New Roman" w:eastAsiaTheme="minorEastAsia" w:hAnsi="Times New Roman"/>
          <w:noProof/>
          <w:sz w:val="22"/>
          <w:szCs w:val="22"/>
          <w:lang w:eastAsia="en-US"/>
        </w:rPr>
        <w:drawing>
          <wp:inline distT="0" distB="0" distL="0" distR="0">
            <wp:extent cx="5760720" cy="152071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760720" cy="1520717"/>
                    </a:xfrm>
                    <a:prstGeom prst="rect">
                      <a:avLst/>
                    </a:prstGeom>
                  </pic:spPr>
                </pic:pic>
              </a:graphicData>
            </a:graphic>
          </wp:inline>
        </w:drawing>
      </w:r>
    </w:p>
    <w:p w:rsidR="00A23654" w:rsidRPr="0017076D" w:rsidRDefault="0017076D" w:rsidP="0017076D">
      <w:pPr>
        <w:pStyle w:val="Caption"/>
        <w:spacing w:after="240"/>
        <w:jc w:val="center"/>
        <w:rPr>
          <w:rFonts w:ascii="Times New Roman" w:hAnsi="Times New Roman"/>
          <w:b w:val="0"/>
          <w:color w:val="auto"/>
          <w:sz w:val="22"/>
          <w:szCs w:val="22"/>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3</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Correlations among independent variables</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Concerning this research design, a concern of multicollinearity exists among the total assets and the turnover. It is natural to expect a company with high level of total assets will achieve a high amount of turnover as well. Consequently, it is essential to perform multicollinearity test to understand their correlations. A correlation above 0</w:t>
      </w:r>
      <w:r w:rsidR="000712E0">
        <w:rPr>
          <w:rFonts w:ascii="Times New Roman" w:eastAsiaTheme="minorEastAsia" w:hAnsi="Times New Roman"/>
          <w:sz w:val="22"/>
          <w:szCs w:val="22"/>
        </w:rPr>
        <w:t>, 9</w:t>
      </w:r>
      <w:r>
        <w:rPr>
          <w:rFonts w:ascii="Times New Roman" w:eastAsiaTheme="minorEastAsia" w:hAnsi="Times New Roman"/>
          <w:sz w:val="22"/>
          <w:szCs w:val="22"/>
        </w:rPr>
        <w:t xml:space="preserve"> will normally be considered as highly correlated and corrections should be performing. However, the correlation between total assets and turnover is 0,865, which is below the cutoff guideline. Consequently,</w:t>
      </w:r>
      <w:r w:rsidRPr="00530E26">
        <w:rPr>
          <w:rFonts w:ascii="Times New Roman" w:eastAsiaTheme="minorEastAsia" w:hAnsi="Times New Roman"/>
          <w:sz w:val="22"/>
          <w:szCs w:val="22"/>
        </w:rPr>
        <w:t xml:space="preserve"> </w:t>
      </w:r>
      <w:r>
        <w:rPr>
          <w:rFonts w:ascii="Times New Roman" w:eastAsiaTheme="minorEastAsia" w:hAnsi="Times New Roman"/>
          <w:sz w:val="22"/>
          <w:szCs w:val="22"/>
        </w:rPr>
        <w:t xml:space="preserve">since all other variables are not highly correlated with each other as well, no actions are needed. Additionally, independence of residuals exists, as assessed by a Durbin-Watson statistic of 2,025, which belongs to the acceptable range of 1,5 until 2,5. </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Since it is essential that the determinants of the audit fee should be collectively linearly related to the audit fee and in addition each specific determinant is linearly related to the audit fee, the linear relationship in addition is investigates. This is performing by the investigation of the scatterplot for overall and partial regression plots. All of them are showing a linear relationship with the audit fee. Categorical variables in this test are not included. </w:t>
      </w:r>
    </w:p>
    <w:p w:rsidR="00A23654" w:rsidRPr="00A85292" w:rsidRDefault="00A23654" w:rsidP="00A23654"/>
    <w:p w:rsidR="00A23654" w:rsidRPr="00E41A4F" w:rsidRDefault="00A23654" w:rsidP="00A23654">
      <w:pPr>
        <w:pStyle w:val="Subtitle"/>
        <w:spacing w:line="360" w:lineRule="auto"/>
        <w:jc w:val="left"/>
        <w:rPr>
          <w:b/>
        </w:rPr>
      </w:pPr>
      <w:bookmarkStart w:id="63" w:name="_Toc393872563"/>
      <w:r>
        <w:rPr>
          <w:b/>
        </w:rPr>
        <w:t xml:space="preserve">5.3 Mean </w:t>
      </w:r>
      <w:r w:rsidR="004228D1">
        <w:rPr>
          <w:b/>
        </w:rPr>
        <w:t>D</w:t>
      </w:r>
      <w:r>
        <w:rPr>
          <w:b/>
        </w:rPr>
        <w:t xml:space="preserve">ifferences of </w:t>
      </w:r>
      <w:r w:rsidR="004228D1">
        <w:rPr>
          <w:b/>
        </w:rPr>
        <w:t>C</w:t>
      </w:r>
      <w:r>
        <w:rPr>
          <w:b/>
        </w:rPr>
        <w:t xml:space="preserve">lient </w:t>
      </w:r>
      <w:r w:rsidR="004228D1">
        <w:rPr>
          <w:b/>
        </w:rPr>
        <w:t>C</w:t>
      </w:r>
      <w:r>
        <w:rPr>
          <w:b/>
        </w:rPr>
        <w:t xml:space="preserve">omplexity and </w:t>
      </w:r>
      <w:r w:rsidR="004228D1">
        <w:rPr>
          <w:b/>
        </w:rPr>
        <w:t>I</w:t>
      </w:r>
      <w:r>
        <w:rPr>
          <w:b/>
        </w:rPr>
        <w:t xml:space="preserve">ndustry </w:t>
      </w:r>
      <w:r w:rsidR="004228D1">
        <w:rPr>
          <w:b/>
        </w:rPr>
        <w:t>S</w:t>
      </w:r>
      <w:r>
        <w:rPr>
          <w:b/>
        </w:rPr>
        <w:t>pecialists</w:t>
      </w:r>
      <w:bookmarkEnd w:id="63"/>
      <w:r>
        <w:rPr>
          <w:b/>
        </w:rPr>
        <w:t xml:space="preserve"> </w:t>
      </w:r>
    </w:p>
    <w:p w:rsidR="00A23654" w:rsidRDefault="00A23654" w:rsidP="00A23654">
      <w:pPr>
        <w:overflowPunct/>
        <w:spacing w:after="240" w:line="400" w:lineRule="atLeast"/>
        <w:jc w:val="both"/>
        <w:textAlignment w:val="auto"/>
        <w:rPr>
          <w:rFonts w:ascii="Times New Roman" w:eastAsiaTheme="minorEastAsia" w:hAnsi="Times New Roman"/>
          <w:sz w:val="22"/>
          <w:szCs w:val="22"/>
        </w:rPr>
      </w:pPr>
      <w:r>
        <w:rPr>
          <w:rFonts w:ascii="Times New Roman" w:eastAsiaTheme="minorEastAsia" w:hAnsi="Times New Roman"/>
          <w:sz w:val="22"/>
          <w:szCs w:val="22"/>
        </w:rPr>
        <w:t xml:space="preserve">Independent-sample t tests are conducted to examine if a statistical difference exists in the means of the audit fee between the complex and the noncomplex companies and between the specialists and the nonspecialists. </w:t>
      </w:r>
      <w:r w:rsidR="00ED48D1">
        <w:rPr>
          <w:rFonts w:ascii="Times New Roman" w:eastAsiaTheme="minorEastAsia" w:hAnsi="Times New Roman"/>
          <w:sz w:val="22"/>
          <w:szCs w:val="22"/>
        </w:rPr>
        <w:t xml:space="preserve">The </w:t>
      </w:r>
      <w:r w:rsidR="000712E0">
        <w:rPr>
          <w:rFonts w:ascii="Times New Roman" w:eastAsiaTheme="minorEastAsia" w:hAnsi="Times New Roman"/>
          <w:sz w:val="22"/>
          <w:szCs w:val="22"/>
        </w:rPr>
        <w:t>outputs of the tests are</w:t>
      </w:r>
      <w:r w:rsidR="00ED48D1">
        <w:rPr>
          <w:rFonts w:ascii="Times New Roman" w:eastAsiaTheme="minorEastAsia" w:hAnsi="Times New Roman"/>
          <w:sz w:val="22"/>
          <w:szCs w:val="22"/>
        </w:rPr>
        <w:t xml:space="preserve"> provided subsequently. </w:t>
      </w:r>
    </w:p>
    <w:p w:rsidR="0017076D" w:rsidRDefault="00ED48D1" w:rsidP="0017076D">
      <w:pPr>
        <w:keepNext/>
        <w:overflowPunct/>
        <w:spacing w:after="240" w:line="400" w:lineRule="atLeast"/>
        <w:jc w:val="both"/>
        <w:textAlignment w:val="auto"/>
      </w:pPr>
      <w:r w:rsidRPr="00ED48D1">
        <w:rPr>
          <w:rFonts w:ascii="Times New Roman" w:eastAsiaTheme="minorEastAsia" w:hAnsi="Times New Roman"/>
          <w:noProof/>
          <w:sz w:val="22"/>
          <w:szCs w:val="22"/>
          <w:lang w:eastAsia="en-US"/>
        </w:rPr>
        <w:drawing>
          <wp:inline distT="0" distB="0" distL="0" distR="0">
            <wp:extent cx="3248025" cy="73213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3253127" cy="733287"/>
                    </a:xfrm>
                    <a:prstGeom prst="rect">
                      <a:avLst/>
                    </a:prstGeom>
                  </pic:spPr>
                </pic:pic>
              </a:graphicData>
            </a:graphic>
          </wp:inline>
        </w:drawing>
      </w:r>
    </w:p>
    <w:p w:rsidR="00ED48D1" w:rsidRPr="0017076D" w:rsidRDefault="0017076D" w:rsidP="0017076D">
      <w:pPr>
        <w:pStyle w:val="Caption"/>
        <w:rPr>
          <w:rFonts w:ascii="Times New Roman" w:hAnsi="Times New Roman"/>
          <w:b w:val="0"/>
          <w:color w:val="auto"/>
          <w:sz w:val="22"/>
          <w:szCs w:val="22"/>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4</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Independent t</w:t>
      </w:r>
      <w:r w:rsidR="0033247F">
        <w:rPr>
          <w:rFonts w:ascii="Times New Roman" w:hAnsi="Times New Roman"/>
          <w:b w:val="0"/>
          <w:color w:val="auto"/>
        </w:rPr>
        <w:t xml:space="preserve"> test complexity output </w:t>
      </w:r>
    </w:p>
    <w:p w:rsidR="0017076D" w:rsidRDefault="00ED48D1" w:rsidP="0017076D">
      <w:pPr>
        <w:keepNext/>
        <w:overflowPunct/>
        <w:spacing w:after="240" w:line="400" w:lineRule="atLeast"/>
        <w:jc w:val="both"/>
        <w:textAlignment w:val="auto"/>
      </w:pPr>
      <w:r w:rsidRPr="00ED48D1">
        <w:rPr>
          <w:rFonts w:ascii="Times New Roman" w:eastAsiaTheme="minorEastAsia" w:hAnsi="Times New Roman"/>
          <w:noProof/>
          <w:sz w:val="22"/>
          <w:szCs w:val="22"/>
          <w:lang w:eastAsia="en-US"/>
        </w:rPr>
        <w:lastRenderedPageBreak/>
        <w:drawing>
          <wp:inline distT="0" distB="0" distL="0" distR="0">
            <wp:extent cx="5760720" cy="1099351"/>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760720" cy="1099351"/>
                    </a:xfrm>
                    <a:prstGeom prst="rect">
                      <a:avLst/>
                    </a:prstGeom>
                  </pic:spPr>
                </pic:pic>
              </a:graphicData>
            </a:graphic>
          </wp:inline>
        </w:drawing>
      </w:r>
    </w:p>
    <w:p w:rsidR="00ED48D1" w:rsidRPr="0017076D" w:rsidRDefault="0017076D" w:rsidP="0017076D">
      <w:pPr>
        <w:pStyle w:val="Caption"/>
        <w:jc w:val="center"/>
        <w:rPr>
          <w:rFonts w:ascii="Times New Roman" w:hAnsi="Times New Roman"/>
          <w:b w:val="0"/>
          <w:color w:val="auto"/>
          <w:sz w:val="22"/>
          <w:szCs w:val="22"/>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5</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Independent t</w:t>
      </w:r>
      <w:r w:rsidR="0033247F">
        <w:rPr>
          <w:rFonts w:ascii="Times New Roman" w:hAnsi="Times New Roman"/>
          <w:b w:val="0"/>
          <w:color w:val="auto"/>
        </w:rPr>
        <w:t xml:space="preserve"> test complexity output </w:t>
      </w:r>
    </w:p>
    <w:p w:rsidR="00A23654" w:rsidRPr="002B0E73" w:rsidRDefault="00A23654" w:rsidP="00A23654">
      <w:pPr>
        <w:overflowPunct/>
        <w:spacing w:after="240" w:line="400" w:lineRule="atLeast"/>
        <w:jc w:val="both"/>
        <w:textAlignment w:val="auto"/>
        <w:rPr>
          <w:rFonts w:ascii="Times New Roman" w:eastAsiaTheme="minorEastAsia" w:hAnsi="Times New Roman"/>
          <w:sz w:val="22"/>
          <w:szCs w:val="22"/>
        </w:rPr>
      </w:pPr>
      <w:r>
        <w:rPr>
          <w:rFonts w:ascii="Times New Roman" w:eastAsiaTheme="minorEastAsia" w:hAnsi="Times New Roman"/>
          <w:sz w:val="22"/>
          <w:szCs w:val="22"/>
        </w:rPr>
        <w:t>Complex</w:t>
      </w:r>
      <w:r w:rsidRPr="003B7B2E">
        <w:rPr>
          <w:rFonts w:ascii="Times New Roman" w:eastAsiaTheme="minorEastAsia" w:hAnsi="Times New Roman"/>
          <w:sz w:val="22"/>
          <w:szCs w:val="22"/>
        </w:rPr>
        <w:t xml:space="preserve"> companies </w:t>
      </w:r>
      <w:r>
        <w:rPr>
          <w:rFonts w:ascii="Times New Roman" w:eastAsiaTheme="minorEastAsia" w:hAnsi="Times New Roman"/>
          <w:sz w:val="22"/>
          <w:szCs w:val="22"/>
        </w:rPr>
        <w:t xml:space="preserve">are paying more </w:t>
      </w:r>
      <w:r w:rsidRPr="00E41A4F">
        <w:rPr>
          <w:rFonts w:ascii="Times New Roman" w:eastAsiaTheme="minorEastAsia" w:hAnsi="Times New Roman"/>
          <w:sz w:val="22"/>
          <w:szCs w:val="22"/>
        </w:rPr>
        <w:t>audit fee (</w:t>
      </w:r>
      <w:r w:rsidRPr="00E41A4F">
        <w:rPr>
          <w:rFonts w:ascii="Times New Roman" w:eastAsiaTheme="minorEastAsia" w:hAnsi="Times New Roman"/>
          <w:i/>
          <w:sz w:val="22"/>
          <w:szCs w:val="22"/>
        </w:rPr>
        <w:t xml:space="preserve">M = </w:t>
      </w:r>
      <w:r w:rsidRPr="00E41A4F">
        <w:rPr>
          <w:rFonts w:ascii="Times New Roman" w:eastAsiaTheme="minorEastAsia" w:hAnsi="Times New Roman"/>
          <w:sz w:val="22"/>
          <w:szCs w:val="22"/>
        </w:rPr>
        <w:t>13,77</w:t>
      </w:r>
      <w:r w:rsidRPr="00E41A4F">
        <w:rPr>
          <w:rFonts w:ascii="Times New Roman" w:eastAsiaTheme="minorEastAsia" w:hAnsi="Times New Roman"/>
          <w:i/>
          <w:sz w:val="22"/>
          <w:szCs w:val="22"/>
        </w:rPr>
        <w:t xml:space="preserve">, SD </w:t>
      </w:r>
      <w:r w:rsidRPr="00E41A4F">
        <w:rPr>
          <w:rFonts w:ascii="Times New Roman" w:eastAsiaTheme="minorEastAsia" w:hAnsi="Times New Roman"/>
          <w:sz w:val="22"/>
          <w:szCs w:val="22"/>
        </w:rPr>
        <w:t xml:space="preserve">= 1,424) than </w:t>
      </w:r>
      <w:r>
        <w:rPr>
          <w:rFonts w:ascii="Times New Roman" w:eastAsiaTheme="minorEastAsia" w:hAnsi="Times New Roman"/>
          <w:sz w:val="22"/>
          <w:szCs w:val="22"/>
        </w:rPr>
        <w:t>non</w:t>
      </w:r>
      <w:r w:rsidRPr="00E41A4F">
        <w:rPr>
          <w:rFonts w:ascii="Times New Roman" w:eastAsiaTheme="minorEastAsia" w:hAnsi="Times New Roman"/>
          <w:sz w:val="22"/>
          <w:szCs w:val="22"/>
        </w:rPr>
        <w:t>complex companies (</w:t>
      </w:r>
      <w:r w:rsidRPr="00E41A4F">
        <w:rPr>
          <w:rFonts w:ascii="Times New Roman" w:eastAsiaTheme="minorEastAsia" w:hAnsi="Times New Roman"/>
          <w:i/>
          <w:sz w:val="22"/>
          <w:szCs w:val="22"/>
        </w:rPr>
        <w:t xml:space="preserve">M = </w:t>
      </w:r>
      <w:r w:rsidRPr="00E41A4F">
        <w:rPr>
          <w:rFonts w:ascii="Times New Roman" w:eastAsiaTheme="minorEastAsia" w:hAnsi="Times New Roman"/>
          <w:sz w:val="22"/>
          <w:szCs w:val="22"/>
        </w:rPr>
        <w:t>13,65</w:t>
      </w:r>
      <w:r w:rsidRPr="00E41A4F">
        <w:rPr>
          <w:rFonts w:ascii="Times New Roman" w:eastAsiaTheme="minorEastAsia" w:hAnsi="Times New Roman"/>
          <w:i/>
          <w:sz w:val="22"/>
          <w:szCs w:val="22"/>
        </w:rPr>
        <w:t xml:space="preserve">, SD </w:t>
      </w:r>
      <w:r w:rsidRPr="00E41A4F">
        <w:rPr>
          <w:rFonts w:ascii="Times New Roman" w:eastAsiaTheme="minorEastAsia" w:hAnsi="Times New Roman"/>
          <w:sz w:val="22"/>
          <w:szCs w:val="22"/>
        </w:rPr>
        <w:t>= 0,999). However, as assessed by Levene’s test for equally of variances (</w:t>
      </w:r>
      <w:r w:rsidRPr="00E41A4F">
        <w:rPr>
          <w:rFonts w:ascii="Times New Roman" w:eastAsiaTheme="minorEastAsia" w:hAnsi="Times New Roman"/>
          <w:i/>
          <w:sz w:val="22"/>
          <w:szCs w:val="22"/>
        </w:rPr>
        <w:t xml:space="preserve">p </w:t>
      </w:r>
      <w:r w:rsidRPr="00E41A4F">
        <w:rPr>
          <w:rFonts w:ascii="Times New Roman" w:eastAsiaTheme="minorEastAsia" w:hAnsi="Times New Roman"/>
          <w:sz w:val="22"/>
          <w:szCs w:val="22"/>
        </w:rPr>
        <w:t xml:space="preserve">&lt; </w:t>
      </w:r>
      <w:r>
        <w:rPr>
          <w:rFonts w:ascii="Times New Roman" w:eastAsiaTheme="minorEastAsia" w:hAnsi="Times New Roman"/>
          <w:sz w:val="22"/>
          <w:szCs w:val="22"/>
        </w:rPr>
        <w:t>,</w:t>
      </w:r>
      <w:r w:rsidRPr="00E41A4F">
        <w:rPr>
          <w:rFonts w:ascii="Times New Roman" w:eastAsiaTheme="minorEastAsia" w:hAnsi="Times New Roman"/>
          <w:sz w:val="22"/>
          <w:szCs w:val="22"/>
        </w:rPr>
        <w:t xml:space="preserve">0005), the assumption of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homoge</w:t>
      </w:r>
      <w:r>
        <w:rPr>
          <w:rFonts w:ascii="Times New Roman" w:eastAsiaTheme="minorEastAsia" w:hAnsi="Times New Roman"/>
          <w:sz w:val="22"/>
          <w:szCs w:val="22"/>
        </w:rPr>
        <w:t>neity of variances was violated</w:t>
      </w:r>
      <w:r w:rsidRPr="00E41A4F">
        <w:rPr>
          <w:rFonts w:ascii="Times New Roman" w:eastAsiaTheme="minorEastAsia" w:hAnsi="Times New Roman"/>
          <w:sz w:val="22"/>
          <w:szCs w:val="22"/>
        </w:rPr>
        <w:t xml:space="preserve">. Consequently, </w:t>
      </w:r>
      <w:r>
        <w:rPr>
          <w:rFonts w:ascii="Times New Roman" w:eastAsiaTheme="minorEastAsia" w:hAnsi="Times New Roman"/>
          <w:sz w:val="22"/>
          <w:szCs w:val="22"/>
        </w:rPr>
        <w:t xml:space="preserve">concerning </w:t>
      </w:r>
      <w:r w:rsidRPr="00E41A4F">
        <w:rPr>
          <w:rFonts w:ascii="Times New Roman" w:eastAsiaTheme="minorEastAsia" w:hAnsi="Times New Roman"/>
          <w:sz w:val="22"/>
          <w:szCs w:val="22"/>
        </w:rPr>
        <w:t xml:space="preserve">further analysis the results for unequal variances </w:t>
      </w:r>
      <w:r>
        <w:rPr>
          <w:rFonts w:ascii="Times New Roman" w:eastAsiaTheme="minorEastAsia" w:hAnsi="Times New Roman"/>
          <w:sz w:val="22"/>
          <w:szCs w:val="22"/>
        </w:rPr>
        <w:t xml:space="preserve">will be </w:t>
      </w:r>
      <w:r w:rsidRPr="00E41A4F">
        <w:rPr>
          <w:rFonts w:ascii="Times New Roman" w:eastAsiaTheme="minorEastAsia" w:hAnsi="Times New Roman"/>
          <w:sz w:val="22"/>
          <w:szCs w:val="22"/>
        </w:rPr>
        <w:t xml:space="preserve">used. </w:t>
      </w:r>
      <w:r>
        <w:rPr>
          <w:rFonts w:ascii="Times New Roman" w:eastAsiaTheme="minorEastAsia" w:hAnsi="Times New Roman"/>
          <w:sz w:val="22"/>
          <w:szCs w:val="22"/>
        </w:rPr>
        <w:t xml:space="preserve">In </w:t>
      </w:r>
      <w:r w:rsidRPr="00E41A4F">
        <w:rPr>
          <w:rFonts w:ascii="Times New Roman" w:eastAsiaTheme="minorEastAsia" w:hAnsi="Times New Roman"/>
          <w:sz w:val="22"/>
          <w:szCs w:val="22"/>
        </w:rPr>
        <w:t xml:space="preserve">average, the audit fee for complex companies was 0,120, 95% [0,068 to 0,172] higher than the audit fee for noncomplex companies and a statistically significant difference in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 xml:space="preserve">audit fee in average </w:t>
      </w:r>
      <w:r>
        <w:rPr>
          <w:rFonts w:ascii="Times New Roman" w:eastAsiaTheme="minorEastAsia" w:hAnsi="Times New Roman"/>
          <w:sz w:val="22"/>
          <w:szCs w:val="22"/>
        </w:rPr>
        <w:t xml:space="preserve">exists </w:t>
      </w:r>
      <w:r w:rsidRPr="00E41A4F">
        <w:rPr>
          <w:rFonts w:ascii="Times New Roman" w:eastAsiaTheme="minorEastAsia" w:hAnsi="Times New Roman"/>
          <w:sz w:val="22"/>
          <w:szCs w:val="22"/>
        </w:rPr>
        <w:t xml:space="preserve">between complex and noncomplex companies, </w:t>
      </w:r>
      <w:r w:rsidRPr="00E41A4F">
        <w:rPr>
          <w:rFonts w:ascii="Times New Roman" w:eastAsiaTheme="minorEastAsia" w:hAnsi="Times New Roman"/>
          <w:i/>
          <w:sz w:val="22"/>
          <w:szCs w:val="22"/>
        </w:rPr>
        <w:t xml:space="preserve">t </w:t>
      </w:r>
      <w:r w:rsidRPr="00E41A4F">
        <w:rPr>
          <w:rFonts w:ascii="Times New Roman" w:eastAsiaTheme="minorEastAsia" w:hAnsi="Times New Roman"/>
          <w:sz w:val="22"/>
          <w:szCs w:val="22"/>
        </w:rPr>
        <w:t xml:space="preserve">(5844,193) = 4,521, </w:t>
      </w:r>
      <w:r w:rsidRPr="00E41A4F">
        <w:rPr>
          <w:rFonts w:ascii="Times New Roman" w:eastAsiaTheme="minorEastAsia" w:hAnsi="Times New Roman"/>
          <w:i/>
          <w:sz w:val="22"/>
          <w:szCs w:val="22"/>
        </w:rPr>
        <w:t>p</w:t>
      </w:r>
      <w:r w:rsidRPr="00E41A4F">
        <w:rPr>
          <w:rFonts w:ascii="Times New Roman" w:eastAsiaTheme="minorEastAsia" w:hAnsi="Times New Roman"/>
          <w:sz w:val="22"/>
          <w:szCs w:val="22"/>
        </w:rPr>
        <w:t xml:space="preserve"> &lt; .0005. </w:t>
      </w:r>
      <w:r w:rsidR="00634238">
        <w:rPr>
          <w:rFonts w:ascii="Times New Roman" w:eastAsiaTheme="minorEastAsia" w:hAnsi="Times New Roman"/>
          <w:sz w:val="22"/>
          <w:szCs w:val="22"/>
        </w:rPr>
        <w:t xml:space="preserve">The output of the test can be found in Appendix 1. </w:t>
      </w:r>
    </w:p>
    <w:p w:rsidR="00ED48D1" w:rsidRDefault="00A23654" w:rsidP="00A23654">
      <w:pPr>
        <w:overflowPunct/>
        <w:spacing w:after="240" w:line="400" w:lineRule="atLeast"/>
        <w:jc w:val="both"/>
        <w:textAlignment w:val="auto"/>
        <w:rPr>
          <w:rFonts w:ascii="Times New Roman" w:eastAsiaTheme="minorEastAsia" w:hAnsi="Times New Roman"/>
          <w:sz w:val="22"/>
          <w:szCs w:val="22"/>
        </w:rPr>
      </w:pPr>
      <w:r w:rsidRPr="00E41A4F">
        <w:rPr>
          <w:rFonts w:ascii="Times New Roman" w:eastAsiaTheme="minorEastAsia" w:hAnsi="Times New Roman"/>
          <w:sz w:val="22"/>
          <w:szCs w:val="22"/>
        </w:rPr>
        <w:t>In addition</w:t>
      </w:r>
      <w:r w:rsidRPr="003B7B2E">
        <w:rPr>
          <w:rFonts w:ascii="Times New Roman" w:eastAsiaTheme="minorEastAsia" w:hAnsi="Times New Roman"/>
          <w:sz w:val="22"/>
          <w:szCs w:val="22"/>
        </w:rPr>
        <w:t xml:space="preserve"> </w:t>
      </w:r>
      <w:r w:rsidRPr="00E41A4F">
        <w:rPr>
          <w:rFonts w:ascii="Times New Roman" w:eastAsiaTheme="minorEastAsia" w:hAnsi="Times New Roman"/>
          <w:sz w:val="22"/>
          <w:szCs w:val="22"/>
        </w:rPr>
        <w:t xml:space="preserve">the same independent-samples t test was performed </w:t>
      </w:r>
      <w:r>
        <w:rPr>
          <w:rFonts w:ascii="Times New Roman" w:eastAsiaTheme="minorEastAsia" w:hAnsi="Times New Roman"/>
          <w:sz w:val="22"/>
          <w:szCs w:val="22"/>
        </w:rPr>
        <w:t xml:space="preserve">for </w:t>
      </w:r>
      <w:r w:rsidRPr="00E41A4F">
        <w:rPr>
          <w:rFonts w:ascii="Times New Roman" w:eastAsiaTheme="minorEastAsia" w:hAnsi="Times New Roman"/>
          <w:sz w:val="22"/>
          <w:szCs w:val="22"/>
        </w:rPr>
        <w:t xml:space="preserve">the industry specialist group and </w:t>
      </w:r>
      <w:r>
        <w:rPr>
          <w:rFonts w:ascii="Times New Roman" w:eastAsiaTheme="minorEastAsia" w:hAnsi="Times New Roman"/>
          <w:sz w:val="22"/>
          <w:szCs w:val="22"/>
        </w:rPr>
        <w:t xml:space="preserve">concerning the </w:t>
      </w:r>
      <w:r w:rsidRPr="00E41A4F">
        <w:rPr>
          <w:rFonts w:ascii="Times New Roman" w:eastAsiaTheme="minorEastAsia" w:hAnsi="Times New Roman"/>
          <w:sz w:val="22"/>
          <w:szCs w:val="22"/>
        </w:rPr>
        <w:t>non-industry specialist group</w:t>
      </w:r>
      <w:r>
        <w:rPr>
          <w:rFonts w:ascii="Times New Roman" w:eastAsiaTheme="minorEastAsia" w:hAnsi="Times New Roman"/>
          <w:sz w:val="22"/>
          <w:szCs w:val="22"/>
        </w:rPr>
        <w:t xml:space="preserve">. </w:t>
      </w:r>
    </w:p>
    <w:p w:rsidR="0017076D" w:rsidRDefault="00ED48D1" w:rsidP="0017076D">
      <w:pPr>
        <w:keepNext/>
        <w:overflowPunct/>
        <w:spacing w:after="240" w:line="400" w:lineRule="atLeast"/>
        <w:jc w:val="both"/>
        <w:textAlignment w:val="auto"/>
      </w:pPr>
      <w:r w:rsidRPr="00ED48D1">
        <w:rPr>
          <w:rFonts w:ascii="Times New Roman" w:eastAsiaTheme="minorEastAsia" w:hAnsi="Times New Roman"/>
          <w:noProof/>
          <w:sz w:val="22"/>
          <w:szCs w:val="22"/>
          <w:lang w:eastAsia="en-US"/>
        </w:rPr>
        <w:drawing>
          <wp:inline distT="0" distB="0" distL="0" distR="0">
            <wp:extent cx="2933007" cy="695325"/>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2933007" cy="695325"/>
                    </a:xfrm>
                    <a:prstGeom prst="rect">
                      <a:avLst/>
                    </a:prstGeom>
                  </pic:spPr>
                </pic:pic>
              </a:graphicData>
            </a:graphic>
          </wp:inline>
        </w:drawing>
      </w:r>
    </w:p>
    <w:p w:rsidR="00ED48D1" w:rsidRDefault="0017076D" w:rsidP="0017076D">
      <w:pPr>
        <w:pStyle w:val="Caption"/>
        <w:jc w:val="both"/>
        <w:rPr>
          <w:rFonts w:ascii="Times New Roman" w:hAnsi="Times New Roman"/>
          <w:b w:val="0"/>
          <w:color w:val="auto"/>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6</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Independent t test au</w:t>
      </w:r>
      <w:r w:rsidR="0033247F">
        <w:rPr>
          <w:rFonts w:ascii="Times New Roman" w:hAnsi="Times New Roman"/>
          <w:b w:val="0"/>
          <w:color w:val="auto"/>
        </w:rPr>
        <w:t xml:space="preserve">ditor specialization output </w:t>
      </w:r>
    </w:p>
    <w:p w:rsidR="0017076D" w:rsidRPr="0017076D" w:rsidRDefault="0017076D" w:rsidP="0017076D">
      <w:pPr>
        <w:rPr>
          <w:rFonts w:eastAsiaTheme="minorEastAsia"/>
        </w:rPr>
      </w:pPr>
    </w:p>
    <w:p w:rsidR="0017076D" w:rsidRDefault="00ED48D1" w:rsidP="0017076D">
      <w:pPr>
        <w:keepNext/>
        <w:overflowPunct/>
        <w:spacing w:after="240" w:line="400" w:lineRule="atLeast"/>
        <w:jc w:val="both"/>
        <w:textAlignment w:val="auto"/>
      </w:pPr>
      <w:r w:rsidRPr="00ED48D1">
        <w:rPr>
          <w:rFonts w:ascii="Times New Roman" w:eastAsiaTheme="minorEastAsia" w:hAnsi="Times New Roman"/>
          <w:noProof/>
          <w:sz w:val="22"/>
          <w:szCs w:val="22"/>
          <w:lang w:eastAsia="en-US"/>
        </w:rPr>
        <w:drawing>
          <wp:inline distT="0" distB="0" distL="0" distR="0">
            <wp:extent cx="5760720" cy="1099351"/>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760720" cy="1099351"/>
                    </a:xfrm>
                    <a:prstGeom prst="rect">
                      <a:avLst/>
                    </a:prstGeom>
                  </pic:spPr>
                </pic:pic>
              </a:graphicData>
            </a:graphic>
          </wp:inline>
        </w:drawing>
      </w:r>
    </w:p>
    <w:p w:rsidR="00ED48D1" w:rsidRPr="0017076D" w:rsidRDefault="0017076D" w:rsidP="0017076D">
      <w:pPr>
        <w:pStyle w:val="Caption"/>
        <w:jc w:val="both"/>
        <w:rPr>
          <w:rFonts w:ascii="Times New Roman" w:hAnsi="Times New Roman"/>
          <w:b w:val="0"/>
          <w:sz w:val="22"/>
          <w:szCs w:val="22"/>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7</w:t>
      </w:r>
      <w:r w:rsidR="004A36DA" w:rsidRPr="0017076D">
        <w:rPr>
          <w:rFonts w:ascii="Times New Roman" w:hAnsi="Times New Roman"/>
          <w:b w:val="0"/>
          <w:color w:val="auto"/>
        </w:rPr>
        <w:fldChar w:fldCharType="end"/>
      </w:r>
      <w:r w:rsidR="0033247F">
        <w:rPr>
          <w:rFonts w:ascii="Times New Roman" w:hAnsi="Times New Roman"/>
          <w:b w:val="0"/>
          <w:color w:val="auto"/>
        </w:rPr>
        <w:t xml:space="preserve"> </w:t>
      </w:r>
      <w:r w:rsidRPr="0017076D">
        <w:rPr>
          <w:rFonts w:ascii="Times New Roman" w:hAnsi="Times New Roman"/>
          <w:b w:val="0"/>
          <w:color w:val="auto"/>
        </w:rPr>
        <w:t>Independent t test audito</w:t>
      </w:r>
      <w:r w:rsidR="0033247F">
        <w:rPr>
          <w:rFonts w:ascii="Times New Roman" w:hAnsi="Times New Roman"/>
          <w:b w:val="0"/>
          <w:color w:val="auto"/>
        </w:rPr>
        <w:t xml:space="preserve">r specialization output </w:t>
      </w:r>
    </w:p>
    <w:p w:rsidR="00A23654" w:rsidRPr="00E41A4F" w:rsidRDefault="00A23654" w:rsidP="00A23654">
      <w:pPr>
        <w:overflowPunct/>
        <w:spacing w:after="240" w:line="400" w:lineRule="atLeast"/>
        <w:jc w:val="both"/>
        <w:textAlignment w:val="auto"/>
        <w:rPr>
          <w:rFonts w:ascii="Times New Roman" w:eastAsiaTheme="minorEastAsia" w:hAnsi="Times New Roman"/>
          <w:sz w:val="22"/>
          <w:szCs w:val="22"/>
        </w:rPr>
      </w:pPr>
      <w:r>
        <w:rPr>
          <w:rFonts w:ascii="Times New Roman" w:eastAsiaTheme="minorEastAsia" w:hAnsi="Times New Roman"/>
          <w:sz w:val="22"/>
          <w:szCs w:val="22"/>
        </w:rPr>
        <w:t xml:space="preserve">More </w:t>
      </w:r>
      <w:r w:rsidRPr="00E41A4F">
        <w:rPr>
          <w:rFonts w:ascii="Times New Roman" w:eastAsiaTheme="minorEastAsia" w:hAnsi="Times New Roman"/>
          <w:sz w:val="22"/>
          <w:szCs w:val="22"/>
        </w:rPr>
        <w:t xml:space="preserve">audit fee </w:t>
      </w:r>
      <w:r>
        <w:rPr>
          <w:rFonts w:ascii="Times New Roman" w:eastAsiaTheme="minorEastAsia" w:hAnsi="Times New Roman"/>
          <w:sz w:val="22"/>
          <w:szCs w:val="22"/>
        </w:rPr>
        <w:t xml:space="preserve">was </w:t>
      </w:r>
      <w:r w:rsidRPr="00E41A4F">
        <w:rPr>
          <w:rFonts w:ascii="Times New Roman" w:eastAsiaTheme="minorEastAsia" w:hAnsi="Times New Roman"/>
          <w:sz w:val="22"/>
          <w:szCs w:val="22"/>
        </w:rPr>
        <w:t>paid to industry specialists (</w:t>
      </w:r>
      <w:r w:rsidRPr="00E41A4F">
        <w:rPr>
          <w:rFonts w:ascii="Times New Roman" w:eastAsiaTheme="minorEastAsia" w:hAnsi="Times New Roman"/>
          <w:i/>
          <w:sz w:val="22"/>
          <w:szCs w:val="22"/>
        </w:rPr>
        <w:t xml:space="preserve">M = </w:t>
      </w:r>
      <w:r w:rsidRPr="00E41A4F">
        <w:rPr>
          <w:rFonts w:ascii="Times New Roman" w:eastAsiaTheme="minorEastAsia" w:hAnsi="Times New Roman"/>
          <w:sz w:val="22"/>
          <w:szCs w:val="22"/>
        </w:rPr>
        <w:t>14,0</w:t>
      </w:r>
      <w:r>
        <w:rPr>
          <w:rFonts w:ascii="Times New Roman" w:eastAsiaTheme="minorEastAsia" w:hAnsi="Times New Roman"/>
          <w:sz w:val="22"/>
          <w:szCs w:val="22"/>
        </w:rPr>
        <w:t>7</w:t>
      </w:r>
      <w:r w:rsidRPr="00E41A4F">
        <w:rPr>
          <w:rFonts w:ascii="Times New Roman" w:eastAsiaTheme="minorEastAsia" w:hAnsi="Times New Roman"/>
          <w:i/>
          <w:sz w:val="22"/>
          <w:szCs w:val="22"/>
        </w:rPr>
        <w:t xml:space="preserve">, SD </w:t>
      </w:r>
      <w:r w:rsidRPr="00E41A4F">
        <w:rPr>
          <w:rFonts w:ascii="Times New Roman" w:eastAsiaTheme="minorEastAsia" w:hAnsi="Times New Roman"/>
          <w:sz w:val="22"/>
          <w:szCs w:val="22"/>
        </w:rPr>
        <w:t xml:space="preserve">= 0,929) than </w:t>
      </w:r>
      <w:r>
        <w:rPr>
          <w:rFonts w:ascii="Times New Roman" w:eastAsiaTheme="minorEastAsia" w:hAnsi="Times New Roman"/>
          <w:sz w:val="22"/>
          <w:szCs w:val="22"/>
        </w:rPr>
        <w:t xml:space="preserve">to </w:t>
      </w:r>
      <w:r w:rsidRPr="00E41A4F">
        <w:rPr>
          <w:rFonts w:ascii="Times New Roman" w:eastAsiaTheme="minorEastAsia" w:hAnsi="Times New Roman"/>
          <w:sz w:val="22"/>
          <w:szCs w:val="22"/>
        </w:rPr>
        <w:t>nonspecialist (</w:t>
      </w:r>
      <w:r w:rsidRPr="00E41A4F">
        <w:rPr>
          <w:rFonts w:ascii="Times New Roman" w:eastAsiaTheme="minorEastAsia" w:hAnsi="Times New Roman"/>
          <w:i/>
          <w:sz w:val="22"/>
          <w:szCs w:val="22"/>
        </w:rPr>
        <w:t xml:space="preserve">M = </w:t>
      </w:r>
      <w:r w:rsidRPr="00E41A4F">
        <w:rPr>
          <w:rFonts w:ascii="Times New Roman" w:eastAsiaTheme="minorEastAsia" w:hAnsi="Times New Roman"/>
          <w:sz w:val="22"/>
          <w:szCs w:val="22"/>
        </w:rPr>
        <w:t>13,03</w:t>
      </w:r>
      <w:r w:rsidRPr="00E41A4F">
        <w:rPr>
          <w:rFonts w:ascii="Times New Roman" w:eastAsiaTheme="minorEastAsia" w:hAnsi="Times New Roman"/>
          <w:i/>
          <w:sz w:val="22"/>
          <w:szCs w:val="22"/>
        </w:rPr>
        <w:t xml:space="preserve">, SD </w:t>
      </w:r>
      <w:r w:rsidRPr="00E41A4F">
        <w:rPr>
          <w:rFonts w:ascii="Times New Roman" w:eastAsiaTheme="minorEastAsia" w:hAnsi="Times New Roman"/>
          <w:sz w:val="22"/>
          <w:szCs w:val="22"/>
        </w:rPr>
        <w:t xml:space="preserve">= 1,266). However, </w:t>
      </w:r>
      <w:r>
        <w:rPr>
          <w:rFonts w:ascii="Times New Roman" w:eastAsiaTheme="minorEastAsia" w:hAnsi="Times New Roman"/>
          <w:sz w:val="22"/>
          <w:szCs w:val="22"/>
        </w:rPr>
        <w:t>the</w:t>
      </w:r>
      <w:r w:rsidRPr="00E41A4F">
        <w:rPr>
          <w:rFonts w:ascii="Times New Roman" w:eastAsiaTheme="minorEastAsia" w:hAnsi="Times New Roman"/>
          <w:sz w:val="22"/>
          <w:szCs w:val="22"/>
        </w:rPr>
        <w:t xml:space="preserve"> Levene’s test </w:t>
      </w:r>
      <w:r>
        <w:rPr>
          <w:rFonts w:ascii="Times New Roman" w:eastAsiaTheme="minorEastAsia" w:hAnsi="Times New Roman"/>
          <w:sz w:val="22"/>
          <w:szCs w:val="22"/>
        </w:rPr>
        <w:t xml:space="preserve">shows that </w:t>
      </w:r>
      <w:r w:rsidRPr="00E41A4F">
        <w:rPr>
          <w:rFonts w:ascii="Times New Roman" w:eastAsiaTheme="minorEastAsia" w:hAnsi="Times New Roman"/>
          <w:sz w:val="22"/>
          <w:szCs w:val="22"/>
        </w:rPr>
        <w:t>the assumption of homoge</w:t>
      </w:r>
      <w:r>
        <w:rPr>
          <w:rFonts w:ascii="Times New Roman" w:eastAsiaTheme="minorEastAsia" w:hAnsi="Times New Roman"/>
          <w:sz w:val="22"/>
          <w:szCs w:val="22"/>
        </w:rPr>
        <w:t xml:space="preserve">neity of variances was violated </w:t>
      </w:r>
      <w:r w:rsidRPr="00E41A4F">
        <w:rPr>
          <w:rFonts w:ascii="Times New Roman" w:eastAsiaTheme="minorEastAsia" w:hAnsi="Times New Roman"/>
          <w:sz w:val="22"/>
          <w:szCs w:val="22"/>
        </w:rPr>
        <w:t>(</w:t>
      </w:r>
      <w:r w:rsidRPr="00E41A4F">
        <w:rPr>
          <w:rFonts w:ascii="Times New Roman" w:eastAsiaTheme="minorEastAsia" w:hAnsi="Times New Roman"/>
          <w:i/>
          <w:sz w:val="22"/>
          <w:szCs w:val="22"/>
        </w:rPr>
        <w:t xml:space="preserve">p </w:t>
      </w:r>
      <w:r>
        <w:rPr>
          <w:rFonts w:ascii="Times New Roman" w:eastAsiaTheme="minorEastAsia" w:hAnsi="Times New Roman"/>
          <w:sz w:val="22"/>
          <w:szCs w:val="22"/>
        </w:rPr>
        <w:t>&lt; .0005)</w:t>
      </w:r>
      <w:r w:rsidRPr="00E41A4F">
        <w:rPr>
          <w:rFonts w:ascii="Times New Roman" w:eastAsiaTheme="minorEastAsia" w:hAnsi="Times New Roman"/>
          <w:sz w:val="22"/>
          <w:szCs w:val="22"/>
        </w:rPr>
        <w:t xml:space="preserve">. Consequently, the results for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 xml:space="preserve">unequal variances </w:t>
      </w:r>
      <w:r>
        <w:rPr>
          <w:rFonts w:ascii="Times New Roman" w:eastAsiaTheme="minorEastAsia" w:hAnsi="Times New Roman"/>
          <w:sz w:val="22"/>
          <w:szCs w:val="22"/>
        </w:rPr>
        <w:t xml:space="preserve">for the further analysis </w:t>
      </w:r>
      <w:r w:rsidRPr="00E41A4F">
        <w:rPr>
          <w:rFonts w:ascii="Times New Roman" w:eastAsiaTheme="minorEastAsia" w:hAnsi="Times New Roman"/>
          <w:sz w:val="22"/>
          <w:szCs w:val="22"/>
        </w:rPr>
        <w:t xml:space="preserve">are used. </w:t>
      </w:r>
      <w:r>
        <w:rPr>
          <w:rFonts w:ascii="Times New Roman" w:eastAsiaTheme="minorEastAsia" w:hAnsi="Times New Roman"/>
          <w:sz w:val="22"/>
          <w:szCs w:val="22"/>
        </w:rPr>
        <w:t xml:space="preserve">In </w:t>
      </w:r>
      <w:r w:rsidRPr="00E41A4F">
        <w:rPr>
          <w:rFonts w:ascii="Times New Roman" w:eastAsiaTheme="minorEastAsia" w:hAnsi="Times New Roman"/>
          <w:sz w:val="22"/>
          <w:szCs w:val="22"/>
        </w:rPr>
        <w:t xml:space="preserve">average, the audit fee for industry specialists was 1,037, 95% [0,990 to 1,084] higher than the audit fee for non-industry specialist and a statistically significant difference in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 xml:space="preserve">audit fee in average </w:t>
      </w:r>
      <w:r>
        <w:rPr>
          <w:rFonts w:ascii="Times New Roman" w:eastAsiaTheme="minorEastAsia" w:hAnsi="Times New Roman"/>
          <w:sz w:val="22"/>
          <w:szCs w:val="22"/>
        </w:rPr>
        <w:t xml:space="preserve">exists </w:t>
      </w:r>
      <w:r w:rsidRPr="00E41A4F">
        <w:rPr>
          <w:rFonts w:ascii="Times New Roman" w:eastAsiaTheme="minorEastAsia" w:hAnsi="Times New Roman"/>
          <w:sz w:val="22"/>
          <w:szCs w:val="22"/>
        </w:rPr>
        <w:t xml:space="preserve">between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 xml:space="preserve">industry specialists and </w:t>
      </w:r>
      <w:r>
        <w:rPr>
          <w:rFonts w:ascii="Times New Roman" w:eastAsiaTheme="minorEastAsia" w:hAnsi="Times New Roman"/>
          <w:sz w:val="22"/>
          <w:szCs w:val="22"/>
        </w:rPr>
        <w:t xml:space="preserve">the </w:t>
      </w:r>
      <w:r w:rsidRPr="00E41A4F">
        <w:rPr>
          <w:rFonts w:ascii="Times New Roman" w:eastAsiaTheme="minorEastAsia" w:hAnsi="Times New Roman"/>
          <w:sz w:val="22"/>
          <w:szCs w:val="22"/>
        </w:rPr>
        <w:t xml:space="preserve">nonspecialist, </w:t>
      </w:r>
      <w:r w:rsidRPr="00E41A4F">
        <w:rPr>
          <w:rFonts w:ascii="Times New Roman" w:eastAsiaTheme="minorEastAsia" w:hAnsi="Times New Roman"/>
          <w:i/>
          <w:sz w:val="22"/>
          <w:szCs w:val="22"/>
        </w:rPr>
        <w:t xml:space="preserve">t </w:t>
      </w:r>
      <w:r w:rsidRPr="00E41A4F">
        <w:rPr>
          <w:rFonts w:ascii="Times New Roman" w:eastAsiaTheme="minorEastAsia" w:hAnsi="Times New Roman"/>
          <w:sz w:val="22"/>
          <w:szCs w:val="22"/>
        </w:rPr>
        <w:t xml:space="preserve">(5905,326) = 43,368, </w:t>
      </w:r>
      <w:r w:rsidRPr="00E41A4F">
        <w:rPr>
          <w:rFonts w:ascii="Times New Roman" w:eastAsiaTheme="minorEastAsia" w:hAnsi="Times New Roman"/>
          <w:i/>
          <w:sz w:val="22"/>
          <w:szCs w:val="22"/>
        </w:rPr>
        <w:t>p</w:t>
      </w:r>
      <w:r w:rsidRPr="00E41A4F">
        <w:rPr>
          <w:rFonts w:ascii="Times New Roman" w:eastAsiaTheme="minorEastAsia" w:hAnsi="Times New Roman"/>
          <w:sz w:val="22"/>
          <w:szCs w:val="22"/>
        </w:rPr>
        <w:t xml:space="preserve"> &lt; .0005. </w:t>
      </w:r>
    </w:p>
    <w:p w:rsidR="00A23654" w:rsidRPr="00E41A4F" w:rsidRDefault="000712E0" w:rsidP="00A23654">
      <w:pPr>
        <w:pStyle w:val="Subtitle"/>
        <w:spacing w:line="360" w:lineRule="auto"/>
        <w:jc w:val="left"/>
        <w:rPr>
          <w:b/>
        </w:rPr>
      </w:pPr>
      <w:bookmarkStart w:id="64" w:name="_Toc393872564"/>
      <w:r>
        <w:rPr>
          <w:b/>
        </w:rPr>
        <w:t>5.4 Association</w:t>
      </w:r>
      <w:r w:rsidR="00A23654">
        <w:rPr>
          <w:b/>
        </w:rPr>
        <w:t xml:space="preserve"> of </w:t>
      </w:r>
      <w:r w:rsidR="004228D1">
        <w:rPr>
          <w:b/>
        </w:rPr>
        <w:t>C</w:t>
      </w:r>
      <w:r w:rsidR="00A23654">
        <w:rPr>
          <w:b/>
        </w:rPr>
        <w:t xml:space="preserve">lient </w:t>
      </w:r>
      <w:r w:rsidR="004228D1">
        <w:rPr>
          <w:b/>
        </w:rPr>
        <w:t>C</w:t>
      </w:r>
      <w:r w:rsidR="00A23654">
        <w:rPr>
          <w:b/>
        </w:rPr>
        <w:t xml:space="preserve">omplexity and </w:t>
      </w:r>
      <w:r w:rsidR="004228D1">
        <w:rPr>
          <w:b/>
        </w:rPr>
        <w:t>I</w:t>
      </w:r>
      <w:r w:rsidR="00A23654">
        <w:rPr>
          <w:b/>
        </w:rPr>
        <w:t xml:space="preserve">ndustry </w:t>
      </w:r>
      <w:r w:rsidR="004228D1">
        <w:rPr>
          <w:b/>
        </w:rPr>
        <w:t>S</w:t>
      </w:r>
      <w:r w:rsidR="00A23654">
        <w:rPr>
          <w:b/>
        </w:rPr>
        <w:t>pecialists</w:t>
      </w:r>
      <w:bookmarkEnd w:id="64"/>
      <w:r w:rsidR="00A23654">
        <w:rPr>
          <w:b/>
        </w:rPr>
        <w:t xml:space="preserve"> </w:t>
      </w:r>
    </w:p>
    <w:p w:rsidR="00A23654" w:rsidRDefault="00A23654" w:rsidP="00A23654">
      <w:pPr>
        <w:overflowPunct/>
        <w:autoSpaceDE/>
        <w:autoSpaceDN/>
        <w:adjustRightInd/>
        <w:spacing w:after="200" w:line="360" w:lineRule="auto"/>
        <w:jc w:val="both"/>
        <w:textAlignment w:val="auto"/>
        <w:rPr>
          <w:rFonts w:ascii="Times New Roman" w:eastAsiaTheme="minorEastAsia" w:hAnsi="Times New Roman"/>
          <w:sz w:val="22"/>
          <w:szCs w:val="22"/>
        </w:rPr>
      </w:pPr>
      <w:r>
        <w:rPr>
          <w:rFonts w:ascii="Times New Roman" w:eastAsiaTheme="minorEastAsia" w:hAnsi="Times New Roman"/>
          <w:sz w:val="22"/>
          <w:szCs w:val="22"/>
        </w:rPr>
        <w:lastRenderedPageBreak/>
        <w:t xml:space="preserve">The association between the client complexity and the industry specialists is measured by using the chi-square test. This test determines whether the two dichotomous variables, e.g. complexity and specialization, are statistically independent. </w:t>
      </w:r>
      <w:r w:rsidR="00ED48D1">
        <w:rPr>
          <w:rFonts w:ascii="Times New Roman" w:eastAsiaTheme="minorEastAsia" w:hAnsi="Times New Roman"/>
          <w:sz w:val="22"/>
          <w:szCs w:val="22"/>
        </w:rPr>
        <w:t xml:space="preserve">The output of the test is provided subsequently. </w:t>
      </w:r>
    </w:p>
    <w:p w:rsidR="0017076D" w:rsidRDefault="00ED48D1" w:rsidP="0017076D">
      <w:pPr>
        <w:keepNext/>
        <w:overflowPunct/>
        <w:autoSpaceDE/>
        <w:autoSpaceDN/>
        <w:adjustRightInd/>
        <w:spacing w:after="200" w:line="360" w:lineRule="auto"/>
        <w:jc w:val="both"/>
        <w:textAlignment w:val="auto"/>
      </w:pPr>
      <w:r w:rsidRPr="00ED48D1">
        <w:rPr>
          <w:rFonts w:ascii="Times New Roman" w:eastAsiaTheme="minorEastAsia" w:hAnsi="Times New Roman"/>
          <w:noProof/>
          <w:sz w:val="22"/>
          <w:szCs w:val="22"/>
          <w:lang w:eastAsia="en-US"/>
        </w:rPr>
        <w:drawing>
          <wp:inline distT="0" distB="0" distL="0" distR="0">
            <wp:extent cx="3105150" cy="1388771"/>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3105150" cy="1388771"/>
                    </a:xfrm>
                    <a:prstGeom prst="rect">
                      <a:avLst/>
                    </a:prstGeom>
                  </pic:spPr>
                </pic:pic>
              </a:graphicData>
            </a:graphic>
          </wp:inline>
        </w:drawing>
      </w:r>
    </w:p>
    <w:p w:rsidR="00ED48D1" w:rsidRPr="0033247F" w:rsidRDefault="0017076D" w:rsidP="0017076D">
      <w:pPr>
        <w:pStyle w:val="Caption"/>
        <w:jc w:val="both"/>
        <w:rPr>
          <w:rFonts w:ascii="Times New Roman" w:hAnsi="Times New Roman"/>
          <w:b w:val="0"/>
          <w:color w:val="auto"/>
        </w:rPr>
      </w:pPr>
      <w:r w:rsidRPr="0033247F">
        <w:rPr>
          <w:rFonts w:ascii="Times New Roman" w:hAnsi="Times New Roman"/>
          <w:b w:val="0"/>
          <w:color w:val="auto"/>
        </w:rPr>
        <w:t xml:space="preserve">Table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Table \* ARABIC </w:instrText>
      </w:r>
      <w:r w:rsidR="004A36DA" w:rsidRPr="0033247F">
        <w:rPr>
          <w:rFonts w:ascii="Times New Roman" w:hAnsi="Times New Roman"/>
          <w:b w:val="0"/>
          <w:color w:val="auto"/>
        </w:rPr>
        <w:fldChar w:fldCharType="separate"/>
      </w:r>
      <w:r w:rsidR="0033247F">
        <w:rPr>
          <w:rFonts w:ascii="Times New Roman" w:hAnsi="Times New Roman"/>
          <w:b w:val="0"/>
          <w:noProof/>
          <w:color w:val="auto"/>
        </w:rPr>
        <w:t>8</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Chi-Square test complexity vs. specialization </w:t>
      </w:r>
    </w:p>
    <w:p w:rsidR="0017076D" w:rsidRPr="0017076D" w:rsidRDefault="0017076D" w:rsidP="0017076D">
      <w:pPr>
        <w:rPr>
          <w:rFonts w:eastAsiaTheme="minorEastAsia"/>
        </w:rPr>
      </w:pPr>
    </w:p>
    <w:p w:rsidR="0017076D" w:rsidRDefault="00ED48D1" w:rsidP="0017076D">
      <w:pPr>
        <w:keepNext/>
        <w:overflowPunct/>
        <w:autoSpaceDE/>
        <w:autoSpaceDN/>
        <w:adjustRightInd/>
        <w:spacing w:after="200" w:line="360" w:lineRule="auto"/>
        <w:jc w:val="both"/>
        <w:textAlignment w:val="auto"/>
      </w:pPr>
      <w:r w:rsidRPr="00ED48D1">
        <w:rPr>
          <w:rFonts w:ascii="Times New Roman" w:eastAsiaTheme="minorEastAsia" w:hAnsi="Times New Roman"/>
          <w:noProof/>
          <w:sz w:val="22"/>
          <w:szCs w:val="22"/>
          <w:lang w:eastAsia="en-US"/>
        </w:rPr>
        <w:drawing>
          <wp:inline distT="0" distB="0" distL="0" distR="0">
            <wp:extent cx="4362450" cy="18140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4362450" cy="1814015"/>
                    </a:xfrm>
                    <a:prstGeom prst="rect">
                      <a:avLst/>
                    </a:prstGeom>
                  </pic:spPr>
                </pic:pic>
              </a:graphicData>
            </a:graphic>
          </wp:inline>
        </w:drawing>
      </w:r>
    </w:p>
    <w:p w:rsidR="00ED48D1" w:rsidRDefault="0017076D" w:rsidP="0017076D">
      <w:pPr>
        <w:pStyle w:val="Caption"/>
        <w:jc w:val="both"/>
        <w:rPr>
          <w:rFonts w:ascii="Times New Roman" w:hAnsi="Times New Roman"/>
          <w:b w:val="0"/>
          <w:color w:val="auto"/>
        </w:rPr>
      </w:pPr>
      <w:r w:rsidRPr="0017076D">
        <w:rPr>
          <w:rFonts w:ascii="Times New Roman" w:hAnsi="Times New Roman"/>
          <w:b w:val="0"/>
          <w:color w:val="auto"/>
        </w:rPr>
        <w:t xml:space="preserve">Table </w:t>
      </w:r>
      <w:r w:rsidR="004A36DA" w:rsidRPr="0017076D">
        <w:rPr>
          <w:rFonts w:ascii="Times New Roman" w:hAnsi="Times New Roman"/>
          <w:b w:val="0"/>
          <w:color w:val="auto"/>
        </w:rPr>
        <w:fldChar w:fldCharType="begin"/>
      </w:r>
      <w:r w:rsidRPr="0017076D">
        <w:rPr>
          <w:rFonts w:ascii="Times New Roman" w:hAnsi="Times New Roman"/>
          <w:b w:val="0"/>
          <w:color w:val="auto"/>
        </w:rPr>
        <w:instrText xml:space="preserve"> SEQ Table \* ARABIC </w:instrText>
      </w:r>
      <w:r w:rsidR="004A36DA" w:rsidRPr="0017076D">
        <w:rPr>
          <w:rFonts w:ascii="Times New Roman" w:hAnsi="Times New Roman"/>
          <w:b w:val="0"/>
          <w:color w:val="auto"/>
        </w:rPr>
        <w:fldChar w:fldCharType="separate"/>
      </w:r>
      <w:r w:rsidR="0033247F">
        <w:rPr>
          <w:rFonts w:ascii="Times New Roman" w:hAnsi="Times New Roman"/>
          <w:b w:val="0"/>
          <w:noProof/>
          <w:color w:val="auto"/>
        </w:rPr>
        <w:t>9</w:t>
      </w:r>
      <w:r w:rsidR="004A36DA" w:rsidRPr="0017076D">
        <w:rPr>
          <w:rFonts w:ascii="Times New Roman" w:hAnsi="Times New Roman"/>
          <w:b w:val="0"/>
          <w:color w:val="auto"/>
        </w:rPr>
        <w:fldChar w:fldCharType="end"/>
      </w:r>
      <w:r w:rsidRPr="0017076D">
        <w:rPr>
          <w:rFonts w:ascii="Times New Roman" w:hAnsi="Times New Roman"/>
          <w:b w:val="0"/>
          <w:color w:val="auto"/>
        </w:rPr>
        <w:t xml:space="preserve"> Chi-Square test complexity vs. specialization</w:t>
      </w:r>
    </w:p>
    <w:p w:rsidR="0017076D" w:rsidRPr="0017076D" w:rsidRDefault="0017076D" w:rsidP="0017076D">
      <w:pPr>
        <w:rPr>
          <w:rFonts w:eastAsiaTheme="minorEastAsia"/>
        </w:rPr>
      </w:pPr>
    </w:p>
    <w:p w:rsidR="00A23654" w:rsidRDefault="00A23654" w:rsidP="00A23654">
      <w:pPr>
        <w:overflowPunct/>
        <w:autoSpaceDE/>
        <w:autoSpaceDN/>
        <w:adjustRightInd/>
        <w:spacing w:after="200" w:line="360" w:lineRule="auto"/>
        <w:jc w:val="both"/>
        <w:textAlignment w:val="auto"/>
        <w:rPr>
          <w:rFonts w:ascii="Times New Roman" w:eastAsiaTheme="minorEastAsia" w:hAnsi="Times New Roman"/>
          <w:sz w:val="22"/>
          <w:szCs w:val="22"/>
        </w:rPr>
      </w:pPr>
      <w:r>
        <w:rPr>
          <w:rFonts w:ascii="Times New Roman" w:eastAsiaTheme="minorEastAsia" w:hAnsi="Times New Roman"/>
          <w:sz w:val="22"/>
          <w:szCs w:val="22"/>
        </w:rPr>
        <w:t>All expected cell frequencies were greater than five which can be implied that a statistically significant association exists between the client complexity and the auditor industry specialization when determining the audit fee χ</w:t>
      </w:r>
      <w:r>
        <w:rPr>
          <w:rFonts w:ascii="Times New Roman" w:eastAsiaTheme="minorEastAsia" w:hAnsi="Times New Roman"/>
          <w:sz w:val="22"/>
          <w:szCs w:val="22"/>
          <w:vertAlign w:val="superscript"/>
        </w:rPr>
        <w:t>2</w:t>
      </w:r>
      <w:r>
        <w:rPr>
          <w:rFonts w:ascii="Times New Roman" w:eastAsiaTheme="minorEastAsia" w:hAnsi="Times New Roman"/>
          <w:sz w:val="22"/>
          <w:szCs w:val="22"/>
        </w:rPr>
        <w:t xml:space="preserve"> (1) = 321,137, </w:t>
      </w:r>
      <w:r>
        <w:rPr>
          <w:rFonts w:ascii="Times New Roman" w:eastAsiaTheme="minorEastAsia" w:hAnsi="Times New Roman"/>
          <w:i/>
          <w:sz w:val="22"/>
          <w:szCs w:val="22"/>
        </w:rPr>
        <w:t>p</w:t>
      </w:r>
      <w:r>
        <w:rPr>
          <w:rFonts w:ascii="Times New Roman" w:eastAsiaTheme="minorEastAsia" w:hAnsi="Times New Roman"/>
          <w:sz w:val="22"/>
          <w:szCs w:val="22"/>
        </w:rPr>
        <w:t xml:space="preserve"> &lt; ,0005. </w:t>
      </w:r>
    </w:p>
    <w:p w:rsidR="00A23654" w:rsidRDefault="00A23654" w:rsidP="00A23654">
      <w:pPr>
        <w:pStyle w:val="Subtitle"/>
        <w:spacing w:line="360" w:lineRule="auto"/>
        <w:ind w:left="374" w:hanging="374"/>
        <w:jc w:val="left"/>
        <w:rPr>
          <w:b/>
        </w:rPr>
      </w:pPr>
      <w:bookmarkStart w:id="65" w:name="_Toc393872565"/>
      <w:r>
        <w:rPr>
          <w:b/>
        </w:rPr>
        <w:t xml:space="preserve">5.5 Analysis of the </w:t>
      </w:r>
      <w:r w:rsidR="004228D1">
        <w:rPr>
          <w:b/>
        </w:rPr>
        <w:t>I</w:t>
      </w:r>
      <w:r>
        <w:rPr>
          <w:b/>
        </w:rPr>
        <w:t xml:space="preserve">nvestigation </w:t>
      </w:r>
      <w:r w:rsidR="004228D1">
        <w:rPr>
          <w:b/>
        </w:rPr>
        <w:t>C</w:t>
      </w:r>
      <w:r>
        <w:rPr>
          <w:b/>
        </w:rPr>
        <w:t xml:space="preserve">oncerning the </w:t>
      </w:r>
      <w:r w:rsidR="004228D1">
        <w:rPr>
          <w:b/>
        </w:rPr>
        <w:t>A</w:t>
      </w:r>
      <w:r>
        <w:rPr>
          <w:b/>
        </w:rPr>
        <w:t xml:space="preserve">udit </w:t>
      </w:r>
      <w:r w:rsidR="004228D1">
        <w:rPr>
          <w:b/>
        </w:rPr>
        <w:t>C</w:t>
      </w:r>
      <w:r>
        <w:rPr>
          <w:b/>
        </w:rPr>
        <w:t xml:space="preserve">lient </w:t>
      </w:r>
      <w:r w:rsidR="004228D1">
        <w:rPr>
          <w:b/>
        </w:rPr>
        <w:t>C</w:t>
      </w:r>
      <w:r>
        <w:rPr>
          <w:b/>
        </w:rPr>
        <w:t xml:space="preserve">omplexity and the </w:t>
      </w:r>
      <w:r w:rsidR="004228D1">
        <w:rPr>
          <w:b/>
        </w:rPr>
        <w:t>A</w:t>
      </w:r>
      <w:r>
        <w:rPr>
          <w:b/>
        </w:rPr>
        <w:t xml:space="preserve">uditor </w:t>
      </w:r>
      <w:r w:rsidR="004228D1">
        <w:rPr>
          <w:b/>
        </w:rPr>
        <w:t>I</w:t>
      </w:r>
      <w:r>
        <w:rPr>
          <w:b/>
        </w:rPr>
        <w:t xml:space="preserve">ndustry </w:t>
      </w:r>
      <w:r w:rsidR="004228D1">
        <w:rPr>
          <w:b/>
        </w:rPr>
        <w:t>S</w:t>
      </w:r>
      <w:r>
        <w:rPr>
          <w:b/>
        </w:rPr>
        <w:t>pecialization</w:t>
      </w:r>
      <w:bookmarkEnd w:id="65"/>
    </w:p>
    <w:p w:rsidR="00A23654" w:rsidRPr="00DD6BFF" w:rsidRDefault="00A23654" w:rsidP="00A23654">
      <w:pPr>
        <w:spacing w:after="240" w:line="360" w:lineRule="auto"/>
        <w:jc w:val="both"/>
      </w:pPr>
      <w:r>
        <w:rPr>
          <w:rFonts w:ascii="Times New Roman" w:eastAsiaTheme="minorEastAsia" w:hAnsi="Times New Roman"/>
          <w:sz w:val="22"/>
          <w:szCs w:val="22"/>
        </w:rPr>
        <w:t>T</w:t>
      </w:r>
      <w:r w:rsidRPr="00D52787">
        <w:rPr>
          <w:rFonts w:ascii="Times New Roman" w:eastAsiaTheme="minorEastAsia" w:hAnsi="Times New Roman"/>
          <w:sz w:val="22"/>
          <w:szCs w:val="22"/>
        </w:rPr>
        <w:t xml:space="preserve">o determine the effect of </w:t>
      </w:r>
      <w:r>
        <w:rPr>
          <w:rFonts w:ascii="Times New Roman" w:eastAsiaTheme="minorEastAsia" w:hAnsi="Times New Roman"/>
          <w:sz w:val="22"/>
          <w:szCs w:val="22"/>
        </w:rPr>
        <w:t xml:space="preserve">the </w:t>
      </w:r>
      <w:r w:rsidRPr="00D52787">
        <w:rPr>
          <w:rFonts w:ascii="Times New Roman" w:eastAsiaTheme="minorEastAsia" w:hAnsi="Times New Roman"/>
          <w:sz w:val="22"/>
          <w:szCs w:val="22"/>
        </w:rPr>
        <w:t xml:space="preserve">audit client complexity on the audit fee </w:t>
      </w:r>
      <w:r>
        <w:rPr>
          <w:rFonts w:ascii="Times New Roman" w:eastAsiaTheme="minorEastAsia" w:hAnsi="Times New Roman"/>
          <w:sz w:val="22"/>
          <w:szCs w:val="22"/>
        </w:rPr>
        <w:t xml:space="preserve">the next </w:t>
      </w:r>
      <w:r w:rsidRPr="00D80B6F">
        <w:rPr>
          <w:rFonts w:ascii="Times New Roman" w:eastAsiaTheme="minorEastAsia" w:hAnsi="Times New Roman"/>
          <w:sz w:val="22"/>
          <w:szCs w:val="22"/>
        </w:rPr>
        <w:t>regression model will be used</w:t>
      </w:r>
      <w:r>
        <w:rPr>
          <w:rFonts w:ascii="Times New Roman" w:eastAsiaTheme="minorEastAsia" w:hAnsi="Times New Roman"/>
          <w:sz w:val="22"/>
          <w:szCs w:val="22"/>
        </w:rPr>
        <w:t>.</w:t>
      </w:r>
      <w:r w:rsidRPr="00D52787">
        <w:t xml:space="preserve"> </w:t>
      </w:r>
    </w:p>
    <w:p w:rsidR="00A23654" w:rsidRPr="006E7435" w:rsidRDefault="00525D67" w:rsidP="00ED48D1">
      <w:pPr>
        <w:spacing w:after="240" w:line="360" w:lineRule="auto"/>
        <w:ind w:left="284"/>
        <w:jc w:val="both"/>
        <w:rPr>
          <w:rFonts w:ascii="Times New Roman" w:eastAsiaTheme="minorEastAsia" w:hAnsi="Times New Roman"/>
          <w:sz w:val="24"/>
          <w:szCs w:val="24"/>
        </w:rPr>
      </w:pPr>
      <m:oMath>
        <m:r>
          <m:rPr>
            <m:sty m:val="p"/>
          </m:rPr>
          <w:rPr>
            <w:rFonts w:ascii="Cambria Math" w:eastAsia="Cambria" w:hAnsi="Cambria Math" w:cs="Cambria"/>
            <w:sz w:val="22"/>
          </w:rPr>
          <m:t>Ln</m:t>
        </m:r>
        <m:r>
          <m:rPr>
            <m:sty m:val="p"/>
          </m:rPr>
          <w:rPr>
            <w:rFonts w:ascii="Cambria Math" w:eastAsia="Cambria" w:hAnsi="Cambria" w:cs="Cambria"/>
            <w:sz w:val="22"/>
          </w:rPr>
          <m:t>A</m:t>
        </m:r>
        <m:r>
          <m:rPr>
            <m:sty m:val="p"/>
          </m:rPr>
          <w:rPr>
            <w:rFonts w:ascii="Cambria Math" w:eastAsia="Cambria" w:hAnsi="Cambria Math" w:cs="Cambria"/>
            <w:sz w:val="22"/>
          </w:rPr>
          <m:t>F=</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0</m:t>
            </m:r>
          </m:sub>
        </m:sSub>
        <m:r>
          <m:rPr>
            <m:sty m:val="p"/>
          </m:rPr>
          <w:rPr>
            <w:rFonts w:ascii="Cambria Math" w:eastAsia="Cambria" w:hAnsi="Cambria Math" w:cs="Cambria"/>
            <w:sz w:val="22"/>
          </w:rPr>
          <m:t>+</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1</m:t>
            </m:r>
          </m:sub>
        </m:sSub>
        <m:r>
          <m:rPr>
            <m:sty m:val="p"/>
          </m:rPr>
          <w:rPr>
            <w:rFonts w:ascii="Cambria Math" w:eastAsia="Cambria" w:hAnsi="Cambria Math" w:cs="Cambria"/>
            <w:sz w:val="22"/>
          </w:rPr>
          <m:t>LnTA+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2</m:t>
            </m:r>
          </m:sub>
        </m:sSub>
        <m:r>
          <m:rPr>
            <m:sty m:val="p"/>
          </m:rPr>
          <w:rPr>
            <w:rFonts w:ascii="Cambria Math" w:eastAsia="Cambria" w:hAnsi="Cambria Math" w:cs="Cambria"/>
            <w:sz w:val="22"/>
          </w:rPr>
          <m:t>LnTURNOVER+</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3</m:t>
            </m:r>
          </m:sub>
        </m:sSub>
        <m:r>
          <m:rPr>
            <m:sty m:val="p"/>
          </m:rPr>
          <w:rPr>
            <w:rFonts w:ascii="Cambria Math" w:eastAsia="Cambria" w:hAnsi="Cambria Math" w:cs="Cambria"/>
            <w:sz w:val="22"/>
          </w:rPr>
          <m:t>QRATIO+</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4</m:t>
            </m:r>
          </m:sub>
        </m:sSub>
        <m:r>
          <m:rPr>
            <m:sty m:val="p"/>
          </m:rPr>
          <w:rPr>
            <w:rFonts w:ascii="Cambria Math" w:eastAsia="Cambria" w:hAnsi="Cambria Math" w:cs="Cambria"/>
            <w:sz w:val="22"/>
          </w:rPr>
          <m:t>DE+</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5</m:t>
            </m:r>
          </m:sub>
        </m:sSub>
        <m:r>
          <m:rPr>
            <m:sty m:val="p"/>
          </m:rPr>
          <w:rPr>
            <w:rFonts w:ascii="Cambria Math" w:eastAsia="Cambria" w:hAnsi="Cambria Math" w:cs="Cambria"/>
            <w:sz w:val="22"/>
          </w:rPr>
          <m:t>ROA+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6</m:t>
            </m:r>
          </m:sub>
        </m:sSub>
        <m:r>
          <m:rPr>
            <m:sty m:val="p"/>
          </m:rPr>
          <w:rPr>
            <w:rFonts w:ascii="Cambria Math" w:eastAsia="Cambria" w:hAnsi="Cambria Math" w:cs="Cambria"/>
            <w:sz w:val="22"/>
          </w:rPr>
          <m:t>GeoDiv+</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7</m:t>
            </m:r>
          </m:sub>
        </m:sSub>
        <m:r>
          <m:rPr>
            <m:sty m:val="p"/>
          </m:rPr>
          <w:rPr>
            <w:rFonts w:ascii="Cambria Math" w:eastAsia="Cambria" w:hAnsi="Cambria Math" w:cs="Cambria"/>
            <w:sz w:val="22"/>
          </w:rPr>
          <m:t>OPI+</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w:cs="Cambria"/>
                <w:sz w:val="22"/>
              </w:rPr>
              <m:t>8</m:t>
            </m:r>
          </m:sub>
        </m:sSub>
        <m:r>
          <m:rPr>
            <m:sty m:val="p"/>
          </m:rPr>
          <w:rPr>
            <w:rFonts w:ascii="Cambria Math" w:eastAsia="Cambria" w:hAnsi="Cambria Math" w:cs="Cambria"/>
            <w:sz w:val="22"/>
          </w:rPr>
          <m:t>COMPLEX+</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9</m:t>
            </m:r>
          </m:sub>
        </m:sSub>
        <m:r>
          <m:rPr>
            <m:sty m:val="p"/>
          </m:rPr>
          <w:rPr>
            <w:rFonts w:ascii="Cambria Math" w:eastAsia="Cambria" w:hAnsi="Cambria Math" w:cs="Cambria"/>
            <w:sz w:val="22"/>
          </w:rPr>
          <m:t>SPE</m:t>
        </m:r>
      </m:oMath>
      <w:r w:rsidR="00A23654" w:rsidRPr="006E7435">
        <w:rPr>
          <w:rFonts w:ascii="Times New Roman" w:eastAsiaTheme="minorEastAsia" w:hAnsi="Times New Roman"/>
          <w:sz w:val="24"/>
          <w:szCs w:val="24"/>
        </w:rPr>
        <w:t xml:space="preserve"> </w:t>
      </w:r>
    </w:p>
    <w:p w:rsidR="00A23654" w:rsidRPr="00A23654" w:rsidRDefault="00A23654" w:rsidP="00A23654">
      <w:pPr>
        <w:pStyle w:val="Subtitle"/>
        <w:spacing w:line="360" w:lineRule="auto"/>
        <w:jc w:val="left"/>
        <w:rPr>
          <w:rStyle w:val="SubtleEmphasis"/>
          <w:b/>
        </w:rPr>
      </w:pPr>
      <w:bookmarkStart w:id="66" w:name="_Toc393872566"/>
      <w:r w:rsidRPr="00A23654">
        <w:rPr>
          <w:rStyle w:val="SubtleEmphasis"/>
          <w:b/>
        </w:rPr>
        <w:t xml:space="preserve">5.5.1 Descriptive </w:t>
      </w:r>
      <w:r w:rsidR="004228D1">
        <w:rPr>
          <w:rStyle w:val="SubtleEmphasis"/>
          <w:b/>
        </w:rPr>
        <w:t>S</w:t>
      </w:r>
      <w:r w:rsidRPr="00A23654">
        <w:rPr>
          <w:rStyle w:val="SubtleEmphasis"/>
          <w:b/>
        </w:rPr>
        <w:t xml:space="preserve">tatistics </w:t>
      </w:r>
      <w:r w:rsidR="004228D1">
        <w:rPr>
          <w:rStyle w:val="SubtleEmphasis"/>
          <w:b/>
        </w:rPr>
        <w:t>of the R</w:t>
      </w:r>
      <w:r w:rsidRPr="00A23654">
        <w:rPr>
          <w:rStyle w:val="SubtleEmphasis"/>
          <w:b/>
        </w:rPr>
        <w:t xml:space="preserve">egression </w:t>
      </w:r>
      <w:r w:rsidR="004228D1">
        <w:rPr>
          <w:rStyle w:val="SubtleEmphasis"/>
          <w:b/>
        </w:rPr>
        <w:t>C</w:t>
      </w:r>
      <w:r w:rsidRPr="00A23654">
        <w:rPr>
          <w:rStyle w:val="SubtleEmphasis"/>
          <w:b/>
        </w:rPr>
        <w:t>omponents</w:t>
      </w:r>
      <w:bookmarkEnd w:id="66"/>
    </w:p>
    <w:p w:rsidR="00A23654" w:rsidRPr="009B34A0" w:rsidRDefault="00A23654" w:rsidP="00A23654"/>
    <w:p w:rsidR="0033247F" w:rsidRDefault="00A23654" w:rsidP="0033247F">
      <w:pPr>
        <w:keepNext/>
        <w:spacing w:line="360" w:lineRule="auto"/>
      </w:pPr>
      <w:r w:rsidRPr="003D4FDF">
        <w:rPr>
          <w:rFonts w:ascii="Times New Roman" w:hAnsi="Times New Roman"/>
          <w:noProof/>
          <w:sz w:val="22"/>
          <w:szCs w:val="22"/>
          <w:lang w:eastAsia="en-US"/>
        </w:rPr>
        <w:lastRenderedPageBreak/>
        <w:drawing>
          <wp:inline distT="0" distB="0" distL="0" distR="0">
            <wp:extent cx="5760720" cy="11189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760720" cy="1118949"/>
                    </a:xfrm>
                    <a:prstGeom prst="rect">
                      <a:avLst/>
                    </a:prstGeom>
                  </pic:spPr>
                </pic:pic>
              </a:graphicData>
            </a:graphic>
          </wp:inline>
        </w:drawing>
      </w:r>
    </w:p>
    <w:p w:rsidR="00A23654" w:rsidRPr="0033247F" w:rsidRDefault="0033247F" w:rsidP="0033247F">
      <w:pPr>
        <w:pStyle w:val="Caption"/>
        <w:jc w:val="center"/>
        <w:rPr>
          <w:rFonts w:ascii="Times New Roman" w:hAnsi="Times New Roman"/>
          <w:b w:val="0"/>
          <w:color w:val="auto"/>
          <w:sz w:val="22"/>
          <w:szCs w:val="22"/>
        </w:rPr>
      </w:pPr>
      <w:r w:rsidRPr="0033247F">
        <w:rPr>
          <w:rFonts w:ascii="Times New Roman" w:hAnsi="Times New Roman"/>
          <w:b w:val="0"/>
          <w:color w:val="auto"/>
        </w:rPr>
        <w:t xml:space="preserve">Table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Table \* ARABIC </w:instrText>
      </w:r>
      <w:r w:rsidR="004A36DA" w:rsidRPr="0033247F">
        <w:rPr>
          <w:rFonts w:ascii="Times New Roman" w:hAnsi="Times New Roman"/>
          <w:b w:val="0"/>
          <w:color w:val="auto"/>
        </w:rPr>
        <w:fldChar w:fldCharType="separate"/>
      </w:r>
      <w:r>
        <w:rPr>
          <w:rFonts w:ascii="Times New Roman" w:hAnsi="Times New Roman"/>
          <w:b w:val="0"/>
          <w:noProof/>
          <w:color w:val="auto"/>
        </w:rPr>
        <w:t>10</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Descriptive statistics regression components</w:t>
      </w:r>
    </w:p>
    <w:p w:rsidR="00A23654" w:rsidRDefault="00A23654" w:rsidP="00A23654">
      <w:pPr>
        <w:overflowPunct/>
        <w:autoSpaceDE/>
        <w:autoSpaceDN/>
        <w:adjustRightInd/>
        <w:spacing w:before="240" w:line="360" w:lineRule="auto"/>
        <w:textAlignment w:val="auto"/>
        <w:rPr>
          <w:rFonts w:ascii="Times New Roman" w:hAnsi="Times New Roman"/>
          <w:sz w:val="22"/>
          <w:szCs w:val="22"/>
        </w:rPr>
      </w:pPr>
      <w:r>
        <w:rPr>
          <w:rFonts w:ascii="Times New Roman" w:hAnsi="Times New Roman"/>
          <w:sz w:val="22"/>
          <w:szCs w:val="22"/>
        </w:rPr>
        <w:t>Where</w:t>
      </w:r>
    </w:p>
    <w:p w:rsidR="00A23654" w:rsidRDefault="00525D67" w:rsidP="00A23654">
      <w:pPr>
        <w:spacing w:line="360" w:lineRule="auto"/>
        <w:rPr>
          <w:rFonts w:ascii="Cambria" w:hAnsi="Cambria"/>
          <w:sz w:val="22"/>
        </w:rPr>
      </w:pPr>
      <w:r>
        <w:rPr>
          <w:rFonts w:ascii="Cambria Math" w:hAnsi="Cambria Math"/>
          <w:sz w:val="22"/>
        </w:rPr>
        <w:t>Ln</w:t>
      </w:r>
      <w:r w:rsidR="00A23654" w:rsidRPr="006E7435">
        <w:rPr>
          <w:rFonts w:ascii="Cambria Math" w:hAnsi="Cambria Math"/>
          <w:sz w:val="22"/>
        </w:rPr>
        <w:t xml:space="preserve"> AF</w:t>
      </w:r>
      <w:r w:rsidR="00A23654" w:rsidRPr="007A006D">
        <w:rPr>
          <w:rFonts w:ascii="Cambria" w:hAnsi="Cambria"/>
          <w:i/>
          <w:sz w:val="22"/>
        </w:rPr>
        <w:tab/>
      </w:r>
      <w:r w:rsidR="00A23654">
        <w:rPr>
          <w:rFonts w:ascii="Cambria" w:hAnsi="Cambria"/>
          <w:i/>
          <w:sz w:val="22"/>
        </w:rPr>
        <w:tab/>
      </w:r>
      <w:r w:rsidR="00A23654">
        <w:rPr>
          <w:rFonts w:ascii="Cambria" w:hAnsi="Cambria"/>
          <w:i/>
          <w:sz w:val="22"/>
        </w:rPr>
        <w:tab/>
      </w:r>
      <w:r w:rsidR="00A23654" w:rsidRPr="007A006D">
        <w:rPr>
          <w:rFonts w:ascii="Cambria" w:hAnsi="Cambria"/>
          <w:sz w:val="22"/>
        </w:rPr>
        <w:t>= natural log of audit fee</w:t>
      </w:r>
      <w:r w:rsidR="00A23654">
        <w:rPr>
          <w:rFonts w:ascii="Cambria" w:hAnsi="Cambria"/>
          <w:sz w:val="22"/>
        </w:rPr>
        <w:t>,</w:t>
      </w:r>
    </w:p>
    <w:p w:rsidR="00A23654" w:rsidRDefault="00525D67" w:rsidP="00A23654">
      <w:pPr>
        <w:spacing w:line="360" w:lineRule="auto"/>
        <w:rPr>
          <w:rFonts w:ascii="Cambria" w:hAnsi="Cambria"/>
          <w:sz w:val="22"/>
        </w:rPr>
      </w:pPr>
      <w:r>
        <w:rPr>
          <w:rFonts w:ascii="Cambria Math" w:hAnsi="Cambria Math"/>
          <w:sz w:val="22"/>
        </w:rPr>
        <w:t>Ln</w:t>
      </w:r>
      <w:r w:rsidR="00A23654" w:rsidRPr="006E7435">
        <w:rPr>
          <w:rFonts w:ascii="Cambria Math" w:hAnsi="Cambria Math"/>
          <w:sz w:val="22"/>
        </w:rPr>
        <w:t xml:space="preserve"> TURNOVER </w:t>
      </w:r>
      <w:r w:rsidR="00A23654">
        <w:rPr>
          <w:rFonts w:ascii="Cambria" w:hAnsi="Cambria"/>
          <w:i/>
          <w:sz w:val="22"/>
        </w:rPr>
        <w:tab/>
      </w:r>
      <w:r w:rsidR="00A23654" w:rsidRPr="007A006D">
        <w:rPr>
          <w:rFonts w:ascii="Cambria" w:hAnsi="Cambria"/>
          <w:sz w:val="22"/>
        </w:rPr>
        <w:t xml:space="preserve">= natural log of </w:t>
      </w:r>
      <w:r w:rsidR="00A23654">
        <w:rPr>
          <w:rFonts w:ascii="Cambria" w:hAnsi="Cambria"/>
          <w:sz w:val="22"/>
        </w:rPr>
        <w:t>turnover,</w:t>
      </w:r>
    </w:p>
    <w:p w:rsidR="00A23654" w:rsidRDefault="00A23654" w:rsidP="00A23654">
      <w:pPr>
        <w:spacing w:line="360" w:lineRule="auto"/>
        <w:rPr>
          <w:rFonts w:ascii="Cambria" w:hAnsi="Cambria"/>
          <w:sz w:val="22"/>
        </w:rPr>
      </w:pPr>
      <w:r w:rsidRPr="006E7435">
        <w:rPr>
          <w:rFonts w:ascii="Cambria Math" w:hAnsi="Cambria Math"/>
          <w:sz w:val="22"/>
        </w:rPr>
        <w:t>QRATIO</w:t>
      </w:r>
      <w:r>
        <w:rPr>
          <w:rFonts w:ascii="Cambria" w:hAnsi="Cambria"/>
          <w:sz w:val="22"/>
        </w:rPr>
        <w:t xml:space="preserve"> </w:t>
      </w:r>
      <w:r>
        <w:rPr>
          <w:rFonts w:ascii="Cambria" w:hAnsi="Cambria"/>
          <w:sz w:val="22"/>
        </w:rPr>
        <w:tab/>
      </w:r>
      <w:r>
        <w:rPr>
          <w:rFonts w:ascii="Cambria" w:hAnsi="Cambria"/>
          <w:sz w:val="22"/>
        </w:rPr>
        <w:tab/>
      </w:r>
      <w:r w:rsidRPr="007A006D">
        <w:rPr>
          <w:rFonts w:ascii="Cambria" w:hAnsi="Cambria"/>
          <w:sz w:val="22"/>
        </w:rPr>
        <w:t>= the ratio of current assets less inventories to current liabilities</w:t>
      </w:r>
      <w:r>
        <w:rPr>
          <w:rFonts w:ascii="Cambria" w:hAnsi="Cambria"/>
          <w:sz w:val="22"/>
        </w:rPr>
        <w:t>,</w:t>
      </w:r>
    </w:p>
    <w:p w:rsidR="00A23654" w:rsidRDefault="00A23654" w:rsidP="00A23654">
      <w:pPr>
        <w:spacing w:line="360" w:lineRule="auto"/>
        <w:rPr>
          <w:rFonts w:ascii="Cambria" w:hAnsi="Cambria"/>
          <w:sz w:val="22"/>
        </w:rPr>
      </w:pPr>
      <w:r w:rsidRPr="006E7435">
        <w:rPr>
          <w:rFonts w:ascii="Cambria Math" w:hAnsi="Cambria Math"/>
          <w:sz w:val="22"/>
        </w:rPr>
        <w:t>DE</w:t>
      </w:r>
      <w:r>
        <w:rPr>
          <w:rFonts w:ascii="Cambria" w:hAnsi="Cambria"/>
          <w:sz w:val="22"/>
        </w:rPr>
        <w:t xml:space="preserve"> </w:t>
      </w:r>
      <w:r>
        <w:rPr>
          <w:rFonts w:ascii="Cambria" w:hAnsi="Cambria"/>
          <w:sz w:val="22"/>
        </w:rPr>
        <w:tab/>
      </w:r>
      <w:r>
        <w:rPr>
          <w:rFonts w:ascii="Cambria" w:hAnsi="Cambria"/>
          <w:sz w:val="22"/>
        </w:rPr>
        <w:tab/>
      </w:r>
      <w:r>
        <w:rPr>
          <w:rFonts w:ascii="Cambria" w:hAnsi="Cambria"/>
          <w:sz w:val="22"/>
        </w:rPr>
        <w:tab/>
        <w:t xml:space="preserve">= </w:t>
      </w:r>
      <w:r w:rsidRPr="007A006D">
        <w:rPr>
          <w:rFonts w:ascii="Cambria" w:hAnsi="Cambria"/>
          <w:sz w:val="22"/>
        </w:rPr>
        <w:t>the ratio of long-term debt to total assets,</w:t>
      </w:r>
    </w:p>
    <w:p w:rsidR="00A23654" w:rsidRDefault="00A23654" w:rsidP="00A23654">
      <w:pPr>
        <w:spacing w:line="360" w:lineRule="auto"/>
        <w:rPr>
          <w:rFonts w:ascii="Cambria" w:hAnsi="Cambria"/>
          <w:sz w:val="22"/>
        </w:rPr>
      </w:pPr>
      <w:r w:rsidRPr="006E7435">
        <w:rPr>
          <w:rFonts w:ascii="Cambria Math" w:eastAsia="Cambria" w:hAnsi="Cambria Math"/>
          <w:sz w:val="22"/>
          <w:szCs w:val="22"/>
        </w:rPr>
        <w:t>ROA</w:t>
      </w:r>
      <w:r>
        <w:rPr>
          <w:rFonts w:ascii="Times New Roman" w:eastAsia="Cambria" w:hAnsi="Times New Roman"/>
          <w:sz w:val="22"/>
          <w:szCs w:val="22"/>
        </w:rPr>
        <w:tab/>
      </w:r>
      <w:r>
        <w:rPr>
          <w:rFonts w:ascii="Times New Roman" w:eastAsia="Cambria" w:hAnsi="Times New Roman"/>
          <w:sz w:val="22"/>
          <w:szCs w:val="22"/>
        </w:rPr>
        <w:tab/>
      </w:r>
      <w:r>
        <w:rPr>
          <w:rFonts w:ascii="Times New Roman" w:eastAsia="Cambria" w:hAnsi="Times New Roman"/>
          <w:sz w:val="22"/>
          <w:szCs w:val="22"/>
        </w:rPr>
        <w:tab/>
        <w:t xml:space="preserve">= </w:t>
      </w:r>
      <w:r w:rsidRPr="007A006D">
        <w:rPr>
          <w:rFonts w:ascii="Cambria" w:hAnsi="Cambria"/>
          <w:sz w:val="22"/>
        </w:rPr>
        <w:t>the ratio of net income to total assets</w:t>
      </w:r>
      <w:r>
        <w:rPr>
          <w:rFonts w:ascii="Cambria" w:hAnsi="Cambria"/>
          <w:sz w:val="22"/>
        </w:rPr>
        <w:t>,</w:t>
      </w:r>
    </w:p>
    <w:p w:rsidR="00A23654" w:rsidRPr="00624FAB" w:rsidRDefault="00A23654" w:rsidP="00A23654">
      <w:pPr>
        <w:spacing w:line="360" w:lineRule="auto"/>
        <w:rPr>
          <w:rFonts w:ascii="Times New Roman" w:eastAsia="Cambria" w:hAnsi="Times New Roman"/>
          <w:sz w:val="22"/>
          <w:szCs w:val="22"/>
        </w:rPr>
      </w:pPr>
      <w:r w:rsidRPr="006E7435">
        <w:rPr>
          <w:rFonts w:ascii="Cambria Math" w:hAnsi="Cambria Math"/>
          <w:sz w:val="22"/>
        </w:rPr>
        <w:t xml:space="preserve">GeoDiv </w:t>
      </w:r>
      <w:r>
        <w:rPr>
          <w:rFonts w:ascii="Cambria" w:hAnsi="Cambria"/>
          <w:sz w:val="22"/>
        </w:rPr>
        <w:tab/>
      </w:r>
      <w:r>
        <w:rPr>
          <w:rFonts w:ascii="Cambria" w:hAnsi="Cambria"/>
          <w:sz w:val="22"/>
        </w:rPr>
        <w:tab/>
        <w:t>= number of geographical locations,</w:t>
      </w:r>
    </w:p>
    <w:p w:rsidR="00A23654" w:rsidRDefault="00A23654" w:rsidP="00A23654">
      <w:pPr>
        <w:spacing w:line="360" w:lineRule="auto"/>
        <w:ind w:left="1695" w:hanging="1695"/>
        <w:rPr>
          <w:rFonts w:ascii="Cambria" w:hAnsi="Cambria"/>
          <w:sz w:val="22"/>
        </w:rPr>
      </w:pPr>
      <w:r w:rsidRPr="006E7435">
        <w:rPr>
          <w:rFonts w:ascii="Cambria Math" w:hAnsi="Cambria Math"/>
          <w:sz w:val="22"/>
        </w:rPr>
        <w:t xml:space="preserve">OPI </w:t>
      </w:r>
      <w:r>
        <w:rPr>
          <w:rFonts w:ascii="Cambria" w:hAnsi="Cambria"/>
          <w:sz w:val="22"/>
        </w:rPr>
        <w:tab/>
      </w:r>
      <w:r>
        <w:rPr>
          <w:rFonts w:ascii="Cambria" w:hAnsi="Cambria"/>
          <w:sz w:val="22"/>
        </w:rPr>
        <w:tab/>
        <w:t xml:space="preserve">= </w:t>
      </w:r>
      <w:r w:rsidRPr="007A006D">
        <w:rPr>
          <w:rFonts w:ascii="Cambria" w:hAnsi="Cambria"/>
          <w:sz w:val="22"/>
        </w:rPr>
        <w:t>indicator variable, 1 = qualified audit report</w:t>
      </w:r>
      <w:r>
        <w:rPr>
          <w:rFonts w:ascii="Cambria" w:hAnsi="Cambria"/>
          <w:sz w:val="22"/>
        </w:rPr>
        <w:t>, adverse opinion or disclaimer of opinion,</w:t>
      </w:r>
    </w:p>
    <w:p w:rsidR="00A23654" w:rsidRDefault="00A23654" w:rsidP="00A23654">
      <w:pPr>
        <w:spacing w:line="360" w:lineRule="auto"/>
        <w:rPr>
          <w:rFonts w:ascii="Cambria" w:hAnsi="Cambria"/>
          <w:sz w:val="22"/>
        </w:rPr>
      </w:pPr>
      <w:r w:rsidRPr="006E7435">
        <w:rPr>
          <w:rFonts w:ascii="Cambria Math" w:hAnsi="Cambria Math"/>
          <w:sz w:val="22"/>
        </w:rPr>
        <w:t>COMPLEX</w:t>
      </w:r>
      <w:r>
        <w:rPr>
          <w:rFonts w:ascii="Cambria" w:hAnsi="Cambria"/>
          <w:sz w:val="22"/>
        </w:rPr>
        <w:t xml:space="preserve"> </w:t>
      </w:r>
      <w:r>
        <w:rPr>
          <w:rFonts w:ascii="Cambria" w:hAnsi="Cambria"/>
          <w:sz w:val="22"/>
        </w:rPr>
        <w:tab/>
      </w:r>
      <w:r>
        <w:rPr>
          <w:rFonts w:ascii="Cambria" w:hAnsi="Cambria"/>
          <w:sz w:val="22"/>
        </w:rPr>
        <w:tab/>
        <w:t>= indicator variable, 1 = complex industry,</w:t>
      </w:r>
    </w:p>
    <w:p w:rsidR="00A23654" w:rsidRPr="00FD3413" w:rsidRDefault="00A23654" w:rsidP="00A23654">
      <w:pPr>
        <w:spacing w:after="240" w:line="360" w:lineRule="auto"/>
        <w:rPr>
          <w:rFonts w:ascii="Cambria" w:hAnsi="Cambria"/>
          <w:sz w:val="22"/>
        </w:rPr>
      </w:pPr>
      <w:r w:rsidRPr="006E7435">
        <w:rPr>
          <w:rFonts w:ascii="Cambria Math" w:hAnsi="Cambria Math"/>
          <w:sz w:val="22"/>
        </w:rPr>
        <w:t>SPE</w:t>
      </w:r>
      <w:r>
        <w:rPr>
          <w:rFonts w:ascii="Cambria" w:hAnsi="Cambria"/>
          <w:sz w:val="22"/>
        </w:rPr>
        <w:t xml:space="preserve"> </w:t>
      </w:r>
      <w:r>
        <w:rPr>
          <w:rFonts w:ascii="Cambria" w:hAnsi="Cambria"/>
          <w:sz w:val="22"/>
        </w:rPr>
        <w:tab/>
      </w:r>
      <w:r>
        <w:rPr>
          <w:rFonts w:ascii="Cambria" w:hAnsi="Cambria"/>
          <w:sz w:val="22"/>
        </w:rPr>
        <w:tab/>
      </w:r>
      <w:r>
        <w:rPr>
          <w:rFonts w:ascii="Cambria" w:hAnsi="Cambria"/>
          <w:sz w:val="22"/>
        </w:rPr>
        <w:tab/>
        <w:t>= indicator variable, 1 = auditors are industry specialist</w:t>
      </w:r>
    </w:p>
    <w:p w:rsidR="00A23654" w:rsidRDefault="00A23654" w:rsidP="00A23654">
      <w:pPr>
        <w:overflowPunct/>
        <w:autoSpaceDE/>
        <w:autoSpaceDN/>
        <w:adjustRightInd/>
        <w:spacing w:after="200" w:line="360" w:lineRule="auto"/>
        <w:jc w:val="both"/>
        <w:textAlignment w:val="auto"/>
        <w:rPr>
          <w:color w:val="000000"/>
        </w:rPr>
      </w:pPr>
      <w:r w:rsidRPr="00D80B6F">
        <w:rPr>
          <w:rFonts w:ascii="Times New Roman" w:eastAsiaTheme="minorEastAsia" w:hAnsi="Times New Roman"/>
          <w:sz w:val="22"/>
          <w:szCs w:val="22"/>
        </w:rPr>
        <w:t>The sample used consisted of 10</w:t>
      </w:r>
      <w:r>
        <w:rPr>
          <w:rFonts w:ascii="Times New Roman" w:eastAsiaTheme="minorEastAsia" w:hAnsi="Times New Roman"/>
          <w:sz w:val="22"/>
          <w:szCs w:val="22"/>
        </w:rPr>
        <w:t>136</w:t>
      </w:r>
      <w:r w:rsidRPr="00D80B6F">
        <w:rPr>
          <w:rFonts w:ascii="Times New Roman" w:eastAsiaTheme="minorEastAsia" w:hAnsi="Times New Roman"/>
          <w:sz w:val="22"/>
          <w:szCs w:val="22"/>
        </w:rPr>
        <w:t xml:space="preserve"> </w:t>
      </w:r>
      <w:r>
        <w:rPr>
          <w:rFonts w:ascii="Times New Roman" w:eastAsiaTheme="minorEastAsia" w:hAnsi="Times New Roman"/>
          <w:sz w:val="22"/>
          <w:szCs w:val="22"/>
        </w:rPr>
        <w:t>firm-year observations between 2007 up to and included 2013</w:t>
      </w:r>
      <w:r w:rsidRPr="00D80B6F">
        <w:rPr>
          <w:rFonts w:ascii="Times New Roman" w:eastAsiaTheme="minorEastAsia" w:hAnsi="Times New Roman"/>
          <w:sz w:val="22"/>
          <w:szCs w:val="22"/>
        </w:rPr>
        <w:t xml:space="preserve">. The demonstrated features involve </w:t>
      </w:r>
      <w:r>
        <w:rPr>
          <w:rFonts w:ascii="Times New Roman" w:eastAsiaTheme="minorEastAsia" w:hAnsi="Times New Roman"/>
          <w:sz w:val="22"/>
          <w:szCs w:val="22"/>
        </w:rPr>
        <w:t xml:space="preserve">the </w:t>
      </w:r>
      <w:r w:rsidRPr="00D80B6F">
        <w:rPr>
          <w:rFonts w:ascii="Times New Roman" w:eastAsiaTheme="minorEastAsia" w:hAnsi="Times New Roman"/>
          <w:sz w:val="22"/>
          <w:szCs w:val="22"/>
        </w:rPr>
        <w:t>basic statistical terms that are explained subsequently. “Mean” presents the average value of the variables, while “Median” presents the median value of the variables. “Std. Deviation” presents the deviation from the average value of the examined variables, “Min” presents the lowest value of the variables, and “Max”</w:t>
      </w:r>
      <w:r>
        <w:rPr>
          <w:rFonts w:ascii="Times New Roman" w:eastAsiaTheme="minorEastAsia" w:hAnsi="Times New Roman"/>
          <w:sz w:val="22"/>
          <w:szCs w:val="22"/>
        </w:rPr>
        <w:t xml:space="preserve"> is</w:t>
      </w:r>
      <w:r w:rsidRPr="00D80B6F">
        <w:rPr>
          <w:rFonts w:ascii="Times New Roman" w:eastAsiaTheme="minorEastAsia" w:hAnsi="Times New Roman"/>
          <w:sz w:val="22"/>
          <w:szCs w:val="22"/>
        </w:rPr>
        <w:t xml:space="preserve"> the maximum existing value of the variables.</w:t>
      </w:r>
      <w:r>
        <w:rPr>
          <w:color w:val="000000"/>
        </w:rPr>
        <w:t xml:space="preserve"> </w:t>
      </w:r>
    </w:p>
    <w:p w:rsidR="00A23654" w:rsidRPr="00E3171E" w:rsidRDefault="00A23654" w:rsidP="00A23654">
      <w:pPr>
        <w:overflowPunct/>
        <w:autoSpaceDE/>
        <w:autoSpaceDN/>
        <w:adjustRightInd/>
        <w:spacing w:after="200" w:line="360" w:lineRule="auto"/>
        <w:jc w:val="both"/>
        <w:textAlignment w:val="auto"/>
        <w:rPr>
          <w:rFonts w:ascii="Times New Roman" w:eastAsiaTheme="minorEastAsia" w:hAnsi="Times New Roman"/>
          <w:sz w:val="24"/>
          <w:szCs w:val="24"/>
        </w:rPr>
      </w:pPr>
      <w:r w:rsidRPr="00D80B6F">
        <w:rPr>
          <w:rFonts w:ascii="Times New Roman" w:eastAsiaTheme="minorEastAsia" w:hAnsi="Times New Roman"/>
          <w:sz w:val="22"/>
          <w:szCs w:val="22"/>
        </w:rPr>
        <w:t xml:space="preserve">The interested term is the </w:t>
      </w:r>
      <w:r w:rsidR="00525D67">
        <w:rPr>
          <w:rFonts w:ascii="Times New Roman" w:eastAsiaTheme="minorEastAsia" w:hAnsi="Times New Roman"/>
          <w:sz w:val="22"/>
          <w:szCs w:val="22"/>
        </w:rPr>
        <w:t>Ln</w:t>
      </w:r>
      <w:r w:rsidRPr="00D80B6F">
        <w:rPr>
          <w:rFonts w:ascii="Times New Roman" w:eastAsiaTheme="minorEastAsia" w:hAnsi="Times New Roman"/>
          <w:sz w:val="22"/>
          <w:szCs w:val="22"/>
        </w:rPr>
        <w:t>AF with a mean of 13,69</w:t>
      </w:r>
      <w:r>
        <w:rPr>
          <w:rFonts w:ascii="Times New Roman" w:eastAsiaTheme="minorEastAsia" w:hAnsi="Times New Roman"/>
          <w:sz w:val="22"/>
          <w:szCs w:val="22"/>
        </w:rPr>
        <w:t xml:space="preserve">, which is amounted approximately to $ 882046. </w:t>
      </w:r>
      <w:r>
        <w:rPr>
          <w:rFonts w:ascii="Times New Roman" w:hAnsi="Times New Roman"/>
          <w:sz w:val="22"/>
          <w:szCs w:val="22"/>
        </w:rPr>
        <w:t>3709 (36,6%) observations in the sample are considered as complex companies and the remaining 6427 (63,4%) is qualified as noncomplex companies. In addition, 6481 (63,9%) financial statements audits are performed by an industry specialist and the remaining 3655 (36,1%) was perform by non-specialist auditors.</w:t>
      </w:r>
    </w:p>
    <w:p w:rsidR="00A23654" w:rsidRDefault="00A23654" w:rsidP="00A23654">
      <w:pPr>
        <w:spacing w:line="360" w:lineRule="auto"/>
        <w:jc w:val="both"/>
        <w:rPr>
          <w:rFonts w:ascii="Times New Roman" w:eastAsiaTheme="minorEastAsia" w:hAnsi="Times New Roman"/>
          <w:sz w:val="22"/>
          <w:szCs w:val="22"/>
        </w:rPr>
      </w:pPr>
      <w:r w:rsidRPr="005E3479">
        <w:rPr>
          <w:rFonts w:ascii="Times New Roman" w:eastAsiaTheme="minorEastAsia" w:hAnsi="Times New Roman"/>
          <w:sz w:val="22"/>
          <w:szCs w:val="22"/>
        </w:rPr>
        <w:t xml:space="preserve">The coefficient of determination, or the </w:t>
      </w:r>
      <w:r w:rsidRPr="005E3479">
        <w:rPr>
          <w:rFonts w:ascii="Times New Roman" w:eastAsiaTheme="minorEastAsia" w:hAnsi="Times New Roman"/>
          <w:i/>
          <w:sz w:val="22"/>
          <w:szCs w:val="22"/>
        </w:rPr>
        <w:t>R</w:t>
      </w:r>
      <w:r w:rsidRPr="005E3479">
        <w:rPr>
          <w:rFonts w:ascii="Times New Roman" w:eastAsiaTheme="minorEastAsia" w:hAnsi="Times New Roman"/>
          <w:i/>
          <w:sz w:val="22"/>
          <w:szCs w:val="22"/>
          <w:vertAlign w:val="superscript"/>
        </w:rPr>
        <w:t>2</w:t>
      </w:r>
      <w:r w:rsidRPr="005E3479">
        <w:rPr>
          <w:rFonts w:ascii="Times New Roman" w:eastAsiaTheme="minorEastAsia" w:hAnsi="Times New Roman"/>
          <w:sz w:val="22"/>
          <w:szCs w:val="22"/>
        </w:rPr>
        <w:t xml:space="preserve"> value, is 0,751, which represents the proportion of variance</w:t>
      </w:r>
      <w:r>
        <w:rPr>
          <w:rFonts w:ascii="Times New Roman" w:eastAsiaTheme="minorEastAsia" w:hAnsi="Times New Roman"/>
          <w:sz w:val="22"/>
          <w:szCs w:val="22"/>
        </w:rPr>
        <w:t xml:space="preserve"> in the audit fee that can be explained by the assumed determinants. Consequently, the used determinants explain 75% of the audit fee variability. However,</w:t>
      </w:r>
      <w:r w:rsidRPr="005E3479">
        <w:rPr>
          <w:rFonts w:ascii="Times New Roman" w:eastAsiaTheme="minorEastAsia" w:hAnsi="Times New Roman"/>
          <w:sz w:val="22"/>
          <w:szCs w:val="22"/>
        </w:rPr>
        <w:t xml:space="preserve"> </w:t>
      </w:r>
      <w:r>
        <w:rPr>
          <w:rFonts w:ascii="Times New Roman" w:eastAsiaTheme="minorEastAsia" w:hAnsi="Times New Roman"/>
          <w:sz w:val="22"/>
          <w:szCs w:val="22"/>
        </w:rPr>
        <w:t xml:space="preserve">since it is the expectation of the population the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 xml:space="preserve">2 </w:t>
      </w:r>
      <w:r>
        <w:rPr>
          <w:rFonts w:ascii="Times New Roman" w:eastAsiaTheme="minorEastAsia" w:hAnsi="Times New Roman"/>
          <w:sz w:val="22"/>
          <w:szCs w:val="22"/>
        </w:rPr>
        <w:t xml:space="preserve">is based on the sample and the adjusted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 xml:space="preserve">2 </w:t>
      </w:r>
      <w:r>
        <w:rPr>
          <w:rFonts w:ascii="Times New Roman" w:eastAsiaTheme="minorEastAsia" w:hAnsi="Times New Roman"/>
          <w:sz w:val="22"/>
          <w:szCs w:val="22"/>
        </w:rPr>
        <w:t xml:space="preserve">is mostly qualified as more valuable. In this case, the adjusted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 xml:space="preserve">2 </w:t>
      </w:r>
      <w:r>
        <w:rPr>
          <w:rFonts w:ascii="Times New Roman" w:eastAsiaTheme="minorEastAsia" w:hAnsi="Times New Roman"/>
          <w:sz w:val="22"/>
          <w:szCs w:val="22"/>
        </w:rPr>
        <w:t xml:space="preserve">is the same as the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2</w:t>
      </w:r>
      <w:r>
        <w:rPr>
          <w:rFonts w:ascii="Times New Roman" w:eastAsiaTheme="minorEastAsia" w:hAnsi="Times New Roman"/>
          <w:sz w:val="22"/>
          <w:szCs w:val="22"/>
        </w:rPr>
        <w:t xml:space="preserve"> value, which is equal to 0,750. Additionally, the </w:t>
      </w:r>
      <w:r>
        <w:rPr>
          <w:rFonts w:ascii="Times New Roman" w:eastAsiaTheme="minorEastAsia" w:hAnsi="Times New Roman"/>
          <w:i/>
          <w:sz w:val="22"/>
          <w:szCs w:val="22"/>
        </w:rPr>
        <w:t>F</w:t>
      </w:r>
      <w:r>
        <w:rPr>
          <w:rFonts w:ascii="Times New Roman" w:eastAsiaTheme="minorEastAsia" w:hAnsi="Times New Roman"/>
          <w:sz w:val="22"/>
          <w:szCs w:val="22"/>
        </w:rPr>
        <w:t xml:space="preserve">-ratio shows that the determinants statistically significant predict the audit fee, </w:t>
      </w:r>
      <w:r>
        <w:rPr>
          <w:rFonts w:ascii="Times New Roman" w:eastAsiaTheme="minorEastAsia" w:hAnsi="Times New Roman"/>
          <w:i/>
          <w:sz w:val="22"/>
          <w:szCs w:val="22"/>
        </w:rPr>
        <w:t xml:space="preserve">F </w:t>
      </w:r>
      <w:r>
        <w:rPr>
          <w:rFonts w:ascii="Times New Roman" w:eastAsiaTheme="minorEastAsia" w:hAnsi="Times New Roman"/>
          <w:sz w:val="22"/>
          <w:szCs w:val="22"/>
        </w:rPr>
        <w:t xml:space="preserve">(9,10126) = 3384,491, </w:t>
      </w:r>
      <w:r>
        <w:rPr>
          <w:rFonts w:ascii="Times New Roman" w:eastAsiaTheme="minorEastAsia" w:hAnsi="Times New Roman"/>
          <w:i/>
          <w:sz w:val="22"/>
          <w:szCs w:val="22"/>
        </w:rPr>
        <w:t xml:space="preserve">p </w:t>
      </w:r>
      <w:r>
        <w:rPr>
          <w:rFonts w:ascii="Times New Roman" w:eastAsiaTheme="minorEastAsia" w:hAnsi="Times New Roman"/>
          <w:sz w:val="22"/>
          <w:szCs w:val="22"/>
        </w:rPr>
        <w:t>&lt; ,0005.</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lastRenderedPageBreak/>
        <w:t xml:space="preserve">A table containing the estimated coefficients is presented below. </w:t>
      </w:r>
    </w:p>
    <w:p w:rsidR="0033247F" w:rsidRDefault="00A23654" w:rsidP="0033247F">
      <w:pPr>
        <w:keepNext/>
        <w:spacing w:line="360" w:lineRule="auto"/>
        <w:jc w:val="center"/>
      </w:pPr>
      <w:r w:rsidRPr="00DF4CBA">
        <w:rPr>
          <w:rFonts w:ascii="Times New Roman" w:eastAsiaTheme="minorEastAsia" w:hAnsi="Times New Roman"/>
          <w:noProof/>
          <w:sz w:val="22"/>
          <w:szCs w:val="22"/>
          <w:lang w:eastAsia="en-US"/>
        </w:rPr>
        <w:drawing>
          <wp:inline distT="0" distB="0" distL="0" distR="0">
            <wp:extent cx="3771900" cy="2819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3771900" cy="2819400"/>
                    </a:xfrm>
                    <a:prstGeom prst="rect">
                      <a:avLst/>
                    </a:prstGeom>
                  </pic:spPr>
                </pic:pic>
              </a:graphicData>
            </a:graphic>
          </wp:inline>
        </w:drawing>
      </w:r>
    </w:p>
    <w:p w:rsidR="00A23654" w:rsidRPr="0033247F" w:rsidRDefault="0033247F" w:rsidP="0033247F">
      <w:pPr>
        <w:pStyle w:val="Caption"/>
        <w:jc w:val="center"/>
        <w:rPr>
          <w:rFonts w:ascii="Times New Roman" w:hAnsi="Times New Roman"/>
          <w:b w:val="0"/>
          <w:color w:val="auto"/>
        </w:rPr>
      </w:pPr>
      <w:r w:rsidRPr="0033247F">
        <w:rPr>
          <w:rFonts w:ascii="Times New Roman" w:hAnsi="Times New Roman"/>
          <w:b w:val="0"/>
          <w:color w:val="auto"/>
        </w:rPr>
        <w:t xml:space="preserve">Table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Table \* ARABIC </w:instrText>
      </w:r>
      <w:r w:rsidR="004A36DA" w:rsidRPr="0033247F">
        <w:rPr>
          <w:rFonts w:ascii="Times New Roman" w:hAnsi="Times New Roman"/>
          <w:b w:val="0"/>
          <w:color w:val="auto"/>
        </w:rPr>
        <w:fldChar w:fldCharType="separate"/>
      </w:r>
      <w:r>
        <w:rPr>
          <w:rFonts w:ascii="Times New Roman" w:hAnsi="Times New Roman"/>
          <w:b w:val="0"/>
          <w:noProof/>
          <w:color w:val="auto"/>
        </w:rPr>
        <w:t>11</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Coefficients analysis without the interaction term</w:t>
      </w:r>
    </w:p>
    <w:p w:rsidR="0033247F" w:rsidRPr="0033247F" w:rsidRDefault="0033247F" w:rsidP="0033247F">
      <w:pPr>
        <w:rPr>
          <w:rFonts w:eastAsiaTheme="minorEastAsia"/>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All coefficients are statistically significant at a confidence level of 95% except the QRATIO and DE. The other coefficients are as expected to be either positively or negatively related with the audit fee. The general form of the equation to predict audit fee is:</w:t>
      </w:r>
    </w:p>
    <w:p w:rsidR="00A23654" w:rsidRDefault="00A23654" w:rsidP="00A23654">
      <w:pPr>
        <w:spacing w:line="360" w:lineRule="auto"/>
        <w:jc w:val="both"/>
        <w:rPr>
          <w:rFonts w:ascii="Times New Roman" w:eastAsiaTheme="minorEastAsia" w:hAnsi="Times New Roman"/>
          <w:sz w:val="22"/>
          <w:szCs w:val="22"/>
        </w:rPr>
      </w:pPr>
    </w:p>
    <w:p w:rsidR="00A23654" w:rsidRDefault="00525D67"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Ln</w:t>
      </w:r>
      <w:r w:rsidR="00A23654">
        <w:rPr>
          <w:rFonts w:ascii="Times New Roman" w:eastAsiaTheme="minorEastAsia" w:hAnsi="Times New Roman"/>
          <w:sz w:val="22"/>
          <w:szCs w:val="22"/>
        </w:rPr>
        <w:t xml:space="preserve"> audit fee = 10,659 + 0,299 × </w:t>
      </w:r>
      <w:r>
        <w:rPr>
          <w:rFonts w:ascii="Times New Roman" w:eastAsiaTheme="minorEastAsia" w:hAnsi="Times New Roman"/>
          <w:sz w:val="22"/>
          <w:szCs w:val="22"/>
        </w:rPr>
        <w:t>Ln</w:t>
      </w:r>
      <w:r w:rsidR="00A23654">
        <w:rPr>
          <w:rFonts w:ascii="Times New Roman" w:eastAsiaTheme="minorEastAsia" w:hAnsi="Times New Roman"/>
          <w:sz w:val="22"/>
          <w:szCs w:val="22"/>
        </w:rPr>
        <w:t xml:space="preserve"> total assets + 0,129 × </w:t>
      </w:r>
      <w:r>
        <w:rPr>
          <w:rFonts w:ascii="Times New Roman" w:eastAsiaTheme="minorEastAsia" w:hAnsi="Times New Roman"/>
          <w:sz w:val="22"/>
          <w:szCs w:val="22"/>
        </w:rPr>
        <w:t>Ln</w:t>
      </w:r>
      <w:r w:rsidR="00A23654">
        <w:rPr>
          <w:rFonts w:ascii="Times New Roman" w:eastAsiaTheme="minorEastAsia" w:hAnsi="Times New Roman"/>
          <w:sz w:val="22"/>
          <w:szCs w:val="22"/>
        </w:rPr>
        <w:t xml:space="preserve"> turnover + 0,012 × Debt Ratio + -0,001 × ROA + 0,001 × number of geographical subsidiaries + 0,222 × previous auditor’s opinion + 0,147 × client complexity + 0,234 × auditor industry specialization.</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As expected, it is the client size that is the major determinant of the audit fee. This is consistent with conclusions in the prior research. Since the coefficients are statistically significant positively correlated with the audit fee, the results in addition proved evidence to accept hypothesis 1 and 2a.</w:t>
      </w:r>
      <w:r w:rsidRPr="005E3479">
        <w:rPr>
          <w:rFonts w:ascii="Times New Roman" w:eastAsiaTheme="minorEastAsia" w:hAnsi="Times New Roman"/>
          <w:sz w:val="22"/>
          <w:szCs w:val="22"/>
        </w:rPr>
        <w:t xml:space="preserve"> </w:t>
      </w:r>
      <w:r>
        <w:rPr>
          <w:rFonts w:ascii="Times New Roman" w:eastAsiaTheme="minorEastAsia" w:hAnsi="Times New Roman"/>
          <w:sz w:val="22"/>
          <w:szCs w:val="22"/>
        </w:rPr>
        <w:t xml:space="preserve">Because the output is not providing any evidence that a negative correlation exists between the auditor’s specialization and the audit fee, hypothesis 2b is rejected. </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pStyle w:val="Subtitle"/>
        <w:spacing w:line="360" w:lineRule="auto"/>
        <w:jc w:val="left"/>
        <w:rPr>
          <w:b/>
        </w:rPr>
      </w:pPr>
      <w:bookmarkStart w:id="67" w:name="_Toc393872567"/>
      <w:r>
        <w:rPr>
          <w:b/>
        </w:rPr>
        <w:t xml:space="preserve">5.6 Interaction of </w:t>
      </w:r>
      <w:r w:rsidR="004228D1">
        <w:rPr>
          <w:b/>
        </w:rPr>
        <w:t>C</w:t>
      </w:r>
      <w:r>
        <w:rPr>
          <w:b/>
        </w:rPr>
        <w:t xml:space="preserve">lient </w:t>
      </w:r>
      <w:r w:rsidR="004228D1">
        <w:rPr>
          <w:b/>
        </w:rPr>
        <w:t>C</w:t>
      </w:r>
      <w:r>
        <w:rPr>
          <w:b/>
        </w:rPr>
        <w:t xml:space="preserve">omplexity and the </w:t>
      </w:r>
      <w:r w:rsidR="004228D1">
        <w:rPr>
          <w:b/>
        </w:rPr>
        <w:t>I</w:t>
      </w:r>
      <w:r>
        <w:rPr>
          <w:b/>
        </w:rPr>
        <w:t xml:space="preserve">ndustry </w:t>
      </w:r>
      <w:r w:rsidR="004228D1">
        <w:rPr>
          <w:b/>
        </w:rPr>
        <w:t>S</w:t>
      </w:r>
      <w:r>
        <w:rPr>
          <w:b/>
        </w:rPr>
        <w:t xml:space="preserve">pecialists on the </w:t>
      </w:r>
      <w:r w:rsidR="004228D1">
        <w:rPr>
          <w:b/>
        </w:rPr>
        <w:t>A</w:t>
      </w:r>
      <w:r>
        <w:rPr>
          <w:b/>
        </w:rPr>
        <w:t xml:space="preserve">udit </w:t>
      </w:r>
      <w:r w:rsidR="004228D1">
        <w:rPr>
          <w:b/>
        </w:rPr>
        <w:t>F</w:t>
      </w:r>
      <w:r>
        <w:rPr>
          <w:b/>
        </w:rPr>
        <w:t>ee</w:t>
      </w:r>
      <w:bookmarkEnd w:id="67"/>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To expand the understanding of the relationships among the variables in the model an interaction term of complexity and industry specialists in the regression is </w:t>
      </w:r>
      <w:r w:rsidR="000712E0">
        <w:rPr>
          <w:rFonts w:ascii="Times New Roman" w:eastAsiaTheme="minorEastAsia" w:hAnsi="Times New Roman"/>
          <w:sz w:val="22"/>
          <w:szCs w:val="22"/>
        </w:rPr>
        <w:t xml:space="preserve">added. </w:t>
      </w:r>
      <w:r>
        <w:rPr>
          <w:rFonts w:ascii="Times New Roman" w:eastAsiaTheme="minorEastAsia" w:hAnsi="Times New Roman"/>
          <w:sz w:val="22"/>
          <w:szCs w:val="22"/>
        </w:rPr>
        <w:t xml:space="preserve">This interaction term establishes the relationship between the </w:t>
      </w:r>
      <w:r w:rsidR="000712E0">
        <w:rPr>
          <w:rFonts w:ascii="Times New Roman" w:eastAsiaTheme="minorEastAsia" w:hAnsi="Times New Roman"/>
          <w:sz w:val="22"/>
          <w:szCs w:val="22"/>
        </w:rPr>
        <w:t>levels</w:t>
      </w:r>
      <w:r>
        <w:rPr>
          <w:rFonts w:ascii="Times New Roman" w:eastAsiaTheme="minorEastAsia" w:hAnsi="Times New Roman"/>
          <w:sz w:val="22"/>
          <w:szCs w:val="22"/>
        </w:rPr>
        <w:t xml:space="preserve"> of complexity on the amount of the audit fee, whether or not with the industry specialists auditor change. Consequently, this regression model is used:</w:t>
      </w:r>
    </w:p>
    <w:p w:rsidR="00A23654" w:rsidRDefault="00A23654" w:rsidP="00A23654">
      <w:pPr>
        <w:spacing w:line="360" w:lineRule="auto"/>
        <w:jc w:val="both"/>
        <w:rPr>
          <w:rFonts w:ascii="Times New Roman" w:eastAsiaTheme="minorEastAsia" w:hAnsi="Times New Roman"/>
          <w:sz w:val="22"/>
          <w:szCs w:val="22"/>
        </w:rPr>
      </w:pPr>
    </w:p>
    <w:p w:rsidR="00A23654" w:rsidRPr="006E7435" w:rsidRDefault="00525D67" w:rsidP="006E7435">
      <w:pPr>
        <w:spacing w:after="240" w:line="360" w:lineRule="auto"/>
        <w:ind w:left="284"/>
        <w:jc w:val="both"/>
        <w:rPr>
          <w:rFonts w:ascii="Cambria Math" w:eastAsiaTheme="minorEastAsia" w:hAnsi="Cambria Math" w:hint="eastAsia"/>
          <w:sz w:val="22"/>
          <w:szCs w:val="22"/>
        </w:rPr>
      </w:pPr>
      <m:oMath>
        <m:r>
          <m:rPr>
            <m:sty m:val="p"/>
          </m:rPr>
          <w:rPr>
            <w:rFonts w:ascii="Cambria Math" w:eastAsia="Cambria" w:hAnsi="Cambria Math" w:cs="Cambria"/>
            <w:sz w:val="22"/>
          </w:rPr>
          <m:t>LnAF=</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0</m:t>
            </m:r>
          </m:sub>
        </m:sSub>
        <m:r>
          <m:rPr>
            <m:sty m:val="p"/>
          </m:rPr>
          <w:rPr>
            <w:rFonts w:ascii="Cambria Math" w:eastAsia="Cambria" w:hAnsi="Cambria Math" w:cs="Cambria"/>
            <w:sz w:val="22"/>
          </w:rPr>
          <m:t>+</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1</m:t>
            </m:r>
          </m:sub>
        </m:sSub>
        <m:r>
          <m:rPr>
            <m:sty m:val="p"/>
          </m:rPr>
          <w:rPr>
            <w:rFonts w:ascii="Cambria Math" w:eastAsia="Cambria" w:hAnsi="Cambria Math" w:cs="Cambria"/>
            <w:sz w:val="22"/>
          </w:rPr>
          <m:t>LnTA+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2</m:t>
            </m:r>
          </m:sub>
        </m:sSub>
        <m:r>
          <m:rPr>
            <m:sty m:val="p"/>
          </m:rPr>
          <w:rPr>
            <w:rFonts w:ascii="Cambria Math" w:eastAsia="Cambria" w:hAnsi="Cambria Math" w:cs="Cambria"/>
            <w:sz w:val="22"/>
          </w:rPr>
          <m:t>LnTURNOVER+</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3</m:t>
            </m:r>
          </m:sub>
        </m:sSub>
        <m:r>
          <m:rPr>
            <m:sty m:val="p"/>
          </m:rPr>
          <w:rPr>
            <w:rFonts w:ascii="Cambria Math" w:eastAsia="Cambria" w:hAnsi="Cambria Math" w:cs="Cambria"/>
            <w:sz w:val="22"/>
          </w:rPr>
          <m:t>QRATIO+</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4</m:t>
            </m:r>
          </m:sub>
        </m:sSub>
        <m:r>
          <m:rPr>
            <m:sty m:val="p"/>
          </m:rPr>
          <w:rPr>
            <w:rFonts w:ascii="Cambria Math" w:eastAsia="Cambria" w:hAnsi="Cambria Math" w:cs="Cambria"/>
            <w:sz w:val="22"/>
          </w:rPr>
          <m:t>DE+</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5</m:t>
            </m:r>
          </m:sub>
        </m:sSub>
        <m:r>
          <m:rPr>
            <m:sty m:val="p"/>
          </m:rPr>
          <w:rPr>
            <w:rFonts w:ascii="Cambria Math" w:eastAsia="Cambria" w:hAnsi="Cambria Math" w:cs="Cambria"/>
            <w:sz w:val="22"/>
          </w:rPr>
          <m:t>ROA+</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6</m:t>
            </m:r>
          </m:sub>
        </m:sSub>
        <m:r>
          <m:rPr>
            <m:sty m:val="p"/>
          </m:rPr>
          <w:rPr>
            <w:rFonts w:ascii="Cambria Math" w:eastAsia="Cambria" w:hAnsi="Cambria Math" w:cs="Cambria"/>
            <w:sz w:val="22"/>
          </w:rPr>
          <m:t>GeoDiv+</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7</m:t>
            </m:r>
          </m:sub>
        </m:sSub>
        <m:r>
          <m:rPr>
            <m:sty m:val="p"/>
          </m:rPr>
          <w:rPr>
            <w:rFonts w:ascii="Cambria Math" w:eastAsia="Cambria" w:hAnsi="Cambria Math" w:cs="Cambria"/>
            <w:sz w:val="22"/>
          </w:rPr>
          <m:t>OPI+</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8</m:t>
            </m:r>
          </m:sub>
        </m:sSub>
        <m:r>
          <m:rPr>
            <m:sty m:val="p"/>
          </m:rPr>
          <w:rPr>
            <w:rFonts w:ascii="Cambria Math" w:eastAsia="Cambria" w:hAnsi="Cambria Math" w:cs="Cambria"/>
            <w:sz w:val="22"/>
          </w:rPr>
          <m:t>COMPLEX+</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9</m:t>
            </m:r>
          </m:sub>
        </m:sSub>
        <m:r>
          <m:rPr>
            <m:sty m:val="p"/>
          </m:rPr>
          <w:rPr>
            <w:rFonts w:ascii="Cambria Math" w:eastAsia="Cambria" w:hAnsi="Cambria Math" w:cs="Cambria"/>
            <w:sz w:val="22"/>
          </w:rPr>
          <m:t>SPE+</m:t>
        </m:r>
        <m:sSub>
          <m:sSubPr>
            <m:ctrlPr>
              <w:rPr>
                <w:rFonts w:ascii="Cambria Math" w:eastAsia="Cambria" w:hAnsi="Cambria Math" w:cs="Cambria"/>
                <w:sz w:val="22"/>
              </w:rPr>
            </m:ctrlPr>
          </m:sSubPr>
          <m:e>
            <m:r>
              <m:rPr>
                <m:sty m:val="p"/>
              </m:rPr>
              <w:rPr>
                <w:rFonts w:ascii="Cambria Math" w:eastAsia="Cambria" w:hAnsi="Cambria Math" w:cs="Cambria"/>
                <w:sz w:val="22"/>
              </w:rPr>
              <m:t>β</m:t>
            </m:r>
          </m:e>
          <m:sub>
            <m:r>
              <m:rPr>
                <m:sty m:val="p"/>
              </m:rPr>
              <w:rPr>
                <w:rFonts w:ascii="Cambria Math" w:eastAsia="Cambria" w:hAnsi="Cambria Math" w:cs="Cambria"/>
                <w:sz w:val="22"/>
              </w:rPr>
              <m:t>10</m:t>
            </m:r>
          </m:sub>
        </m:sSub>
        <m:r>
          <m:rPr>
            <m:sty m:val="p"/>
          </m:rPr>
          <w:rPr>
            <w:rFonts w:ascii="Cambria Math" w:eastAsia="Cambria" w:hAnsi="Cambria Math" w:cs="Cambria"/>
            <w:sz w:val="22"/>
          </w:rPr>
          <m:t>(COMPLEX*SPE)</m:t>
        </m:r>
      </m:oMath>
      <w:r w:rsidR="00A23654" w:rsidRPr="006E7435">
        <w:rPr>
          <w:rFonts w:ascii="Cambria Math" w:eastAsiaTheme="minorEastAsia" w:hAnsi="Cambria Math"/>
          <w:sz w:val="22"/>
          <w:szCs w:val="22"/>
        </w:rPr>
        <w:t xml:space="preserve"> </w:t>
      </w:r>
    </w:p>
    <w:p w:rsidR="00A23654" w:rsidRDefault="00A23654" w:rsidP="00A23654">
      <w:pPr>
        <w:spacing w:line="360" w:lineRule="auto"/>
        <w:ind w:right="425"/>
        <w:jc w:val="both"/>
        <w:rPr>
          <w:rFonts w:ascii="Times New Roman" w:eastAsiaTheme="minorEastAsia" w:hAnsi="Times New Roman"/>
          <w:sz w:val="22"/>
          <w:szCs w:val="22"/>
        </w:rPr>
      </w:pPr>
      <w:r>
        <w:rPr>
          <w:rFonts w:ascii="Times New Roman" w:eastAsiaTheme="minorEastAsia" w:hAnsi="Times New Roman"/>
          <w:sz w:val="22"/>
          <w:szCs w:val="22"/>
        </w:rPr>
        <w:lastRenderedPageBreak/>
        <w:t>Where,</w:t>
      </w:r>
    </w:p>
    <w:p w:rsidR="00A23654" w:rsidRDefault="00525D67" w:rsidP="00A23654">
      <w:pPr>
        <w:spacing w:line="360" w:lineRule="auto"/>
        <w:rPr>
          <w:rFonts w:ascii="Cambria" w:hAnsi="Cambria"/>
          <w:sz w:val="22"/>
        </w:rPr>
      </w:pPr>
      <w:r>
        <w:rPr>
          <w:rFonts w:ascii="Cambria Math" w:hAnsi="Cambria Math"/>
          <w:sz w:val="22"/>
        </w:rPr>
        <w:t>Ln</w:t>
      </w:r>
      <w:r w:rsidR="00A23654" w:rsidRPr="006E7435">
        <w:rPr>
          <w:rFonts w:ascii="Cambria Math" w:hAnsi="Cambria Math"/>
          <w:sz w:val="22"/>
        </w:rPr>
        <w:t xml:space="preserve"> AF</w:t>
      </w:r>
      <w:r w:rsidR="00A23654" w:rsidRPr="007A006D">
        <w:rPr>
          <w:rFonts w:ascii="Cambria" w:hAnsi="Cambria"/>
          <w:i/>
          <w:sz w:val="22"/>
        </w:rPr>
        <w:tab/>
      </w:r>
      <w:r w:rsidR="00A23654">
        <w:rPr>
          <w:rFonts w:ascii="Cambria" w:hAnsi="Cambria"/>
          <w:i/>
          <w:sz w:val="22"/>
        </w:rPr>
        <w:tab/>
      </w:r>
      <w:r w:rsidR="00A23654">
        <w:rPr>
          <w:rFonts w:ascii="Cambria" w:hAnsi="Cambria"/>
          <w:i/>
          <w:sz w:val="22"/>
        </w:rPr>
        <w:tab/>
      </w:r>
      <w:r w:rsidR="00A23654" w:rsidRPr="007A006D">
        <w:rPr>
          <w:rFonts w:ascii="Cambria" w:hAnsi="Cambria"/>
          <w:sz w:val="22"/>
        </w:rPr>
        <w:t>= natural log of audit fee</w:t>
      </w:r>
      <w:r w:rsidR="00A23654">
        <w:rPr>
          <w:rFonts w:ascii="Cambria" w:hAnsi="Cambria"/>
          <w:sz w:val="22"/>
        </w:rPr>
        <w:t>,</w:t>
      </w:r>
    </w:p>
    <w:p w:rsidR="00A23654" w:rsidRDefault="00525D67" w:rsidP="00A23654">
      <w:pPr>
        <w:spacing w:line="360" w:lineRule="auto"/>
        <w:rPr>
          <w:rFonts w:ascii="Cambria" w:hAnsi="Cambria"/>
          <w:sz w:val="22"/>
        </w:rPr>
      </w:pPr>
      <w:r>
        <w:rPr>
          <w:rFonts w:ascii="Cambria Math" w:hAnsi="Cambria Math"/>
          <w:sz w:val="22"/>
        </w:rPr>
        <w:t>Ln</w:t>
      </w:r>
      <w:r w:rsidR="00A23654" w:rsidRPr="006E7435">
        <w:rPr>
          <w:rFonts w:ascii="Cambria Math" w:hAnsi="Cambria Math"/>
          <w:sz w:val="22"/>
        </w:rPr>
        <w:t xml:space="preserve"> TURNOVER </w:t>
      </w:r>
      <w:r w:rsidR="00A23654">
        <w:rPr>
          <w:rFonts w:ascii="Cambria" w:hAnsi="Cambria"/>
          <w:i/>
          <w:sz w:val="22"/>
        </w:rPr>
        <w:tab/>
      </w:r>
      <w:r w:rsidR="00A23654" w:rsidRPr="007A006D">
        <w:rPr>
          <w:rFonts w:ascii="Cambria" w:hAnsi="Cambria"/>
          <w:sz w:val="22"/>
        </w:rPr>
        <w:t xml:space="preserve">= natural log of </w:t>
      </w:r>
      <w:r w:rsidR="00A23654">
        <w:rPr>
          <w:rFonts w:ascii="Cambria" w:hAnsi="Cambria"/>
          <w:sz w:val="22"/>
        </w:rPr>
        <w:t>turnover,</w:t>
      </w:r>
    </w:p>
    <w:p w:rsidR="00A23654" w:rsidRDefault="00A23654" w:rsidP="00A23654">
      <w:pPr>
        <w:spacing w:line="360" w:lineRule="auto"/>
        <w:rPr>
          <w:rFonts w:ascii="Cambria" w:hAnsi="Cambria"/>
          <w:sz w:val="22"/>
        </w:rPr>
      </w:pPr>
      <w:r w:rsidRPr="006E7435">
        <w:rPr>
          <w:rFonts w:ascii="Cambria Math" w:hAnsi="Cambria Math"/>
          <w:sz w:val="22"/>
        </w:rPr>
        <w:t>QRATIO</w:t>
      </w:r>
      <w:r>
        <w:rPr>
          <w:rFonts w:ascii="Cambria" w:hAnsi="Cambria"/>
          <w:sz w:val="22"/>
        </w:rPr>
        <w:tab/>
      </w:r>
      <w:r>
        <w:rPr>
          <w:rFonts w:ascii="Cambria" w:hAnsi="Cambria"/>
          <w:sz w:val="22"/>
        </w:rPr>
        <w:tab/>
      </w:r>
      <w:r w:rsidRPr="007A006D">
        <w:rPr>
          <w:rFonts w:ascii="Cambria" w:hAnsi="Cambria"/>
          <w:sz w:val="22"/>
        </w:rPr>
        <w:t>= the ratio of current assets less inventories to current liabilities</w:t>
      </w:r>
      <w:r>
        <w:rPr>
          <w:rFonts w:ascii="Cambria" w:hAnsi="Cambria"/>
          <w:sz w:val="22"/>
        </w:rPr>
        <w:t>,</w:t>
      </w:r>
    </w:p>
    <w:p w:rsidR="00A23654" w:rsidRDefault="00A23654" w:rsidP="00A23654">
      <w:pPr>
        <w:spacing w:line="360" w:lineRule="auto"/>
        <w:rPr>
          <w:rFonts w:ascii="Cambria" w:hAnsi="Cambria"/>
          <w:sz w:val="22"/>
        </w:rPr>
      </w:pPr>
      <w:r w:rsidRPr="006E7435">
        <w:rPr>
          <w:rFonts w:ascii="Cambria Math" w:hAnsi="Cambria Math"/>
          <w:sz w:val="22"/>
        </w:rPr>
        <w:t>DE</w:t>
      </w:r>
      <w:r>
        <w:rPr>
          <w:rFonts w:ascii="Cambria" w:hAnsi="Cambria"/>
          <w:sz w:val="22"/>
        </w:rPr>
        <w:tab/>
      </w:r>
      <w:r>
        <w:rPr>
          <w:rFonts w:ascii="Cambria" w:hAnsi="Cambria"/>
          <w:sz w:val="22"/>
        </w:rPr>
        <w:tab/>
      </w:r>
      <w:r>
        <w:rPr>
          <w:rFonts w:ascii="Cambria" w:hAnsi="Cambria"/>
          <w:sz w:val="22"/>
        </w:rPr>
        <w:tab/>
        <w:t xml:space="preserve">= </w:t>
      </w:r>
      <w:r w:rsidRPr="007A006D">
        <w:rPr>
          <w:rFonts w:ascii="Cambria" w:hAnsi="Cambria"/>
          <w:sz w:val="22"/>
        </w:rPr>
        <w:t>the ratio of long-term debt to total assets,</w:t>
      </w:r>
    </w:p>
    <w:p w:rsidR="00A23654" w:rsidRDefault="00A23654" w:rsidP="00A23654">
      <w:pPr>
        <w:spacing w:line="360" w:lineRule="auto"/>
        <w:rPr>
          <w:rFonts w:ascii="Cambria" w:hAnsi="Cambria"/>
          <w:sz w:val="22"/>
        </w:rPr>
      </w:pPr>
      <w:r w:rsidRPr="006E7435">
        <w:rPr>
          <w:rFonts w:ascii="Cambria Math" w:eastAsia="Cambria" w:hAnsi="Cambria Math"/>
          <w:sz w:val="22"/>
          <w:szCs w:val="22"/>
        </w:rPr>
        <w:t>ROA</w:t>
      </w:r>
      <w:r>
        <w:rPr>
          <w:rFonts w:ascii="Times New Roman" w:eastAsia="Cambria" w:hAnsi="Times New Roman"/>
          <w:sz w:val="22"/>
          <w:szCs w:val="22"/>
        </w:rPr>
        <w:tab/>
      </w:r>
      <w:r>
        <w:rPr>
          <w:rFonts w:ascii="Times New Roman" w:eastAsia="Cambria" w:hAnsi="Times New Roman"/>
          <w:sz w:val="22"/>
          <w:szCs w:val="22"/>
        </w:rPr>
        <w:tab/>
      </w:r>
      <w:r>
        <w:rPr>
          <w:rFonts w:ascii="Times New Roman" w:eastAsia="Cambria" w:hAnsi="Times New Roman"/>
          <w:sz w:val="22"/>
          <w:szCs w:val="22"/>
        </w:rPr>
        <w:tab/>
        <w:t xml:space="preserve">= </w:t>
      </w:r>
      <w:r w:rsidRPr="007A006D">
        <w:rPr>
          <w:rFonts w:ascii="Cambria" w:hAnsi="Cambria"/>
          <w:sz w:val="22"/>
        </w:rPr>
        <w:t>the ratio of net income to total assets</w:t>
      </w:r>
      <w:r>
        <w:rPr>
          <w:rFonts w:ascii="Cambria" w:hAnsi="Cambria"/>
          <w:sz w:val="22"/>
        </w:rPr>
        <w:t>,</w:t>
      </w:r>
    </w:p>
    <w:p w:rsidR="00A23654" w:rsidRPr="00624FAB" w:rsidRDefault="00A23654" w:rsidP="00A23654">
      <w:pPr>
        <w:spacing w:line="360" w:lineRule="auto"/>
        <w:rPr>
          <w:rFonts w:ascii="Times New Roman" w:eastAsia="Cambria" w:hAnsi="Times New Roman"/>
          <w:sz w:val="22"/>
          <w:szCs w:val="22"/>
        </w:rPr>
      </w:pPr>
      <w:r w:rsidRPr="006E7435">
        <w:rPr>
          <w:rFonts w:ascii="Cambria Math" w:hAnsi="Cambria Math"/>
          <w:sz w:val="22"/>
        </w:rPr>
        <w:t>GeoDiv</w:t>
      </w:r>
      <w:r>
        <w:rPr>
          <w:rFonts w:ascii="Cambria" w:hAnsi="Cambria"/>
          <w:sz w:val="22"/>
        </w:rPr>
        <w:t xml:space="preserve"> </w:t>
      </w:r>
      <w:r>
        <w:rPr>
          <w:rFonts w:ascii="Cambria" w:hAnsi="Cambria"/>
          <w:sz w:val="22"/>
        </w:rPr>
        <w:tab/>
      </w:r>
      <w:r>
        <w:rPr>
          <w:rFonts w:ascii="Cambria" w:hAnsi="Cambria"/>
          <w:sz w:val="22"/>
        </w:rPr>
        <w:tab/>
        <w:t>= number of geographical locations,</w:t>
      </w:r>
    </w:p>
    <w:p w:rsidR="00A23654" w:rsidRDefault="00A23654" w:rsidP="00A23654">
      <w:pPr>
        <w:spacing w:line="360" w:lineRule="auto"/>
        <w:ind w:left="1695" w:hanging="1695"/>
        <w:rPr>
          <w:rFonts w:ascii="Cambria" w:hAnsi="Cambria"/>
          <w:sz w:val="22"/>
        </w:rPr>
      </w:pPr>
      <w:r w:rsidRPr="006E7435">
        <w:rPr>
          <w:rFonts w:ascii="Cambria Math" w:hAnsi="Cambria Math"/>
          <w:sz w:val="22"/>
        </w:rPr>
        <w:t xml:space="preserve">OPI  </w:t>
      </w:r>
      <w:r>
        <w:rPr>
          <w:rFonts w:ascii="Cambria" w:hAnsi="Cambria"/>
          <w:sz w:val="22"/>
        </w:rPr>
        <w:tab/>
      </w:r>
      <w:r>
        <w:rPr>
          <w:rFonts w:ascii="Cambria" w:hAnsi="Cambria"/>
          <w:sz w:val="22"/>
        </w:rPr>
        <w:tab/>
        <w:t xml:space="preserve">= </w:t>
      </w:r>
      <w:r w:rsidRPr="007A006D">
        <w:rPr>
          <w:rFonts w:ascii="Cambria" w:hAnsi="Cambria"/>
          <w:sz w:val="22"/>
        </w:rPr>
        <w:t>indicator variable, 1 = qualified audit report</w:t>
      </w:r>
      <w:r>
        <w:rPr>
          <w:rFonts w:ascii="Cambria" w:hAnsi="Cambria"/>
          <w:sz w:val="22"/>
        </w:rPr>
        <w:t>, adverse opinion or disclaimer of opinion,</w:t>
      </w:r>
    </w:p>
    <w:p w:rsidR="00A23654" w:rsidRDefault="00A23654" w:rsidP="00A23654">
      <w:pPr>
        <w:spacing w:line="360" w:lineRule="auto"/>
        <w:rPr>
          <w:rFonts w:ascii="Cambria" w:hAnsi="Cambria"/>
          <w:sz w:val="22"/>
        </w:rPr>
      </w:pPr>
      <w:r w:rsidRPr="006E7435">
        <w:rPr>
          <w:rFonts w:ascii="Cambria Math" w:hAnsi="Cambria Math"/>
          <w:sz w:val="22"/>
        </w:rPr>
        <w:t>COMPLEX</w:t>
      </w:r>
      <w:r>
        <w:rPr>
          <w:rFonts w:ascii="Cambria" w:hAnsi="Cambria"/>
          <w:sz w:val="22"/>
        </w:rPr>
        <w:tab/>
      </w:r>
      <w:r>
        <w:rPr>
          <w:rFonts w:ascii="Cambria" w:hAnsi="Cambria"/>
          <w:sz w:val="22"/>
        </w:rPr>
        <w:tab/>
        <w:t>= indicator variable, 1 = complex industry,</w:t>
      </w:r>
    </w:p>
    <w:p w:rsidR="00A23654" w:rsidRDefault="00A23654" w:rsidP="00A23654">
      <w:pPr>
        <w:spacing w:line="360" w:lineRule="auto"/>
        <w:rPr>
          <w:rFonts w:ascii="Cambria" w:hAnsi="Cambria"/>
          <w:sz w:val="22"/>
        </w:rPr>
      </w:pPr>
      <w:r w:rsidRPr="006E7435">
        <w:rPr>
          <w:rFonts w:ascii="Cambria Math" w:hAnsi="Cambria Math"/>
          <w:sz w:val="22"/>
        </w:rPr>
        <w:t xml:space="preserve">SPE </w:t>
      </w:r>
      <w:r>
        <w:rPr>
          <w:rFonts w:ascii="Cambria" w:hAnsi="Cambria"/>
          <w:sz w:val="22"/>
        </w:rPr>
        <w:tab/>
      </w:r>
      <w:r>
        <w:rPr>
          <w:rFonts w:ascii="Cambria" w:hAnsi="Cambria"/>
          <w:sz w:val="22"/>
        </w:rPr>
        <w:tab/>
      </w:r>
      <w:r>
        <w:rPr>
          <w:rFonts w:ascii="Cambria" w:hAnsi="Cambria"/>
          <w:sz w:val="22"/>
        </w:rPr>
        <w:tab/>
        <w:t>= indicator variable, 1 = auditors are industry specialist.</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The coefficient of determination, or the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2</w:t>
      </w:r>
      <w:r>
        <w:rPr>
          <w:rFonts w:ascii="Times New Roman" w:eastAsiaTheme="minorEastAsia" w:hAnsi="Times New Roman"/>
          <w:sz w:val="22"/>
          <w:szCs w:val="22"/>
        </w:rPr>
        <w:t xml:space="preserve"> value, is 0,751, which was the same as the previous regression outcome without the interaction term and represents the proportion of variance in the audit fee that can be explained by the assumed determinants. And the adjusted </w:t>
      </w:r>
      <w:r>
        <w:rPr>
          <w:rFonts w:ascii="Times New Roman" w:eastAsiaTheme="minorEastAsia" w:hAnsi="Times New Roman"/>
          <w:i/>
          <w:sz w:val="22"/>
          <w:szCs w:val="22"/>
        </w:rPr>
        <w:t>R</w:t>
      </w:r>
      <w:r>
        <w:rPr>
          <w:rFonts w:ascii="Times New Roman" w:eastAsiaTheme="minorEastAsia" w:hAnsi="Times New Roman"/>
          <w:i/>
          <w:sz w:val="22"/>
          <w:szCs w:val="22"/>
          <w:vertAlign w:val="superscript"/>
        </w:rPr>
        <w:t>2</w:t>
      </w:r>
      <w:r>
        <w:rPr>
          <w:rFonts w:ascii="Times New Roman" w:eastAsiaTheme="minorEastAsia" w:hAnsi="Times New Roman"/>
          <w:sz w:val="22"/>
          <w:szCs w:val="22"/>
        </w:rPr>
        <w:t xml:space="preserve"> value is also 0,750 for the population. The coefficients are presented in the table below:</w:t>
      </w:r>
    </w:p>
    <w:p w:rsidR="0033247F" w:rsidRDefault="00A23654" w:rsidP="0033247F">
      <w:pPr>
        <w:keepNext/>
        <w:spacing w:line="360" w:lineRule="auto"/>
        <w:jc w:val="center"/>
      </w:pPr>
      <w:r w:rsidRPr="009C02A2">
        <w:rPr>
          <w:rFonts w:ascii="Times New Roman" w:eastAsiaTheme="minorEastAsia" w:hAnsi="Times New Roman"/>
          <w:noProof/>
          <w:sz w:val="22"/>
          <w:szCs w:val="22"/>
          <w:lang w:eastAsia="en-US"/>
        </w:rPr>
        <w:drawing>
          <wp:inline distT="0" distB="0" distL="0" distR="0">
            <wp:extent cx="3924300" cy="31527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3924300" cy="3152775"/>
                    </a:xfrm>
                    <a:prstGeom prst="rect">
                      <a:avLst/>
                    </a:prstGeom>
                  </pic:spPr>
                </pic:pic>
              </a:graphicData>
            </a:graphic>
          </wp:inline>
        </w:drawing>
      </w:r>
    </w:p>
    <w:p w:rsidR="00A23654" w:rsidRDefault="0033247F" w:rsidP="0033247F">
      <w:pPr>
        <w:pStyle w:val="Caption"/>
        <w:jc w:val="center"/>
        <w:rPr>
          <w:rFonts w:ascii="Times New Roman" w:hAnsi="Times New Roman"/>
          <w:b w:val="0"/>
          <w:color w:val="auto"/>
        </w:rPr>
      </w:pPr>
      <w:r w:rsidRPr="0033247F">
        <w:rPr>
          <w:rFonts w:ascii="Times New Roman" w:hAnsi="Times New Roman"/>
          <w:b w:val="0"/>
          <w:color w:val="auto"/>
        </w:rPr>
        <w:t xml:space="preserve">Table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Table \* ARABIC </w:instrText>
      </w:r>
      <w:r w:rsidR="004A36DA" w:rsidRPr="0033247F">
        <w:rPr>
          <w:rFonts w:ascii="Times New Roman" w:hAnsi="Times New Roman"/>
          <w:b w:val="0"/>
          <w:color w:val="auto"/>
        </w:rPr>
        <w:fldChar w:fldCharType="separate"/>
      </w:r>
      <w:r>
        <w:rPr>
          <w:rFonts w:ascii="Times New Roman" w:hAnsi="Times New Roman"/>
          <w:b w:val="0"/>
          <w:noProof/>
          <w:color w:val="auto"/>
        </w:rPr>
        <w:t>12</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Coefficients analysis with the interaction term</w:t>
      </w:r>
    </w:p>
    <w:p w:rsidR="0033247F" w:rsidRPr="0033247F" w:rsidRDefault="0033247F" w:rsidP="0033247F">
      <w:pPr>
        <w:rPr>
          <w:rFonts w:eastAsiaTheme="minorEastAsia"/>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All coefficients are statistically significant at a confidence level of 95% except the QRATIO and DE. It is still the client size that is the major determinant of the audit fee and the changes in coefficients are minimal except for the coefficients of COMPLEX and SPEC. In the table below </w:t>
      </w:r>
      <w:r w:rsidR="000712E0">
        <w:rPr>
          <w:rFonts w:ascii="Times New Roman" w:eastAsiaTheme="minorEastAsia" w:hAnsi="Times New Roman"/>
          <w:sz w:val="22"/>
          <w:szCs w:val="22"/>
        </w:rPr>
        <w:t>a</w:t>
      </w:r>
      <w:r>
        <w:rPr>
          <w:rFonts w:ascii="Times New Roman" w:eastAsiaTheme="minorEastAsia" w:hAnsi="Times New Roman"/>
          <w:sz w:val="22"/>
          <w:szCs w:val="22"/>
        </w:rPr>
        <w:t xml:space="preserve"> more detailed table of the comparison will be presented. According to the outcome of the coefficients analysis, the general form of the equation to predict audit fee is:</w:t>
      </w:r>
    </w:p>
    <w:p w:rsidR="00A23654" w:rsidRDefault="00A23654" w:rsidP="00A23654">
      <w:pPr>
        <w:spacing w:line="360" w:lineRule="auto"/>
        <w:jc w:val="both"/>
        <w:rPr>
          <w:rFonts w:ascii="Times New Roman" w:eastAsiaTheme="minorEastAsia" w:hAnsi="Times New Roman"/>
          <w:sz w:val="22"/>
          <w:szCs w:val="22"/>
        </w:rPr>
      </w:pPr>
    </w:p>
    <w:p w:rsidR="00A23654" w:rsidRDefault="00525D67"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lastRenderedPageBreak/>
        <w:t>Ln</w:t>
      </w:r>
      <w:r w:rsidR="00A23654">
        <w:rPr>
          <w:rFonts w:ascii="Times New Roman" w:eastAsiaTheme="minorEastAsia" w:hAnsi="Times New Roman"/>
          <w:sz w:val="22"/>
          <w:szCs w:val="22"/>
        </w:rPr>
        <w:t xml:space="preserve"> audit fee = 10,681 + 0,297 × </w:t>
      </w:r>
      <w:r>
        <w:rPr>
          <w:rFonts w:ascii="Times New Roman" w:eastAsiaTheme="minorEastAsia" w:hAnsi="Times New Roman"/>
          <w:sz w:val="22"/>
          <w:szCs w:val="22"/>
        </w:rPr>
        <w:t>Ln</w:t>
      </w:r>
      <w:r w:rsidR="00A23654">
        <w:rPr>
          <w:rFonts w:ascii="Times New Roman" w:eastAsiaTheme="minorEastAsia" w:hAnsi="Times New Roman"/>
          <w:sz w:val="22"/>
          <w:szCs w:val="22"/>
        </w:rPr>
        <w:t xml:space="preserve"> total assets + 0,130 × </w:t>
      </w:r>
      <w:r>
        <w:rPr>
          <w:rFonts w:ascii="Times New Roman" w:eastAsiaTheme="minorEastAsia" w:hAnsi="Times New Roman"/>
          <w:sz w:val="22"/>
          <w:szCs w:val="22"/>
        </w:rPr>
        <w:t>Ln</w:t>
      </w:r>
      <w:r w:rsidR="00A23654">
        <w:rPr>
          <w:rFonts w:ascii="Times New Roman" w:eastAsiaTheme="minorEastAsia" w:hAnsi="Times New Roman"/>
          <w:sz w:val="22"/>
          <w:szCs w:val="22"/>
        </w:rPr>
        <w:t xml:space="preserve"> turnover + 0,012 × Debt Ratio + -0,001 × ROA + 0,001 × number of geographical subsidiaries + 0,222 × previous auditor’s opinion + 0,110 × client complexity + 0,210 × auditor industry specialization + 0,062 × (client complexity × auditor industry specialization).</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The changes in the coefficients are presented in the table below:</w:t>
      </w:r>
    </w:p>
    <w:p w:rsidR="00A23654" w:rsidRDefault="00A23654" w:rsidP="00A23654">
      <w:pPr>
        <w:spacing w:line="360" w:lineRule="auto"/>
        <w:jc w:val="both"/>
        <w:rPr>
          <w:rFonts w:ascii="Times New Roman" w:eastAsiaTheme="minorEastAsia" w:hAnsi="Times New Roman"/>
          <w:sz w:val="22"/>
          <w:szCs w:val="22"/>
        </w:rPr>
      </w:pPr>
    </w:p>
    <w:p w:rsidR="0033247F" w:rsidRDefault="00A23654" w:rsidP="0033247F">
      <w:pPr>
        <w:keepNext/>
        <w:spacing w:after="240" w:line="360" w:lineRule="auto"/>
        <w:jc w:val="center"/>
      </w:pPr>
      <w:r w:rsidRPr="003A7A20">
        <w:rPr>
          <w:rFonts w:eastAsiaTheme="minorEastAsia"/>
          <w:noProof/>
          <w:lang w:eastAsia="en-US"/>
        </w:rPr>
        <w:drawing>
          <wp:inline distT="0" distB="0" distL="0" distR="0">
            <wp:extent cx="5286375" cy="2505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6375" cy="2505075"/>
                    </a:xfrm>
                    <a:prstGeom prst="rect">
                      <a:avLst/>
                    </a:prstGeom>
                    <a:noFill/>
                    <a:ln>
                      <a:noFill/>
                    </a:ln>
                  </pic:spPr>
                </pic:pic>
              </a:graphicData>
            </a:graphic>
          </wp:inline>
        </w:drawing>
      </w:r>
    </w:p>
    <w:p w:rsidR="00A23654" w:rsidRPr="0033247F" w:rsidRDefault="0033247F" w:rsidP="0033247F">
      <w:pPr>
        <w:pStyle w:val="Caption"/>
        <w:jc w:val="center"/>
        <w:rPr>
          <w:rFonts w:ascii="Times New Roman" w:hAnsi="Times New Roman"/>
          <w:b w:val="0"/>
          <w:color w:val="auto"/>
        </w:rPr>
      </w:pPr>
      <w:r w:rsidRPr="0033247F">
        <w:rPr>
          <w:rFonts w:ascii="Times New Roman" w:hAnsi="Times New Roman"/>
          <w:b w:val="0"/>
          <w:color w:val="auto"/>
        </w:rPr>
        <w:t xml:space="preserve">Table </w:t>
      </w:r>
      <w:r w:rsidR="004A36DA" w:rsidRPr="0033247F">
        <w:rPr>
          <w:rFonts w:ascii="Times New Roman" w:hAnsi="Times New Roman"/>
          <w:b w:val="0"/>
          <w:color w:val="auto"/>
        </w:rPr>
        <w:fldChar w:fldCharType="begin"/>
      </w:r>
      <w:r w:rsidRPr="0033247F">
        <w:rPr>
          <w:rFonts w:ascii="Times New Roman" w:hAnsi="Times New Roman"/>
          <w:b w:val="0"/>
          <w:color w:val="auto"/>
        </w:rPr>
        <w:instrText xml:space="preserve"> SEQ Table \* ARABIC </w:instrText>
      </w:r>
      <w:r w:rsidR="004A36DA" w:rsidRPr="0033247F">
        <w:rPr>
          <w:rFonts w:ascii="Times New Roman" w:hAnsi="Times New Roman"/>
          <w:b w:val="0"/>
          <w:color w:val="auto"/>
        </w:rPr>
        <w:fldChar w:fldCharType="separate"/>
      </w:r>
      <w:r w:rsidRPr="0033247F">
        <w:rPr>
          <w:rFonts w:ascii="Times New Roman" w:hAnsi="Times New Roman"/>
          <w:b w:val="0"/>
          <w:noProof/>
          <w:color w:val="auto"/>
        </w:rPr>
        <w:t>13</w:t>
      </w:r>
      <w:r w:rsidR="004A36DA" w:rsidRPr="0033247F">
        <w:rPr>
          <w:rFonts w:ascii="Times New Roman" w:hAnsi="Times New Roman"/>
          <w:b w:val="0"/>
          <w:color w:val="auto"/>
        </w:rPr>
        <w:fldChar w:fldCharType="end"/>
      </w:r>
      <w:r w:rsidRPr="0033247F">
        <w:rPr>
          <w:rFonts w:ascii="Times New Roman" w:hAnsi="Times New Roman"/>
          <w:b w:val="0"/>
          <w:color w:val="auto"/>
        </w:rPr>
        <w:t xml:space="preserve"> Comparison of the changes after including the interaction term</w:t>
      </w:r>
    </w:p>
    <w:p w:rsidR="0033247F" w:rsidRPr="0033247F" w:rsidRDefault="0033247F" w:rsidP="0033247F">
      <w:pPr>
        <w:rPr>
          <w:rFonts w:eastAsiaTheme="minorEastAsia"/>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After including the interaction term, a change in the interpretation of the coefficients exists. In the first regression model no interaction term included, COMPLEX and SPEC would be interpreted as having a unique effect on audit fee by respectively 0,147 and 0,234. However, the interactions imply that the effect of client complexity on the audit fee is different for the different values of the auditor industry specialization. Consequently, the unique contribution is not limited to complexity </w:t>
      </w:r>
      <w:r w:rsidR="000712E0">
        <w:rPr>
          <w:rFonts w:ascii="Times New Roman" w:eastAsiaTheme="minorEastAsia" w:hAnsi="Times New Roman"/>
          <w:sz w:val="22"/>
          <w:szCs w:val="22"/>
        </w:rPr>
        <w:t>only;</w:t>
      </w:r>
      <w:r>
        <w:rPr>
          <w:rFonts w:ascii="Times New Roman" w:eastAsiaTheme="minorEastAsia" w:hAnsi="Times New Roman"/>
          <w:sz w:val="22"/>
          <w:szCs w:val="22"/>
        </w:rPr>
        <w:t xml:space="preserve"> it depends on the coefficient of the interaction term and the presence of the industry specialists. The unique effect of complexity is now represented by 0,110 + 0,062 </w:t>
      </w:r>
      <w:r w:rsidRPr="009E197C">
        <w:rPr>
          <w:rFonts w:ascii="Times New Roman" w:eastAsiaTheme="minorEastAsia" w:hAnsi="Times New Roman"/>
          <w:sz w:val="22"/>
          <w:szCs w:val="22"/>
        </w:rPr>
        <w:t>×</w:t>
      </w:r>
      <w:r w:rsidRPr="00897584">
        <w:rPr>
          <w:rFonts w:ascii="Times New Roman" w:eastAsiaTheme="minorEastAsia" w:hAnsi="Times New Roman"/>
          <w:sz w:val="22"/>
          <w:szCs w:val="22"/>
        </w:rPr>
        <w:t xml:space="preserve"> specialization.</w:t>
      </w:r>
      <w:r>
        <w:rPr>
          <w:rFonts w:ascii="Times New Roman" w:eastAsiaTheme="minorEastAsia" w:hAnsi="Times New Roman"/>
          <w:sz w:val="22"/>
          <w:szCs w:val="22"/>
        </w:rPr>
        <w:t xml:space="preserve"> </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Consequently, for complex firms that do not have industry specialists, e.g. SPEC = 0, the effect of complexity on audit fee will be 0,110 + 0,062 </w:t>
      </w:r>
      <w:r w:rsidRPr="009E197C">
        <w:rPr>
          <w:rFonts w:ascii="Times New Roman" w:eastAsiaTheme="minorEastAsia" w:hAnsi="Times New Roman"/>
          <w:sz w:val="22"/>
          <w:szCs w:val="22"/>
        </w:rPr>
        <w:t>×</w:t>
      </w:r>
      <w:r>
        <w:rPr>
          <w:rFonts w:ascii="Times New Roman" w:eastAsiaTheme="minorEastAsia" w:hAnsi="Times New Roman"/>
          <w:sz w:val="22"/>
          <w:szCs w:val="22"/>
        </w:rPr>
        <w:t xml:space="preserve"> 0 = 0,110. If complex firms do use specialized auditors for their financial statements audit, which is situated by hypothesis 3, the effect of complexity will be 0,110 + 0,062 </w:t>
      </w:r>
      <w:r w:rsidRPr="009E197C">
        <w:rPr>
          <w:rFonts w:ascii="Times New Roman" w:eastAsiaTheme="minorEastAsia" w:hAnsi="Times New Roman"/>
          <w:sz w:val="22"/>
          <w:szCs w:val="22"/>
        </w:rPr>
        <w:t>×</w:t>
      </w:r>
      <w:r>
        <w:rPr>
          <w:rFonts w:ascii="Times New Roman" w:eastAsiaTheme="minorEastAsia" w:hAnsi="Times New Roman"/>
          <w:sz w:val="22"/>
          <w:szCs w:val="22"/>
        </w:rPr>
        <w:t xml:space="preserve"> 1 = 0,172. This implies that the auditor industry specialization does not decrease the effect of complexity on the audit </w:t>
      </w:r>
      <w:r w:rsidR="000712E0">
        <w:rPr>
          <w:rFonts w:ascii="Times New Roman" w:eastAsiaTheme="minorEastAsia" w:hAnsi="Times New Roman"/>
          <w:sz w:val="22"/>
          <w:szCs w:val="22"/>
        </w:rPr>
        <w:t>fee;</w:t>
      </w:r>
      <w:r>
        <w:rPr>
          <w:rFonts w:ascii="Times New Roman" w:eastAsiaTheme="minorEastAsia" w:hAnsi="Times New Roman"/>
          <w:sz w:val="22"/>
          <w:szCs w:val="22"/>
        </w:rPr>
        <w:t xml:space="preserve"> consequently hypothesis 3 will be rejected. </w:t>
      </w:r>
    </w:p>
    <w:p w:rsidR="00A23654" w:rsidRDefault="00A23654" w:rsidP="00A23654">
      <w:pPr>
        <w:spacing w:line="360" w:lineRule="auto"/>
        <w:jc w:val="both"/>
        <w:rPr>
          <w:rFonts w:ascii="Times New Roman" w:eastAsiaTheme="minorEastAsia" w:hAnsi="Times New Roman"/>
          <w:sz w:val="22"/>
          <w:szCs w:val="22"/>
        </w:rPr>
      </w:pPr>
    </w:p>
    <w:p w:rsidR="00A23654" w:rsidRDefault="00A23654" w:rsidP="00A23654">
      <w:pPr>
        <w:pStyle w:val="Subtitle"/>
        <w:spacing w:line="360" w:lineRule="auto"/>
        <w:jc w:val="left"/>
        <w:rPr>
          <w:b/>
        </w:rPr>
      </w:pPr>
      <w:bookmarkStart w:id="68" w:name="_Toc393872568"/>
      <w:r>
        <w:rPr>
          <w:b/>
        </w:rPr>
        <w:t xml:space="preserve">5.7 </w:t>
      </w:r>
      <w:r w:rsidR="00213E84">
        <w:rPr>
          <w:b/>
        </w:rPr>
        <w:t>Discussion</w:t>
      </w:r>
      <w:bookmarkEnd w:id="68"/>
    </w:p>
    <w:p w:rsidR="00A23654" w:rsidRDefault="00A23654" w:rsidP="00A23654">
      <w:pPr>
        <w:spacing w:line="360" w:lineRule="auto"/>
        <w:jc w:val="both"/>
        <w:rPr>
          <w:rFonts w:ascii="Times New Roman" w:hAnsi="Times New Roman"/>
          <w:sz w:val="22"/>
          <w:szCs w:val="22"/>
        </w:rPr>
      </w:pPr>
      <w:r>
        <w:rPr>
          <w:rFonts w:ascii="Times New Roman" w:hAnsi="Times New Roman"/>
          <w:sz w:val="22"/>
          <w:szCs w:val="22"/>
        </w:rPr>
        <w:t xml:space="preserve">The results from the regression analysis indicate that the audit client size is still the major audit fee determinant as suggested by prior research. Interestingly, the auditor’s opinion seems to be an </w:t>
      </w:r>
      <w:r>
        <w:rPr>
          <w:rFonts w:ascii="Times New Roman" w:hAnsi="Times New Roman"/>
          <w:sz w:val="22"/>
          <w:szCs w:val="22"/>
        </w:rPr>
        <w:lastRenderedPageBreak/>
        <w:t xml:space="preserve">important fee determinant as well, which was not highlighted in the prior research. This may occur due to the timing of the sample selection. The sample was selected between 2007 up to and included 2013, where the financial crisis was taking place. This consequently leads to increased business risks and auditors may possibly more sensitive to the outcome of the previous auditor opinion. </w:t>
      </w:r>
    </w:p>
    <w:p w:rsidR="00A23654" w:rsidRDefault="00A23654" w:rsidP="00A23654">
      <w:pPr>
        <w:spacing w:line="360" w:lineRule="auto"/>
        <w:jc w:val="both"/>
        <w:rPr>
          <w:rFonts w:ascii="Times New Roman" w:hAnsi="Times New Roman"/>
          <w:sz w:val="22"/>
          <w:szCs w:val="22"/>
        </w:rPr>
      </w:pPr>
    </w:p>
    <w:p w:rsidR="00A23654" w:rsidRDefault="00A23654" w:rsidP="00A23654">
      <w:pPr>
        <w:spacing w:line="360" w:lineRule="auto"/>
        <w:jc w:val="both"/>
        <w:rPr>
          <w:rFonts w:ascii="Times New Roman" w:hAnsi="Times New Roman"/>
          <w:sz w:val="22"/>
          <w:szCs w:val="22"/>
        </w:rPr>
      </w:pPr>
      <w:r>
        <w:rPr>
          <w:rFonts w:ascii="Times New Roman" w:hAnsi="Times New Roman"/>
          <w:sz w:val="22"/>
          <w:szCs w:val="22"/>
        </w:rPr>
        <w:t xml:space="preserve">Next, there were several ways to assess the complexity and the most researches used the number of subsidiaries to determine the level of complexity. However, this thesis takes the approach that companies with complex operation routines are more complexity and consequently requires a higher audit fee. The results show a statistic significant positively correlation between the complexity and the audit fee. This result is in line with the study of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"author" : [ { "dropping-particle" : "", "family" : "Bills", "given" : "Kenneth L", "non-dropping-particle" : "", "parse-names" : false, "suffix" : "" }, { "dropping-particle" : "", "family" : "Jeter", "given" : "Debra C", "non-dropping-particle" : "", "parse-names" : false, "suffix" : "" }, { "dropping-particle" : "", "family" : "Stein", "given" : "Sarah E", "non-dropping-particle" : "", "parse-names" : false, "suffix" : "" } ], "container-title" : "Available at SSRN 2321741", "id" : "ITEM-1", "issued" : { "date-parts" : [ [ "2013" ] ] }, "title" : "Auditor Industry Specialization and Evidence of Cost Efficiencies in Homogenous Industries", "type" : "article-journal" }, "uris" : [ "http://www.mendeley.com/documents/?uuid=472adb44-fa27-4ee2-ac6b-711b33ac2bf3" ] } ], "mendeley" : { "manualFormatting" : "Bills, Jeter, &amp; Stein (2013)", "previouslyFormattedCitation" : "(Bills et al., 2013)" }, "properties" : { "noteIndex" : 0 }, "schema" : "https://github.com/citation-style-language/schema/raw/master/csl-citation.json" }</w:instrText>
      </w:r>
      <w:r w:rsidR="004A36DA">
        <w:rPr>
          <w:rFonts w:ascii="Times New Roman" w:hAnsi="Times New Roman"/>
          <w:sz w:val="22"/>
          <w:szCs w:val="22"/>
        </w:rPr>
        <w:fldChar w:fldCharType="separate"/>
      </w:r>
      <w:r>
        <w:rPr>
          <w:rFonts w:ascii="Times New Roman" w:hAnsi="Times New Roman"/>
          <w:noProof/>
          <w:sz w:val="22"/>
          <w:szCs w:val="22"/>
        </w:rPr>
        <w:t>Bills, Jeter, &amp; Stein</w:t>
      </w:r>
      <w:r w:rsidRPr="00362500">
        <w:rPr>
          <w:rFonts w:ascii="Times New Roman" w:hAnsi="Times New Roman"/>
          <w:noProof/>
          <w:sz w:val="22"/>
          <w:szCs w:val="22"/>
        </w:rPr>
        <w:t xml:space="preserve"> </w:t>
      </w:r>
      <w:r>
        <w:rPr>
          <w:rFonts w:ascii="Times New Roman" w:hAnsi="Times New Roman"/>
          <w:noProof/>
          <w:sz w:val="22"/>
          <w:szCs w:val="22"/>
        </w:rPr>
        <w:t>(</w:t>
      </w:r>
      <w:r w:rsidRPr="00362500">
        <w:rPr>
          <w:rFonts w:ascii="Times New Roman" w:hAnsi="Times New Roman"/>
          <w:noProof/>
          <w:sz w:val="22"/>
          <w:szCs w:val="22"/>
        </w:rPr>
        <w:t>2013)</w:t>
      </w:r>
      <w:r w:rsidR="004A36DA">
        <w:rPr>
          <w:rFonts w:ascii="Times New Roman" w:hAnsi="Times New Roman"/>
          <w:sz w:val="22"/>
          <w:szCs w:val="22"/>
        </w:rPr>
        <w:fldChar w:fldCharType="end"/>
      </w:r>
      <w:r>
        <w:rPr>
          <w:rFonts w:ascii="Times New Roman" w:hAnsi="Times New Roman"/>
          <w:sz w:val="22"/>
          <w:szCs w:val="22"/>
        </w:rPr>
        <w:t xml:space="preserve">, which used the same way to measure the complexity. </w:t>
      </w:r>
    </w:p>
    <w:p w:rsidR="00A23654" w:rsidRDefault="00A23654" w:rsidP="00A23654">
      <w:pPr>
        <w:spacing w:line="360" w:lineRule="auto"/>
        <w:jc w:val="both"/>
        <w:rPr>
          <w:rFonts w:ascii="Times New Roman" w:hAnsi="Times New Roman"/>
          <w:sz w:val="22"/>
          <w:szCs w:val="22"/>
        </w:rPr>
      </w:pPr>
    </w:p>
    <w:p w:rsidR="00A23654" w:rsidRDefault="00A23654" w:rsidP="00A23654">
      <w:pPr>
        <w:spacing w:line="360" w:lineRule="auto"/>
        <w:jc w:val="both"/>
        <w:rPr>
          <w:rFonts w:ascii="Times New Roman" w:hAnsi="Times New Roman"/>
          <w:sz w:val="22"/>
          <w:szCs w:val="22"/>
        </w:rPr>
      </w:pPr>
      <w:r>
        <w:rPr>
          <w:rFonts w:ascii="Times New Roman" w:hAnsi="Times New Roman"/>
          <w:sz w:val="22"/>
          <w:szCs w:val="22"/>
        </w:rPr>
        <w:t xml:space="preserve">Additionally, the measurement of industry specialization is a cutoff of 15% market share within a particular industry, which was used by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"ITEM-1", "issued" : { "date-parts" : [ [ "1995" ] ] }, "page" : "297-322", "title" : "Auditor brand name reputations and industry specializations", "type" : "article", "volume" : "20" }, "uris" : [ "http://www.mendeley.com/documents/?uuid=587b528c-c9ff-41c2-a4d5-0064050da82b" ] } ], "mendeley" : { "manualFormatting" : "Craswell, Francis, &amp; Taylor (1995)", "previouslyFormattedCitation" : "(Allen T Craswell et al., 1995)" }, "properties" : { "noteIndex" : 0 }, "schema" : "https://github.com/citation-style-language/schema/raw/master/csl-citation.json" }</w:instrText>
      </w:r>
      <w:r w:rsidR="004A36DA">
        <w:rPr>
          <w:rFonts w:ascii="Times New Roman" w:hAnsi="Times New Roman"/>
          <w:sz w:val="22"/>
          <w:szCs w:val="22"/>
        </w:rPr>
        <w:fldChar w:fldCharType="separate"/>
      </w:r>
      <w:r>
        <w:rPr>
          <w:rFonts w:ascii="Times New Roman" w:hAnsi="Times New Roman"/>
          <w:noProof/>
          <w:sz w:val="22"/>
          <w:szCs w:val="22"/>
        </w:rPr>
        <w:t>Craswell, Francis, &amp; Taylor</w:t>
      </w:r>
      <w:r w:rsidRPr="006767AD">
        <w:rPr>
          <w:rFonts w:ascii="Times New Roman" w:hAnsi="Times New Roman"/>
          <w:noProof/>
          <w:sz w:val="22"/>
          <w:szCs w:val="22"/>
        </w:rPr>
        <w:t xml:space="preserve"> </w:t>
      </w:r>
      <w:r>
        <w:rPr>
          <w:rFonts w:ascii="Times New Roman" w:hAnsi="Times New Roman"/>
          <w:noProof/>
          <w:sz w:val="22"/>
          <w:szCs w:val="22"/>
        </w:rPr>
        <w:t>(</w:t>
      </w:r>
      <w:r w:rsidRPr="006767AD">
        <w:rPr>
          <w:rFonts w:ascii="Times New Roman" w:hAnsi="Times New Roman"/>
          <w:noProof/>
          <w:sz w:val="22"/>
          <w:szCs w:val="22"/>
        </w:rPr>
        <w:t>1995)</w:t>
      </w:r>
      <w:r w:rsidR="004A36DA">
        <w:rPr>
          <w:rFonts w:ascii="Times New Roman" w:hAnsi="Times New Roman"/>
          <w:sz w:val="22"/>
          <w:szCs w:val="22"/>
        </w:rPr>
        <w:fldChar w:fldCharType="end"/>
      </w:r>
      <w:r>
        <w:rPr>
          <w:rFonts w:ascii="Times New Roman" w:hAnsi="Times New Roman"/>
          <w:sz w:val="22"/>
          <w:szCs w:val="22"/>
        </w:rPr>
        <w:t xml:space="preserve">. The difference with this study </w:t>
      </w:r>
      <w:r w:rsidR="004A36DA">
        <w:rPr>
          <w:rFonts w:ascii="Times New Roman" w:hAnsi="Times New Roman"/>
          <w:sz w:val="22"/>
          <w:szCs w:val="22"/>
        </w:rPr>
        <w:fldChar w:fldCharType="begin" w:fldLock="1"/>
      </w:r>
      <w:r w:rsidR="002177CD">
        <w:rPr>
          <w:rFonts w:ascii="Times New Roman" w:hAnsi="Times New Roman"/>
          <w:sz w:val="22"/>
          <w:szCs w:val="22"/>
        </w:rPr>
        <w:instrText>ADDIN CSL_CITATION { "citationItems" : [ { "id" : "ITEM-1", "itemData" : { "DOI" : "10.1016/0165-4101(95)00403-3", "ISBN" : "01654101", "ISSN" : "01654101", "PMID" : "12133927", "abstract" : "The development of both brand name reputation and industry specialization by Big 8 auditors is argued to be costly and therefore to increase audit fees. For a sample of 1484 Australian publicly listed companies we estimate audit fee premia for Big 8 auditors. On average, industry specialist Big 8 auditors earn a 34% premium over nonspecialist Big 8 auditors, and the Big 8 brand name premium over non-Big 8 auditors averages around 30%. These results support that industry expertise is a dimension of the demand for higher quality Big 8 audits and a basis for within Big 8 product differentiation. [ABSTRACT FROM AUTHOR] Copyright of Journal of Accounting &amp; Economics is the property of Elsevier Science Publishing Company, Inc.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"Craswell", "given" : "Allen T", "non-dropping-particle" : "", "parse-names" : false, "suffix" : "" }, { "dropping-particle" : "", "family" : "Francis", "given" : "Jere R", "non-dropping-particle" : "", "parse-names" : false, "suffix" : "" }, { "dropping-particle" : "", "family" : "Taylor", "given" : "Stephen L", "non-dropping-particle" : "", "parse-names" : false, "suffix" : "" } ], "container-title" : "Journal of Accounting and Economics", "id" : "ITEM-1", "issued" : { "date-parts" : [ [ "1995" ] ] }, "page" : "297-322", "title" : "Auditor brand name reputations and industry specializations", "type" : "article", "volume" : "20" }, "uris" : [ "http://www.mendeley.com/documents/?uuid=587b528c-c9ff-41c2-a4d5-0064050da82b" ] } ], "mendeley" : { "previouslyFormattedCitation" : "(Allen T Craswell et al., 1995)" }, "properties" : { "noteIndex" : 0 }, "schema" : "https://github.com/citation-style-language/schema/raw/master/csl-citation.json" }</w:instrText>
      </w:r>
      <w:r w:rsidR="004A36DA">
        <w:rPr>
          <w:rFonts w:ascii="Times New Roman" w:hAnsi="Times New Roman"/>
          <w:sz w:val="22"/>
          <w:szCs w:val="22"/>
        </w:rPr>
        <w:fldChar w:fldCharType="separate"/>
      </w:r>
      <w:r w:rsidR="001A3C03" w:rsidRPr="001A3C03">
        <w:rPr>
          <w:rFonts w:ascii="Times New Roman" w:hAnsi="Times New Roman"/>
          <w:noProof/>
          <w:sz w:val="22"/>
          <w:szCs w:val="22"/>
        </w:rPr>
        <w:t>(Craswell et al., 1995)</w:t>
      </w:r>
      <w:r w:rsidR="004A36DA">
        <w:rPr>
          <w:rFonts w:ascii="Times New Roman" w:hAnsi="Times New Roman"/>
          <w:sz w:val="22"/>
          <w:szCs w:val="22"/>
        </w:rPr>
        <w:fldChar w:fldCharType="end"/>
      </w:r>
      <w:r>
        <w:rPr>
          <w:rFonts w:ascii="Times New Roman" w:hAnsi="Times New Roman"/>
          <w:sz w:val="22"/>
          <w:szCs w:val="22"/>
        </w:rPr>
        <w:t xml:space="preserve"> is that thesis uses a larger amount of sample. Moreover, the range of the sample was not only limited to particular industries thanks to the available databases. Consequently, the established relationship between auditor industry specialization on the audit fee has more external validity than prior research. </w:t>
      </w:r>
    </w:p>
    <w:p w:rsidR="00213E84" w:rsidRDefault="00213E84" w:rsidP="00A23654">
      <w:pPr>
        <w:spacing w:line="360" w:lineRule="auto"/>
        <w:jc w:val="both"/>
        <w:rPr>
          <w:rFonts w:ascii="Times New Roman" w:hAnsi="Times New Roman"/>
          <w:sz w:val="22"/>
          <w:szCs w:val="22"/>
        </w:rPr>
      </w:pPr>
    </w:p>
    <w:p w:rsidR="00213E84" w:rsidRDefault="00213E84" w:rsidP="00A23654">
      <w:pPr>
        <w:spacing w:line="360" w:lineRule="auto"/>
        <w:jc w:val="both"/>
        <w:rPr>
          <w:rFonts w:ascii="Times New Roman" w:hAnsi="Times New Roman"/>
          <w:sz w:val="22"/>
          <w:szCs w:val="22"/>
        </w:rPr>
      </w:pPr>
      <w:r>
        <w:rPr>
          <w:rFonts w:ascii="Times New Roman" w:hAnsi="Times New Roman"/>
          <w:sz w:val="22"/>
          <w:szCs w:val="22"/>
        </w:rPr>
        <w:t>The outcome of the analysis confirms the positive association between the client complexity and the audit fee. This association shows that companies with complex operations do require more efforts from auditors. Additionally</w:t>
      </w:r>
      <w:r w:rsidR="00F8707E">
        <w:rPr>
          <w:rFonts w:ascii="Times New Roman" w:hAnsi="Times New Roman"/>
          <w:sz w:val="22"/>
          <w:szCs w:val="22"/>
        </w:rPr>
        <w:t xml:space="preserve">, a positive association </w:t>
      </w:r>
      <w:r w:rsidR="00E71DF8">
        <w:rPr>
          <w:rFonts w:ascii="Times New Roman" w:hAnsi="Times New Roman"/>
          <w:sz w:val="22"/>
          <w:szCs w:val="22"/>
        </w:rPr>
        <w:t xml:space="preserve">is </w:t>
      </w:r>
      <w:r w:rsidR="00F8707E">
        <w:rPr>
          <w:rFonts w:ascii="Times New Roman" w:hAnsi="Times New Roman"/>
          <w:sz w:val="22"/>
          <w:szCs w:val="22"/>
        </w:rPr>
        <w:t xml:space="preserve">found between the auditor industry specialization with the audit fee. These two associations are essential to answer the research question since they both showed </w:t>
      </w:r>
      <w:r w:rsidR="00367C61">
        <w:rPr>
          <w:rFonts w:ascii="Times New Roman" w:hAnsi="Times New Roman"/>
          <w:sz w:val="22"/>
          <w:szCs w:val="22"/>
        </w:rPr>
        <w:t>their</w:t>
      </w:r>
      <w:r w:rsidR="00F8707E">
        <w:rPr>
          <w:rFonts w:ascii="Times New Roman" w:hAnsi="Times New Roman"/>
          <w:sz w:val="22"/>
          <w:szCs w:val="22"/>
        </w:rPr>
        <w:t xml:space="preserve"> statistically significant contribution to the audit fee. Otherwise it woul</w:t>
      </w:r>
      <w:r w:rsidR="00B27EDC">
        <w:rPr>
          <w:rFonts w:ascii="Times New Roman" w:hAnsi="Times New Roman"/>
          <w:sz w:val="22"/>
          <w:szCs w:val="22"/>
        </w:rPr>
        <w:t>d be less worthwh</w:t>
      </w:r>
      <w:r w:rsidR="00367C61">
        <w:rPr>
          <w:rFonts w:ascii="Times New Roman" w:hAnsi="Times New Roman"/>
          <w:sz w:val="22"/>
          <w:szCs w:val="22"/>
        </w:rPr>
        <w:t xml:space="preserve">ile to examine the impact of </w:t>
      </w:r>
      <w:r w:rsidR="00B27EDC">
        <w:rPr>
          <w:rFonts w:ascii="Times New Roman" w:hAnsi="Times New Roman"/>
          <w:sz w:val="22"/>
          <w:szCs w:val="22"/>
        </w:rPr>
        <w:t xml:space="preserve">the auditor industry specialization on the audit fee. Furthermore, since the auditor specialization does not lead to a decrease of the audit fee, it means that industry specialists are not likely to provide fee discounts. This can be </w:t>
      </w:r>
      <w:r w:rsidR="000712E0">
        <w:rPr>
          <w:rFonts w:ascii="Times New Roman" w:hAnsi="Times New Roman"/>
          <w:sz w:val="22"/>
          <w:szCs w:val="22"/>
        </w:rPr>
        <w:t>understood</w:t>
      </w:r>
      <w:r w:rsidR="00B27EDC">
        <w:rPr>
          <w:rFonts w:ascii="Times New Roman" w:hAnsi="Times New Roman"/>
          <w:sz w:val="22"/>
          <w:szCs w:val="22"/>
        </w:rPr>
        <w:t xml:space="preserve"> from two </w:t>
      </w:r>
      <w:r w:rsidR="000712E0">
        <w:rPr>
          <w:rFonts w:ascii="Times New Roman" w:hAnsi="Times New Roman"/>
          <w:sz w:val="22"/>
          <w:szCs w:val="22"/>
        </w:rPr>
        <w:t>perspectives</w:t>
      </w:r>
      <w:r w:rsidR="00B27EDC">
        <w:rPr>
          <w:rFonts w:ascii="Times New Roman" w:hAnsi="Times New Roman"/>
          <w:sz w:val="22"/>
          <w:szCs w:val="22"/>
        </w:rPr>
        <w:t xml:space="preserve">. First, auditor industry specialists are not able to provide fee discounts since they </w:t>
      </w:r>
      <w:r w:rsidR="00367C61">
        <w:rPr>
          <w:rFonts w:ascii="Times New Roman" w:hAnsi="Times New Roman"/>
          <w:sz w:val="22"/>
          <w:szCs w:val="22"/>
        </w:rPr>
        <w:t>are not able to achieve the economies of scale</w:t>
      </w:r>
      <w:r w:rsidR="00B27EDC">
        <w:rPr>
          <w:rFonts w:ascii="Times New Roman" w:hAnsi="Times New Roman"/>
          <w:sz w:val="22"/>
          <w:szCs w:val="22"/>
        </w:rPr>
        <w:t xml:space="preserve">. Second, it could also be that industry specialists are not willing to provide fee discounts since they do have a sustainable competitive advantage over their competitors and they do not need to provide any discounts to attract more clients. This </w:t>
      </w:r>
      <w:r w:rsidR="00367C61">
        <w:rPr>
          <w:rFonts w:ascii="Times New Roman" w:hAnsi="Times New Roman"/>
          <w:sz w:val="22"/>
          <w:szCs w:val="22"/>
        </w:rPr>
        <w:t>positive correlation</w:t>
      </w:r>
      <w:r w:rsidR="00B27EDC">
        <w:rPr>
          <w:rFonts w:ascii="Times New Roman" w:hAnsi="Times New Roman"/>
          <w:sz w:val="22"/>
          <w:szCs w:val="22"/>
        </w:rPr>
        <w:t xml:space="preserve"> </w:t>
      </w:r>
      <w:r w:rsidR="009A13B0">
        <w:rPr>
          <w:rFonts w:ascii="Times New Roman" w:hAnsi="Times New Roman"/>
          <w:sz w:val="22"/>
          <w:szCs w:val="22"/>
        </w:rPr>
        <w:t xml:space="preserve">is in line with the prior research stating the industry specialists are requiring a fee premium and </w:t>
      </w:r>
      <w:r w:rsidR="00B27EDC">
        <w:rPr>
          <w:rFonts w:ascii="Times New Roman" w:hAnsi="Times New Roman"/>
          <w:sz w:val="22"/>
          <w:szCs w:val="22"/>
        </w:rPr>
        <w:t xml:space="preserve">is </w:t>
      </w:r>
      <w:r w:rsidR="00937283">
        <w:rPr>
          <w:rFonts w:ascii="Times New Roman" w:hAnsi="Times New Roman"/>
          <w:sz w:val="22"/>
          <w:szCs w:val="22"/>
        </w:rPr>
        <w:t xml:space="preserve">once again </w:t>
      </w:r>
      <w:r w:rsidR="00B27EDC">
        <w:rPr>
          <w:rFonts w:ascii="Times New Roman" w:hAnsi="Times New Roman"/>
          <w:sz w:val="22"/>
          <w:szCs w:val="22"/>
        </w:rPr>
        <w:t xml:space="preserve">confirmed </w:t>
      </w:r>
      <w:r w:rsidR="009A13B0">
        <w:rPr>
          <w:rFonts w:ascii="Times New Roman" w:hAnsi="Times New Roman"/>
          <w:sz w:val="22"/>
          <w:szCs w:val="22"/>
        </w:rPr>
        <w:t xml:space="preserve">from this thesis </w:t>
      </w:r>
      <w:r w:rsidR="00B27EDC">
        <w:rPr>
          <w:rFonts w:ascii="Times New Roman" w:hAnsi="Times New Roman"/>
          <w:sz w:val="22"/>
          <w:szCs w:val="22"/>
        </w:rPr>
        <w:t xml:space="preserve">when evidence showed that auditor industry specialization do not decrease the positive association between the client complexity and the audit fee. </w:t>
      </w:r>
      <w:r w:rsidR="006058A2">
        <w:rPr>
          <w:rFonts w:ascii="Times New Roman" w:hAnsi="Times New Roman"/>
          <w:sz w:val="22"/>
          <w:szCs w:val="22"/>
        </w:rPr>
        <w:t xml:space="preserve">One possible explanation is that due to the auditor industry specialization, auditors may provide audit service with a higher quality comparing with nonspecialists. Since the audit quality is seen as more important than the amount of the audit fee, </w:t>
      </w:r>
      <w:r w:rsidR="006058A2">
        <w:rPr>
          <w:rFonts w:ascii="Times New Roman" w:hAnsi="Times New Roman"/>
          <w:sz w:val="22"/>
          <w:szCs w:val="22"/>
        </w:rPr>
        <w:lastRenderedPageBreak/>
        <w:t xml:space="preserve">which is explained based on the agency theory, companies are still likely to appoint an industry specialists to perform their financial statements audit. </w:t>
      </w:r>
    </w:p>
    <w:p w:rsidR="009B1FC0" w:rsidRDefault="009B1FC0" w:rsidP="00A23654">
      <w:pPr>
        <w:spacing w:line="360" w:lineRule="auto"/>
        <w:jc w:val="both"/>
        <w:rPr>
          <w:rFonts w:ascii="Times New Roman" w:hAnsi="Times New Roman"/>
          <w:sz w:val="22"/>
          <w:szCs w:val="22"/>
        </w:rPr>
      </w:pPr>
    </w:p>
    <w:p w:rsidR="00A23654" w:rsidRDefault="009B1FC0" w:rsidP="00A23654">
      <w:pPr>
        <w:spacing w:line="360" w:lineRule="auto"/>
        <w:jc w:val="both"/>
        <w:rPr>
          <w:rFonts w:ascii="Times New Roman" w:hAnsi="Times New Roman"/>
          <w:sz w:val="22"/>
          <w:szCs w:val="22"/>
        </w:rPr>
      </w:pPr>
      <w:r>
        <w:rPr>
          <w:rFonts w:ascii="Times New Roman" w:hAnsi="Times New Roman"/>
          <w:sz w:val="22"/>
          <w:szCs w:val="22"/>
        </w:rPr>
        <w:t xml:space="preserve">This thesis contributes to the existing literature in several aspects. First, </w:t>
      </w:r>
      <w:r w:rsidR="00700EA7">
        <w:rPr>
          <w:rFonts w:ascii="Times New Roman" w:hAnsi="Times New Roman"/>
          <w:sz w:val="22"/>
          <w:szCs w:val="22"/>
        </w:rPr>
        <w:t>due to the database</w:t>
      </w:r>
      <w:r>
        <w:rPr>
          <w:rFonts w:ascii="Times New Roman" w:hAnsi="Times New Roman"/>
          <w:sz w:val="22"/>
          <w:szCs w:val="22"/>
        </w:rPr>
        <w:t xml:space="preserve"> Compustat and Audit Analytics, </w:t>
      </w:r>
      <w:r w:rsidR="00700EA7">
        <w:rPr>
          <w:rFonts w:ascii="Times New Roman" w:hAnsi="Times New Roman"/>
          <w:sz w:val="22"/>
          <w:szCs w:val="22"/>
        </w:rPr>
        <w:t xml:space="preserve">this thesis is able to make use of a relatively large sample size comparing with prior research, which will greatly increase the external validity of the results. Second, this thesis takes another approach to measure a company’s complexity, namely by its industry auditing guidance. As expected, this measurement has been proved to be positive statistically significant with the audit fee. This measure of complexity together with the number of subsidiaries can be more validly to assess a company’s complexity. Last, the previous auditor opinion showed up as one of the major positive fee determinants. This could be the effect of the financial crisis during the sample period. During the financial crisis, it is understandable that auditors are more sensitive when assessing a client business risk. A departure from unqualified opinion from the last period would more quickly to attract the current auditor’s attention. </w:t>
      </w:r>
    </w:p>
    <w:p w:rsidR="00700EA7" w:rsidRDefault="00700EA7" w:rsidP="00A23654">
      <w:pPr>
        <w:spacing w:line="360" w:lineRule="auto"/>
        <w:jc w:val="both"/>
        <w:rPr>
          <w:rFonts w:ascii="Times New Roman" w:eastAsiaTheme="minorEastAsia" w:hAnsi="Times New Roman"/>
          <w:sz w:val="22"/>
          <w:szCs w:val="22"/>
        </w:rPr>
      </w:pPr>
    </w:p>
    <w:p w:rsidR="00A23654" w:rsidRDefault="00A23654" w:rsidP="00A23654">
      <w:pPr>
        <w:pStyle w:val="Subtitle"/>
        <w:spacing w:line="360" w:lineRule="auto"/>
        <w:jc w:val="left"/>
        <w:rPr>
          <w:b/>
        </w:rPr>
      </w:pPr>
      <w:bookmarkStart w:id="69" w:name="_Toc393872569"/>
      <w:r>
        <w:rPr>
          <w:b/>
        </w:rPr>
        <w:t>5.8 Summary</w:t>
      </w:r>
      <w:bookmarkEnd w:id="69"/>
    </w:p>
    <w:p w:rsidR="00A23654" w:rsidRDefault="00A23654" w:rsidP="00A23654">
      <w:pPr>
        <w:spacing w:after="240" w:line="360" w:lineRule="auto"/>
        <w:jc w:val="both"/>
        <w:rPr>
          <w:rFonts w:ascii="Times New Roman" w:eastAsiaTheme="minorEastAsia" w:hAnsi="Times New Roman"/>
          <w:sz w:val="22"/>
          <w:szCs w:val="22"/>
        </w:rPr>
      </w:pPr>
      <w:r w:rsidRPr="00981BC2">
        <w:rPr>
          <w:rFonts w:ascii="Times New Roman" w:eastAsiaTheme="minorEastAsia" w:hAnsi="Times New Roman"/>
          <w:sz w:val="22"/>
          <w:szCs w:val="22"/>
        </w:rPr>
        <w:t xml:space="preserve">This chapter </w:t>
      </w:r>
      <w:r>
        <w:rPr>
          <w:rFonts w:ascii="Times New Roman" w:eastAsiaTheme="minorEastAsia" w:hAnsi="Times New Roman"/>
          <w:sz w:val="22"/>
          <w:szCs w:val="22"/>
        </w:rPr>
        <w:t xml:space="preserve">was dedicated to provide empirical evidence and investigation to provide analysis of the developed hypotheses in the previous chapter. In order to present scientific relevant results, two statistical models were regressed. Additionally, several other analyses are performed to have a thoughtful understanding of the variables of interests, e.g. client complexity and the auditor industry specialization. </w:t>
      </w:r>
    </w:p>
    <w:p w:rsidR="00A23654" w:rsidRDefault="00A23654" w:rsidP="00A23654">
      <w:pPr>
        <w:spacing w:after="240"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In order to explain the variability of the audit fee the regression model presented was test concerning the validity of the chosen determinants. In this regression model, the underlying assumption is that each determinant has its unique contribution regarding the audit fee. Descriptive statistics of the sample of U.S. listed firms between 2007 up to and included 2013 were presented. Additionally, to observe the relation between client complexity and auditor industry specialization </w:t>
      </w:r>
      <w:r w:rsidR="002177CD">
        <w:rPr>
          <w:rFonts w:ascii="Times New Roman" w:eastAsiaTheme="minorEastAsia" w:hAnsi="Times New Roman"/>
          <w:sz w:val="22"/>
          <w:szCs w:val="22"/>
        </w:rPr>
        <w:t>the</w:t>
      </w:r>
      <w:r>
        <w:rPr>
          <w:rFonts w:ascii="Times New Roman" w:eastAsiaTheme="minorEastAsia" w:hAnsi="Times New Roman"/>
          <w:sz w:val="22"/>
          <w:szCs w:val="22"/>
        </w:rPr>
        <w:t xml:space="preserve"> independent-samples t test</w:t>
      </w:r>
      <w:r w:rsidR="002177CD">
        <w:rPr>
          <w:rFonts w:ascii="Times New Roman" w:eastAsiaTheme="minorEastAsia" w:hAnsi="Times New Roman"/>
          <w:sz w:val="22"/>
          <w:szCs w:val="22"/>
        </w:rPr>
        <w:t>s</w:t>
      </w:r>
      <w:r>
        <w:rPr>
          <w:rFonts w:ascii="Times New Roman" w:eastAsiaTheme="minorEastAsia" w:hAnsi="Times New Roman"/>
          <w:sz w:val="22"/>
          <w:szCs w:val="22"/>
        </w:rPr>
        <w:t xml:space="preserve"> and </w:t>
      </w:r>
      <w:r w:rsidR="002177CD">
        <w:rPr>
          <w:rFonts w:ascii="Times New Roman" w:eastAsiaTheme="minorEastAsia" w:hAnsi="Times New Roman"/>
          <w:sz w:val="22"/>
          <w:szCs w:val="22"/>
        </w:rPr>
        <w:t xml:space="preserve">the </w:t>
      </w:r>
      <w:r>
        <w:rPr>
          <w:rFonts w:ascii="Times New Roman" w:eastAsiaTheme="minorEastAsia" w:hAnsi="Times New Roman"/>
          <w:sz w:val="22"/>
          <w:szCs w:val="22"/>
        </w:rPr>
        <w:t xml:space="preserve">chi-square test were conducted. The evidence showed that a significant difference in the average audit fee exists among complex and non-complex companies. Moreover, financial statements audited by industry specialists are in average more expensive than financial statements audits by nonspecialists. In addition, the association between complexity and specialization is examined and proved that a statistical significant association exists between complexity and specialization. This provides a statistical argument to examine the interaction effect of the complexity and of the specialization on audit fee. </w:t>
      </w:r>
    </w:p>
    <w:p w:rsidR="00A23654" w:rsidRPr="00A13924" w:rsidRDefault="00A23654" w:rsidP="00A23654">
      <w:pPr>
        <w:spacing w:after="240" w:line="360" w:lineRule="auto"/>
        <w:jc w:val="both"/>
        <w:rPr>
          <w:rFonts w:ascii="Times New Roman" w:eastAsiaTheme="minorEastAsia" w:hAnsi="Times New Roman"/>
          <w:sz w:val="22"/>
          <w:szCs w:val="22"/>
        </w:rPr>
      </w:pPr>
      <w:r>
        <w:rPr>
          <w:rFonts w:ascii="Times New Roman" w:eastAsiaTheme="minorEastAsia" w:hAnsi="Times New Roman"/>
          <w:sz w:val="22"/>
          <w:szCs w:val="22"/>
        </w:rPr>
        <w:t xml:space="preserve">The first regression model was generated without the interaction term. The most coefficients are significantly correlated with the audit fee. The chosen determinants can be used as reliable predictors </w:t>
      </w:r>
      <w:r>
        <w:rPr>
          <w:rFonts w:ascii="Times New Roman" w:eastAsiaTheme="minorEastAsia" w:hAnsi="Times New Roman"/>
          <w:sz w:val="22"/>
          <w:szCs w:val="22"/>
        </w:rPr>
        <w:lastRenderedPageBreak/>
        <w:t xml:space="preserve">of audit fee as the adjust </w:t>
      </w:r>
      <w:r>
        <w:rPr>
          <w:rFonts w:ascii="Times New Roman" w:eastAsiaTheme="minorEastAsia" w:hAnsi="Times New Roman"/>
          <w:i/>
          <w:sz w:val="22"/>
          <w:szCs w:val="22"/>
        </w:rPr>
        <w:t>R</w:t>
      </w:r>
      <w:r>
        <w:rPr>
          <w:rFonts w:ascii="Times New Roman" w:eastAsiaTheme="minorEastAsia" w:hAnsi="Times New Roman"/>
          <w:sz w:val="22"/>
          <w:szCs w:val="22"/>
        </w:rPr>
        <w:t xml:space="preserve"> square value was as high as 0,750. As expected based on scientific prior research the most influential factor is the client size. Based on this regression, can be determine that both client complexity and auditor industry specialization are statistically significant positively correlated with the audit fee. This implies that a complex company can drive up the audit fee and in addition it is more expensive to appoint industry specialists to conduct the financial statements audit. Since the coefficients of these variables are statistically significant, hypothesis 1 and 2a can be accepted. Hypothesis 2b, which predicts a negative correlation between the industry specialist and audit fee, consequently need to be rejected. </w:t>
      </w:r>
    </w:p>
    <w:p w:rsidR="00A23654" w:rsidRDefault="00A23654" w:rsidP="00A23654">
      <w:pPr>
        <w:spacing w:line="360" w:lineRule="auto"/>
        <w:jc w:val="both"/>
        <w:rPr>
          <w:rFonts w:ascii="Times New Roman" w:eastAsiaTheme="minorEastAsia" w:hAnsi="Times New Roman"/>
          <w:sz w:val="22"/>
          <w:szCs w:val="22"/>
        </w:rPr>
      </w:pPr>
      <w:r>
        <w:rPr>
          <w:rFonts w:ascii="Times New Roman" w:eastAsiaTheme="minorEastAsia" w:hAnsi="Times New Roman"/>
          <w:sz w:val="22"/>
          <w:szCs w:val="22"/>
        </w:rPr>
        <w:t>The second regression model was generated including the interaction term. This term is included to examine whether the effect of the client complexity on the audit fee is different for different values of auditor industry specialization. This can be implied as follows: based on the first regression it is obvious that client complexity will drive up the audit fee, and the interaction term is included to determine if an industry specialized auditor could affect the proportional contribution of complexity on the audit fee as analyzed by the first regression. This is incorporated in hypothesis 3 that states that the auditor industry specialization would decrease the association between the audit client complexity and the audit fee. The second regression with the interaction has rejected this hypothesis. Conversely, with the presence of an industry specialist, complex companies are required even to pay more fees for their financial statements audit. This can be implied as an allocation of their training and education costs by audit firms for developing industry specific knowledge to their clients.</w:t>
      </w:r>
    </w:p>
    <w:p w:rsidR="00A23654" w:rsidRDefault="00A23654" w:rsidP="00A23654">
      <w:pPr>
        <w:spacing w:line="360" w:lineRule="auto"/>
        <w:jc w:val="both"/>
        <w:rPr>
          <w:rFonts w:ascii="Times New Roman" w:eastAsiaTheme="minorEastAsia" w:hAnsi="Times New Roman"/>
          <w:sz w:val="22"/>
          <w:szCs w:val="22"/>
        </w:rPr>
      </w:pPr>
    </w:p>
    <w:p w:rsidR="00A23654" w:rsidRPr="007675DB" w:rsidRDefault="00A23654" w:rsidP="00A23654">
      <w:pPr>
        <w:spacing w:line="360" w:lineRule="auto"/>
        <w:jc w:val="both"/>
        <w:rPr>
          <w:rFonts w:ascii="Times New Roman" w:eastAsiaTheme="minorEastAsia" w:hAnsi="Times New Roman"/>
          <w:sz w:val="22"/>
          <w:szCs w:val="22"/>
        </w:rPr>
      </w:pPr>
    </w:p>
    <w:p w:rsidR="00A23654" w:rsidRDefault="00A23654">
      <w:pPr>
        <w:overflowPunct/>
        <w:autoSpaceDE/>
        <w:autoSpaceDN/>
        <w:adjustRightInd/>
        <w:spacing w:after="200" w:line="276" w:lineRule="auto"/>
        <w:textAlignment w:val="auto"/>
        <w:rPr>
          <w:rFonts w:ascii="Times New Roman" w:hAnsi="Times New Roman"/>
          <w:sz w:val="22"/>
          <w:szCs w:val="22"/>
        </w:rPr>
      </w:pPr>
      <w:r>
        <w:rPr>
          <w:rFonts w:ascii="Times New Roman" w:hAnsi="Times New Roman"/>
          <w:sz w:val="22"/>
          <w:szCs w:val="22"/>
        </w:rPr>
        <w:br w:type="page"/>
      </w:r>
    </w:p>
    <w:p w:rsidR="00A23654" w:rsidRDefault="00A23654" w:rsidP="00A23654">
      <w:pPr>
        <w:pStyle w:val="Title"/>
        <w:spacing w:line="360" w:lineRule="auto"/>
        <w:jc w:val="left"/>
      </w:pPr>
      <w:bookmarkStart w:id="70" w:name="_Toc393872570"/>
      <w:r>
        <w:lastRenderedPageBreak/>
        <w:t>6. Conclusion</w:t>
      </w:r>
      <w:bookmarkEnd w:id="70"/>
    </w:p>
    <w:p w:rsidR="00A23654" w:rsidRDefault="00A23654" w:rsidP="00A23654">
      <w:pPr>
        <w:pStyle w:val="Subtitle"/>
        <w:spacing w:line="360" w:lineRule="auto"/>
        <w:jc w:val="left"/>
        <w:rPr>
          <w:rFonts w:ascii="Times New Roman" w:eastAsiaTheme="minorEastAsia" w:hAnsi="Times New Roman"/>
        </w:rPr>
      </w:pPr>
      <w:bookmarkStart w:id="71" w:name="_Toc393872571"/>
      <w:r>
        <w:rPr>
          <w:b/>
        </w:rPr>
        <w:t>6.1 Introduction</w:t>
      </w:r>
      <w:bookmarkEnd w:id="71"/>
    </w:p>
    <w:p w:rsidR="00A23654" w:rsidRPr="003F0FB6" w:rsidRDefault="00A23654" w:rsidP="00A23654">
      <w:pPr>
        <w:overflowPunct/>
        <w:autoSpaceDE/>
        <w:autoSpaceDN/>
        <w:adjustRightInd/>
        <w:spacing w:after="200" w:line="360" w:lineRule="auto"/>
        <w:jc w:val="both"/>
        <w:textAlignment w:val="auto"/>
        <w:rPr>
          <w:rFonts w:ascii="Times New Roman" w:eastAsia="PMingLiU" w:hAnsi="Times New Roman"/>
          <w:sz w:val="22"/>
          <w:szCs w:val="22"/>
          <w:lang w:val="en-GB" w:eastAsia="en-US"/>
        </w:rPr>
      </w:pPr>
      <w:r>
        <w:rPr>
          <w:rFonts w:ascii="Times New Roman" w:eastAsia="PMingLiU" w:hAnsi="Times New Roman"/>
          <w:sz w:val="22"/>
          <w:szCs w:val="22"/>
          <w:lang w:val="en-GB" w:eastAsia="en-US"/>
        </w:rPr>
        <w:t>This</w:t>
      </w:r>
      <w:r w:rsidRPr="00E0210C">
        <w:rPr>
          <w:rFonts w:ascii="Times New Roman" w:eastAsia="PMingLiU" w:hAnsi="Times New Roman"/>
          <w:sz w:val="22"/>
          <w:szCs w:val="22"/>
          <w:lang w:val="en-GB" w:eastAsia="en-US"/>
        </w:rPr>
        <w:t xml:space="preserve"> chapter </w:t>
      </w:r>
      <w:r>
        <w:rPr>
          <w:rFonts w:ascii="Times New Roman" w:eastAsia="PMingLiU" w:hAnsi="Times New Roman"/>
          <w:sz w:val="22"/>
          <w:szCs w:val="22"/>
          <w:lang w:val="en-GB" w:eastAsia="en-US"/>
        </w:rPr>
        <w:t xml:space="preserve">presents </w:t>
      </w:r>
      <w:r w:rsidRPr="00E0210C">
        <w:rPr>
          <w:rFonts w:ascii="Times New Roman" w:eastAsia="PMingLiU" w:hAnsi="Times New Roman"/>
          <w:sz w:val="22"/>
          <w:szCs w:val="22"/>
          <w:lang w:val="en-GB" w:eastAsia="en-US"/>
        </w:rPr>
        <w:t xml:space="preserve">the final </w:t>
      </w:r>
      <w:r>
        <w:rPr>
          <w:rFonts w:ascii="Times New Roman" w:eastAsia="PMingLiU" w:hAnsi="Times New Roman"/>
          <w:sz w:val="22"/>
          <w:szCs w:val="22"/>
          <w:lang w:val="en-GB" w:eastAsia="en-US"/>
        </w:rPr>
        <w:t>part</w:t>
      </w:r>
      <w:r w:rsidRPr="00E0210C">
        <w:rPr>
          <w:rFonts w:ascii="Times New Roman" w:eastAsia="PMingLiU" w:hAnsi="Times New Roman"/>
          <w:sz w:val="22"/>
          <w:szCs w:val="22"/>
          <w:lang w:val="en-GB" w:eastAsia="en-US"/>
        </w:rPr>
        <w:t xml:space="preserve"> </w:t>
      </w:r>
      <w:r>
        <w:rPr>
          <w:rFonts w:ascii="Times New Roman" w:eastAsia="PMingLiU" w:hAnsi="Times New Roman"/>
          <w:sz w:val="22"/>
          <w:szCs w:val="22"/>
          <w:lang w:val="en-GB" w:eastAsia="en-US"/>
        </w:rPr>
        <w:t>of this thesis</w:t>
      </w:r>
      <w:r w:rsidRPr="00E0210C">
        <w:rPr>
          <w:rFonts w:ascii="Times New Roman" w:eastAsia="PMingLiU" w:hAnsi="Times New Roman"/>
          <w:sz w:val="22"/>
          <w:szCs w:val="22"/>
          <w:lang w:val="en-GB" w:eastAsia="en-US"/>
        </w:rPr>
        <w:t xml:space="preserve">. </w:t>
      </w:r>
      <w:r>
        <w:rPr>
          <w:rFonts w:ascii="Times New Roman" w:eastAsia="PMingLiU" w:hAnsi="Times New Roman"/>
          <w:sz w:val="22"/>
          <w:szCs w:val="22"/>
          <w:lang w:val="en-GB" w:eastAsia="en-US"/>
        </w:rPr>
        <w:t xml:space="preserve">First, a summary of the research is provided, which includes the motivation, the research design. Additionally, the conclusion of the research is emphasized and </w:t>
      </w:r>
      <w:r w:rsidRPr="003D38FC">
        <w:rPr>
          <w:rFonts w:ascii="Times New Roman" w:eastAsia="PMingLiU" w:hAnsi="Times New Roman"/>
          <w:sz w:val="22"/>
          <w:szCs w:val="22"/>
          <w:lang w:val="en-GB" w:eastAsia="en-US"/>
        </w:rPr>
        <w:t xml:space="preserve">in order to prevent an incorrect understanding of the research results </w:t>
      </w:r>
      <w:r>
        <w:rPr>
          <w:rFonts w:ascii="Times New Roman" w:eastAsia="PMingLiU" w:hAnsi="Times New Roman"/>
          <w:sz w:val="22"/>
          <w:szCs w:val="22"/>
          <w:lang w:val="en-GB" w:eastAsia="en-US"/>
        </w:rPr>
        <w:t xml:space="preserve">the limitations are highlighted. </w:t>
      </w:r>
      <w:r w:rsidRPr="00E0210C">
        <w:rPr>
          <w:rFonts w:ascii="Times New Roman" w:eastAsia="PMingLiU" w:hAnsi="Times New Roman"/>
          <w:sz w:val="22"/>
          <w:szCs w:val="22"/>
          <w:lang w:val="en-GB" w:eastAsia="en-US"/>
        </w:rPr>
        <w:t>The final paragraph provid</w:t>
      </w:r>
      <w:r>
        <w:rPr>
          <w:rFonts w:ascii="Times New Roman" w:eastAsia="PMingLiU" w:hAnsi="Times New Roman"/>
          <w:sz w:val="22"/>
          <w:szCs w:val="22"/>
          <w:lang w:val="en-GB" w:eastAsia="en-US"/>
        </w:rPr>
        <w:t xml:space="preserve">es </w:t>
      </w:r>
      <w:r w:rsidRPr="00E0210C">
        <w:rPr>
          <w:rFonts w:ascii="Times New Roman" w:eastAsia="PMingLiU" w:hAnsi="Times New Roman"/>
          <w:sz w:val="22"/>
          <w:szCs w:val="22"/>
          <w:lang w:val="en-GB" w:eastAsia="en-US"/>
        </w:rPr>
        <w:t>recommendations for further research.</w:t>
      </w:r>
    </w:p>
    <w:p w:rsidR="00A23654" w:rsidRDefault="00A23654" w:rsidP="00A23654">
      <w:pPr>
        <w:pStyle w:val="Subtitle"/>
        <w:spacing w:line="360" w:lineRule="auto"/>
        <w:jc w:val="left"/>
        <w:rPr>
          <w:b/>
        </w:rPr>
      </w:pPr>
      <w:bookmarkStart w:id="72" w:name="_Toc393872572"/>
      <w:r>
        <w:rPr>
          <w:b/>
        </w:rPr>
        <w:t xml:space="preserve">6.2 Research </w:t>
      </w:r>
      <w:r w:rsidR="004228D1">
        <w:rPr>
          <w:b/>
        </w:rPr>
        <w:t>S</w:t>
      </w:r>
      <w:r>
        <w:rPr>
          <w:b/>
        </w:rPr>
        <w:t>ummary</w:t>
      </w:r>
      <w:bookmarkEnd w:id="72"/>
    </w:p>
    <w:p w:rsidR="00A23654" w:rsidRDefault="00A23654" w:rsidP="00A23654">
      <w:pPr>
        <w:spacing w:line="360" w:lineRule="auto"/>
        <w:jc w:val="both"/>
        <w:rPr>
          <w:rFonts w:ascii="Times New Roman" w:hAnsi="Times New Roman"/>
          <w:sz w:val="22"/>
          <w:szCs w:val="22"/>
        </w:rPr>
      </w:pPr>
      <w:r>
        <w:rPr>
          <w:rFonts w:ascii="Times New Roman" w:eastAsiaTheme="minorEastAsia" w:hAnsi="Times New Roman"/>
          <w:sz w:val="22"/>
          <w:szCs w:val="22"/>
        </w:rPr>
        <w:t xml:space="preserve">Auditors </w:t>
      </w:r>
      <w:r w:rsidRPr="000311CE">
        <w:rPr>
          <w:rFonts w:ascii="Times New Roman" w:hAnsi="Times New Roman"/>
          <w:sz w:val="22"/>
          <w:szCs w:val="22"/>
        </w:rPr>
        <w:t>should estimate the nature and the magnitude of the evidence needed to mitigate the uncertainty of an audit failure</w:t>
      </w:r>
      <w:r>
        <w:rPr>
          <w:rFonts w:ascii="Times New Roman" w:hAnsi="Times New Roman"/>
          <w:sz w:val="22"/>
          <w:szCs w:val="22"/>
        </w:rPr>
        <w:t>, a large amount of evidence is requiring more efforts from auditors and would drive up the audit fee. However, it is not clear which factors, e.g. fee determinants, are directly influencing the expected audit efforts and in which proportion. I</w:t>
      </w:r>
      <w:r w:rsidRPr="003D38FC">
        <w:rPr>
          <w:rFonts w:ascii="Times New Roman" w:hAnsi="Times New Roman"/>
          <w:sz w:val="22"/>
          <w:szCs w:val="22"/>
        </w:rPr>
        <w:t xml:space="preserve">n order to have a good understanding </w:t>
      </w:r>
      <w:r>
        <w:rPr>
          <w:rFonts w:ascii="Times New Roman" w:hAnsi="Times New Roman"/>
          <w:sz w:val="22"/>
          <w:szCs w:val="22"/>
        </w:rPr>
        <w:t xml:space="preserve">how </w:t>
      </w:r>
      <w:r w:rsidRPr="003D38FC">
        <w:rPr>
          <w:rFonts w:ascii="Times New Roman" w:hAnsi="Times New Roman"/>
          <w:sz w:val="22"/>
          <w:szCs w:val="22"/>
        </w:rPr>
        <w:t>the audit fee should be set</w:t>
      </w:r>
      <w:r>
        <w:rPr>
          <w:rFonts w:ascii="Times New Roman" w:hAnsi="Times New Roman"/>
          <w:sz w:val="22"/>
          <w:szCs w:val="22"/>
        </w:rPr>
        <w:t>, it is essential to determine</w:t>
      </w:r>
      <w:r w:rsidRPr="003D38FC">
        <w:rPr>
          <w:rFonts w:ascii="Times New Roman" w:hAnsi="Times New Roman"/>
          <w:sz w:val="22"/>
          <w:szCs w:val="22"/>
        </w:rPr>
        <w:t xml:space="preserve"> </w:t>
      </w:r>
      <w:r>
        <w:rPr>
          <w:rFonts w:ascii="Times New Roman" w:hAnsi="Times New Roman"/>
          <w:sz w:val="22"/>
          <w:szCs w:val="22"/>
        </w:rPr>
        <w:t>the determinants of the audit fee, which are relevant to both audit firms and their clients.</w:t>
      </w:r>
    </w:p>
    <w:p w:rsidR="00A23654" w:rsidRDefault="00A23654" w:rsidP="00A23654">
      <w:pPr>
        <w:spacing w:line="360" w:lineRule="auto"/>
        <w:jc w:val="both"/>
        <w:rPr>
          <w:rFonts w:ascii="Times New Roman" w:hAnsi="Times New Roman"/>
          <w:sz w:val="22"/>
          <w:szCs w:val="22"/>
        </w:rPr>
      </w:pPr>
    </w:p>
    <w:p w:rsidR="00A23654" w:rsidRDefault="00A23654" w:rsidP="00A23654">
      <w:pPr>
        <w:spacing w:line="360" w:lineRule="auto"/>
        <w:jc w:val="both"/>
      </w:pPr>
      <w:r>
        <w:rPr>
          <w:rFonts w:ascii="Times New Roman" w:hAnsi="Times New Roman"/>
          <w:sz w:val="22"/>
          <w:szCs w:val="22"/>
        </w:rPr>
        <w:t>T</w:t>
      </w:r>
      <w:r w:rsidRPr="003D38FC">
        <w:rPr>
          <w:rFonts w:ascii="Times New Roman" w:hAnsi="Times New Roman"/>
          <w:sz w:val="22"/>
          <w:szCs w:val="22"/>
        </w:rPr>
        <w:t>o indicate which factors</w:t>
      </w:r>
      <w:r w:rsidRPr="007B330F">
        <w:rPr>
          <w:rFonts w:ascii="Times New Roman" w:hAnsi="Times New Roman"/>
          <w:sz w:val="22"/>
          <w:szCs w:val="22"/>
        </w:rPr>
        <w:t xml:space="preserve"> as determinants</w:t>
      </w:r>
      <w:r w:rsidRPr="003D38FC">
        <w:rPr>
          <w:rFonts w:ascii="Times New Roman" w:hAnsi="Times New Roman"/>
          <w:sz w:val="22"/>
          <w:szCs w:val="22"/>
        </w:rPr>
        <w:t xml:space="preserve"> can be </w:t>
      </w:r>
      <w:r>
        <w:rPr>
          <w:rFonts w:ascii="Times New Roman" w:hAnsi="Times New Roman"/>
          <w:sz w:val="22"/>
          <w:szCs w:val="22"/>
        </w:rPr>
        <w:t>qualified</w:t>
      </w:r>
      <w:r w:rsidRPr="003D38FC">
        <w:rPr>
          <w:rFonts w:ascii="Times New Roman" w:hAnsi="Times New Roman"/>
          <w:sz w:val="22"/>
          <w:szCs w:val="22"/>
        </w:rPr>
        <w:t xml:space="preserve"> that systematically affect the level of </w:t>
      </w:r>
      <w:r>
        <w:rPr>
          <w:rFonts w:ascii="Times New Roman" w:hAnsi="Times New Roman"/>
          <w:sz w:val="22"/>
          <w:szCs w:val="22"/>
        </w:rPr>
        <w:t xml:space="preserve">the </w:t>
      </w:r>
      <w:r w:rsidRPr="003D38FC">
        <w:rPr>
          <w:rFonts w:ascii="Times New Roman" w:hAnsi="Times New Roman"/>
          <w:sz w:val="22"/>
          <w:szCs w:val="22"/>
        </w:rPr>
        <w:t>audit fee</w:t>
      </w:r>
      <w:r>
        <w:rPr>
          <w:rFonts w:ascii="Times New Roman" w:hAnsi="Times New Roman"/>
          <w:sz w:val="22"/>
          <w:szCs w:val="22"/>
        </w:rPr>
        <w:t>,</w:t>
      </w:r>
      <w:r w:rsidRPr="003D38FC">
        <w:rPr>
          <w:rFonts w:ascii="Times New Roman" w:hAnsi="Times New Roman"/>
          <w:sz w:val="22"/>
          <w:szCs w:val="22"/>
        </w:rPr>
        <w:t xml:space="preserve"> </w:t>
      </w:r>
      <w:r>
        <w:rPr>
          <w:rFonts w:ascii="Times New Roman" w:hAnsi="Times New Roman"/>
          <w:sz w:val="22"/>
          <w:szCs w:val="22"/>
        </w:rPr>
        <w:t xml:space="preserve">an extensive body of scientific researchers have been performed. Among these determinants, the audit client complexity and the auditor industry specialization knowledge are confirmed to be the determinants of the audit fee. The audit client complexity is mostly measured by the number of subsidiaries and the specialization is measured by the market share of an audit firm within a particular industry. This thesis uses the same measure for the auditor specialization and takes another approach to measure the complexity by using a dichotomous variable, namely </w:t>
      </w:r>
      <w:r>
        <w:rPr>
          <w:rFonts w:ascii="Times New Roman" w:eastAsia="Cambria" w:hAnsi="Times New Roman"/>
          <w:sz w:val="22"/>
          <w:szCs w:val="22"/>
        </w:rPr>
        <w:t>companies within industries with specified audit guidance can be qualified as complex.</w:t>
      </w:r>
      <w:r w:rsidRPr="003D38FC">
        <w:t xml:space="preserve"> </w:t>
      </w:r>
    </w:p>
    <w:p w:rsidR="00A23654" w:rsidRDefault="00A23654" w:rsidP="00A23654">
      <w:pPr>
        <w:spacing w:line="360" w:lineRule="auto"/>
        <w:jc w:val="both"/>
        <w:rPr>
          <w:rFonts w:ascii="Times New Roman" w:eastAsia="Cambria" w:hAnsi="Times New Roman"/>
          <w:sz w:val="22"/>
          <w:szCs w:val="22"/>
        </w:rPr>
      </w:pPr>
    </w:p>
    <w:p w:rsidR="00A23654" w:rsidRDefault="00A23654" w:rsidP="00A23654">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The first regression model confirms the positive correlation between the client complexity and the auditor specialization with the audit fee. Next, </w:t>
      </w:r>
      <w:r w:rsidRPr="00AE2B97">
        <w:rPr>
          <w:rFonts w:ascii="Times New Roman" w:eastAsia="Cambria" w:hAnsi="Times New Roman"/>
          <w:sz w:val="22"/>
          <w:szCs w:val="22"/>
        </w:rPr>
        <w:t xml:space="preserve">to determine the interaction effect of the auditor industry specialization on the association between the audit client complexity and the audit fee </w:t>
      </w:r>
      <w:r>
        <w:rPr>
          <w:rFonts w:ascii="Times New Roman" w:eastAsia="Cambria" w:hAnsi="Times New Roman"/>
          <w:sz w:val="22"/>
          <w:szCs w:val="22"/>
        </w:rPr>
        <w:t xml:space="preserve">a regression model with an interaction term is used. The coefficient analysis proved evidence that industry specialists are requiring a higher fee for complex industries, which confirms the impact of auditor industry specialization on the association between the audit client complexity and the audit fee. </w:t>
      </w:r>
    </w:p>
    <w:p w:rsidR="00A23654" w:rsidRDefault="00A23654" w:rsidP="00A23654">
      <w:pPr>
        <w:spacing w:line="360" w:lineRule="auto"/>
        <w:jc w:val="both"/>
        <w:rPr>
          <w:rFonts w:ascii="Times New Roman" w:eastAsia="Cambria" w:hAnsi="Times New Roman"/>
          <w:sz w:val="22"/>
          <w:szCs w:val="22"/>
        </w:rPr>
      </w:pPr>
    </w:p>
    <w:p w:rsidR="00A23654" w:rsidRDefault="00A23654" w:rsidP="00A23654">
      <w:pPr>
        <w:pStyle w:val="Subtitle"/>
        <w:spacing w:line="360" w:lineRule="auto"/>
        <w:jc w:val="left"/>
        <w:rPr>
          <w:b/>
        </w:rPr>
      </w:pPr>
      <w:bookmarkStart w:id="73" w:name="_Toc393872573"/>
      <w:r>
        <w:rPr>
          <w:b/>
        </w:rPr>
        <w:t>6.3 Conclusions</w:t>
      </w:r>
      <w:bookmarkEnd w:id="73"/>
    </w:p>
    <w:p w:rsidR="00A23654" w:rsidRDefault="00A23654" w:rsidP="00A23654">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This thesis is set out to determine the correlations of the audit fee determinants on the audit fee based on the audit pricing model </w:t>
      </w:r>
      <w:r w:rsidR="004A36DA">
        <w:rPr>
          <w:rFonts w:ascii="Times New Roman" w:eastAsia="Cambria" w:hAnsi="Times New Roman"/>
          <w:sz w:val="22"/>
          <w:szCs w:val="22"/>
        </w:rPr>
        <w:fldChar w:fldCharType="begin" w:fldLock="1"/>
      </w:r>
      <w:r w:rsidR="002177CD">
        <w:rPr>
          <w:rFonts w:ascii="Times New Roman" w:eastAsia="Cambria" w:hAnsi="Times New Roman"/>
          <w:sz w:val="22"/>
          <w:szCs w:val="22"/>
        </w:rPr>
        <w:instrText>ADDIN CSL_CITATION { "citationItems" : [ { "id" : "ITEM-1", "itemData" : { "DOI" : "10.2307/2490397", "ISBN" : "00218456", "ISSN" : "00218456", "abstract" : "The article refers to the Big Eight firms and competition in the audit industry with a focus on theory and practice in the pricing of services in the United States. The hypothesis that price competition exists in the market that audits publicly held companies is tested by a fee determination model where both parties--the auditor and auditee--are risk neutral and expect to maximize their own expected profits. Equations for profitability in competitive and noncompetitive markets, monopoly rent and pricing, maximin strategies, variations in assessed loss functions, and production functions are explained. Data includes the test for nonresponse bias and statistics for variables such as sales and from a correlation matrix of variables.", "author" : [ { "dropping-particle" : "", "family" : "Simunic", "given" : "D.", "non-dropping-particle" : "", "parse-names" : false, "suffix" : "" } ], "container-title" : "Journal of Accounting Research", "id" : "ITEM-1", "issued" : { "date-parts" : [ [ "1980" ] ] }, "page" : "161-190", "title" : "The Pricing of Audit Services: Theory and Evidence.", "type" : "article-journal", "volume" : "18" }, "uris" : [ "http://www.mendeley.com/documents/?uuid=eabaa36c-f862-49c4-a20b-93711d465784" ] } ], "mendeley" : { "previouslyFormattedCitation" : "(Simunic, 1980)" }, "properties" : { "noteIndex" : 0 }, "schema" : "https://github.com/citation-style-language/schema/raw/master/csl-citation.json" }</w:instrText>
      </w:r>
      <w:r w:rsidR="004A36DA">
        <w:rPr>
          <w:rFonts w:ascii="Times New Roman" w:eastAsia="Cambria" w:hAnsi="Times New Roman"/>
          <w:sz w:val="22"/>
          <w:szCs w:val="22"/>
        </w:rPr>
        <w:fldChar w:fldCharType="separate"/>
      </w:r>
      <w:r w:rsidRPr="00C97F31">
        <w:rPr>
          <w:rFonts w:ascii="Times New Roman" w:eastAsia="Cambria" w:hAnsi="Times New Roman"/>
          <w:noProof/>
          <w:sz w:val="22"/>
          <w:szCs w:val="22"/>
        </w:rPr>
        <w:t>(Simunic, 1980)</w:t>
      </w:r>
      <w:r w:rsidR="004A36DA">
        <w:rPr>
          <w:rFonts w:ascii="Times New Roman" w:eastAsia="Cambria" w:hAnsi="Times New Roman"/>
          <w:sz w:val="22"/>
          <w:szCs w:val="22"/>
        </w:rPr>
        <w:fldChar w:fldCharType="end"/>
      </w:r>
      <w:r>
        <w:rPr>
          <w:rFonts w:ascii="Times New Roman" w:eastAsia="Cambria" w:hAnsi="Times New Roman"/>
          <w:sz w:val="22"/>
          <w:szCs w:val="22"/>
        </w:rPr>
        <w:t xml:space="preserve">. </w:t>
      </w:r>
      <w:r w:rsidR="000712E0">
        <w:rPr>
          <w:rFonts w:ascii="Times New Roman" w:eastAsia="Cambria" w:hAnsi="Times New Roman"/>
          <w:sz w:val="22"/>
          <w:szCs w:val="22"/>
        </w:rPr>
        <w:t xml:space="preserve">This study was designed to investigate whether the investigation of auditor industry specialization will affect the association of the client complexity on the audit fee. </w:t>
      </w:r>
      <w:r>
        <w:rPr>
          <w:rFonts w:ascii="Times New Roman" w:eastAsia="Cambria" w:hAnsi="Times New Roman"/>
          <w:sz w:val="22"/>
          <w:szCs w:val="22"/>
        </w:rPr>
        <w:t xml:space="preserve">There are arguments that industry specialization will either increase or decrease the audit </w:t>
      </w:r>
      <w:r>
        <w:rPr>
          <w:rFonts w:ascii="Times New Roman" w:eastAsia="Cambria" w:hAnsi="Times New Roman"/>
          <w:sz w:val="22"/>
          <w:szCs w:val="22"/>
        </w:rPr>
        <w:lastRenderedPageBreak/>
        <w:t xml:space="preserve">fee. Specialization could increase the audit fee when audit firms choose to allocate the education costs to their clients. On the other hands, specialization enables audit firms to obtain a sustainable competitive position and achieve economies of scale within the particular industry and eventually provide clients with a cost advantage of the audit fee. </w:t>
      </w:r>
    </w:p>
    <w:p w:rsidR="00A23654" w:rsidRDefault="00A23654" w:rsidP="00A23654">
      <w:pPr>
        <w:spacing w:line="360" w:lineRule="auto"/>
        <w:jc w:val="both"/>
        <w:rPr>
          <w:rFonts w:ascii="Times New Roman" w:eastAsia="Cambria" w:hAnsi="Times New Roman"/>
          <w:sz w:val="22"/>
          <w:szCs w:val="22"/>
        </w:rPr>
      </w:pPr>
    </w:p>
    <w:p w:rsidR="00A23654" w:rsidRDefault="00A23654" w:rsidP="00A23654">
      <w:pPr>
        <w:spacing w:line="360" w:lineRule="auto"/>
        <w:jc w:val="both"/>
        <w:rPr>
          <w:rFonts w:ascii="Times New Roman" w:eastAsia="Cambria" w:hAnsi="Times New Roman"/>
          <w:sz w:val="22"/>
          <w:szCs w:val="22"/>
        </w:rPr>
      </w:pPr>
      <w:r>
        <w:rPr>
          <w:rFonts w:ascii="Times New Roman" w:eastAsia="Cambria" w:hAnsi="Times New Roman"/>
          <w:sz w:val="22"/>
          <w:szCs w:val="22"/>
        </w:rPr>
        <w:t xml:space="preserve">The empirical evidence suggests that the level of auditor industry specialization is affecting the association between the client complexity and the audit fee. More specifically, the presence of the industry specialists will not reduce the contribution of the client complexity to the audit fee. Consequently, it is more costly to appoint an industry specialist as their auditor for complex companies. This can be interpreted that audit firms are likely to let their clients pay for the education investment or they are not able to achieve economies of scale yet. </w:t>
      </w:r>
    </w:p>
    <w:p w:rsidR="00A23654" w:rsidRDefault="00A23654" w:rsidP="00A23654">
      <w:pPr>
        <w:spacing w:line="360" w:lineRule="auto"/>
        <w:jc w:val="both"/>
        <w:rPr>
          <w:rFonts w:ascii="Times New Roman" w:eastAsia="Cambria" w:hAnsi="Times New Roman"/>
          <w:sz w:val="22"/>
          <w:szCs w:val="22"/>
        </w:rPr>
      </w:pPr>
    </w:p>
    <w:p w:rsidR="00A23654" w:rsidRDefault="00A23654" w:rsidP="00A23654">
      <w:pPr>
        <w:pStyle w:val="Subtitle"/>
        <w:spacing w:line="360" w:lineRule="auto"/>
        <w:jc w:val="left"/>
        <w:rPr>
          <w:b/>
        </w:rPr>
      </w:pPr>
      <w:bookmarkStart w:id="74" w:name="_Toc393872574"/>
      <w:r>
        <w:rPr>
          <w:b/>
        </w:rPr>
        <w:t>6.4 Limitations</w:t>
      </w:r>
      <w:bookmarkEnd w:id="74"/>
    </w:p>
    <w:p w:rsidR="00A23654" w:rsidRDefault="00A23654" w:rsidP="00A23654">
      <w:pPr>
        <w:overflowPunct/>
        <w:autoSpaceDE/>
        <w:autoSpaceDN/>
        <w:adjustRightInd/>
        <w:spacing w:after="200" w:line="360" w:lineRule="auto"/>
        <w:jc w:val="both"/>
        <w:textAlignment w:val="auto"/>
        <w:rPr>
          <w:rFonts w:ascii="Times New Roman" w:eastAsia="PMingLiU" w:hAnsi="Times New Roman"/>
          <w:sz w:val="22"/>
          <w:szCs w:val="22"/>
          <w:lang w:val="en-GB" w:eastAsia="en-US"/>
        </w:rPr>
      </w:pPr>
      <w:r>
        <w:rPr>
          <w:rFonts w:ascii="Times New Roman" w:eastAsia="PMingLiU" w:hAnsi="Times New Roman"/>
          <w:sz w:val="22"/>
          <w:szCs w:val="22"/>
          <w:lang w:val="en-GB" w:eastAsia="en-US"/>
        </w:rPr>
        <w:t>One limitation of this thesis is that the selected sample only consisted of US publicly listed companies. S</w:t>
      </w:r>
      <w:r w:rsidRPr="00AE2B97">
        <w:rPr>
          <w:rFonts w:ascii="Times New Roman" w:eastAsia="PMingLiU" w:hAnsi="Times New Roman"/>
          <w:sz w:val="22"/>
          <w:szCs w:val="22"/>
          <w:lang w:val="en-GB" w:eastAsia="en-US"/>
        </w:rPr>
        <w:t xml:space="preserve">ince </w:t>
      </w:r>
      <w:r>
        <w:rPr>
          <w:rFonts w:ascii="Times New Roman" w:eastAsia="PMingLiU" w:hAnsi="Times New Roman"/>
          <w:sz w:val="22"/>
          <w:szCs w:val="22"/>
          <w:lang w:val="en-GB" w:eastAsia="en-US"/>
        </w:rPr>
        <w:t xml:space="preserve">US </w:t>
      </w:r>
      <w:r w:rsidRPr="00AE2B97">
        <w:rPr>
          <w:rFonts w:ascii="Times New Roman" w:eastAsia="PMingLiU" w:hAnsi="Times New Roman"/>
          <w:sz w:val="22"/>
          <w:szCs w:val="22"/>
          <w:lang w:val="en-GB" w:eastAsia="en-US"/>
        </w:rPr>
        <w:t>publicly listed companies are required to publish an audited report of internal control after the implementation of Sarbanes-Oxley Section 404</w:t>
      </w:r>
      <w:r>
        <w:rPr>
          <w:rFonts w:ascii="Times New Roman" w:eastAsia="PMingLiU" w:hAnsi="Times New Roman"/>
          <w:sz w:val="22"/>
          <w:szCs w:val="22"/>
          <w:lang w:val="en-GB" w:eastAsia="en-US"/>
        </w:rPr>
        <w:t>. This could influence the external validity. S</w:t>
      </w:r>
      <w:r w:rsidRPr="00AE2B97">
        <w:rPr>
          <w:rFonts w:ascii="Times New Roman" w:eastAsia="PMingLiU" w:hAnsi="Times New Roman"/>
          <w:sz w:val="22"/>
          <w:szCs w:val="22"/>
          <w:lang w:val="en-GB" w:eastAsia="en-US"/>
        </w:rPr>
        <w:t xml:space="preserve">ince </w:t>
      </w:r>
      <w:r>
        <w:rPr>
          <w:rFonts w:ascii="Times New Roman" w:eastAsia="PMingLiU" w:hAnsi="Times New Roman"/>
          <w:sz w:val="22"/>
          <w:szCs w:val="22"/>
          <w:lang w:val="en-GB" w:eastAsia="en-US"/>
        </w:rPr>
        <w:t xml:space="preserve">the external financial </w:t>
      </w:r>
      <w:r w:rsidRPr="00AE2B97">
        <w:rPr>
          <w:rFonts w:ascii="Times New Roman" w:eastAsia="PMingLiU" w:hAnsi="Times New Roman"/>
          <w:sz w:val="22"/>
          <w:szCs w:val="22"/>
          <w:lang w:val="en-GB" w:eastAsia="en-US"/>
        </w:rPr>
        <w:t>auditors are required to perform more tests of controls</w:t>
      </w:r>
      <w:r>
        <w:rPr>
          <w:rFonts w:ascii="Times New Roman" w:eastAsia="PMingLiU" w:hAnsi="Times New Roman"/>
          <w:sz w:val="22"/>
          <w:szCs w:val="22"/>
          <w:lang w:val="en-GB" w:eastAsia="en-US"/>
        </w:rPr>
        <w:t>,</w:t>
      </w:r>
      <w:r w:rsidRPr="00AE2B97">
        <w:rPr>
          <w:rFonts w:ascii="Times New Roman" w:eastAsia="PMingLiU" w:hAnsi="Times New Roman"/>
          <w:sz w:val="22"/>
          <w:szCs w:val="22"/>
          <w:lang w:val="en-GB" w:eastAsia="en-US"/>
        </w:rPr>
        <w:t xml:space="preserve"> </w:t>
      </w:r>
      <w:r>
        <w:rPr>
          <w:rFonts w:ascii="Times New Roman" w:eastAsia="PMingLiU" w:hAnsi="Times New Roman"/>
          <w:sz w:val="22"/>
          <w:szCs w:val="22"/>
          <w:lang w:val="en-GB" w:eastAsia="en-US"/>
        </w:rPr>
        <w:t>this might increases the audit fee. However,</w:t>
      </w:r>
      <w:r w:rsidRPr="00AE2B97">
        <w:t xml:space="preserve"> </w:t>
      </w:r>
      <w:r w:rsidRPr="00AE2B97">
        <w:rPr>
          <w:rFonts w:ascii="Times New Roman" w:eastAsia="PMingLiU" w:hAnsi="Times New Roman"/>
          <w:sz w:val="22"/>
          <w:szCs w:val="22"/>
          <w:lang w:val="en-GB" w:eastAsia="en-US"/>
        </w:rPr>
        <w:t xml:space="preserve">since the entire sample companies are </w:t>
      </w:r>
      <w:r>
        <w:rPr>
          <w:rFonts w:ascii="Times New Roman" w:eastAsia="PMingLiU" w:hAnsi="Times New Roman"/>
          <w:sz w:val="22"/>
          <w:szCs w:val="22"/>
          <w:lang w:val="en-GB" w:eastAsia="en-US"/>
        </w:rPr>
        <w:t xml:space="preserve">US </w:t>
      </w:r>
      <w:r w:rsidRPr="00AE2B97">
        <w:rPr>
          <w:rFonts w:ascii="Times New Roman" w:eastAsia="PMingLiU" w:hAnsi="Times New Roman"/>
          <w:sz w:val="22"/>
          <w:szCs w:val="22"/>
          <w:lang w:val="en-GB" w:eastAsia="en-US"/>
        </w:rPr>
        <w:t>publicly listed</w:t>
      </w:r>
      <w:r>
        <w:rPr>
          <w:rFonts w:ascii="Times New Roman" w:eastAsia="PMingLiU" w:hAnsi="Times New Roman"/>
          <w:sz w:val="22"/>
          <w:szCs w:val="22"/>
          <w:lang w:val="en-GB" w:eastAsia="en-US"/>
        </w:rPr>
        <w:t xml:space="preserve">, the effect of this in this cannot be controlled. A proper comparison with private companies could determine the contribution of SOX 404 to the level of the audit fees. </w:t>
      </w:r>
    </w:p>
    <w:p w:rsidR="00A23654" w:rsidRDefault="00A23654" w:rsidP="00A23654">
      <w:pPr>
        <w:overflowPunct/>
        <w:autoSpaceDE/>
        <w:autoSpaceDN/>
        <w:adjustRightInd/>
        <w:spacing w:after="200" w:line="360" w:lineRule="auto"/>
        <w:jc w:val="both"/>
        <w:textAlignment w:val="auto"/>
        <w:rPr>
          <w:rFonts w:ascii="Times New Roman" w:hAnsi="Times New Roman"/>
          <w:sz w:val="22"/>
          <w:szCs w:val="22"/>
        </w:rPr>
      </w:pPr>
      <w:r>
        <w:rPr>
          <w:rFonts w:ascii="Times New Roman" w:hAnsi="Times New Roman"/>
          <w:sz w:val="22"/>
          <w:szCs w:val="22"/>
        </w:rPr>
        <w:t>The next limitation is that the assumption of homoscedasticity has been violated. This consequently leads to a model uncertainty that varies from observation to observation. S</w:t>
      </w:r>
      <w:r w:rsidRPr="009B4556">
        <w:rPr>
          <w:rFonts w:ascii="Times New Roman" w:hAnsi="Times New Roman"/>
          <w:sz w:val="22"/>
          <w:szCs w:val="22"/>
        </w:rPr>
        <w:t xml:space="preserve">ince the omitted </w:t>
      </w:r>
      <w:r w:rsidR="000712E0" w:rsidRPr="009B4556">
        <w:rPr>
          <w:rFonts w:ascii="Times New Roman" w:hAnsi="Times New Roman"/>
          <w:sz w:val="22"/>
          <w:szCs w:val="22"/>
        </w:rPr>
        <w:t>effects are</w:t>
      </w:r>
      <w:r w:rsidRPr="009B4556">
        <w:rPr>
          <w:rFonts w:ascii="Times New Roman" w:hAnsi="Times New Roman"/>
          <w:sz w:val="22"/>
          <w:szCs w:val="22"/>
        </w:rPr>
        <w:t xml:space="preserve"> not represented by included independent variables, e.g. fee determinants</w:t>
      </w:r>
      <w:r>
        <w:rPr>
          <w:rFonts w:ascii="Times New Roman" w:hAnsi="Times New Roman"/>
          <w:sz w:val="22"/>
          <w:szCs w:val="22"/>
        </w:rPr>
        <w:t>,</w:t>
      </w:r>
      <w:r w:rsidRPr="009B4556">
        <w:rPr>
          <w:rFonts w:ascii="Times New Roman" w:hAnsi="Times New Roman"/>
          <w:sz w:val="22"/>
          <w:szCs w:val="22"/>
        </w:rPr>
        <w:t xml:space="preserve"> </w:t>
      </w:r>
      <w:r>
        <w:rPr>
          <w:rFonts w:ascii="Times New Roman" w:hAnsi="Times New Roman"/>
          <w:sz w:val="22"/>
          <w:szCs w:val="22"/>
        </w:rPr>
        <w:t xml:space="preserve">the heteroscedasticity error may be caused by one or more omitted variables. A solution to solve this problem may be to find and include the omitted variables in the regression model. </w:t>
      </w:r>
    </w:p>
    <w:p w:rsidR="00A23654" w:rsidRDefault="00A23654" w:rsidP="00A23654">
      <w:pPr>
        <w:overflowPunct/>
        <w:autoSpaceDE/>
        <w:autoSpaceDN/>
        <w:adjustRightInd/>
        <w:spacing w:after="200" w:line="360" w:lineRule="auto"/>
        <w:jc w:val="both"/>
        <w:textAlignment w:val="auto"/>
        <w:rPr>
          <w:rFonts w:ascii="Times New Roman" w:hAnsi="Times New Roman"/>
          <w:sz w:val="22"/>
          <w:szCs w:val="22"/>
        </w:rPr>
      </w:pPr>
      <w:r>
        <w:rPr>
          <w:rFonts w:ascii="Times New Roman" w:eastAsia="PMingLiU" w:hAnsi="Times New Roman"/>
          <w:sz w:val="22"/>
          <w:szCs w:val="22"/>
          <w:lang w:val="en-GB" w:eastAsia="en-US"/>
        </w:rPr>
        <w:t xml:space="preserve">Another limitation occurs from the timing of the sample selection. The sample was obtaining between 2007 </w:t>
      </w:r>
      <w:r>
        <w:rPr>
          <w:rFonts w:ascii="Times New Roman" w:hAnsi="Times New Roman"/>
          <w:sz w:val="22"/>
          <w:szCs w:val="22"/>
        </w:rPr>
        <w:t>up to and included 2013. During this period, the financial crisis would impact the economic environment as a whole; this might have its influence on the audit fee. However, due to the availability of the data, it was not possible to control for this effect.</w:t>
      </w:r>
    </w:p>
    <w:p w:rsidR="00A23654" w:rsidRDefault="00A23654" w:rsidP="00A23654">
      <w:pPr>
        <w:overflowPunct/>
        <w:autoSpaceDE/>
        <w:autoSpaceDN/>
        <w:adjustRightInd/>
        <w:spacing w:after="200" w:line="360" w:lineRule="auto"/>
        <w:jc w:val="both"/>
        <w:textAlignment w:val="auto"/>
        <w:rPr>
          <w:rFonts w:ascii="Times New Roman" w:eastAsia="PMingLiU" w:hAnsi="Times New Roman"/>
          <w:sz w:val="22"/>
          <w:szCs w:val="22"/>
          <w:lang w:val="en-GB" w:eastAsia="en-US"/>
        </w:rPr>
      </w:pPr>
      <w:r>
        <w:rPr>
          <w:rFonts w:ascii="Times New Roman" w:hAnsi="Times New Roman"/>
          <w:sz w:val="22"/>
          <w:szCs w:val="22"/>
        </w:rPr>
        <w:t>The next limitation is the reduced external validity due to the measure of complexity. This thesis assessed the complexity of a company based on the published auditing guidance for particular industry by the AICPA. B</w:t>
      </w:r>
      <w:r w:rsidRPr="009B4556">
        <w:rPr>
          <w:rFonts w:ascii="Times New Roman" w:hAnsi="Times New Roman"/>
          <w:sz w:val="22"/>
          <w:szCs w:val="22"/>
        </w:rPr>
        <w:t xml:space="preserve">ecause the operations of these industries are complicated </w:t>
      </w:r>
      <w:r>
        <w:rPr>
          <w:rFonts w:ascii="Times New Roman" w:hAnsi="Times New Roman"/>
          <w:sz w:val="22"/>
          <w:szCs w:val="22"/>
        </w:rPr>
        <w:t xml:space="preserve">the AICPA guidance is helpful. One of the reasons of this complication can be the special financial reporting requirements set by the government. However, these requirements may not be required by other countries and complex companies in the U.S. do not necessarily have to be complex in other legal environments. </w:t>
      </w:r>
      <w:r>
        <w:rPr>
          <w:rFonts w:ascii="Times New Roman" w:hAnsi="Times New Roman"/>
          <w:sz w:val="22"/>
          <w:szCs w:val="22"/>
        </w:rPr>
        <w:lastRenderedPageBreak/>
        <w:t xml:space="preserve">Consequently, the results of this thesis should be carefully implemented to other countries than the U.S. </w:t>
      </w:r>
    </w:p>
    <w:p w:rsidR="00A23654" w:rsidRDefault="00A23654" w:rsidP="00A23654">
      <w:pPr>
        <w:pStyle w:val="Subtitle"/>
        <w:spacing w:line="360" w:lineRule="auto"/>
        <w:jc w:val="left"/>
        <w:rPr>
          <w:b/>
        </w:rPr>
      </w:pPr>
      <w:bookmarkStart w:id="75" w:name="_Toc393872575"/>
      <w:r>
        <w:rPr>
          <w:b/>
        </w:rPr>
        <w:t xml:space="preserve">6.5 Suggestions for </w:t>
      </w:r>
      <w:r w:rsidR="004228D1">
        <w:rPr>
          <w:b/>
        </w:rPr>
        <w:t>F</w:t>
      </w:r>
      <w:r>
        <w:rPr>
          <w:b/>
        </w:rPr>
        <w:t xml:space="preserve">urther </w:t>
      </w:r>
      <w:r w:rsidR="004228D1">
        <w:rPr>
          <w:b/>
        </w:rPr>
        <w:t>R</w:t>
      </w:r>
      <w:r>
        <w:rPr>
          <w:b/>
        </w:rPr>
        <w:t>esearch</w:t>
      </w:r>
      <w:bookmarkEnd w:id="75"/>
    </w:p>
    <w:p w:rsidR="00A23654" w:rsidRPr="006F286C" w:rsidRDefault="00A23654" w:rsidP="00A23654">
      <w:pPr>
        <w:spacing w:line="360" w:lineRule="auto"/>
        <w:jc w:val="both"/>
        <w:rPr>
          <w:rFonts w:ascii="Times New Roman" w:hAnsi="Times New Roman"/>
          <w:sz w:val="22"/>
          <w:szCs w:val="22"/>
        </w:rPr>
      </w:pPr>
      <w:r w:rsidRPr="006F286C">
        <w:rPr>
          <w:rFonts w:ascii="Times New Roman" w:hAnsi="Times New Roman"/>
          <w:sz w:val="22"/>
          <w:szCs w:val="22"/>
        </w:rPr>
        <w:t xml:space="preserve">Several recommendations for further research follow </w:t>
      </w:r>
      <w:r>
        <w:rPr>
          <w:rFonts w:ascii="Times New Roman" w:hAnsi="Times New Roman"/>
          <w:sz w:val="22"/>
          <w:szCs w:val="22"/>
        </w:rPr>
        <w:t xml:space="preserve">based on </w:t>
      </w:r>
      <w:r w:rsidRPr="006F286C">
        <w:rPr>
          <w:rFonts w:ascii="Times New Roman" w:hAnsi="Times New Roman"/>
          <w:sz w:val="22"/>
          <w:szCs w:val="22"/>
        </w:rPr>
        <w:t xml:space="preserve">the limitations presented in the previous paragraph. </w:t>
      </w:r>
    </w:p>
    <w:p w:rsidR="00A23654" w:rsidRDefault="00A23654" w:rsidP="00A23654">
      <w:pPr>
        <w:rPr>
          <w:rFonts w:ascii="Times New Roman" w:hAnsi="Times New Roman"/>
          <w:sz w:val="22"/>
          <w:szCs w:val="22"/>
        </w:rPr>
      </w:pPr>
    </w:p>
    <w:p w:rsidR="00A23654" w:rsidRDefault="00A23654" w:rsidP="00A23654">
      <w:pPr>
        <w:pStyle w:val="ListParagraph"/>
        <w:numPr>
          <w:ilvl w:val="0"/>
          <w:numId w:val="38"/>
        </w:numPr>
        <w:overflowPunct w:val="0"/>
        <w:autoSpaceDE w:val="0"/>
        <w:autoSpaceDN w:val="0"/>
        <w:adjustRightInd w:val="0"/>
        <w:spacing w:line="360" w:lineRule="auto"/>
        <w:jc w:val="both"/>
        <w:textAlignment w:val="baseline"/>
        <w:rPr>
          <w:rFonts w:ascii="Times New Roman" w:hAnsi="Times New Roman"/>
          <w:sz w:val="22"/>
          <w:szCs w:val="22"/>
        </w:rPr>
      </w:pPr>
      <w:r>
        <w:rPr>
          <w:rFonts w:ascii="Times New Roman" w:hAnsi="Times New Roman"/>
          <w:sz w:val="22"/>
          <w:szCs w:val="22"/>
        </w:rPr>
        <w:t>As the implementation of SOX 404 might have impact on the audit fee. T</w:t>
      </w:r>
      <w:r w:rsidRPr="009B4556">
        <w:rPr>
          <w:rFonts w:ascii="Times New Roman" w:hAnsi="Times New Roman"/>
          <w:sz w:val="22"/>
          <w:szCs w:val="22"/>
        </w:rPr>
        <w:t xml:space="preserve">o highlight its effect </w:t>
      </w:r>
      <w:r>
        <w:rPr>
          <w:rFonts w:ascii="Times New Roman" w:hAnsi="Times New Roman"/>
          <w:sz w:val="22"/>
          <w:szCs w:val="22"/>
        </w:rPr>
        <w:t>private companies could be included in the sample selection.</w:t>
      </w:r>
    </w:p>
    <w:p w:rsidR="00A23654" w:rsidRDefault="00A23654" w:rsidP="00A23654">
      <w:pPr>
        <w:pStyle w:val="ListParagraph"/>
        <w:numPr>
          <w:ilvl w:val="0"/>
          <w:numId w:val="38"/>
        </w:numPr>
        <w:overflowPunct w:val="0"/>
        <w:autoSpaceDE w:val="0"/>
        <w:autoSpaceDN w:val="0"/>
        <w:adjustRightInd w:val="0"/>
        <w:spacing w:line="360" w:lineRule="auto"/>
        <w:jc w:val="both"/>
        <w:textAlignment w:val="baseline"/>
        <w:rPr>
          <w:rFonts w:ascii="Times New Roman" w:hAnsi="Times New Roman"/>
          <w:sz w:val="22"/>
          <w:szCs w:val="22"/>
        </w:rPr>
      </w:pPr>
      <w:r>
        <w:rPr>
          <w:rFonts w:ascii="Times New Roman" w:hAnsi="Times New Roman"/>
          <w:sz w:val="22"/>
          <w:szCs w:val="22"/>
        </w:rPr>
        <w:t>I</w:t>
      </w:r>
      <w:r w:rsidRPr="009B4556">
        <w:rPr>
          <w:rFonts w:ascii="Times New Roman" w:hAnsi="Times New Roman"/>
          <w:sz w:val="22"/>
          <w:szCs w:val="22"/>
        </w:rPr>
        <w:t xml:space="preserve">n order to avoid a violation of the heteroscedasticity assumption </w:t>
      </w:r>
      <w:r>
        <w:rPr>
          <w:rFonts w:ascii="Times New Roman" w:hAnsi="Times New Roman"/>
          <w:sz w:val="22"/>
          <w:szCs w:val="22"/>
        </w:rPr>
        <w:t xml:space="preserve">in further research the independent variables should be chosen with great care. </w:t>
      </w:r>
    </w:p>
    <w:p w:rsidR="00A23654" w:rsidRDefault="00A23654" w:rsidP="00A23654">
      <w:pPr>
        <w:pStyle w:val="ListParagraph"/>
        <w:numPr>
          <w:ilvl w:val="0"/>
          <w:numId w:val="38"/>
        </w:numPr>
        <w:overflowPunct w:val="0"/>
        <w:autoSpaceDE w:val="0"/>
        <w:autoSpaceDN w:val="0"/>
        <w:adjustRightInd w:val="0"/>
        <w:spacing w:line="360" w:lineRule="auto"/>
        <w:jc w:val="both"/>
        <w:textAlignment w:val="baseline"/>
        <w:rPr>
          <w:rFonts w:ascii="Times New Roman" w:hAnsi="Times New Roman"/>
          <w:sz w:val="22"/>
          <w:szCs w:val="22"/>
        </w:rPr>
      </w:pPr>
      <w:r>
        <w:rPr>
          <w:rFonts w:ascii="Times New Roman" w:hAnsi="Times New Roman"/>
          <w:sz w:val="22"/>
          <w:szCs w:val="22"/>
        </w:rPr>
        <w:t>I</w:t>
      </w:r>
      <w:r w:rsidRPr="007B330F">
        <w:rPr>
          <w:rFonts w:ascii="Times New Roman" w:hAnsi="Times New Roman"/>
          <w:sz w:val="22"/>
          <w:szCs w:val="22"/>
        </w:rPr>
        <w:t xml:space="preserve">n order to determine whether a </w:t>
      </w:r>
      <w:r>
        <w:rPr>
          <w:rFonts w:ascii="Times New Roman" w:hAnsi="Times New Roman"/>
          <w:sz w:val="22"/>
          <w:szCs w:val="22"/>
        </w:rPr>
        <w:t xml:space="preserve">financial </w:t>
      </w:r>
      <w:r w:rsidRPr="007B330F">
        <w:rPr>
          <w:rFonts w:ascii="Times New Roman" w:hAnsi="Times New Roman"/>
          <w:sz w:val="22"/>
          <w:szCs w:val="22"/>
        </w:rPr>
        <w:t xml:space="preserve">crisis </w:t>
      </w:r>
      <w:r>
        <w:rPr>
          <w:rFonts w:ascii="Times New Roman" w:hAnsi="Times New Roman"/>
          <w:sz w:val="22"/>
          <w:szCs w:val="22"/>
        </w:rPr>
        <w:t xml:space="preserve">in addition </w:t>
      </w:r>
      <w:r w:rsidRPr="007B330F">
        <w:rPr>
          <w:rFonts w:ascii="Times New Roman" w:hAnsi="Times New Roman"/>
          <w:sz w:val="22"/>
          <w:szCs w:val="22"/>
        </w:rPr>
        <w:t>impacts the audit fee</w:t>
      </w:r>
      <w:r>
        <w:rPr>
          <w:rFonts w:ascii="Times New Roman" w:hAnsi="Times New Roman"/>
          <w:sz w:val="22"/>
          <w:szCs w:val="22"/>
        </w:rPr>
        <w:t>,</w:t>
      </w:r>
      <w:r w:rsidRPr="007B330F">
        <w:rPr>
          <w:rFonts w:ascii="Times New Roman" w:hAnsi="Times New Roman"/>
          <w:sz w:val="22"/>
          <w:szCs w:val="22"/>
        </w:rPr>
        <w:t xml:space="preserve"> </w:t>
      </w:r>
      <w:r>
        <w:rPr>
          <w:rFonts w:ascii="Times New Roman" w:hAnsi="Times New Roman"/>
          <w:sz w:val="22"/>
          <w:szCs w:val="22"/>
        </w:rPr>
        <w:t xml:space="preserve">the sample could include both the financial crisis and the non-financial crisis periods. This might deliver usable information to both the companies and the audit firms concerning determining their audit fee. </w:t>
      </w:r>
    </w:p>
    <w:p w:rsidR="002177CD" w:rsidRDefault="00A23654" w:rsidP="00A23654">
      <w:pPr>
        <w:pStyle w:val="ListParagraph"/>
        <w:numPr>
          <w:ilvl w:val="0"/>
          <w:numId w:val="38"/>
        </w:numPr>
        <w:overflowPunct w:val="0"/>
        <w:autoSpaceDE w:val="0"/>
        <w:autoSpaceDN w:val="0"/>
        <w:adjustRightInd w:val="0"/>
        <w:spacing w:line="360" w:lineRule="auto"/>
        <w:jc w:val="both"/>
        <w:textAlignment w:val="baseline"/>
        <w:rPr>
          <w:rFonts w:ascii="Times New Roman" w:hAnsi="Times New Roman"/>
          <w:sz w:val="22"/>
          <w:szCs w:val="22"/>
        </w:rPr>
      </w:pPr>
      <w:r>
        <w:rPr>
          <w:rFonts w:ascii="Times New Roman" w:hAnsi="Times New Roman"/>
          <w:sz w:val="22"/>
          <w:szCs w:val="22"/>
        </w:rPr>
        <w:t>W</w:t>
      </w:r>
      <w:r w:rsidRPr="007B330F">
        <w:rPr>
          <w:rFonts w:ascii="Times New Roman" w:hAnsi="Times New Roman"/>
          <w:sz w:val="22"/>
          <w:szCs w:val="22"/>
        </w:rPr>
        <w:t xml:space="preserve">hen determining a company’s complexity </w:t>
      </w:r>
      <w:r>
        <w:rPr>
          <w:rFonts w:ascii="Times New Roman" w:hAnsi="Times New Roman"/>
          <w:sz w:val="22"/>
          <w:szCs w:val="22"/>
        </w:rPr>
        <w:t>the accounting policies should be considered carefully.</w:t>
      </w:r>
    </w:p>
    <w:p w:rsidR="002177CD" w:rsidRDefault="002177CD">
      <w:pPr>
        <w:overflowPunct/>
        <w:autoSpaceDE/>
        <w:autoSpaceDN/>
        <w:adjustRightInd/>
        <w:spacing w:after="200" w:line="276" w:lineRule="auto"/>
        <w:textAlignment w:val="auto"/>
        <w:rPr>
          <w:rFonts w:ascii="Times New Roman" w:eastAsiaTheme="minorEastAsia" w:hAnsi="Times New Roman"/>
          <w:sz w:val="22"/>
          <w:szCs w:val="22"/>
        </w:rPr>
      </w:pPr>
      <w:r>
        <w:rPr>
          <w:rFonts w:ascii="Times New Roman" w:hAnsi="Times New Roman"/>
          <w:sz w:val="22"/>
          <w:szCs w:val="22"/>
        </w:rPr>
        <w:br w:type="page"/>
      </w:r>
    </w:p>
    <w:p w:rsidR="00E40C29" w:rsidRPr="002177CD" w:rsidRDefault="002177CD" w:rsidP="002177CD">
      <w:pPr>
        <w:pStyle w:val="Title"/>
        <w:spacing w:line="360" w:lineRule="auto"/>
        <w:jc w:val="left"/>
      </w:pPr>
      <w:bookmarkStart w:id="76" w:name="_Toc393872576"/>
      <w:r w:rsidRPr="002177CD">
        <w:lastRenderedPageBreak/>
        <w:t>References</w:t>
      </w:r>
      <w:bookmarkEnd w:id="76"/>
    </w:p>
    <w:p w:rsidR="002177CD" w:rsidRPr="002177CD" w:rsidRDefault="004A36DA">
      <w:pPr>
        <w:pStyle w:val="NormalWeb"/>
        <w:ind w:left="480" w:hanging="480"/>
        <w:divId w:val="1733580064"/>
        <w:rPr>
          <w:rFonts w:eastAsiaTheme="minorEastAsia"/>
          <w:noProof/>
          <w:sz w:val="22"/>
        </w:rPr>
      </w:pPr>
      <w:r>
        <w:rPr>
          <w:sz w:val="22"/>
          <w:szCs w:val="22"/>
        </w:rPr>
        <w:fldChar w:fldCharType="begin" w:fldLock="1"/>
      </w:r>
      <w:r w:rsidR="002177CD" w:rsidRPr="00AB5EC8">
        <w:rPr>
          <w:sz w:val="22"/>
          <w:szCs w:val="22"/>
          <w:lang w:val="nl-NL"/>
        </w:rPr>
        <w:instrText xml:space="preserve">ADDIN Mendeley Bibliography CSL_BIBLIOGRAPHY </w:instrText>
      </w:r>
      <w:r>
        <w:rPr>
          <w:sz w:val="22"/>
          <w:szCs w:val="22"/>
        </w:rPr>
        <w:fldChar w:fldCharType="separate"/>
      </w:r>
      <w:r w:rsidR="002177CD" w:rsidRPr="00AB5EC8">
        <w:rPr>
          <w:noProof/>
          <w:sz w:val="22"/>
          <w:lang w:val="nl-NL"/>
        </w:rPr>
        <w:t xml:space="preserve">Abdel-Khalik, A. R., &amp; Ajinkya, B. B. (1979). </w:t>
      </w:r>
      <w:r w:rsidR="002177CD" w:rsidRPr="002177CD">
        <w:rPr>
          <w:i/>
          <w:iCs/>
          <w:noProof/>
          <w:sz w:val="22"/>
        </w:rPr>
        <w:t>Empirical Research in Accounting: A Methodology Viewpoint</w:t>
      </w:r>
      <w:r w:rsidR="002177CD" w:rsidRPr="002177CD">
        <w:rPr>
          <w:noProof/>
          <w:sz w:val="22"/>
        </w:rPr>
        <w:t xml:space="preserve"> (4th ed.). Sarasota FL: AMER ACCOUNTING ASSOC 5717 BESSIE DR, SARASOTA, FL 34233.</w:t>
      </w:r>
    </w:p>
    <w:p w:rsidR="002177CD" w:rsidRPr="002177CD" w:rsidRDefault="002177CD">
      <w:pPr>
        <w:pStyle w:val="NormalWeb"/>
        <w:ind w:left="480" w:hanging="480"/>
        <w:divId w:val="1733580064"/>
        <w:rPr>
          <w:noProof/>
          <w:sz w:val="22"/>
        </w:rPr>
      </w:pPr>
      <w:r w:rsidRPr="00E71DF8">
        <w:rPr>
          <w:noProof/>
          <w:sz w:val="22"/>
          <w:lang w:val="nl-NL"/>
        </w:rPr>
        <w:t xml:space="preserve">Arens, A. A., Elder, R. J., &amp; Beasley, M. S. (2013). </w:t>
      </w:r>
      <w:r w:rsidRPr="002177CD">
        <w:rPr>
          <w:i/>
          <w:iCs/>
          <w:noProof/>
          <w:sz w:val="22"/>
        </w:rPr>
        <w:t>Auditing and Assurance Services</w:t>
      </w:r>
      <w:r w:rsidRPr="002177CD">
        <w:rPr>
          <w:noProof/>
          <w:sz w:val="22"/>
        </w:rPr>
        <w:t xml:space="preserve"> (15th revis.). Pearson Education Limited.</w:t>
      </w:r>
    </w:p>
    <w:p w:rsidR="002177CD" w:rsidRPr="002177CD" w:rsidRDefault="002177CD">
      <w:pPr>
        <w:pStyle w:val="NormalWeb"/>
        <w:ind w:left="480" w:hanging="480"/>
        <w:divId w:val="1733580064"/>
        <w:rPr>
          <w:noProof/>
          <w:sz w:val="22"/>
        </w:rPr>
      </w:pPr>
      <w:r w:rsidRPr="002177CD">
        <w:rPr>
          <w:noProof/>
          <w:sz w:val="22"/>
        </w:rPr>
        <w:t xml:space="preserve">Balsam, S., Krishnan, J., &amp; Yang, J. S. (2003). Auditor Industry Specialization and Earnings Quality. </w:t>
      </w:r>
      <w:r w:rsidRPr="002177CD">
        <w:rPr>
          <w:i/>
          <w:iCs/>
          <w:noProof/>
          <w:sz w:val="22"/>
        </w:rPr>
        <w:t>AUDITING: A Journal of Practice &amp; Theory</w:t>
      </w:r>
      <w:r w:rsidRPr="002177CD">
        <w:rPr>
          <w:noProof/>
          <w:sz w:val="22"/>
        </w:rPr>
        <w:t>. doi:10.2308/aud.2003.22.2.71</w:t>
      </w:r>
    </w:p>
    <w:p w:rsidR="002177CD" w:rsidRPr="002177CD" w:rsidRDefault="002177CD">
      <w:pPr>
        <w:pStyle w:val="NormalWeb"/>
        <w:ind w:left="480" w:hanging="480"/>
        <w:divId w:val="1733580064"/>
        <w:rPr>
          <w:noProof/>
          <w:sz w:val="22"/>
        </w:rPr>
      </w:pPr>
      <w:r w:rsidRPr="002177CD">
        <w:rPr>
          <w:noProof/>
          <w:sz w:val="22"/>
        </w:rPr>
        <w:t xml:space="preserve">BECKER, C. L., DEFOND, M. L., JIAMBALVO, J., &amp; SUBRAMANYAM, K. R. (1998). The Effect of Audit Quality on Earnings Management*. </w:t>
      </w:r>
      <w:r w:rsidRPr="002177CD">
        <w:rPr>
          <w:i/>
          <w:iCs/>
          <w:noProof/>
          <w:sz w:val="22"/>
        </w:rPr>
        <w:t>Contemporary Accounting Research</w:t>
      </w:r>
      <w:r w:rsidRPr="002177CD">
        <w:rPr>
          <w:noProof/>
          <w:sz w:val="22"/>
        </w:rPr>
        <w:t xml:space="preserve">, </w:t>
      </w:r>
      <w:r w:rsidRPr="002177CD">
        <w:rPr>
          <w:i/>
          <w:iCs/>
          <w:noProof/>
          <w:sz w:val="22"/>
        </w:rPr>
        <w:t>15</w:t>
      </w:r>
      <w:r w:rsidRPr="002177CD">
        <w:rPr>
          <w:noProof/>
          <w:sz w:val="22"/>
        </w:rPr>
        <w:t>(1), 1–24. doi:10.1111/j.1911-3846.1998.tb00547.x</w:t>
      </w:r>
    </w:p>
    <w:p w:rsidR="002177CD" w:rsidRPr="002177CD" w:rsidRDefault="002177CD">
      <w:pPr>
        <w:pStyle w:val="NormalWeb"/>
        <w:ind w:left="480" w:hanging="480"/>
        <w:divId w:val="1733580064"/>
        <w:rPr>
          <w:noProof/>
          <w:sz w:val="22"/>
        </w:rPr>
      </w:pPr>
      <w:r w:rsidRPr="002177CD">
        <w:rPr>
          <w:noProof/>
          <w:sz w:val="22"/>
        </w:rPr>
        <w:t xml:space="preserve">Bell, T. B., Landsman, W. R., &amp; Shackelford, D. A. (2001). Auditors’ Perceived Business Risk and Audit Fees: Analysis and Evidence. </w:t>
      </w:r>
      <w:r w:rsidRPr="002177CD">
        <w:rPr>
          <w:i/>
          <w:iCs/>
          <w:noProof/>
          <w:sz w:val="22"/>
        </w:rPr>
        <w:t>Journal of Accounting Research</w:t>
      </w:r>
      <w:r w:rsidRPr="002177CD">
        <w:rPr>
          <w:noProof/>
          <w:sz w:val="22"/>
        </w:rPr>
        <w:t xml:space="preserve">, </w:t>
      </w:r>
      <w:r w:rsidRPr="002177CD">
        <w:rPr>
          <w:i/>
          <w:iCs/>
          <w:noProof/>
          <w:sz w:val="22"/>
        </w:rPr>
        <w:t>39</w:t>
      </w:r>
      <w:r w:rsidRPr="002177CD">
        <w:rPr>
          <w:noProof/>
          <w:sz w:val="22"/>
        </w:rPr>
        <w:t>(1), 35–43. doi:10.1111/1475-679X.00002</w:t>
      </w:r>
    </w:p>
    <w:p w:rsidR="002177CD" w:rsidRPr="002177CD" w:rsidRDefault="002177CD">
      <w:pPr>
        <w:pStyle w:val="NormalWeb"/>
        <w:ind w:left="480" w:hanging="480"/>
        <w:divId w:val="1733580064"/>
        <w:rPr>
          <w:noProof/>
          <w:sz w:val="22"/>
        </w:rPr>
      </w:pPr>
      <w:r w:rsidRPr="002177CD">
        <w:rPr>
          <w:noProof/>
          <w:sz w:val="22"/>
        </w:rPr>
        <w:t xml:space="preserve">Bills, K. L., Jeter, D. C., &amp; Stein, S. E. (2013). Auditor Industry Specialization and Evidence of Cost Efficiencies in Homogenous Industries. </w:t>
      </w:r>
      <w:r w:rsidRPr="002177CD">
        <w:rPr>
          <w:i/>
          <w:iCs/>
          <w:noProof/>
          <w:sz w:val="22"/>
        </w:rPr>
        <w:t>Available at SSRN 2321741</w:t>
      </w:r>
      <w:r w:rsidRPr="002177CD">
        <w:rPr>
          <w:noProof/>
          <w:sz w:val="22"/>
        </w:rPr>
        <w:t>.</w:t>
      </w:r>
    </w:p>
    <w:p w:rsidR="002177CD" w:rsidRPr="002177CD" w:rsidRDefault="002177CD">
      <w:pPr>
        <w:pStyle w:val="NormalWeb"/>
        <w:ind w:left="480" w:hanging="480"/>
        <w:divId w:val="1733580064"/>
        <w:rPr>
          <w:noProof/>
          <w:sz w:val="22"/>
        </w:rPr>
      </w:pPr>
      <w:r w:rsidRPr="002177CD">
        <w:rPr>
          <w:noProof/>
          <w:sz w:val="22"/>
        </w:rPr>
        <w:t xml:space="preserve">Brownwell, P. (1995). </w:t>
      </w:r>
      <w:r w:rsidRPr="002177CD">
        <w:rPr>
          <w:i/>
          <w:iCs/>
          <w:noProof/>
          <w:sz w:val="22"/>
        </w:rPr>
        <w:t>Research methods in management accounting</w:t>
      </w:r>
      <w:r w:rsidRPr="002177CD">
        <w:rPr>
          <w:noProof/>
          <w:sz w:val="22"/>
        </w:rPr>
        <w:t>. Melbourne, Vic: Coopers and Lybrand and Accounting Association of Australia and New Zealand.</w:t>
      </w:r>
    </w:p>
    <w:p w:rsidR="002177CD" w:rsidRPr="002177CD" w:rsidRDefault="002177CD">
      <w:pPr>
        <w:pStyle w:val="NormalWeb"/>
        <w:ind w:left="480" w:hanging="480"/>
        <w:divId w:val="1733580064"/>
        <w:rPr>
          <w:noProof/>
          <w:sz w:val="22"/>
        </w:rPr>
      </w:pPr>
      <w:r w:rsidRPr="002177CD">
        <w:rPr>
          <w:noProof/>
          <w:sz w:val="22"/>
        </w:rPr>
        <w:t xml:space="preserve">Cahan, S. F., Godfrey, J. M., Hamilton, J., &amp; Jeter, D. C. (2008). Auditor Specialization, Auditor Dominance, and Audit Fees: The Role of Investment Opportunities. </w:t>
      </w:r>
      <w:r w:rsidRPr="002177CD">
        <w:rPr>
          <w:i/>
          <w:iCs/>
          <w:noProof/>
          <w:sz w:val="22"/>
        </w:rPr>
        <w:t>The Accounting Review</w:t>
      </w:r>
      <w:r w:rsidRPr="002177CD">
        <w:rPr>
          <w:noProof/>
          <w:sz w:val="22"/>
        </w:rPr>
        <w:t>. doi:10.2308/accr.2008.83.6.1393</w:t>
      </w:r>
    </w:p>
    <w:p w:rsidR="002177CD" w:rsidRPr="002177CD" w:rsidRDefault="002177CD">
      <w:pPr>
        <w:pStyle w:val="NormalWeb"/>
        <w:ind w:left="480" w:hanging="480"/>
        <w:divId w:val="1733580064"/>
        <w:rPr>
          <w:noProof/>
          <w:sz w:val="22"/>
        </w:rPr>
      </w:pPr>
      <w:r w:rsidRPr="002177CD">
        <w:rPr>
          <w:noProof/>
          <w:sz w:val="22"/>
        </w:rPr>
        <w:t xml:space="preserve">Cairney, T. D., &amp; Young, G. R. (2006). Homogenous Industries and Auditor Specialization: An Indication of Production Economies. </w:t>
      </w:r>
      <w:r w:rsidRPr="002177CD">
        <w:rPr>
          <w:i/>
          <w:iCs/>
          <w:noProof/>
          <w:sz w:val="22"/>
        </w:rPr>
        <w:t>AUDITING: A Journal of Practice &amp; Theory</w:t>
      </w:r>
      <w:r w:rsidRPr="002177CD">
        <w:rPr>
          <w:noProof/>
          <w:sz w:val="22"/>
        </w:rPr>
        <w:t>. doi:10.2308/aud.2006.25.1.49</w:t>
      </w:r>
    </w:p>
    <w:p w:rsidR="002177CD" w:rsidRPr="002177CD" w:rsidRDefault="002177CD">
      <w:pPr>
        <w:pStyle w:val="NormalWeb"/>
        <w:ind w:left="480" w:hanging="480"/>
        <w:divId w:val="1733580064"/>
        <w:rPr>
          <w:noProof/>
          <w:sz w:val="22"/>
        </w:rPr>
      </w:pPr>
      <w:r w:rsidRPr="002177CD">
        <w:rPr>
          <w:noProof/>
          <w:sz w:val="22"/>
        </w:rPr>
        <w:t xml:space="preserve">Carcello, J. V., &amp; Nagy, A. L. (2004). Client size, auditor specialization and fraudulent financial reporting. </w:t>
      </w:r>
      <w:r w:rsidRPr="002177CD">
        <w:rPr>
          <w:i/>
          <w:iCs/>
          <w:noProof/>
          <w:sz w:val="22"/>
        </w:rPr>
        <w:t>Managerial Auditing Journal</w:t>
      </w:r>
      <w:r w:rsidRPr="002177CD">
        <w:rPr>
          <w:noProof/>
          <w:sz w:val="22"/>
        </w:rPr>
        <w:t>. doi:10.1108/02686900410537775</w:t>
      </w:r>
    </w:p>
    <w:p w:rsidR="002177CD" w:rsidRPr="002177CD" w:rsidRDefault="002177CD">
      <w:pPr>
        <w:pStyle w:val="NormalWeb"/>
        <w:ind w:left="480" w:hanging="480"/>
        <w:divId w:val="1733580064"/>
        <w:rPr>
          <w:noProof/>
          <w:sz w:val="22"/>
        </w:rPr>
      </w:pPr>
      <w:r w:rsidRPr="002177CD">
        <w:rPr>
          <w:noProof/>
          <w:sz w:val="22"/>
        </w:rPr>
        <w:t xml:space="preserve">Carson, E., &amp; Fargher, N. (2007). Note on audit fee premiums to client size and industry specialization. </w:t>
      </w:r>
      <w:r w:rsidRPr="002177CD">
        <w:rPr>
          <w:i/>
          <w:iCs/>
          <w:noProof/>
          <w:sz w:val="22"/>
        </w:rPr>
        <w:t>Accounting and Finance</w:t>
      </w:r>
      <w:r w:rsidRPr="002177CD">
        <w:rPr>
          <w:noProof/>
          <w:sz w:val="22"/>
        </w:rPr>
        <w:t xml:space="preserve">, </w:t>
      </w:r>
      <w:r w:rsidRPr="002177CD">
        <w:rPr>
          <w:i/>
          <w:iCs/>
          <w:noProof/>
          <w:sz w:val="22"/>
        </w:rPr>
        <w:t>47</w:t>
      </w:r>
      <w:r w:rsidRPr="002177CD">
        <w:rPr>
          <w:noProof/>
          <w:sz w:val="22"/>
        </w:rPr>
        <w:t>, 423–446. doi:10.1111/j.1467-629X.2007.00213.x</w:t>
      </w:r>
    </w:p>
    <w:p w:rsidR="002177CD" w:rsidRPr="002177CD" w:rsidRDefault="002177CD">
      <w:pPr>
        <w:pStyle w:val="NormalWeb"/>
        <w:ind w:left="480" w:hanging="480"/>
        <w:divId w:val="1733580064"/>
        <w:rPr>
          <w:noProof/>
          <w:sz w:val="22"/>
        </w:rPr>
      </w:pPr>
      <w:r w:rsidRPr="002177CD">
        <w:rPr>
          <w:noProof/>
          <w:sz w:val="22"/>
        </w:rPr>
        <w:t xml:space="preserve">Casterella, J. R., Francis, J. R., Lewis, B. L., &amp; Walker, P. L. (2004). Auditor industry specialization, client bargaining power, and audit pricing. </w:t>
      </w:r>
      <w:r w:rsidRPr="002177CD">
        <w:rPr>
          <w:i/>
          <w:iCs/>
          <w:noProof/>
          <w:sz w:val="22"/>
        </w:rPr>
        <w:t>Auditing: A Journal of Practice &amp; Theory</w:t>
      </w:r>
      <w:r w:rsidRPr="002177CD">
        <w:rPr>
          <w:noProof/>
          <w:sz w:val="22"/>
        </w:rPr>
        <w:t xml:space="preserve">, </w:t>
      </w:r>
      <w:r w:rsidRPr="002177CD">
        <w:rPr>
          <w:i/>
          <w:iCs/>
          <w:noProof/>
          <w:sz w:val="22"/>
        </w:rPr>
        <w:t>23</w:t>
      </w:r>
      <w:r w:rsidRPr="002177CD">
        <w:rPr>
          <w:noProof/>
          <w:sz w:val="22"/>
        </w:rPr>
        <w:t>(1), 123–140.</w:t>
      </w:r>
    </w:p>
    <w:p w:rsidR="002177CD" w:rsidRPr="002177CD" w:rsidRDefault="002177CD">
      <w:pPr>
        <w:pStyle w:val="NormalWeb"/>
        <w:ind w:left="480" w:hanging="480"/>
        <w:divId w:val="1733580064"/>
        <w:rPr>
          <w:noProof/>
          <w:sz w:val="22"/>
        </w:rPr>
      </w:pPr>
      <w:r w:rsidRPr="002177CD">
        <w:rPr>
          <w:noProof/>
          <w:sz w:val="22"/>
        </w:rPr>
        <w:t xml:space="preserve">Craswell, A. T., Francis, J. R., &amp; Taylor, S. L. (1995). Auditor brand name reputations and industry specializations. </w:t>
      </w:r>
      <w:r w:rsidRPr="002177CD">
        <w:rPr>
          <w:i/>
          <w:iCs/>
          <w:noProof/>
          <w:sz w:val="22"/>
        </w:rPr>
        <w:t>Journal of Accounting and Economics</w:t>
      </w:r>
      <w:r w:rsidRPr="002177CD">
        <w:rPr>
          <w:noProof/>
          <w:sz w:val="22"/>
        </w:rPr>
        <w:t>. doi:10.1016/0165-4101(95)00403-3</w:t>
      </w:r>
    </w:p>
    <w:p w:rsidR="002177CD" w:rsidRPr="002177CD" w:rsidRDefault="002177CD">
      <w:pPr>
        <w:pStyle w:val="NormalWeb"/>
        <w:ind w:left="480" w:hanging="480"/>
        <w:divId w:val="1733580064"/>
        <w:rPr>
          <w:noProof/>
          <w:sz w:val="22"/>
        </w:rPr>
      </w:pPr>
      <w:r w:rsidRPr="002177CD">
        <w:rPr>
          <w:noProof/>
          <w:sz w:val="22"/>
        </w:rPr>
        <w:t xml:space="preserve">Craswell, A. T., &amp; Taylor, S. L. (1991). The market structure of auditing in Australia: The role of industry specialization. </w:t>
      </w:r>
      <w:r w:rsidRPr="002177CD">
        <w:rPr>
          <w:i/>
          <w:iCs/>
          <w:noProof/>
          <w:sz w:val="22"/>
        </w:rPr>
        <w:t>Research in Accounting Regulation</w:t>
      </w:r>
      <w:r w:rsidRPr="002177CD">
        <w:rPr>
          <w:noProof/>
          <w:sz w:val="22"/>
        </w:rPr>
        <w:t xml:space="preserve">, </w:t>
      </w:r>
      <w:r w:rsidRPr="002177CD">
        <w:rPr>
          <w:i/>
          <w:iCs/>
          <w:noProof/>
          <w:sz w:val="22"/>
        </w:rPr>
        <w:t>5</w:t>
      </w:r>
      <w:r w:rsidRPr="002177CD">
        <w:rPr>
          <w:noProof/>
          <w:sz w:val="22"/>
        </w:rPr>
        <w:t>(1), 55–77.</w:t>
      </w:r>
    </w:p>
    <w:p w:rsidR="002177CD" w:rsidRPr="002177CD" w:rsidRDefault="002177CD">
      <w:pPr>
        <w:pStyle w:val="NormalWeb"/>
        <w:ind w:left="480" w:hanging="480"/>
        <w:divId w:val="1733580064"/>
        <w:rPr>
          <w:noProof/>
          <w:sz w:val="22"/>
        </w:rPr>
      </w:pPr>
      <w:r w:rsidRPr="002177CD">
        <w:rPr>
          <w:noProof/>
          <w:sz w:val="22"/>
        </w:rPr>
        <w:t xml:space="preserve">DeAngelo, L. E. (1981). Auditor size and audit quality. </w:t>
      </w:r>
      <w:r w:rsidRPr="002177CD">
        <w:rPr>
          <w:i/>
          <w:iCs/>
          <w:noProof/>
          <w:sz w:val="22"/>
        </w:rPr>
        <w:t>Journal of Accounting and Economics</w:t>
      </w:r>
      <w:r w:rsidRPr="002177CD">
        <w:rPr>
          <w:noProof/>
          <w:sz w:val="22"/>
        </w:rPr>
        <w:t xml:space="preserve">, </w:t>
      </w:r>
      <w:r w:rsidRPr="002177CD">
        <w:rPr>
          <w:i/>
          <w:iCs/>
          <w:noProof/>
          <w:sz w:val="22"/>
        </w:rPr>
        <w:t>3</w:t>
      </w:r>
      <w:r w:rsidRPr="002177CD">
        <w:rPr>
          <w:noProof/>
          <w:sz w:val="22"/>
        </w:rPr>
        <w:t>, 183–199. doi:10.1016/0165-4101(81)90002-1</w:t>
      </w:r>
    </w:p>
    <w:p w:rsidR="002177CD" w:rsidRPr="002177CD" w:rsidRDefault="002177CD">
      <w:pPr>
        <w:pStyle w:val="NormalWeb"/>
        <w:ind w:left="480" w:hanging="480"/>
        <w:divId w:val="1733580064"/>
        <w:rPr>
          <w:noProof/>
          <w:sz w:val="22"/>
        </w:rPr>
      </w:pPr>
      <w:r w:rsidRPr="002177CD">
        <w:rPr>
          <w:noProof/>
          <w:sz w:val="22"/>
        </w:rPr>
        <w:lastRenderedPageBreak/>
        <w:t xml:space="preserve">DeFond, M. L., Francis, J. R., &amp; Wong, T. J. (2000). Auditor Industry Specialization and Market Segmentation: Evidence from Hong Kong. </w:t>
      </w:r>
      <w:r w:rsidRPr="002177CD">
        <w:rPr>
          <w:i/>
          <w:iCs/>
          <w:noProof/>
          <w:sz w:val="22"/>
        </w:rPr>
        <w:t>AUDITING: A Journal of Practice &amp; Theory</w:t>
      </w:r>
      <w:r w:rsidRPr="002177CD">
        <w:rPr>
          <w:noProof/>
          <w:sz w:val="22"/>
        </w:rPr>
        <w:t>. doi:10.2308/aud.2000.19.1.49</w:t>
      </w:r>
    </w:p>
    <w:p w:rsidR="002177CD" w:rsidRPr="002177CD" w:rsidRDefault="002177CD">
      <w:pPr>
        <w:pStyle w:val="NormalWeb"/>
        <w:ind w:left="480" w:hanging="480"/>
        <w:divId w:val="1733580064"/>
        <w:rPr>
          <w:noProof/>
          <w:sz w:val="22"/>
        </w:rPr>
      </w:pPr>
      <w:r w:rsidRPr="002177CD">
        <w:rPr>
          <w:noProof/>
          <w:sz w:val="22"/>
        </w:rPr>
        <w:t xml:space="preserve">Eichenseher, J. W., &amp; Danos, P. (1981). The Analysis of Industry-Specific Auditor Concentration: Towards an Explanatory Model. </w:t>
      </w:r>
      <w:r w:rsidRPr="002177CD">
        <w:rPr>
          <w:i/>
          <w:iCs/>
          <w:noProof/>
          <w:sz w:val="22"/>
        </w:rPr>
        <w:t>Accounting Review</w:t>
      </w:r>
      <w:r w:rsidRPr="002177CD">
        <w:rPr>
          <w:noProof/>
          <w:sz w:val="22"/>
        </w:rPr>
        <w:t xml:space="preserve">, </w:t>
      </w:r>
      <w:r w:rsidRPr="002177CD">
        <w:rPr>
          <w:i/>
          <w:iCs/>
          <w:noProof/>
          <w:sz w:val="22"/>
        </w:rPr>
        <w:t>56</w:t>
      </w:r>
      <w:r w:rsidRPr="002177CD">
        <w:rPr>
          <w:noProof/>
          <w:sz w:val="22"/>
        </w:rPr>
        <w:t>, 479–492. Retrieved from http://www.lib.lsu.edu/apps/onoffcampus.php?url=http://search.ebscohost.com/login.aspx?direct=true&amp;db=bth&amp;AN=4491911&amp;site=ehost-live&amp;scope=site</w:t>
      </w:r>
    </w:p>
    <w:p w:rsidR="002177CD" w:rsidRPr="002177CD" w:rsidRDefault="002177CD">
      <w:pPr>
        <w:pStyle w:val="NormalWeb"/>
        <w:ind w:left="480" w:hanging="480"/>
        <w:divId w:val="1733580064"/>
        <w:rPr>
          <w:noProof/>
          <w:sz w:val="22"/>
        </w:rPr>
      </w:pPr>
      <w:r w:rsidRPr="002177CD">
        <w:rPr>
          <w:noProof/>
          <w:sz w:val="22"/>
        </w:rPr>
        <w:t xml:space="preserve">Ferguson, A., Francis, J. R., &amp; Stokes, D. J. (2003). The Effects of Firm‐Wide and Office‐Level Industry Expertise on Audit Pricing. </w:t>
      </w:r>
      <w:r w:rsidRPr="002177CD">
        <w:rPr>
          <w:i/>
          <w:iCs/>
          <w:noProof/>
          <w:sz w:val="22"/>
        </w:rPr>
        <w:t>The Accounting Review</w:t>
      </w:r>
      <w:r w:rsidRPr="002177CD">
        <w:rPr>
          <w:noProof/>
          <w:sz w:val="22"/>
        </w:rPr>
        <w:t>. doi:10.2308/accr.2003.78.2.429</w:t>
      </w:r>
    </w:p>
    <w:p w:rsidR="002177CD" w:rsidRPr="002177CD" w:rsidRDefault="002177CD">
      <w:pPr>
        <w:pStyle w:val="NormalWeb"/>
        <w:ind w:left="480" w:hanging="480"/>
        <w:divId w:val="1733580064"/>
        <w:rPr>
          <w:noProof/>
          <w:sz w:val="22"/>
        </w:rPr>
      </w:pPr>
      <w:r w:rsidRPr="002177CD">
        <w:rPr>
          <w:noProof/>
          <w:sz w:val="22"/>
        </w:rPr>
        <w:t xml:space="preserve">Ferguson, A., &amp; Stokes, D. (2002). Brand Name Audit Pricing, Industry Specialization, and Leadership Premiums post-Big 8 and Big 6 Mergers*. </w:t>
      </w:r>
      <w:r w:rsidRPr="002177CD">
        <w:rPr>
          <w:i/>
          <w:iCs/>
          <w:noProof/>
          <w:sz w:val="22"/>
        </w:rPr>
        <w:t>Contemporary Accounting Research</w:t>
      </w:r>
      <w:r w:rsidRPr="002177CD">
        <w:rPr>
          <w:noProof/>
          <w:sz w:val="22"/>
        </w:rPr>
        <w:t xml:space="preserve">, </w:t>
      </w:r>
      <w:r w:rsidRPr="002177CD">
        <w:rPr>
          <w:i/>
          <w:iCs/>
          <w:noProof/>
          <w:sz w:val="22"/>
        </w:rPr>
        <w:t>19</w:t>
      </w:r>
      <w:r w:rsidRPr="002177CD">
        <w:rPr>
          <w:noProof/>
          <w:sz w:val="22"/>
        </w:rPr>
        <w:t>(1), 77–110. doi:10.1506/VF1T-VRT0-5LB3-766M</w:t>
      </w:r>
    </w:p>
    <w:p w:rsidR="002177CD" w:rsidRPr="002177CD" w:rsidRDefault="002177CD">
      <w:pPr>
        <w:pStyle w:val="NormalWeb"/>
        <w:ind w:left="480" w:hanging="480"/>
        <w:divId w:val="1733580064"/>
        <w:rPr>
          <w:noProof/>
          <w:sz w:val="22"/>
        </w:rPr>
      </w:pPr>
      <w:r w:rsidRPr="002177CD">
        <w:rPr>
          <w:noProof/>
          <w:sz w:val="22"/>
        </w:rPr>
        <w:t xml:space="preserve">Francis, J. R. (2004). What do we know about audit quality? </w:t>
      </w:r>
      <w:r w:rsidRPr="002177CD">
        <w:rPr>
          <w:i/>
          <w:iCs/>
          <w:noProof/>
          <w:sz w:val="22"/>
        </w:rPr>
        <w:t>British Accounting Review</w:t>
      </w:r>
      <w:r w:rsidRPr="002177CD">
        <w:rPr>
          <w:noProof/>
          <w:sz w:val="22"/>
        </w:rPr>
        <w:t>. doi:10.1016/j.bar.2004.09.003</w:t>
      </w:r>
    </w:p>
    <w:p w:rsidR="002177CD" w:rsidRPr="002177CD" w:rsidRDefault="002177CD">
      <w:pPr>
        <w:pStyle w:val="NormalWeb"/>
        <w:ind w:left="480" w:hanging="480"/>
        <w:divId w:val="1733580064"/>
        <w:rPr>
          <w:noProof/>
          <w:sz w:val="22"/>
        </w:rPr>
      </w:pPr>
      <w:r w:rsidRPr="002177CD">
        <w:rPr>
          <w:noProof/>
          <w:sz w:val="22"/>
        </w:rPr>
        <w:t xml:space="preserve">Francis, J. R., &amp; Simon, D. T. (1987). A Test of Audit Pricing in the Small-Client Segment of the U.S. Audit Market. </w:t>
      </w:r>
      <w:r w:rsidRPr="002177CD">
        <w:rPr>
          <w:i/>
          <w:iCs/>
          <w:noProof/>
          <w:sz w:val="22"/>
        </w:rPr>
        <w:t>The Accounting Review</w:t>
      </w:r>
      <w:r w:rsidRPr="002177CD">
        <w:rPr>
          <w:noProof/>
          <w:sz w:val="22"/>
        </w:rPr>
        <w:t xml:space="preserve">, </w:t>
      </w:r>
      <w:r w:rsidRPr="002177CD">
        <w:rPr>
          <w:i/>
          <w:iCs/>
          <w:noProof/>
          <w:sz w:val="22"/>
        </w:rPr>
        <w:t>62</w:t>
      </w:r>
      <w:r w:rsidRPr="002177CD">
        <w:rPr>
          <w:noProof/>
          <w:sz w:val="22"/>
        </w:rPr>
        <w:t>, 145–157. Retrieved from http://search.ebscohost.com/login.aspx?direct=true&amp;db=bth&amp;AN=4498323&amp;site=ehost-live</w:t>
      </w:r>
    </w:p>
    <w:p w:rsidR="002177CD" w:rsidRPr="002177CD" w:rsidRDefault="002177CD">
      <w:pPr>
        <w:pStyle w:val="NormalWeb"/>
        <w:ind w:left="480" w:hanging="480"/>
        <w:divId w:val="1733580064"/>
        <w:rPr>
          <w:noProof/>
          <w:sz w:val="22"/>
        </w:rPr>
      </w:pPr>
      <w:r w:rsidRPr="002177CD">
        <w:rPr>
          <w:noProof/>
          <w:sz w:val="22"/>
        </w:rPr>
        <w:t xml:space="preserve">Francis, J. R., &amp; Yu, M. D. (2009). Big 4 Office Size and Audit Quality. </w:t>
      </w:r>
      <w:r w:rsidRPr="002177CD">
        <w:rPr>
          <w:i/>
          <w:iCs/>
          <w:noProof/>
          <w:sz w:val="22"/>
        </w:rPr>
        <w:t>The Accounting Review</w:t>
      </w:r>
      <w:r w:rsidRPr="002177CD">
        <w:rPr>
          <w:noProof/>
          <w:sz w:val="22"/>
        </w:rPr>
        <w:t>. doi:10.2308/accr.2009.84.5.1521</w:t>
      </w:r>
    </w:p>
    <w:p w:rsidR="002177CD" w:rsidRPr="002177CD" w:rsidRDefault="002177CD">
      <w:pPr>
        <w:pStyle w:val="NormalWeb"/>
        <w:ind w:left="480" w:hanging="480"/>
        <w:divId w:val="1733580064"/>
        <w:rPr>
          <w:noProof/>
          <w:sz w:val="22"/>
        </w:rPr>
      </w:pPr>
      <w:r w:rsidRPr="002177CD">
        <w:rPr>
          <w:noProof/>
          <w:sz w:val="22"/>
        </w:rPr>
        <w:t xml:space="preserve">Hackenbrack, K., &amp; Knechel, W. R. (1997). Resource Allocation Decisions in Audit Engagements. </w:t>
      </w:r>
      <w:r w:rsidRPr="002177CD">
        <w:rPr>
          <w:i/>
          <w:iCs/>
          <w:noProof/>
          <w:sz w:val="22"/>
        </w:rPr>
        <w:t>Contemporary Accounting Research</w:t>
      </w:r>
      <w:r w:rsidRPr="002177CD">
        <w:rPr>
          <w:noProof/>
          <w:sz w:val="22"/>
        </w:rPr>
        <w:t xml:space="preserve">, </w:t>
      </w:r>
      <w:r w:rsidRPr="002177CD">
        <w:rPr>
          <w:i/>
          <w:iCs/>
          <w:noProof/>
          <w:sz w:val="22"/>
        </w:rPr>
        <w:t>14</w:t>
      </w:r>
      <w:r w:rsidRPr="002177CD">
        <w:rPr>
          <w:noProof/>
          <w:sz w:val="22"/>
        </w:rPr>
        <w:t>, 481–499. doi:10.1111/j.1911-3846.1997.tb00537.x</w:t>
      </w:r>
    </w:p>
    <w:p w:rsidR="002177CD" w:rsidRPr="002177CD" w:rsidRDefault="002177CD">
      <w:pPr>
        <w:pStyle w:val="NormalWeb"/>
        <w:ind w:left="480" w:hanging="480"/>
        <w:divId w:val="1733580064"/>
        <w:rPr>
          <w:noProof/>
          <w:sz w:val="22"/>
        </w:rPr>
      </w:pPr>
      <w:r w:rsidRPr="002177CD">
        <w:rPr>
          <w:noProof/>
          <w:sz w:val="22"/>
        </w:rPr>
        <w:t xml:space="preserve">Hay, D. C., Knechel, W. R., &amp; Wong, N. (2006). Audit Fees: A Meta-analysis of the Effect of Supply and Demand Attributes. </w:t>
      </w:r>
      <w:r w:rsidRPr="002177CD">
        <w:rPr>
          <w:i/>
          <w:iCs/>
          <w:noProof/>
          <w:sz w:val="22"/>
        </w:rPr>
        <w:t>Contemporary Accounting Research</w:t>
      </w:r>
      <w:r w:rsidRPr="002177CD">
        <w:rPr>
          <w:noProof/>
          <w:sz w:val="22"/>
        </w:rPr>
        <w:t xml:space="preserve">, </w:t>
      </w:r>
      <w:r w:rsidRPr="002177CD">
        <w:rPr>
          <w:i/>
          <w:iCs/>
          <w:noProof/>
          <w:sz w:val="22"/>
        </w:rPr>
        <w:t>23</w:t>
      </w:r>
      <w:r w:rsidRPr="002177CD">
        <w:rPr>
          <w:noProof/>
          <w:sz w:val="22"/>
        </w:rPr>
        <w:t>, 141–191. doi:10.1506/4XR4-KT5V-E8CN-91GX</w:t>
      </w:r>
    </w:p>
    <w:p w:rsidR="002177CD" w:rsidRPr="002177CD" w:rsidRDefault="002177CD">
      <w:pPr>
        <w:pStyle w:val="NormalWeb"/>
        <w:ind w:left="480" w:hanging="480"/>
        <w:divId w:val="1733580064"/>
        <w:rPr>
          <w:noProof/>
          <w:sz w:val="22"/>
        </w:rPr>
      </w:pPr>
      <w:r w:rsidRPr="002177CD">
        <w:rPr>
          <w:noProof/>
          <w:sz w:val="22"/>
        </w:rPr>
        <w:t xml:space="preserve">Healy, P. M. (1985). The effect of bonus schemes on accounting decisions. </w:t>
      </w:r>
      <w:r w:rsidRPr="002177CD">
        <w:rPr>
          <w:i/>
          <w:iCs/>
          <w:noProof/>
          <w:sz w:val="22"/>
        </w:rPr>
        <w:t>Journal of Accounting and Economics</w:t>
      </w:r>
      <w:r w:rsidRPr="002177CD">
        <w:rPr>
          <w:noProof/>
          <w:sz w:val="22"/>
        </w:rPr>
        <w:t xml:space="preserve">, </w:t>
      </w:r>
      <w:r w:rsidRPr="002177CD">
        <w:rPr>
          <w:i/>
          <w:iCs/>
          <w:noProof/>
          <w:sz w:val="22"/>
        </w:rPr>
        <w:t>7</w:t>
      </w:r>
      <w:r w:rsidRPr="002177CD">
        <w:rPr>
          <w:noProof/>
          <w:sz w:val="22"/>
        </w:rPr>
        <w:t>, 85–107.</w:t>
      </w:r>
    </w:p>
    <w:p w:rsidR="002177CD" w:rsidRPr="002177CD" w:rsidRDefault="002177CD">
      <w:pPr>
        <w:pStyle w:val="NormalWeb"/>
        <w:ind w:left="480" w:hanging="480"/>
        <w:divId w:val="1733580064"/>
        <w:rPr>
          <w:noProof/>
          <w:sz w:val="22"/>
        </w:rPr>
      </w:pPr>
      <w:r w:rsidRPr="002177CD">
        <w:rPr>
          <w:noProof/>
          <w:sz w:val="22"/>
        </w:rPr>
        <w:t xml:space="preserve">Klein, B., &amp; Leffler, K. B. (1981). The Role of Market Forces in Assuring Contractual Performance. </w:t>
      </w:r>
      <w:r w:rsidRPr="002177CD">
        <w:rPr>
          <w:i/>
          <w:iCs/>
          <w:noProof/>
          <w:sz w:val="22"/>
        </w:rPr>
        <w:t>Journal of Political Economy</w:t>
      </w:r>
      <w:r w:rsidRPr="002177CD">
        <w:rPr>
          <w:noProof/>
          <w:sz w:val="22"/>
        </w:rPr>
        <w:t>. doi:10.1086/260996</w:t>
      </w:r>
    </w:p>
    <w:p w:rsidR="002177CD" w:rsidRPr="002177CD" w:rsidRDefault="002177CD">
      <w:pPr>
        <w:pStyle w:val="NormalWeb"/>
        <w:ind w:left="480" w:hanging="480"/>
        <w:divId w:val="1733580064"/>
        <w:rPr>
          <w:noProof/>
          <w:sz w:val="22"/>
        </w:rPr>
      </w:pPr>
      <w:r w:rsidRPr="002177CD">
        <w:rPr>
          <w:noProof/>
          <w:sz w:val="22"/>
        </w:rPr>
        <w:t xml:space="preserve">Libby, R. (1981). </w:t>
      </w:r>
      <w:r w:rsidRPr="002177CD">
        <w:rPr>
          <w:i/>
          <w:iCs/>
          <w:noProof/>
          <w:sz w:val="22"/>
        </w:rPr>
        <w:t>Accounting and human information processing: Theory and applications</w:t>
      </w:r>
      <w:r w:rsidRPr="002177CD">
        <w:rPr>
          <w:noProof/>
          <w:sz w:val="22"/>
        </w:rPr>
        <w:t>. Prentice-Hall Englewood Cliffs, NJ.</w:t>
      </w:r>
    </w:p>
    <w:p w:rsidR="002177CD" w:rsidRPr="002177CD" w:rsidRDefault="002177CD">
      <w:pPr>
        <w:pStyle w:val="NormalWeb"/>
        <w:ind w:left="480" w:hanging="480"/>
        <w:divId w:val="1733580064"/>
        <w:rPr>
          <w:noProof/>
          <w:sz w:val="22"/>
        </w:rPr>
      </w:pPr>
      <w:r w:rsidRPr="002177CD">
        <w:rPr>
          <w:noProof/>
          <w:sz w:val="22"/>
        </w:rPr>
        <w:t>Low, K. (2004). The Effects of Industry Specialization on Audit Risk Assessments and Audit</w:t>
      </w:r>
      <w:r w:rsidRPr="002177CD">
        <w:rPr>
          <w:rFonts w:ascii="Cambria Math" w:hAnsi="Cambria Math" w:cs="Cambria Math"/>
          <w:noProof/>
          <w:sz w:val="22"/>
        </w:rPr>
        <w:t>‐</w:t>
      </w:r>
      <w:r w:rsidRPr="002177CD">
        <w:rPr>
          <w:noProof/>
          <w:sz w:val="22"/>
        </w:rPr>
        <w:t xml:space="preserve">Planning Decisions. </w:t>
      </w:r>
      <w:r w:rsidRPr="002177CD">
        <w:rPr>
          <w:i/>
          <w:iCs/>
          <w:noProof/>
          <w:sz w:val="22"/>
        </w:rPr>
        <w:t>The Accounting Review</w:t>
      </w:r>
      <w:r w:rsidRPr="002177CD">
        <w:rPr>
          <w:noProof/>
          <w:sz w:val="22"/>
        </w:rPr>
        <w:t>. doi:10.2308/accr.2004.79.1.201</w:t>
      </w:r>
    </w:p>
    <w:p w:rsidR="002177CD" w:rsidRPr="002177CD" w:rsidRDefault="002177CD">
      <w:pPr>
        <w:pStyle w:val="NormalWeb"/>
        <w:ind w:left="480" w:hanging="480"/>
        <w:divId w:val="1733580064"/>
        <w:rPr>
          <w:noProof/>
          <w:sz w:val="22"/>
        </w:rPr>
      </w:pPr>
      <w:r w:rsidRPr="002177CD">
        <w:rPr>
          <w:noProof/>
          <w:sz w:val="22"/>
        </w:rPr>
        <w:t xml:space="preserve">Lyon, J. D., &amp; Maher, M. W. (2005). The importance of business risk in setting audit fees: Evidence from cases of client misconduct. </w:t>
      </w:r>
      <w:r w:rsidRPr="002177CD">
        <w:rPr>
          <w:i/>
          <w:iCs/>
          <w:noProof/>
          <w:sz w:val="22"/>
        </w:rPr>
        <w:t>Journal of Accounting Research</w:t>
      </w:r>
      <w:r w:rsidRPr="002177CD">
        <w:rPr>
          <w:noProof/>
          <w:sz w:val="22"/>
        </w:rPr>
        <w:t>. doi:10.1111/j.1475-679x.2005.00165.x</w:t>
      </w:r>
    </w:p>
    <w:p w:rsidR="002177CD" w:rsidRPr="002177CD" w:rsidRDefault="002177CD">
      <w:pPr>
        <w:pStyle w:val="NormalWeb"/>
        <w:ind w:left="480" w:hanging="480"/>
        <w:divId w:val="1733580064"/>
        <w:rPr>
          <w:noProof/>
          <w:sz w:val="22"/>
        </w:rPr>
      </w:pPr>
      <w:r w:rsidRPr="002177CD">
        <w:rPr>
          <w:noProof/>
          <w:sz w:val="22"/>
        </w:rPr>
        <w:t xml:space="preserve">Mayhew, B. W., &amp; Wilkins, M. S. (2003). Audit Firm Industry Specialization as a Differentiation Strategy: Evidence from Fees Charged to Firms Going Public. </w:t>
      </w:r>
      <w:r w:rsidRPr="002177CD">
        <w:rPr>
          <w:i/>
          <w:iCs/>
          <w:noProof/>
          <w:sz w:val="22"/>
        </w:rPr>
        <w:t>AUDITING: A Journal of Practice &amp; Theory</w:t>
      </w:r>
      <w:r w:rsidRPr="002177CD">
        <w:rPr>
          <w:noProof/>
          <w:sz w:val="22"/>
        </w:rPr>
        <w:t>. doi:10.2308/aud.2003.22.2.33</w:t>
      </w:r>
    </w:p>
    <w:p w:rsidR="002177CD" w:rsidRPr="002177CD" w:rsidRDefault="002177CD">
      <w:pPr>
        <w:pStyle w:val="NormalWeb"/>
        <w:ind w:left="480" w:hanging="480"/>
        <w:divId w:val="1733580064"/>
        <w:rPr>
          <w:noProof/>
          <w:sz w:val="22"/>
        </w:rPr>
      </w:pPr>
      <w:r w:rsidRPr="002177CD">
        <w:rPr>
          <w:noProof/>
          <w:sz w:val="22"/>
        </w:rPr>
        <w:lastRenderedPageBreak/>
        <w:t xml:space="preserve">Miller, D. E. (1978). The Annual Audit Revisited. </w:t>
      </w:r>
      <w:r w:rsidRPr="002177CD">
        <w:rPr>
          <w:i/>
          <w:iCs/>
          <w:noProof/>
          <w:sz w:val="22"/>
        </w:rPr>
        <w:t>Financial Executive</w:t>
      </w:r>
      <w:r w:rsidRPr="002177CD">
        <w:rPr>
          <w:noProof/>
          <w:sz w:val="22"/>
        </w:rPr>
        <w:t>, 38–44.</w:t>
      </w:r>
    </w:p>
    <w:p w:rsidR="002177CD" w:rsidRPr="002177CD" w:rsidRDefault="002177CD">
      <w:pPr>
        <w:pStyle w:val="NormalWeb"/>
        <w:ind w:left="480" w:hanging="480"/>
        <w:divId w:val="1733580064"/>
        <w:rPr>
          <w:noProof/>
          <w:sz w:val="22"/>
        </w:rPr>
      </w:pPr>
      <w:r w:rsidRPr="002177CD">
        <w:rPr>
          <w:noProof/>
          <w:sz w:val="22"/>
        </w:rPr>
        <w:t xml:space="preserve">O’Keefe, T. B., Simunic, D. A., &amp; Stein, M. T. (1994). The Production of Audit Services: Evidence from a Major Public Accounting Firm. </w:t>
      </w:r>
      <w:r w:rsidRPr="002177CD">
        <w:rPr>
          <w:i/>
          <w:iCs/>
          <w:noProof/>
          <w:sz w:val="22"/>
        </w:rPr>
        <w:t>Journal of Accounting Research</w:t>
      </w:r>
      <w:r w:rsidRPr="002177CD">
        <w:rPr>
          <w:noProof/>
          <w:sz w:val="22"/>
        </w:rPr>
        <w:t xml:space="preserve">, </w:t>
      </w:r>
      <w:r w:rsidRPr="002177CD">
        <w:rPr>
          <w:i/>
          <w:iCs/>
          <w:noProof/>
          <w:sz w:val="22"/>
        </w:rPr>
        <w:t>32</w:t>
      </w:r>
      <w:r w:rsidRPr="002177CD">
        <w:rPr>
          <w:noProof/>
          <w:sz w:val="22"/>
        </w:rPr>
        <w:t>(2), 241–261 CR  – Copyright &amp;#169; 1994 Accounting Res. doi:10.2307/2491284</w:t>
      </w:r>
    </w:p>
    <w:p w:rsidR="002177CD" w:rsidRPr="002177CD" w:rsidRDefault="002177CD">
      <w:pPr>
        <w:pStyle w:val="NormalWeb"/>
        <w:ind w:left="480" w:hanging="480"/>
        <w:divId w:val="1733580064"/>
        <w:rPr>
          <w:noProof/>
          <w:sz w:val="22"/>
        </w:rPr>
      </w:pPr>
      <w:r w:rsidRPr="002177CD">
        <w:rPr>
          <w:noProof/>
          <w:sz w:val="22"/>
        </w:rPr>
        <w:t xml:space="preserve">Owhoso, V. E., Messier, J. W. F., &amp; Lynch, J. J. G. (2002). Error detection by industry-specialized teams during sequential audit review. </w:t>
      </w:r>
      <w:r w:rsidRPr="002177CD">
        <w:rPr>
          <w:i/>
          <w:iCs/>
          <w:noProof/>
          <w:sz w:val="22"/>
        </w:rPr>
        <w:t>Journal of Accounting Research</w:t>
      </w:r>
      <w:r w:rsidRPr="002177CD">
        <w:rPr>
          <w:noProof/>
          <w:sz w:val="22"/>
        </w:rPr>
        <w:t xml:space="preserve">, </w:t>
      </w:r>
      <w:r w:rsidRPr="002177CD">
        <w:rPr>
          <w:i/>
          <w:iCs/>
          <w:noProof/>
          <w:sz w:val="22"/>
        </w:rPr>
        <w:t>40</w:t>
      </w:r>
      <w:r w:rsidRPr="002177CD">
        <w:rPr>
          <w:noProof/>
          <w:sz w:val="22"/>
        </w:rPr>
        <w:t>, 883–900. doi:10.1111/1475-679X.00075</w:t>
      </w:r>
    </w:p>
    <w:p w:rsidR="002177CD" w:rsidRPr="002177CD" w:rsidRDefault="002177CD">
      <w:pPr>
        <w:pStyle w:val="NormalWeb"/>
        <w:ind w:left="480" w:hanging="480"/>
        <w:divId w:val="1733580064"/>
        <w:rPr>
          <w:noProof/>
          <w:sz w:val="22"/>
        </w:rPr>
      </w:pPr>
      <w:r w:rsidRPr="002177CD">
        <w:rPr>
          <w:noProof/>
          <w:sz w:val="22"/>
        </w:rPr>
        <w:t xml:space="preserve">Palmrose, Z.-V. (1986). Audit Fees and Auditor Size: Further Evidence. </w:t>
      </w:r>
      <w:r w:rsidRPr="002177CD">
        <w:rPr>
          <w:i/>
          <w:iCs/>
          <w:noProof/>
          <w:sz w:val="22"/>
        </w:rPr>
        <w:t>Journal of Accounting Research</w:t>
      </w:r>
      <w:r w:rsidRPr="002177CD">
        <w:rPr>
          <w:noProof/>
          <w:sz w:val="22"/>
        </w:rPr>
        <w:t xml:space="preserve">, </w:t>
      </w:r>
      <w:r w:rsidRPr="002177CD">
        <w:rPr>
          <w:i/>
          <w:iCs/>
          <w:noProof/>
          <w:sz w:val="22"/>
        </w:rPr>
        <w:t>24</w:t>
      </w:r>
      <w:r w:rsidRPr="002177CD">
        <w:rPr>
          <w:noProof/>
          <w:sz w:val="22"/>
        </w:rPr>
        <w:t>, 97–110. doi:10.2307/2490806</w:t>
      </w:r>
    </w:p>
    <w:p w:rsidR="002177CD" w:rsidRPr="002177CD" w:rsidRDefault="002177CD">
      <w:pPr>
        <w:pStyle w:val="NormalWeb"/>
        <w:ind w:left="480" w:hanging="480"/>
        <w:divId w:val="1733580064"/>
        <w:rPr>
          <w:noProof/>
          <w:sz w:val="22"/>
        </w:rPr>
      </w:pPr>
      <w:r w:rsidRPr="002177CD">
        <w:rPr>
          <w:noProof/>
          <w:sz w:val="22"/>
        </w:rPr>
        <w:t xml:space="preserve">Palmrose, Z.-V. (1988). 1987 Competitive Manuscript Co-Winner: An Analysis of Auditor Litigation and Audit Service Quality. </w:t>
      </w:r>
      <w:r w:rsidRPr="002177CD">
        <w:rPr>
          <w:i/>
          <w:iCs/>
          <w:noProof/>
          <w:sz w:val="22"/>
        </w:rPr>
        <w:t>The Accounting Review</w:t>
      </w:r>
      <w:r w:rsidRPr="002177CD">
        <w:rPr>
          <w:noProof/>
          <w:sz w:val="22"/>
        </w:rPr>
        <w:t xml:space="preserve">, </w:t>
      </w:r>
      <w:r w:rsidRPr="002177CD">
        <w:rPr>
          <w:i/>
          <w:iCs/>
          <w:noProof/>
          <w:sz w:val="22"/>
        </w:rPr>
        <w:t>63</w:t>
      </w:r>
      <w:r w:rsidRPr="002177CD">
        <w:rPr>
          <w:noProof/>
          <w:sz w:val="22"/>
        </w:rPr>
        <w:t>(1), 55–73. doi:10.2307/247679</w:t>
      </w:r>
    </w:p>
    <w:p w:rsidR="002177CD" w:rsidRPr="002177CD" w:rsidRDefault="002177CD">
      <w:pPr>
        <w:pStyle w:val="NormalWeb"/>
        <w:ind w:left="480" w:hanging="480"/>
        <w:divId w:val="1733580064"/>
        <w:rPr>
          <w:noProof/>
          <w:sz w:val="22"/>
        </w:rPr>
      </w:pPr>
      <w:r w:rsidRPr="002177CD">
        <w:rPr>
          <w:noProof/>
          <w:sz w:val="22"/>
        </w:rPr>
        <w:t xml:space="preserve">Pearson, T. I. M., &amp; Trompeter, G. (1994). Competition in the Market for Audit Services: The Effect of Supplier Concentration on Audit Fees. </w:t>
      </w:r>
      <w:r w:rsidRPr="002177CD">
        <w:rPr>
          <w:i/>
          <w:iCs/>
          <w:noProof/>
          <w:sz w:val="22"/>
        </w:rPr>
        <w:t>Contemporary Accounting Research</w:t>
      </w:r>
      <w:r w:rsidRPr="002177CD">
        <w:rPr>
          <w:noProof/>
          <w:sz w:val="22"/>
        </w:rPr>
        <w:t xml:space="preserve">, </w:t>
      </w:r>
      <w:r w:rsidRPr="002177CD">
        <w:rPr>
          <w:i/>
          <w:iCs/>
          <w:noProof/>
          <w:sz w:val="22"/>
        </w:rPr>
        <w:t>11</w:t>
      </w:r>
      <w:r w:rsidRPr="002177CD">
        <w:rPr>
          <w:noProof/>
          <w:sz w:val="22"/>
        </w:rPr>
        <w:t>, 115–135. doi:10.1111/j.1911-3846.1994.tb00439.x</w:t>
      </w:r>
    </w:p>
    <w:p w:rsidR="002177CD" w:rsidRPr="002177CD" w:rsidRDefault="002177CD">
      <w:pPr>
        <w:pStyle w:val="NormalWeb"/>
        <w:ind w:left="480" w:hanging="480"/>
        <w:divId w:val="1733580064"/>
        <w:rPr>
          <w:noProof/>
          <w:sz w:val="22"/>
        </w:rPr>
      </w:pPr>
      <w:r w:rsidRPr="002177CD">
        <w:rPr>
          <w:noProof/>
          <w:sz w:val="22"/>
        </w:rPr>
        <w:t xml:space="preserve">Porter, M. (1979). How Competitive Forces Shape Strategy. </w:t>
      </w:r>
      <w:r w:rsidRPr="002177CD">
        <w:rPr>
          <w:i/>
          <w:iCs/>
          <w:noProof/>
          <w:sz w:val="22"/>
        </w:rPr>
        <w:t>Harvard Business Review</w:t>
      </w:r>
      <w:r w:rsidRPr="002177CD">
        <w:rPr>
          <w:noProof/>
          <w:sz w:val="22"/>
        </w:rPr>
        <w:t>, 137 – 145. doi:10.1097/00006534-199804050-00042</w:t>
      </w:r>
    </w:p>
    <w:p w:rsidR="002177CD" w:rsidRPr="002177CD" w:rsidRDefault="002177CD">
      <w:pPr>
        <w:pStyle w:val="NormalWeb"/>
        <w:ind w:left="480" w:hanging="480"/>
        <w:divId w:val="1733580064"/>
        <w:rPr>
          <w:noProof/>
          <w:sz w:val="22"/>
        </w:rPr>
      </w:pPr>
      <w:r w:rsidRPr="002177CD">
        <w:rPr>
          <w:noProof/>
          <w:sz w:val="22"/>
        </w:rPr>
        <w:t xml:space="preserve">Porter, M. E. (1985). </w:t>
      </w:r>
      <w:r w:rsidRPr="002177CD">
        <w:rPr>
          <w:i/>
          <w:iCs/>
          <w:noProof/>
          <w:sz w:val="22"/>
        </w:rPr>
        <w:t>Competitive Advantage: Creating and Sustaining Superior Performance</w:t>
      </w:r>
      <w:r w:rsidRPr="002177CD">
        <w:rPr>
          <w:noProof/>
          <w:sz w:val="22"/>
        </w:rPr>
        <w:t xml:space="preserve">. </w:t>
      </w:r>
      <w:r w:rsidRPr="002177CD">
        <w:rPr>
          <w:i/>
          <w:iCs/>
          <w:noProof/>
          <w:sz w:val="22"/>
        </w:rPr>
        <w:t>New York</w:t>
      </w:r>
      <w:r w:rsidRPr="002177CD">
        <w:rPr>
          <w:noProof/>
          <w:sz w:val="22"/>
        </w:rPr>
        <w:t xml:space="preserve"> (pp. xviii, 557). doi:10.1182/blood-2005-11-4354</w:t>
      </w:r>
    </w:p>
    <w:p w:rsidR="002177CD" w:rsidRPr="002177CD" w:rsidRDefault="002177CD">
      <w:pPr>
        <w:pStyle w:val="NormalWeb"/>
        <w:ind w:left="480" w:hanging="480"/>
        <w:divId w:val="1733580064"/>
        <w:rPr>
          <w:noProof/>
          <w:sz w:val="22"/>
        </w:rPr>
      </w:pPr>
      <w:r w:rsidRPr="002177CD">
        <w:rPr>
          <w:noProof/>
          <w:sz w:val="22"/>
        </w:rPr>
        <w:t xml:space="preserve">Sandra, W. M., &amp; Patrick, P. H. (1996). The deteminants of audit fees in HongKong: An empirical study. </w:t>
      </w:r>
      <w:r w:rsidRPr="002177CD">
        <w:rPr>
          <w:i/>
          <w:iCs/>
          <w:noProof/>
          <w:sz w:val="22"/>
        </w:rPr>
        <w:t>Asian Review of Accounting</w:t>
      </w:r>
      <w:r w:rsidRPr="002177CD">
        <w:rPr>
          <w:noProof/>
          <w:sz w:val="22"/>
        </w:rPr>
        <w:t xml:space="preserve">, </w:t>
      </w:r>
      <w:r w:rsidRPr="002177CD">
        <w:rPr>
          <w:i/>
          <w:iCs/>
          <w:noProof/>
          <w:sz w:val="22"/>
        </w:rPr>
        <w:t>4</w:t>
      </w:r>
      <w:r w:rsidRPr="002177CD">
        <w:rPr>
          <w:noProof/>
          <w:sz w:val="22"/>
        </w:rPr>
        <w:t>(2), 32–50.</w:t>
      </w:r>
    </w:p>
    <w:p w:rsidR="002177CD" w:rsidRPr="002177CD" w:rsidRDefault="002177CD">
      <w:pPr>
        <w:pStyle w:val="NormalWeb"/>
        <w:ind w:left="480" w:hanging="480"/>
        <w:divId w:val="1733580064"/>
        <w:rPr>
          <w:noProof/>
          <w:sz w:val="22"/>
        </w:rPr>
      </w:pPr>
      <w:r w:rsidRPr="002177CD">
        <w:rPr>
          <w:noProof/>
          <w:sz w:val="22"/>
        </w:rPr>
        <w:t xml:space="preserve">Seetharaman, A., Gul, F. A., &amp; Lynn, S. G. (2002). Litigation risk and audit fees: Evidence from UK firms cross-listed on US markets. </w:t>
      </w:r>
      <w:r w:rsidRPr="002177CD">
        <w:rPr>
          <w:i/>
          <w:iCs/>
          <w:noProof/>
          <w:sz w:val="22"/>
        </w:rPr>
        <w:t>Journal of Accounting and Economics</w:t>
      </w:r>
      <w:r w:rsidRPr="002177CD">
        <w:rPr>
          <w:noProof/>
          <w:sz w:val="22"/>
        </w:rPr>
        <w:t xml:space="preserve">, </w:t>
      </w:r>
      <w:r w:rsidRPr="002177CD">
        <w:rPr>
          <w:i/>
          <w:iCs/>
          <w:noProof/>
          <w:sz w:val="22"/>
        </w:rPr>
        <w:t>33</w:t>
      </w:r>
      <w:r w:rsidRPr="002177CD">
        <w:rPr>
          <w:noProof/>
          <w:sz w:val="22"/>
        </w:rPr>
        <w:t>, 91–115. doi:10.1016/S0165-4101(01)00046-5</w:t>
      </w:r>
    </w:p>
    <w:p w:rsidR="002177CD" w:rsidRPr="002177CD" w:rsidRDefault="002177CD">
      <w:pPr>
        <w:pStyle w:val="NormalWeb"/>
        <w:ind w:left="480" w:hanging="480"/>
        <w:divId w:val="1733580064"/>
        <w:rPr>
          <w:noProof/>
          <w:sz w:val="22"/>
        </w:rPr>
      </w:pPr>
      <w:r w:rsidRPr="002177CD">
        <w:rPr>
          <w:noProof/>
          <w:sz w:val="22"/>
        </w:rPr>
        <w:t xml:space="preserve">Simunic, D. (1980). The Pricing of Audit Services: Theory and Evidence. </w:t>
      </w:r>
      <w:r w:rsidRPr="002177CD">
        <w:rPr>
          <w:i/>
          <w:iCs/>
          <w:noProof/>
          <w:sz w:val="22"/>
        </w:rPr>
        <w:t>Journal of Accounting Research</w:t>
      </w:r>
      <w:r w:rsidRPr="002177CD">
        <w:rPr>
          <w:noProof/>
          <w:sz w:val="22"/>
        </w:rPr>
        <w:t xml:space="preserve">, </w:t>
      </w:r>
      <w:r w:rsidRPr="002177CD">
        <w:rPr>
          <w:i/>
          <w:iCs/>
          <w:noProof/>
          <w:sz w:val="22"/>
        </w:rPr>
        <w:t>18</w:t>
      </w:r>
      <w:r w:rsidRPr="002177CD">
        <w:rPr>
          <w:noProof/>
          <w:sz w:val="22"/>
        </w:rPr>
        <w:t>, 161–190. doi:10.2307/2490397</w:t>
      </w:r>
    </w:p>
    <w:p w:rsidR="002177CD" w:rsidRPr="002177CD" w:rsidRDefault="002177CD">
      <w:pPr>
        <w:pStyle w:val="NormalWeb"/>
        <w:ind w:left="480" w:hanging="480"/>
        <w:divId w:val="1733580064"/>
        <w:rPr>
          <w:noProof/>
          <w:sz w:val="22"/>
        </w:rPr>
      </w:pPr>
      <w:r w:rsidRPr="002177CD">
        <w:rPr>
          <w:noProof/>
          <w:sz w:val="22"/>
        </w:rPr>
        <w:t xml:space="preserve">Smith, M. (2011). </w:t>
      </w:r>
      <w:r w:rsidRPr="002177CD">
        <w:rPr>
          <w:i/>
          <w:iCs/>
          <w:noProof/>
          <w:sz w:val="22"/>
        </w:rPr>
        <w:t>Research Methods in Accounting</w:t>
      </w:r>
      <w:r w:rsidRPr="002177CD">
        <w:rPr>
          <w:noProof/>
          <w:sz w:val="22"/>
        </w:rPr>
        <w:t xml:space="preserve"> (2e ed.). London: SAGE Publicatons LTD.</w:t>
      </w:r>
    </w:p>
    <w:p w:rsidR="002177CD" w:rsidRPr="002177CD" w:rsidRDefault="002177CD">
      <w:pPr>
        <w:pStyle w:val="NormalWeb"/>
        <w:ind w:left="480" w:hanging="480"/>
        <w:divId w:val="1733580064"/>
        <w:rPr>
          <w:noProof/>
          <w:sz w:val="22"/>
        </w:rPr>
      </w:pPr>
      <w:r w:rsidRPr="002177CD">
        <w:rPr>
          <w:noProof/>
          <w:sz w:val="22"/>
        </w:rPr>
        <w:t xml:space="preserve">Solomon, I., Shields, M., &amp; Whittington, O. (1999). What do industry-specialist auditors know? </w:t>
      </w:r>
      <w:r w:rsidRPr="002177CD">
        <w:rPr>
          <w:i/>
          <w:iCs/>
          <w:noProof/>
          <w:sz w:val="22"/>
        </w:rPr>
        <w:t>Journal of Accounting Research</w:t>
      </w:r>
      <w:r w:rsidRPr="002177CD">
        <w:rPr>
          <w:noProof/>
          <w:sz w:val="22"/>
        </w:rPr>
        <w:t xml:space="preserve">, </w:t>
      </w:r>
      <w:r w:rsidRPr="002177CD">
        <w:rPr>
          <w:i/>
          <w:iCs/>
          <w:noProof/>
          <w:sz w:val="22"/>
        </w:rPr>
        <w:t>37</w:t>
      </w:r>
      <w:r w:rsidRPr="002177CD">
        <w:rPr>
          <w:noProof/>
          <w:sz w:val="22"/>
        </w:rPr>
        <w:t>, 191–208. doi:10.2307/2491403</w:t>
      </w:r>
    </w:p>
    <w:p w:rsidR="002177CD" w:rsidRPr="002177CD" w:rsidRDefault="002177CD">
      <w:pPr>
        <w:pStyle w:val="NormalWeb"/>
        <w:ind w:left="480" w:hanging="480"/>
        <w:divId w:val="1733580064"/>
        <w:rPr>
          <w:noProof/>
          <w:sz w:val="22"/>
        </w:rPr>
      </w:pPr>
      <w:r w:rsidRPr="002177CD">
        <w:rPr>
          <w:noProof/>
          <w:sz w:val="22"/>
        </w:rPr>
        <w:t xml:space="preserve">Ward, D. D., &amp; Elder, R. J. (1994). Further Evidence on the Determinants of Municipal Audit Fees. </w:t>
      </w:r>
      <w:r w:rsidRPr="002177CD">
        <w:rPr>
          <w:i/>
          <w:iCs/>
          <w:noProof/>
          <w:sz w:val="22"/>
        </w:rPr>
        <w:t>Accounting Review</w:t>
      </w:r>
      <w:r w:rsidRPr="002177CD">
        <w:rPr>
          <w:noProof/>
          <w:sz w:val="22"/>
        </w:rPr>
        <w:t xml:space="preserve">, </w:t>
      </w:r>
      <w:r w:rsidRPr="002177CD">
        <w:rPr>
          <w:i/>
          <w:iCs/>
          <w:noProof/>
          <w:sz w:val="22"/>
        </w:rPr>
        <w:t>69</w:t>
      </w:r>
      <w:r w:rsidRPr="002177CD">
        <w:rPr>
          <w:noProof/>
          <w:sz w:val="22"/>
        </w:rPr>
        <w:t>, 399–411. Retrieved from http://search.ebscohost.com/login.aspx?direct=true&amp;db=bth&amp;AN=9412141423&amp;site=ehost-live&amp;scope=site</w:t>
      </w:r>
    </w:p>
    <w:p w:rsidR="00E40C29" w:rsidRDefault="004A36DA">
      <w:pPr>
        <w:overflowPunct/>
        <w:autoSpaceDE/>
        <w:autoSpaceDN/>
        <w:adjustRightInd/>
        <w:spacing w:after="200" w:line="276" w:lineRule="auto"/>
        <w:textAlignment w:val="auto"/>
        <w:rPr>
          <w:rFonts w:ascii="Times New Roman" w:eastAsiaTheme="minorEastAsia" w:hAnsi="Times New Roman"/>
          <w:sz w:val="22"/>
          <w:szCs w:val="22"/>
        </w:rPr>
      </w:pPr>
      <w:r>
        <w:rPr>
          <w:rFonts w:ascii="Times New Roman" w:hAnsi="Times New Roman"/>
          <w:sz w:val="22"/>
          <w:szCs w:val="22"/>
        </w:rPr>
        <w:fldChar w:fldCharType="end"/>
      </w:r>
      <w:r w:rsidR="00E40C29">
        <w:rPr>
          <w:rFonts w:ascii="Times New Roman" w:hAnsi="Times New Roman"/>
          <w:sz w:val="22"/>
          <w:szCs w:val="22"/>
        </w:rPr>
        <w:br w:type="page"/>
      </w:r>
    </w:p>
    <w:p w:rsidR="00634238" w:rsidRDefault="00E40C29" w:rsidP="00E40C29">
      <w:pPr>
        <w:pStyle w:val="Title"/>
        <w:spacing w:line="360" w:lineRule="auto"/>
        <w:jc w:val="left"/>
      </w:pPr>
      <w:bookmarkStart w:id="77" w:name="_Toc393872577"/>
      <w:r w:rsidRPr="00E40C29">
        <w:lastRenderedPageBreak/>
        <w:t>Appendix</w:t>
      </w:r>
      <w:bookmarkEnd w:id="77"/>
    </w:p>
    <w:p w:rsidR="00E40C29" w:rsidRPr="00E40C29" w:rsidRDefault="00E40C29" w:rsidP="00E40C29">
      <w:pPr>
        <w:pStyle w:val="ListParagraph"/>
        <w:numPr>
          <w:ilvl w:val="0"/>
          <w:numId w:val="41"/>
        </w:numPr>
        <w:spacing w:line="360" w:lineRule="auto"/>
      </w:pPr>
    </w:p>
    <w:tbl>
      <w:tblPr>
        <w:tblStyle w:val="TableGrid"/>
        <w:tblW w:w="0" w:type="auto"/>
        <w:tblLayout w:type="fixed"/>
        <w:tblLook w:val="04A0"/>
      </w:tblPr>
      <w:tblGrid>
        <w:gridCol w:w="696"/>
        <w:gridCol w:w="1255"/>
        <w:gridCol w:w="2130"/>
        <w:gridCol w:w="1550"/>
        <w:gridCol w:w="1567"/>
        <w:gridCol w:w="2090"/>
      </w:tblGrid>
      <w:tr w:rsidR="00E40C29" w:rsidTr="00E40C29">
        <w:tc>
          <w:tcPr>
            <w:tcW w:w="696"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Year</w:t>
            </w:r>
          </w:p>
        </w:tc>
        <w:tc>
          <w:tcPr>
            <w:tcW w:w="1255"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Author(s)</w:t>
            </w:r>
          </w:p>
        </w:tc>
        <w:tc>
          <w:tcPr>
            <w:tcW w:w="2130"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Object of the study</w:t>
            </w:r>
          </w:p>
        </w:tc>
        <w:tc>
          <w:tcPr>
            <w:tcW w:w="1550"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Sample</w:t>
            </w:r>
          </w:p>
        </w:tc>
        <w:tc>
          <w:tcPr>
            <w:tcW w:w="1567"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Methodology</w:t>
            </w:r>
          </w:p>
        </w:tc>
        <w:tc>
          <w:tcPr>
            <w:tcW w:w="2090" w:type="dxa"/>
          </w:tcPr>
          <w:p w:rsidR="00E40C29" w:rsidRPr="009A3D73" w:rsidRDefault="00E40C29" w:rsidP="00B84397">
            <w:pPr>
              <w:pStyle w:val="000"/>
              <w:rPr>
                <w:rFonts w:ascii="Times New Roman" w:hAnsi="Times New Roman"/>
                <w:b/>
                <w:sz w:val="24"/>
                <w:szCs w:val="24"/>
              </w:rPr>
            </w:pPr>
            <w:r w:rsidRPr="009A3D73">
              <w:rPr>
                <w:rFonts w:ascii="Times New Roman" w:hAnsi="Times New Roman"/>
                <w:b/>
                <w:sz w:val="24"/>
                <w:szCs w:val="24"/>
              </w:rPr>
              <w:t>Outcome</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1986</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Palmrose</w:t>
            </w:r>
          </w:p>
        </w:tc>
        <w:tc>
          <w:tcPr>
            <w:tcW w:w="2130" w:type="dxa"/>
          </w:tcPr>
          <w:p w:rsidR="00E40C29" w:rsidRPr="00E40C29" w:rsidRDefault="00E40C29" w:rsidP="00B84397">
            <w:pPr>
              <w:spacing w:line="276" w:lineRule="auto"/>
              <w:jc w:val="both"/>
              <w:rPr>
                <w:rFonts w:ascii="Times New Roman" w:hAnsi="Times New Roman"/>
                <w:noProof/>
              </w:rPr>
            </w:pPr>
            <w:r w:rsidRPr="00E40C29">
              <w:rPr>
                <w:rFonts w:ascii="Times New Roman" w:hAnsi="Times New Roman"/>
              </w:rPr>
              <w:t xml:space="preserve">To detect whether the auditor’s size has a systematically correlation with the audit fee. Palmrose believes that a large sized client requires more audit procedure, symbol by a larger audit team. The increased audit effort would push up the audit fee to a higher level. </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361 firms from a questionnaire in the U.S.in 1981.</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spacing w:line="276" w:lineRule="auto"/>
              <w:jc w:val="both"/>
              <w:rPr>
                <w:rFonts w:ascii="Times New Roman" w:hAnsi="Times New Roman"/>
              </w:rPr>
            </w:pPr>
            <w:r w:rsidRPr="00E40C29">
              <w:rPr>
                <w:rFonts w:ascii="Times New Roman" w:hAnsi="Times New Roman"/>
              </w:rPr>
              <w:t xml:space="preserve">The term </w:t>
            </w:r>
            <w:r w:rsidR="00525D67">
              <w:rPr>
                <w:rFonts w:ascii="Times New Roman" w:hAnsi="Times New Roman"/>
                <w:i/>
              </w:rPr>
              <w:t>Ln</w:t>
            </w:r>
            <w:r w:rsidRPr="00E40C29">
              <w:rPr>
                <w:rFonts w:ascii="Times New Roman" w:hAnsi="Times New Roman"/>
              </w:rPr>
              <w:t xml:space="preserve">Assets had a coefficient of .470 which was significant at α = .01. Among the independent variables, the major explanatory variable in the pricing of the audit fee was the clients’ assets. This result is in conformity with the prediction that the size of the audit client is significant positively correlated with the audit fee. </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1995</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Craswell, Francis &amp; Taylor</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To investigate whether the audit specialization premium asked are industry-specific.</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1484 companies listed on Australia Stock Exchange in 1987</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The auditors of complex industries in comparing with other general industries indeed charge a premium.</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1996</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Sandra &amp; Patrick</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To test whether a company with more subsidiaries has more diversified operations hence requiring more hours to complete the audit.</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709 firm observations from companies in Hong Kong in 1992 and 1993</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A significant correlation exists between the number of subsidiaries and the audit fee required which suggests that the complexity in the audit pricing process is relevant.</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2002</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Seetharaman, Gul &amp; Lynn</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 xml:space="preserve">To test whether auditors will charge a premium for the potential consequences of client’s litigation risk. </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3666 firm-year observation of UK firms which are listed on the U.S. stock exchanges in 1996-1998</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UK auditors indeed charge a higher fee when their non-US oriented clients have accessed the American market.</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2004</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Casterella, Francis, Lewis, &amp; Walker</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To prove evidence that small clients are more likely to pay a fee premium for industry specialists than large clients.</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Information from 651 companies was collected by  questionnaire in 2002</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spacing w:line="276" w:lineRule="auto"/>
              <w:jc w:val="both"/>
              <w:rPr>
                <w:rFonts w:ascii="Times New Roman" w:hAnsi="Times New Roman"/>
              </w:rPr>
            </w:pPr>
            <w:r w:rsidRPr="00E40C29">
              <w:rPr>
                <w:rFonts w:ascii="Times New Roman" w:hAnsi="Times New Roman"/>
              </w:rPr>
              <w:t xml:space="preserve">Compare to non-specialists specialists do require a higher audit fee, and this is only applicable to smaller companies. For large clients, companies not only do not pay an industry </w:t>
            </w:r>
            <w:r w:rsidRPr="00E40C29">
              <w:rPr>
                <w:rFonts w:ascii="Times New Roman" w:hAnsi="Times New Roman"/>
              </w:rPr>
              <w:lastRenderedPageBreak/>
              <w:t xml:space="preserve">premium, in addition their audit fee is relatively less when comparing with smaller firms. </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lastRenderedPageBreak/>
              <w:t>2005</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Lyon &amp; Maher</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Bribery scandals attract widespread media attention and may harm the reputation of the audit firm. To cover themselves in this situation, auditors may need to spare more efforts in their audit to ensure their opinions about the company are correct. This consequently will drive up the audit fee.</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82 companies registered with the SEC in the U.S. in 1974</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Auditors do allege corporate misconduct as risky business, and ask them for a higher audit fee, even though the misconduct is not illegal and does not cause any financial misstatements.</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2007</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Carson &amp; Fargher</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To test the assumption that larger clients usually require more specialists to complete an audit engagement consequently increase the audit fee since previous studies have showed that a specialization increases the premium charged.</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1712 firm-years between 1994 and 2004 from Australia obtained from Who Audits Australia database.</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spacing w:line="276" w:lineRule="auto"/>
              <w:jc w:val="both"/>
              <w:rPr>
                <w:rFonts w:ascii="Times New Roman" w:hAnsi="Times New Roman"/>
              </w:rPr>
            </w:pPr>
            <w:r w:rsidRPr="00E40C29">
              <w:rPr>
                <w:rFonts w:ascii="Times New Roman" w:hAnsi="Times New Roman"/>
              </w:rPr>
              <w:t xml:space="preserve">The clients located in the upper quintiles regarding to firm size requires a significant higher audit fee. One explanation presented by the authors was that since their auditors are designated the industry specialist larger clients are charged with a higher fee. Consequently, the result was in conformity with the prediction that the audit fees are positively correlated with the audit client size. </w:t>
            </w:r>
          </w:p>
        </w:tc>
      </w:tr>
      <w:tr w:rsidR="00E40C29" w:rsidTr="00E40C29">
        <w:tc>
          <w:tcPr>
            <w:tcW w:w="696"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2013</w:t>
            </w:r>
          </w:p>
        </w:tc>
        <w:tc>
          <w:tcPr>
            <w:tcW w:w="1255"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Bills, Jeter, &amp; Stein</w:t>
            </w:r>
          </w:p>
        </w:tc>
        <w:tc>
          <w:tcPr>
            <w:tcW w:w="213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To confirm that auditor industry specialization could lead to a decrease in audit fee.</w:t>
            </w:r>
          </w:p>
        </w:tc>
        <w:tc>
          <w:tcPr>
            <w:tcW w:w="1550"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23852 firm-year observation between fiscal years 2004 and 2009</w:t>
            </w:r>
          </w:p>
        </w:tc>
        <w:tc>
          <w:tcPr>
            <w:tcW w:w="1567" w:type="dxa"/>
          </w:tcPr>
          <w:p w:rsidR="00E40C29" w:rsidRPr="00E40C29" w:rsidRDefault="00E40C29" w:rsidP="00B84397">
            <w:pPr>
              <w:pStyle w:val="000"/>
              <w:spacing w:line="276" w:lineRule="auto"/>
              <w:rPr>
                <w:rFonts w:ascii="Times New Roman" w:hAnsi="Times New Roman"/>
              </w:rPr>
            </w:pPr>
            <w:r w:rsidRPr="00E40C29">
              <w:rPr>
                <w:rFonts w:ascii="Times New Roman" w:hAnsi="Times New Roman"/>
              </w:rPr>
              <w:t>Regression model</w:t>
            </w:r>
          </w:p>
        </w:tc>
        <w:tc>
          <w:tcPr>
            <w:tcW w:w="2090" w:type="dxa"/>
          </w:tcPr>
          <w:p w:rsidR="00E40C29" w:rsidRPr="00E40C29" w:rsidRDefault="00E40C29" w:rsidP="00B84397">
            <w:pPr>
              <w:spacing w:line="276" w:lineRule="auto"/>
              <w:jc w:val="both"/>
              <w:rPr>
                <w:rFonts w:ascii="Times New Roman" w:hAnsi="Times New Roman"/>
              </w:rPr>
            </w:pPr>
            <w:r w:rsidRPr="00E40C29">
              <w:rPr>
                <w:rFonts w:ascii="Times New Roman" w:hAnsi="Times New Roman"/>
              </w:rPr>
              <w:t xml:space="preserve">Industry </w:t>
            </w:r>
            <w:r w:rsidR="000712E0" w:rsidRPr="00E40C29">
              <w:rPr>
                <w:rFonts w:ascii="Times New Roman" w:hAnsi="Times New Roman"/>
              </w:rPr>
              <w:t>specialist requires</w:t>
            </w:r>
            <w:r w:rsidRPr="00E40C29">
              <w:rPr>
                <w:rFonts w:ascii="Times New Roman" w:hAnsi="Times New Roman"/>
              </w:rPr>
              <w:t xml:space="preserve"> a fee premium for clients from non-homogenous industries, but charged </w:t>
            </w:r>
            <w:r w:rsidR="000712E0" w:rsidRPr="00E40C29">
              <w:rPr>
                <w:rFonts w:ascii="Times New Roman" w:hAnsi="Times New Roman"/>
              </w:rPr>
              <w:t>an</w:t>
            </w:r>
            <w:r w:rsidRPr="00E40C29">
              <w:rPr>
                <w:rFonts w:ascii="Times New Roman" w:hAnsi="Times New Roman"/>
              </w:rPr>
              <w:t xml:space="preserve"> incrementally lower fee to clients from homogenous industries.</w:t>
            </w:r>
          </w:p>
        </w:tc>
      </w:tr>
    </w:tbl>
    <w:p w:rsidR="00E40C29" w:rsidRDefault="00E40C29" w:rsidP="00E40C29">
      <w:pPr>
        <w:pStyle w:val="000"/>
      </w:pPr>
    </w:p>
    <w:p w:rsidR="00AF0F60" w:rsidRPr="00E40C29" w:rsidRDefault="00AF0F60" w:rsidP="00E40C29">
      <w:pPr>
        <w:spacing w:after="200" w:line="276" w:lineRule="auto"/>
        <w:rPr>
          <w:rFonts w:ascii="Times New Roman" w:hAnsi="Times New Roman"/>
          <w:sz w:val="28"/>
        </w:rPr>
      </w:pPr>
    </w:p>
    <w:sectPr w:rsidR="00AF0F60" w:rsidRPr="00E40C29" w:rsidSect="00302C77">
      <w:footerReference w:type="default" r:id="rId24"/>
      <w:pgSz w:w="11906" w:h="16838"/>
      <w:pgMar w:top="1417" w:right="1417" w:bottom="1417" w:left="141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CB5" w:rsidRDefault="00967CB5" w:rsidP="00302C77">
      <w:pPr>
        <w:spacing w:line="240" w:lineRule="auto"/>
      </w:pPr>
      <w:r>
        <w:separator/>
      </w:r>
    </w:p>
  </w:endnote>
  <w:endnote w:type="continuationSeparator" w:id="0">
    <w:p w:rsidR="00967CB5" w:rsidRDefault="00967CB5" w:rsidP="00302C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EYInterstate">
    <w:altName w:val="Corbel"/>
    <w:charset w:val="00"/>
    <w:family w:val="auto"/>
    <w:pitch w:val="variable"/>
    <w:sig w:usb0="00000001" w:usb1="5000206A" w:usb2="00000000" w:usb3="00000000" w:csb0="0000009F" w:csb1="00000000"/>
  </w:font>
  <w:font w:name="EYInterstate Light">
    <w:altName w:val="Franklin Gothic Medium Cond"/>
    <w:charset w:val="00"/>
    <w:family w:val="auto"/>
    <w:pitch w:val="variable"/>
    <w:sig w:usb0="A00002AF" w:usb1="5000206A"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9788566"/>
      <w:docPartObj>
        <w:docPartGallery w:val="Page Numbers (Bottom of Page)"/>
        <w:docPartUnique/>
      </w:docPartObj>
    </w:sdtPr>
    <w:sdtEndPr>
      <w:rPr>
        <w:noProof/>
      </w:rPr>
    </w:sdtEndPr>
    <w:sdtContent>
      <w:p w:rsidR="000712E0" w:rsidRDefault="004A36DA">
        <w:pPr>
          <w:pStyle w:val="Footer"/>
          <w:jc w:val="right"/>
        </w:pPr>
        <w:r>
          <w:fldChar w:fldCharType="begin"/>
        </w:r>
        <w:r w:rsidR="000712E0">
          <w:instrText xml:space="preserve"> PAGE   \* MERGEFORMAT </w:instrText>
        </w:r>
        <w:r>
          <w:fldChar w:fldCharType="separate"/>
        </w:r>
        <w:r w:rsidR="00035811">
          <w:rPr>
            <w:noProof/>
          </w:rPr>
          <w:t>63</w:t>
        </w:r>
        <w:r>
          <w:rPr>
            <w:noProof/>
          </w:rPr>
          <w:fldChar w:fldCharType="end"/>
        </w:r>
      </w:p>
    </w:sdtContent>
  </w:sdt>
  <w:p w:rsidR="000712E0" w:rsidRDefault="000712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CB5" w:rsidRDefault="00967CB5" w:rsidP="00302C77">
      <w:pPr>
        <w:spacing w:line="240" w:lineRule="auto"/>
      </w:pPr>
      <w:r>
        <w:separator/>
      </w:r>
    </w:p>
  </w:footnote>
  <w:footnote w:type="continuationSeparator" w:id="0">
    <w:p w:rsidR="00967CB5" w:rsidRDefault="00967CB5" w:rsidP="00302C7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4F142DE8"/>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015458CE"/>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A9A6F1F0"/>
    <w:lvl w:ilvl="0">
      <w:start w:val="1"/>
      <w:numFmt w:val="decimal"/>
      <w:lvlText w:val="%1."/>
      <w:lvlJc w:val="left"/>
      <w:pPr>
        <w:tabs>
          <w:tab w:val="num" w:pos="360"/>
        </w:tabs>
        <w:ind w:left="360" w:hanging="360"/>
      </w:pPr>
    </w:lvl>
  </w:abstractNum>
  <w:abstractNum w:abstractNumId="3">
    <w:nsid w:val="FFFFFF89"/>
    <w:multiLevelType w:val="singleLevel"/>
    <w:tmpl w:val="E78C6452"/>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CD1C217C"/>
    <w:lvl w:ilvl="0">
      <w:start w:val="1"/>
      <w:numFmt w:val="decimal"/>
      <w:pStyle w:val="Heading1"/>
      <w:lvlText w:val="%1"/>
      <w:lvlJc w:val="left"/>
      <w:pPr>
        <w:tabs>
          <w:tab w:val="num" w:pos="720"/>
        </w:tabs>
        <w:ind w:left="720" w:hanging="720"/>
      </w:pPr>
      <w:rPr>
        <w:rFonts w:ascii="EYInterstate" w:hAnsi="EYInterstate" w:hint="default"/>
        <w:b/>
        <w:i w:val="0"/>
        <w:sz w:val="32"/>
      </w:rPr>
    </w:lvl>
    <w:lvl w:ilvl="1">
      <w:start w:val="1"/>
      <w:numFmt w:val="decimal"/>
      <w:pStyle w:val="Heading2"/>
      <w:lvlText w:val="%1.%2"/>
      <w:lvlJc w:val="left"/>
      <w:pPr>
        <w:tabs>
          <w:tab w:val="num" w:pos="720"/>
        </w:tabs>
        <w:ind w:left="720" w:hanging="720"/>
      </w:pPr>
      <w:rPr>
        <w:rFonts w:ascii="EYInterstate" w:hAnsi="EYInterstate" w:hint="default"/>
        <w:b/>
        <w:i w:val="0"/>
        <w:sz w:val="28"/>
      </w:rPr>
    </w:lvl>
    <w:lvl w:ilvl="2">
      <w:start w:val="1"/>
      <w:numFmt w:val="decimal"/>
      <w:pStyle w:val="Heading3"/>
      <w:lvlText w:val="%1.%2.%3"/>
      <w:lvlJc w:val="left"/>
      <w:pPr>
        <w:tabs>
          <w:tab w:val="num" w:pos="720"/>
        </w:tabs>
        <w:ind w:left="720" w:hanging="720"/>
      </w:pPr>
      <w:rPr>
        <w:rFonts w:ascii="EYInterstate" w:hAnsi="EYInterstate" w:hint="default"/>
        <w:b/>
        <w:i w:val="0"/>
        <w:sz w:val="26"/>
      </w:rPr>
    </w:lvl>
    <w:lvl w:ilvl="3">
      <w:start w:val="1"/>
      <w:numFmt w:val="decimal"/>
      <w:pStyle w:val="Heading4"/>
      <w:lvlText w:val="%1.%2.%3.%4"/>
      <w:lvlJc w:val="left"/>
      <w:pPr>
        <w:tabs>
          <w:tab w:val="num" w:pos="720"/>
        </w:tabs>
        <w:ind w:left="720" w:hanging="720"/>
      </w:pPr>
      <w:rPr>
        <w:rFonts w:ascii="EYInterstate" w:hAnsi="EYInterstate" w:hint="default"/>
        <w:b/>
        <w:i w:val="0"/>
        <w:sz w:val="22"/>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
    <w:nsid w:val="045F50A9"/>
    <w:multiLevelType w:val="hybridMultilevel"/>
    <w:tmpl w:val="4A5E77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C1C81"/>
    <w:multiLevelType w:val="hybridMultilevel"/>
    <w:tmpl w:val="4476F242"/>
    <w:lvl w:ilvl="0" w:tplc="F9E6B0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0DA364F"/>
    <w:multiLevelType w:val="hybridMultilevel"/>
    <w:tmpl w:val="6652B8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6719FC"/>
    <w:multiLevelType w:val="hybridMultilevel"/>
    <w:tmpl w:val="8D50C39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880C97"/>
    <w:multiLevelType w:val="hybridMultilevel"/>
    <w:tmpl w:val="86AE556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D671FC2"/>
    <w:multiLevelType w:val="hybridMultilevel"/>
    <w:tmpl w:val="82A8D5A8"/>
    <w:lvl w:ilvl="0" w:tplc="7AAA2E74">
      <w:start w:val="1"/>
      <w:numFmt w:val="decimal"/>
      <w:lvlText w:val="(%1)"/>
      <w:lvlJc w:val="left"/>
      <w:pPr>
        <w:ind w:left="473" w:hanging="360"/>
      </w:pPr>
      <w:rPr>
        <w:rFonts w:hint="default"/>
      </w:rPr>
    </w:lvl>
    <w:lvl w:ilvl="1" w:tplc="04090019" w:tentative="1">
      <w:start w:val="1"/>
      <w:numFmt w:val="lowerLetter"/>
      <w:lvlText w:val="%2."/>
      <w:lvlJc w:val="left"/>
      <w:pPr>
        <w:ind w:left="1193" w:hanging="360"/>
      </w:pPr>
    </w:lvl>
    <w:lvl w:ilvl="2" w:tplc="0409001B" w:tentative="1">
      <w:start w:val="1"/>
      <w:numFmt w:val="lowerRoman"/>
      <w:lvlText w:val="%3."/>
      <w:lvlJc w:val="right"/>
      <w:pPr>
        <w:ind w:left="1913" w:hanging="180"/>
      </w:pPr>
    </w:lvl>
    <w:lvl w:ilvl="3" w:tplc="0409000F" w:tentative="1">
      <w:start w:val="1"/>
      <w:numFmt w:val="decimal"/>
      <w:lvlText w:val="%4."/>
      <w:lvlJc w:val="left"/>
      <w:pPr>
        <w:ind w:left="2633" w:hanging="360"/>
      </w:pPr>
    </w:lvl>
    <w:lvl w:ilvl="4" w:tplc="04090019" w:tentative="1">
      <w:start w:val="1"/>
      <w:numFmt w:val="lowerLetter"/>
      <w:lvlText w:val="%5."/>
      <w:lvlJc w:val="left"/>
      <w:pPr>
        <w:ind w:left="3353" w:hanging="360"/>
      </w:pPr>
    </w:lvl>
    <w:lvl w:ilvl="5" w:tplc="0409001B" w:tentative="1">
      <w:start w:val="1"/>
      <w:numFmt w:val="lowerRoman"/>
      <w:lvlText w:val="%6."/>
      <w:lvlJc w:val="right"/>
      <w:pPr>
        <w:ind w:left="4073" w:hanging="180"/>
      </w:pPr>
    </w:lvl>
    <w:lvl w:ilvl="6" w:tplc="0409000F" w:tentative="1">
      <w:start w:val="1"/>
      <w:numFmt w:val="decimal"/>
      <w:lvlText w:val="%7."/>
      <w:lvlJc w:val="left"/>
      <w:pPr>
        <w:ind w:left="4793" w:hanging="360"/>
      </w:pPr>
    </w:lvl>
    <w:lvl w:ilvl="7" w:tplc="04090019" w:tentative="1">
      <w:start w:val="1"/>
      <w:numFmt w:val="lowerLetter"/>
      <w:lvlText w:val="%8."/>
      <w:lvlJc w:val="left"/>
      <w:pPr>
        <w:ind w:left="5513" w:hanging="360"/>
      </w:pPr>
    </w:lvl>
    <w:lvl w:ilvl="8" w:tplc="0409001B" w:tentative="1">
      <w:start w:val="1"/>
      <w:numFmt w:val="lowerRoman"/>
      <w:lvlText w:val="%9."/>
      <w:lvlJc w:val="right"/>
      <w:pPr>
        <w:ind w:left="6233" w:hanging="180"/>
      </w:pPr>
    </w:lvl>
  </w:abstractNum>
  <w:abstractNum w:abstractNumId="11">
    <w:nsid w:val="1E345A09"/>
    <w:multiLevelType w:val="multilevel"/>
    <w:tmpl w:val="C0FE77D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27D00364"/>
    <w:multiLevelType w:val="hybridMultilevel"/>
    <w:tmpl w:val="6B46C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B452360"/>
    <w:multiLevelType w:val="hybridMultilevel"/>
    <w:tmpl w:val="BDD8AA98"/>
    <w:lvl w:ilvl="0" w:tplc="04090011">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14">
    <w:nsid w:val="2B730734"/>
    <w:multiLevelType w:val="hybridMultilevel"/>
    <w:tmpl w:val="291207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F62636"/>
    <w:multiLevelType w:val="hybridMultilevel"/>
    <w:tmpl w:val="138C2160"/>
    <w:lvl w:ilvl="0" w:tplc="E8E89C5C">
      <w:start w:val="1"/>
      <w:numFmt w:val="bullet"/>
      <w:pStyle w:val="ListBullet"/>
      <w:lvlText w:val="•"/>
      <w:lvlJc w:val="left"/>
      <w:pPr>
        <w:tabs>
          <w:tab w:val="num" w:pos="284"/>
        </w:tabs>
        <w:ind w:left="284" w:hanging="284"/>
      </w:pPr>
      <w:rPr>
        <w:rFonts w:ascii="EYInterstate Light" w:hAnsi="EYInterstate Light" w:cs="Times New Roman" w:hint="default"/>
        <w:b w:val="0"/>
        <w:i w:val="0"/>
        <w:color w:val="FFE600"/>
        <w:sz w:val="20"/>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320942DE"/>
    <w:multiLevelType w:val="hybridMultilevel"/>
    <w:tmpl w:val="1428A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AE65301"/>
    <w:multiLevelType w:val="hybridMultilevel"/>
    <w:tmpl w:val="05083F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4E45E5"/>
    <w:multiLevelType w:val="hybridMultilevel"/>
    <w:tmpl w:val="DF8CB606"/>
    <w:lvl w:ilvl="0" w:tplc="A6C42A7E">
      <w:start w:val="1"/>
      <w:numFmt w:val="bullet"/>
      <w:pStyle w:val="ListBullet2"/>
      <w:lvlText w:val="•"/>
      <w:lvlJc w:val="left"/>
      <w:pPr>
        <w:tabs>
          <w:tab w:val="num" w:pos="567"/>
        </w:tabs>
        <w:ind w:left="567" w:hanging="283"/>
      </w:pPr>
      <w:rPr>
        <w:rFonts w:ascii="EYInterstate Light" w:hAnsi="EYInterstate Light" w:cs="Times New Roman" w:hint="default"/>
        <w:b w:val="0"/>
        <w:i w:val="0"/>
        <w:color w:val="FFE600"/>
        <w:sz w:val="20"/>
      </w:rPr>
    </w:lvl>
    <w:lvl w:ilvl="1" w:tplc="04130003" w:tentative="1">
      <w:start w:val="1"/>
      <w:numFmt w:val="bullet"/>
      <w:lvlText w:val="o"/>
      <w:lvlJc w:val="left"/>
      <w:pPr>
        <w:tabs>
          <w:tab w:val="num" w:pos="2007"/>
        </w:tabs>
        <w:ind w:left="2007" w:hanging="360"/>
      </w:pPr>
      <w:rPr>
        <w:rFonts w:ascii="Courier New" w:hAnsi="Courier New" w:cs="Courier New" w:hint="default"/>
      </w:rPr>
    </w:lvl>
    <w:lvl w:ilvl="2" w:tplc="04130005" w:tentative="1">
      <w:start w:val="1"/>
      <w:numFmt w:val="bullet"/>
      <w:lvlText w:val=""/>
      <w:lvlJc w:val="left"/>
      <w:pPr>
        <w:tabs>
          <w:tab w:val="num" w:pos="2727"/>
        </w:tabs>
        <w:ind w:left="2727" w:hanging="360"/>
      </w:pPr>
      <w:rPr>
        <w:rFonts w:ascii="Wingdings" w:hAnsi="Wingdings" w:hint="default"/>
      </w:rPr>
    </w:lvl>
    <w:lvl w:ilvl="3" w:tplc="04130001" w:tentative="1">
      <w:start w:val="1"/>
      <w:numFmt w:val="bullet"/>
      <w:lvlText w:val=""/>
      <w:lvlJc w:val="left"/>
      <w:pPr>
        <w:tabs>
          <w:tab w:val="num" w:pos="3447"/>
        </w:tabs>
        <w:ind w:left="3447" w:hanging="360"/>
      </w:pPr>
      <w:rPr>
        <w:rFonts w:ascii="Symbol" w:hAnsi="Symbol" w:hint="default"/>
      </w:rPr>
    </w:lvl>
    <w:lvl w:ilvl="4" w:tplc="04130003" w:tentative="1">
      <w:start w:val="1"/>
      <w:numFmt w:val="bullet"/>
      <w:lvlText w:val="o"/>
      <w:lvlJc w:val="left"/>
      <w:pPr>
        <w:tabs>
          <w:tab w:val="num" w:pos="4167"/>
        </w:tabs>
        <w:ind w:left="4167" w:hanging="360"/>
      </w:pPr>
      <w:rPr>
        <w:rFonts w:ascii="Courier New" w:hAnsi="Courier New" w:cs="Courier New" w:hint="default"/>
      </w:rPr>
    </w:lvl>
    <w:lvl w:ilvl="5" w:tplc="04130005" w:tentative="1">
      <w:start w:val="1"/>
      <w:numFmt w:val="bullet"/>
      <w:lvlText w:val=""/>
      <w:lvlJc w:val="left"/>
      <w:pPr>
        <w:tabs>
          <w:tab w:val="num" w:pos="4887"/>
        </w:tabs>
        <w:ind w:left="4887" w:hanging="360"/>
      </w:pPr>
      <w:rPr>
        <w:rFonts w:ascii="Wingdings" w:hAnsi="Wingdings" w:hint="default"/>
      </w:rPr>
    </w:lvl>
    <w:lvl w:ilvl="6" w:tplc="04130001" w:tentative="1">
      <w:start w:val="1"/>
      <w:numFmt w:val="bullet"/>
      <w:lvlText w:val=""/>
      <w:lvlJc w:val="left"/>
      <w:pPr>
        <w:tabs>
          <w:tab w:val="num" w:pos="5607"/>
        </w:tabs>
        <w:ind w:left="5607" w:hanging="360"/>
      </w:pPr>
      <w:rPr>
        <w:rFonts w:ascii="Symbol" w:hAnsi="Symbol" w:hint="default"/>
      </w:rPr>
    </w:lvl>
    <w:lvl w:ilvl="7" w:tplc="04130003" w:tentative="1">
      <w:start w:val="1"/>
      <w:numFmt w:val="bullet"/>
      <w:lvlText w:val="o"/>
      <w:lvlJc w:val="left"/>
      <w:pPr>
        <w:tabs>
          <w:tab w:val="num" w:pos="6327"/>
        </w:tabs>
        <w:ind w:left="6327" w:hanging="360"/>
      </w:pPr>
      <w:rPr>
        <w:rFonts w:ascii="Courier New" w:hAnsi="Courier New" w:cs="Courier New" w:hint="default"/>
      </w:rPr>
    </w:lvl>
    <w:lvl w:ilvl="8" w:tplc="04130005" w:tentative="1">
      <w:start w:val="1"/>
      <w:numFmt w:val="bullet"/>
      <w:lvlText w:val=""/>
      <w:lvlJc w:val="left"/>
      <w:pPr>
        <w:tabs>
          <w:tab w:val="num" w:pos="7047"/>
        </w:tabs>
        <w:ind w:left="7047" w:hanging="360"/>
      </w:pPr>
      <w:rPr>
        <w:rFonts w:ascii="Wingdings" w:hAnsi="Wingdings" w:hint="default"/>
      </w:rPr>
    </w:lvl>
  </w:abstractNum>
  <w:abstractNum w:abstractNumId="19">
    <w:nsid w:val="4DA87CC9"/>
    <w:multiLevelType w:val="multilevel"/>
    <w:tmpl w:val="4D9006D8"/>
    <w:lvl w:ilvl="0">
      <w:start w:val="1"/>
      <w:numFmt w:val="decimal"/>
      <w:lvlRestart w:val="0"/>
      <w:pStyle w:val="BijlageHeading1"/>
      <w:lvlText w:val="%1"/>
      <w:lvlJc w:val="left"/>
      <w:pPr>
        <w:tabs>
          <w:tab w:val="num" w:pos="720"/>
        </w:tabs>
        <w:ind w:left="720" w:hanging="720"/>
      </w:pPr>
      <w:rPr>
        <w:rFonts w:ascii="EYInterstate" w:hAnsi="EYInterstate" w:hint="default"/>
        <w:b/>
        <w:i w:val="0"/>
        <w:sz w:val="32"/>
      </w:rPr>
    </w:lvl>
    <w:lvl w:ilvl="1">
      <w:start w:val="1"/>
      <w:numFmt w:val="decimal"/>
      <w:lvlRestart w:val="0"/>
      <w:pStyle w:val="BijlageHeading2"/>
      <w:lvlText w:val="%1.%2"/>
      <w:lvlJc w:val="left"/>
      <w:pPr>
        <w:tabs>
          <w:tab w:val="num" w:pos="720"/>
        </w:tabs>
        <w:ind w:left="720" w:hanging="720"/>
      </w:pPr>
      <w:rPr>
        <w:rFonts w:ascii="EYInterstate" w:hAnsi="EYInterstate" w:hint="default"/>
        <w:b/>
        <w:i w:val="0"/>
        <w:sz w:val="28"/>
      </w:rPr>
    </w:lvl>
    <w:lvl w:ilvl="2">
      <w:start w:val="1"/>
      <w:numFmt w:val="decimal"/>
      <w:lvlRestart w:val="0"/>
      <w:pStyle w:val="BijlageHeading3"/>
      <w:lvlText w:val="%1.%2.%3"/>
      <w:lvlJc w:val="left"/>
      <w:pPr>
        <w:tabs>
          <w:tab w:val="num" w:pos="720"/>
        </w:tabs>
        <w:ind w:left="720" w:hanging="720"/>
      </w:pPr>
      <w:rPr>
        <w:rFonts w:ascii="EYInterstate" w:hAnsi="EYInterstate" w:hint="default"/>
        <w:b/>
        <w:i w:val="0"/>
        <w:sz w:val="26"/>
      </w:rPr>
    </w:lvl>
    <w:lvl w:ilvl="3">
      <w:start w:val="1"/>
      <w:numFmt w:val="decimal"/>
      <w:lvlRestart w:val="0"/>
      <w:pStyle w:val="BijlageHeading4"/>
      <w:lvlText w:val="%1.%2.%3.%4"/>
      <w:lvlJc w:val="left"/>
      <w:pPr>
        <w:tabs>
          <w:tab w:val="num" w:pos="720"/>
        </w:tabs>
        <w:ind w:left="720" w:hanging="720"/>
      </w:pPr>
      <w:rPr>
        <w:rFonts w:ascii="EYInterstate Light" w:hAnsi="EYInterstate Light" w:hint="default"/>
        <w:b/>
        <w:i w:val="0"/>
        <w:sz w:val="22"/>
      </w:rPr>
    </w:lvl>
    <w:lvl w:ilvl="4">
      <w:start w:val="1"/>
      <w:numFmt w:val="decimal"/>
      <w:lvlText w:val="(%5)"/>
      <w:lvlJc w:val="left"/>
      <w:pPr>
        <w:tabs>
          <w:tab w:val="num" w:pos="720"/>
        </w:tabs>
        <w:ind w:left="720" w:hanging="720"/>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720"/>
        </w:tabs>
        <w:ind w:left="720" w:hanging="720"/>
      </w:pPr>
      <w:rPr>
        <w:rFonts w:hint="default"/>
      </w:rPr>
    </w:lvl>
    <w:lvl w:ilvl="7">
      <w:start w:val="1"/>
      <w:numFmt w:val="lowerLetter"/>
      <w:lvlText w:val="(%8)"/>
      <w:lvlJc w:val="left"/>
      <w:pPr>
        <w:tabs>
          <w:tab w:val="num" w:pos="720"/>
        </w:tabs>
        <w:ind w:left="720" w:hanging="720"/>
      </w:pPr>
      <w:rPr>
        <w:rFonts w:hint="default"/>
      </w:rPr>
    </w:lvl>
    <w:lvl w:ilvl="8">
      <w:start w:val="1"/>
      <w:numFmt w:val="lowerRoman"/>
      <w:lvlText w:val="(%9)"/>
      <w:lvlJc w:val="left"/>
      <w:pPr>
        <w:tabs>
          <w:tab w:val="num" w:pos="720"/>
        </w:tabs>
        <w:ind w:left="720" w:hanging="720"/>
      </w:pPr>
      <w:rPr>
        <w:rFonts w:hint="default"/>
      </w:rPr>
    </w:lvl>
  </w:abstractNum>
  <w:abstractNum w:abstractNumId="20">
    <w:nsid w:val="4E653B20"/>
    <w:multiLevelType w:val="hybridMultilevel"/>
    <w:tmpl w:val="F0882352"/>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807474"/>
    <w:multiLevelType w:val="hybridMultilevel"/>
    <w:tmpl w:val="FA4011C4"/>
    <w:lvl w:ilvl="0" w:tplc="B6186E18">
      <w:start w:val="1"/>
      <w:numFmt w:val="decimal"/>
      <w:pStyle w:val="ListNumber"/>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5633184F"/>
    <w:multiLevelType w:val="hybridMultilevel"/>
    <w:tmpl w:val="0EAAFB12"/>
    <w:lvl w:ilvl="0" w:tplc="B1E060C6">
      <w:start w:val="1"/>
      <w:numFmt w:val="bullet"/>
      <w:pStyle w:val="Bullet"/>
      <w:lvlText w:val="•"/>
      <w:lvlJc w:val="left"/>
      <w:pPr>
        <w:tabs>
          <w:tab w:val="num" w:pos="284"/>
        </w:tabs>
        <w:ind w:left="284" w:hanging="284"/>
      </w:pPr>
      <w:rPr>
        <w:rFonts w:ascii="EYInterstate" w:hAnsi="EYInterstate" w:hint="default"/>
        <w:b w:val="0"/>
        <w:i w:val="0"/>
        <w:color w:val="FFE600"/>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6DF3D1B"/>
    <w:multiLevelType w:val="hybridMultilevel"/>
    <w:tmpl w:val="4F561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9E001D0"/>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569078E"/>
    <w:multiLevelType w:val="multilevel"/>
    <w:tmpl w:val="0413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nsid w:val="775D74A4"/>
    <w:multiLevelType w:val="hybridMultilevel"/>
    <w:tmpl w:val="7F0A2632"/>
    <w:lvl w:ilvl="0" w:tplc="C36EF4B6">
      <w:start w:val="1"/>
      <w:numFmt w:val="bullet"/>
      <w:pStyle w:val="ListBullet3"/>
      <w:lvlText w:val="•"/>
      <w:lvlJc w:val="left"/>
      <w:pPr>
        <w:tabs>
          <w:tab w:val="num" w:pos="851"/>
        </w:tabs>
        <w:ind w:left="851" w:hanging="284"/>
      </w:pPr>
      <w:rPr>
        <w:rFonts w:ascii="EYInterstate Light" w:hAnsi="EYInterstate Light" w:cs="Times New Roman" w:hint="default"/>
        <w:b w:val="0"/>
        <w:i w:val="0"/>
        <w:color w:val="FFE600"/>
        <w:sz w:val="20"/>
      </w:rPr>
    </w:lvl>
    <w:lvl w:ilvl="1" w:tplc="04130003" w:tentative="1">
      <w:start w:val="1"/>
      <w:numFmt w:val="bullet"/>
      <w:lvlText w:val="o"/>
      <w:lvlJc w:val="left"/>
      <w:pPr>
        <w:tabs>
          <w:tab w:val="num" w:pos="2574"/>
        </w:tabs>
        <w:ind w:left="2574" w:hanging="360"/>
      </w:pPr>
      <w:rPr>
        <w:rFonts w:ascii="Courier New" w:hAnsi="Courier New" w:cs="Courier New" w:hint="default"/>
      </w:rPr>
    </w:lvl>
    <w:lvl w:ilvl="2" w:tplc="04130005" w:tentative="1">
      <w:start w:val="1"/>
      <w:numFmt w:val="bullet"/>
      <w:lvlText w:val=""/>
      <w:lvlJc w:val="left"/>
      <w:pPr>
        <w:tabs>
          <w:tab w:val="num" w:pos="3294"/>
        </w:tabs>
        <w:ind w:left="3294" w:hanging="360"/>
      </w:pPr>
      <w:rPr>
        <w:rFonts w:ascii="Wingdings" w:hAnsi="Wingdings" w:hint="default"/>
      </w:rPr>
    </w:lvl>
    <w:lvl w:ilvl="3" w:tplc="04130001" w:tentative="1">
      <w:start w:val="1"/>
      <w:numFmt w:val="bullet"/>
      <w:lvlText w:val=""/>
      <w:lvlJc w:val="left"/>
      <w:pPr>
        <w:tabs>
          <w:tab w:val="num" w:pos="4014"/>
        </w:tabs>
        <w:ind w:left="4014" w:hanging="360"/>
      </w:pPr>
      <w:rPr>
        <w:rFonts w:ascii="Symbol" w:hAnsi="Symbol" w:hint="default"/>
      </w:rPr>
    </w:lvl>
    <w:lvl w:ilvl="4" w:tplc="04130003" w:tentative="1">
      <w:start w:val="1"/>
      <w:numFmt w:val="bullet"/>
      <w:lvlText w:val="o"/>
      <w:lvlJc w:val="left"/>
      <w:pPr>
        <w:tabs>
          <w:tab w:val="num" w:pos="4734"/>
        </w:tabs>
        <w:ind w:left="4734" w:hanging="360"/>
      </w:pPr>
      <w:rPr>
        <w:rFonts w:ascii="Courier New" w:hAnsi="Courier New" w:cs="Courier New" w:hint="default"/>
      </w:rPr>
    </w:lvl>
    <w:lvl w:ilvl="5" w:tplc="04130005" w:tentative="1">
      <w:start w:val="1"/>
      <w:numFmt w:val="bullet"/>
      <w:lvlText w:val=""/>
      <w:lvlJc w:val="left"/>
      <w:pPr>
        <w:tabs>
          <w:tab w:val="num" w:pos="5454"/>
        </w:tabs>
        <w:ind w:left="5454" w:hanging="360"/>
      </w:pPr>
      <w:rPr>
        <w:rFonts w:ascii="Wingdings" w:hAnsi="Wingdings" w:hint="default"/>
      </w:rPr>
    </w:lvl>
    <w:lvl w:ilvl="6" w:tplc="04130001" w:tentative="1">
      <w:start w:val="1"/>
      <w:numFmt w:val="bullet"/>
      <w:lvlText w:val=""/>
      <w:lvlJc w:val="left"/>
      <w:pPr>
        <w:tabs>
          <w:tab w:val="num" w:pos="6174"/>
        </w:tabs>
        <w:ind w:left="6174" w:hanging="360"/>
      </w:pPr>
      <w:rPr>
        <w:rFonts w:ascii="Symbol" w:hAnsi="Symbol" w:hint="default"/>
      </w:rPr>
    </w:lvl>
    <w:lvl w:ilvl="7" w:tplc="04130003" w:tentative="1">
      <w:start w:val="1"/>
      <w:numFmt w:val="bullet"/>
      <w:lvlText w:val="o"/>
      <w:lvlJc w:val="left"/>
      <w:pPr>
        <w:tabs>
          <w:tab w:val="num" w:pos="6894"/>
        </w:tabs>
        <w:ind w:left="6894" w:hanging="360"/>
      </w:pPr>
      <w:rPr>
        <w:rFonts w:ascii="Courier New" w:hAnsi="Courier New" w:cs="Courier New" w:hint="default"/>
      </w:rPr>
    </w:lvl>
    <w:lvl w:ilvl="8" w:tplc="04130005" w:tentative="1">
      <w:start w:val="1"/>
      <w:numFmt w:val="bullet"/>
      <w:lvlText w:val=""/>
      <w:lvlJc w:val="left"/>
      <w:pPr>
        <w:tabs>
          <w:tab w:val="num" w:pos="7614"/>
        </w:tabs>
        <w:ind w:left="7614" w:hanging="360"/>
      </w:pPr>
      <w:rPr>
        <w:rFonts w:ascii="Wingdings" w:hAnsi="Wingdings" w:hint="default"/>
      </w:rPr>
    </w:lvl>
  </w:abstractNum>
  <w:num w:numId="1">
    <w:abstractNumId w:val="19"/>
  </w:num>
  <w:num w:numId="2">
    <w:abstractNumId w:val="19"/>
  </w:num>
  <w:num w:numId="3">
    <w:abstractNumId w:val="19"/>
  </w:num>
  <w:num w:numId="4">
    <w:abstractNumId w:val="19"/>
  </w:num>
  <w:num w:numId="5">
    <w:abstractNumId w:val="22"/>
  </w:num>
  <w:num w:numId="6">
    <w:abstractNumId w:val="22"/>
  </w:num>
  <w:num w:numId="7">
    <w:abstractNumId w:val="22"/>
  </w:num>
  <w:num w:numId="8">
    <w:abstractNumId w:val="22"/>
  </w:num>
  <w:num w:numId="9">
    <w:abstractNumId w:val="4"/>
  </w:num>
  <w:num w:numId="10">
    <w:abstractNumId w:val="4"/>
  </w:num>
  <w:num w:numId="11">
    <w:abstractNumId w:val="4"/>
  </w:num>
  <w:num w:numId="12">
    <w:abstractNumId w:val="4"/>
  </w:num>
  <w:num w:numId="13">
    <w:abstractNumId w:val="4"/>
  </w:num>
  <w:num w:numId="14">
    <w:abstractNumId w:val="4"/>
  </w:num>
  <w:num w:numId="15">
    <w:abstractNumId w:val="4"/>
  </w:num>
  <w:num w:numId="16">
    <w:abstractNumId w:val="4"/>
  </w:num>
  <w:num w:numId="17">
    <w:abstractNumId w:val="4"/>
  </w:num>
  <w:num w:numId="18">
    <w:abstractNumId w:val="3"/>
  </w:num>
  <w:num w:numId="19">
    <w:abstractNumId w:val="15"/>
  </w:num>
  <w:num w:numId="20">
    <w:abstractNumId w:val="1"/>
  </w:num>
  <w:num w:numId="21">
    <w:abstractNumId w:val="18"/>
    <w:lvlOverride w:ilvl="0">
      <w:startOverride w:val="1"/>
    </w:lvlOverride>
  </w:num>
  <w:num w:numId="22">
    <w:abstractNumId w:val="0"/>
  </w:num>
  <w:num w:numId="23">
    <w:abstractNumId w:val="26"/>
  </w:num>
  <w:num w:numId="24">
    <w:abstractNumId w:val="2"/>
  </w:num>
  <w:num w:numId="25">
    <w:abstractNumId w:val="21"/>
  </w:num>
  <w:num w:numId="26">
    <w:abstractNumId w:val="16"/>
  </w:num>
  <w:num w:numId="27">
    <w:abstractNumId w:val="14"/>
  </w:num>
  <w:num w:numId="28">
    <w:abstractNumId w:val="23"/>
  </w:num>
  <w:num w:numId="29">
    <w:abstractNumId w:val="25"/>
  </w:num>
  <w:num w:numId="30">
    <w:abstractNumId w:val="24"/>
  </w:num>
  <w:num w:numId="31">
    <w:abstractNumId w:val="8"/>
  </w:num>
  <w:num w:numId="32">
    <w:abstractNumId w:val="11"/>
  </w:num>
  <w:num w:numId="33">
    <w:abstractNumId w:val="9"/>
  </w:num>
  <w:num w:numId="34">
    <w:abstractNumId w:val="6"/>
  </w:num>
  <w:num w:numId="35">
    <w:abstractNumId w:val="13"/>
  </w:num>
  <w:num w:numId="36">
    <w:abstractNumId w:val="10"/>
  </w:num>
  <w:num w:numId="37">
    <w:abstractNumId w:val="12"/>
  </w:num>
  <w:num w:numId="38">
    <w:abstractNumId w:val="20"/>
  </w:num>
  <w:num w:numId="39">
    <w:abstractNumId w:val="5"/>
  </w:num>
  <w:num w:numId="40">
    <w:abstractNumId w:val="17"/>
  </w:num>
  <w:num w:numId="4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567"/>
  <w:characterSpacingControl w:val="doNotCompress"/>
  <w:footnotePr>
    <w:footnote w:id="-1"/>
    <w:footnote w:id="0"/>
  </w:footnotePr>
  <w:endnotePr>
    <w:endnote w:id="-1"/>
    <w:endnote w:id="0"/>
  </w:endnotePr>
  <w:compat>
    <w:useFELayout/>
  </w:compat>
  <w:rsids>
    <w:rsidRoot w:val="00AF0F60"/>
    <w:rsid w:val="00007ED3"/>
    <w:rsid w:val="00035811"/>
    <w:rsid w:val="000712E0"/>
    <w:rsid w:val="000726A4"/>
    <w:rsid w:val="00091625"/>
    <w:rsid w:val="000F14CA"/>
    <w:rsid w:val="00122864"/>
    <w:rsid w:val="00135420"/>
    <w:rsid w:val="00144315"/>
    <w:rsid w:val="00147A54"/>
    <w:rsid w:val="0017076D"/>
    <w:rsid w:val="00175A66"/>
    <w:rsid w:val="001A3C03"/>
    <w:rsid w:val="001B0B3C"/>
    <w:rsid w:val="00204753"/>
    <w:rsid w:val="00213E84"/>
    <w:rsid w:val="002177CD"/>
    <w:rsid w:val="0024165E"/>
    <w:rsid w:val="00260630"/>
    <w:rsid w:val="00262EEF"/>
    <w:rsid w:val="0028623C"/>
    <w:rsid w:val="002B4D42"/>
    <w:rsid w:val="002E07A4"/>
    <w:rsid w:val="002F69B8"/>
    <w:rsid w:val="00302C77"/>
    <w:rsid w:val="00322F1B"/>
    <w:rsid w:val="0033247F"/>
    <w:rsid w:val="00367C61"/>
    <w:rsid w:val="003B4F48"/>
    <w:rsid w:val="004228D1"/>
    <w:rsid w:val="00432EE4"/>
    <w:rsid w:val="00446B8E"/>
    <w:rsid w:val="00477CD4"/>
    <w:rsid w:val="004A36DA"/>
    <w:rsid w:val="004F6BDB"/>
    <w:rsid w:val="004F7A0E"/>
    <w:rsid w:val="00525D67"/>
    <w:rsid w:val="00582070"/>
    <w:rsid w:val="00593559"/>
    <w:rsid w:val="00593CF9"/>
    <w:rsid w:val="005C52B3"/>
    <w:rsid w:val="005D450B"/>
    <w:rsid w:val="006058A2"/>
    <w:rsid w:val="0061395F"/>
    <w:rsid w:val="00623295"/>
    <w:rsid w:val="00634238"/>
    <w:rsid w:val="00660DD3"/>
    <w:rsid w:val="006879C9"/>
    <w:rsid w:val="006D0081"/>
    <w:rsid w:val="006E182D"/>
    <w:rsid w:val="006E7435"/>
    <w:rsid w:val="00700EA7"/>
    <w:rsid w:val="007012D3"/>
    <w:rsid w:val="00703480"/>
    <w:rsid w:val="0076560A"/>
    <w:rsid w:val="00777857"/>
    <w:rsid w:val="007D6479"/>
    <w:rsid w:val="0083452F"/>
    <w:rsid w:val="00846895"/>
    <w:rsid w:val="00897F5F"/>
    <w:rsid w:val="00905B15"/>
    <w:rsid w:val="00930EB7"/>
    <w:rsid w:val="00937283"/>
    <w:rsid w:val="00940559"/>
    <w:rsid w:val="00946411"/>
    <w:rsid w:val="00950646"/>
    <w:rsid w:val="00960185"/>
    <w:rsid w:val="00967CB5"/>
    <w:rsid w:val="009A13B0"/>
    <w:rsid w:val="009B1FC0"/>
    <w:rsid w:val="00A23654"/>
    <w:rsid w:val="00A4052B"/>
    <w:rsid w:val="00A47A4B"/>
    <w:rsid w:val="00A72168"/>
    <w:rsid w:val="00AB5EC8"/>
    <w:rsid w:val="00AF0F60"/>
    <w:rsid w:val="00B27EDC"/>
    <w:rsid w:val="00B44F22"/>
    <w:rsid w:val="00B56943"/>
    <w:rsid w:val="00B84397"/>
    <w:rsid w:val="00BA09E3"/>
    <w:rsid w:val="00C00AD6"/>
    <w:rsid w:val="00C0526F"/>
    <w:rsid w:val="00C46252"/>
    <w:rsid w:val="00C60AE8"/>
    <w:rsid w:val="00C733F1"/>
    <w:rsid w:val="00C7705E"/>
    <w:rsid w:val="00CB7A4B"/>
    <w:rsid w:val="00CC48E4"/>
    <w:rsid w:val="00D25F75"/>
    <w:rsid w:val="00D7060F"/>
    <w:rsid w:val="00D81E8C"/>
    <w:rsid w:val="00D85EFB"/>
    <w:rsid w:val="00D92235"/>
    <w:rsid w:val="00DB32CA"/>
    <w:rsid w:val="00DC7131"/>
    <w:rsid w:val="00DE0105"/>
    <w:rsid w:val="00DF3635"/>
    <w:rsid w:val="00E03EC1"/>
    <w:rsid w:val="00E40C29"/>
    <w:rsid w:val="00E71DF8"/>
    <w:rsid w:val="00ED48D1"/>
    <w:rsid w:val="00F8707E"/>
    <w:rsid w:val="00F93328"/>
    <w:rsid w:val="00FA1A96"/>
    <w:rsid w:val="00FC0AF1"/>
    <w:rsid w:val="00FE3260"/>
    <w:rsid w:val="00FE53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630"/>
    <w:pPr>
      <w:overflowPunct w:val="0"/>
      <w:autoSpaceDE w:val="0"/>
      <w:autoSpaceDN w:val="0"/>
      <w:adjustRightInd w:val="0"/>
      <w:spacing w:after="0" w:line="260" w:lineRule="atLeast"/>
      <w:textAlignment w:val="baseline"/>
    </w:pPr>
    <w:rPr>
      <w:rFonts w:ascii="EYInterstate" w:eastAsia="Times New Roman" w:hAnsi="EYInterstate" w:cs="Times New Roman"/>
      <w:sz w:val="20"/>
      <w:szCs w:val="20"/>
    </w:rPr>
  </w:style>
  <w:style w:type="paragraph" w:styleId="Heading1">
    <w:name w:val="heading 1"/>
    <w:aliases w:val="051"/>
    <w:basedOn w:val="Normal"/>
    <w:next w:val="000"/>
    <w:link w:val="Heading1Char"/>
    <w:qFormat/>
    <w:rsid w:val="00260630"/>
    <w:pPr>
      <w:keepNext/>
      <w:numPr>
        <w:numId w:val="17"/>
      </w:numPr>
      <w:spacing w:before="240" w:after="60" w:line="240" w:lineRule="auto"/>
      <w:outlineLvl w:val="0"/>
    </w:pPr>
    <w:rPr>
      <w:b/>
      <w:kern w:val="32"/>
      <w:sz w:val="32"/>
    </w:rPr>
  </w:style>
  <w:style w:type="paragraph" w:styleId="Heading2">
    <w:name w:val="heading 2"/>
    <w:aliases w:val="052"/>
    <w:basedOn w:val="Heading1"/>
    <w:next w:val="000"/>
    <w:link w:val="Heading2Char"/>
    <w:qFormat/>
    <w:rsid w:val="00260630"/>
    <w:pPr>
      <w:numPr>
        <w:ilvl w:val="1"/>
      </w:numPr>
      <w:outlineLvl w:val="1"/>
    </w:pPr>
    <w:rPr>
      <w:i/>
      <w:kern w:val="28"/>
      <w:sz w:val="28"/>
    </w:rPr>
  </w:style>
  <w:style w:type="paragraph" w:styleId="Heading3">
    <w:name w:val="heading 3"/>
    <w:aliases w:val="053"/>
    <w:basedOn w:val="Heading1"/>
    <w:next w:val="000"/>
    <w:link w:val="Heading3Char"/>
    <w:qFormat/>
    <w:rsid w:val="00260630"/>
    <w:pPr>
      <w:numPr>
        <w:ilvl w:val="2"/>
      </w:numPr>
      <w:outlineLvl w:val="2"/>
    </w:pPr>
    <w:rPr>
      <w:kern w:val="26"/>
      <w:sz w:val="26"/>
    </w:rPr>
  </w:style>
  <w:style w:type="paragraph" w:styleId="Heading4">
    <w:name w:val="heading 4"/>
    <w:aliases w:val="054"/>
    <w:basedOn w:val="Heading1"/>
    <w:next w:val="000"/>
    <w:link w:val="Heading4Char"/>
    <w:qFormat/>
    <w:rsid w:val="00260630"/>
    <w:pPr>
      <w:numPr>
        <w:ilvl w:val="3"/>
      </w:numPr>
      <w:outlineLvl w:val="3"/>
    </w:pPr>
    <w:rPr>
      <w:b w:val="0"/>
      <w:i/>
      <w:sz w:val="22"/>
    </w:rPr>
  </w:style>
  <w:style w:type="paragraph" w:styleId="Heading5">
    <w:name w:val="heading 5"/>
    <w:basedOn w:val="000"/>
    <w:next w:val="000"/>
    <w:link w:val="Heading5Char"/>
    <w:qFormat/>
    <w:rsid w:val="00260630"/>
    <w:pPr>
      <w:numPr>
        <w:ilvl w:val="4"/>
        <w:numId w:val="17"/>
      </w:numPr>
      <w:spacing w:before="240" w:after="60"/>
      <w:outlineLvl w:val="4"/>
    </w:pPr>
  </w:style>
  <w:style w:type="paragraph" w:styleId="Heading6">
    <w:name w:val="heading 6"/>
    <w:basedOn w:val="000"/>
    <w:next w:val="000"/>
    <w:link w:val="Heading6Char"/>
    <w:qFormat/>
    <w:rsid w:val="00260630"/>
    <w:pPr>
      <w:numPr>
        <w:ilvl w:val="5"/>
        <w:numId w:val="17"/>
      </w:numPr>
      <w:spacing w:before="240" w:after="60"/>
      <w:outlineLvl w:val="5"/>
    </w:pPr>
    <w:rPr>
      <w:i/>
    </w:rPr>
  </w:style>
  <w:style w:type="paragraph" w:styleId="Heading7">
    <w:name w:val="heading 7"/>
    <w:basedOn w:val="000"/>
    <w:next w:val="000"/>
    <w:link w:val="Heading7Char"/>
    <w:qFormat/>
    <w:rsid w:val="00260630"/>
    <w:pPr>
      <w:numPr>
        <w:ilvl w:val="6"/>
        <w:numId w:val="17"/>
      </w:numPr>
      <w:spacing w:before="240" w:after="60"/>
      <w:outlineLvl w:val="6"/>
    </w:pPr>
  </w:style>
  <w:style w:type="paragraph" w:styleId="Heading8">
    <w:name w:val="heading 8"/>
    <w:basedOn w:val="000"/>
    <w:next w:val="000"/>
    <w:link w:val="Heading8Char"/>
    <w:qFormat/>
    <w:rsid w:val="00260630"/>
    <w:pPr>
      <w:numPr>
        <w:ilvl w:val="7"/>
        <w:numId w:val="17"/>
      </w:numPr>
      <w:spacing w:before="240" w:after="60"/>
      <w:outlineLvl w:val="7"/>
    </w:pPr>
    <w:rPr>
      <w:i/>
    </w:rPr>
  </w:style>
  <w:style w:type="paragraph" w:styleId="Heading9">
    <w:name w:val="heading 9"/>
    <w:basedOn w:val="000"/>
    <w:next w:val="000"/>
    <w:link w:val="Heading9Char"/>
    <w:qFormat/>
    <w:rsid w:val="00260630"/>
    <w:pPr>
      <w:numPr>
        <w:ilvl w:val="8"/>
        <w:numId w:val="17"/>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0">
    <w:name w:val="000"/>
    <w:aliases w:val="standaard"/>
    <w:basedOn w:val="Normal"/>
    <w:rsid w:val="00260630"/>
    <w:rPr>
      <w:rFonts w:ascii="EYInterstate Light" w:hAnsi="EYInterstate Light"/>
      <w:kern w:val="12"/>
    </w:rPr>
  </w:style>
  <w:style w:type="paragraph" w:customStyle="1" w:styleId="001">
    <w:name w:val="001"/>
    <w:aliases w:val="cliëntnummer"/>
    <w:basedOn w:val="000"/>
    <w:rsid w:val="00260630"/>
    <w:pPr>
      <w:spacing w:before="660"/>
      <w:jc w:val="right"/>
    </w:pPr>
  </w:style>
  <w:style w:type="paragraph" w:customStyle="1" w:styleId="003">
    <w:name w:val="003"/>
    <w:aliases w:val="bijlage 1 enz."/>
    <w:basedOn w:val="000"/>
    <w:next w:val="000"/>
    <w:rsid w:val="00260630"/>
    <w:pPr>
      <w:spacing w:before="120"/>
      <w:ind w:left="2608"/>
      <w:jc w:val="right"/>
    </w:pPr>
    <w:rPr>
      <w:b/>
    </w:rPr>
  </w:style>
  <w:style w:type="paragraph" w:customStyle="1" w:styleId="004">
    <w:name w:val="004"/>
    <w:aliases w:val="bij rapport d.d."/>
    <w:basedOn w:val="000"/>
    <w:next w:val="Normal"/>
    <w:rsid w:val="00260630"/>
    <w:pPr>
      <w:ind w:left="2608"/>
      <w:jc w:val="right"/>
    </w:pPr>
  </w:style>
  <w:style w:type="paragraph" w:customStyle="1" w:styleId="005">
    <w:name w:val="005"/>
    <w:aliases w:val="cliënt-naam"/>
    <w:basedOn w:val="000"/>
    <w:rsid w:val="00260630"/>
    <w:pPr>
      <w:ind w:left="2608"/>
      <w:jc w:val="right"/>
    </w:pPr>
  </w:style>
  <w:style w:type="paragraph" w:customStyle="1" w:styleId="006">
    <w:name w:val="006"/>
    <w:aliases w:val="Titel tekst"/>
    <w:basedOn w:val="Normal"/>
    <w:rsid w:val="00260630"/>
    <w:pPr>
      <w:spacing w:line="240" w:lineRule="auto"/>
    </w:pPr>
    <w:rPr>
      <w:b/>
      <w:color w:val="808080"/>
      <w:sz w:val="60"/>
      <w:szCs w:val="88"/>
    </w:rPr>
  </w:style>
  <w:style w:type="paragraph" w:customStyle="1" w:styleId="007">
    <w:name w:val="007"/>
    <w:aliases w:val="Subtitel tekst"/>
    <w:basedOn w:val="000"/>
    <w:rsid w:val="00260630"/>
    <w:pPr>
      <w:overflowPunct/>
      <w:autoSpaceDE/>
      <w:autoSpaceDN/>
      <w:adjustRightInd/>
      <w:spacing w:line="360" w:lineRule="atLeast"/>
      <w:textAlignment w:val="auto"/>
    </w:pPr>
    <w:rPr>
      <w:rFonts w:ascii="EYInterstate" w:hAnsi="EYInterstate"/>
      <w:color w:val="808080"/>
      <w:sz w:val="28"/>
      <w:szCs w:val="24"/>
    </w:rPr>
  </w:style>
  <w:style w:type="paragraph" w:customStyle="1" w:styleId="010">
    <w:name w:val="010"/>
    <w:aliases w:val="venster"/>
    <w:basedOn w:val="000"/>
    <w:rsid w:val="00260630"/>
    <w:pPr>
      <w:ind w:left="493"/>
    </w:pPr>
  </w:style>
  <w:style w:type="paragraph" w:customStyle="1" w:styleId="011">
    <w:name w:val="011"/>
    <w:aliases w:val="rapport"/>
    <w:basedOn w:val="Normal"/>
    <w:next w:val="Normal"/>
    <w:rsid w:val="00260630"/>
    <w:pPr>
      <w:spacing w:before="2000" w:after="60" w:line="240" w:lineRule="auto"/>
      <w:ind w:left="493"/>
    </w:pPr>
    <w:rPr>
      <w:b/>
      <w:sz w:val="32"/>
    </w:rPr>
  </w:style>
  <w:style w:type="paragraph" w:customStyle="1" w:styleId="012">
    <w:name w:val="012"/>
    <w:aliases w:val="aan"/>
    <w:basedOn w:val="010"/>
    <w:next w:val="Normal"/>
    <w:rsid w:val="00260630"/>
    <w:pPr>
      <w:spacing w:after="60"/>
    </w:pPr>
    <w:rPr>
      <w:b/>
    </w:rPr>
  </w:style>
  <w:style w:type="paragraph" w:customStyle="1" w:styleId="013">
    <w:name w:val="013"/>
    <w:aliases w:val="de directie van"/>
    <w:basedOn w:val="010"/>
    <w:next w:val="Normal"/>
    <w:rsid w:val="00260630"/>
  </w:style>
  <w:style w:type="paragraph" w:customStyle="1" w:styleId="014">
    <w:name w:val="014"/>
    <w:aliases w:val="cliëntnaam"/>
    <w:basedOn w:val="010"/>
    <w:next w:val="Normal"/>
    <w:rsid w:val="00260630"/>
  </w:style>
  <w:style w:type="paragraph" w:customStyle="1" w:styleId="015">
    <w:name w:val="015"/>
    <w:aliases w:val="plaatsnaam"/>
    <w:basedOn w:val="010"/>
    <w:next w:val="Normal"/>
    <w:rsid w:val="00260630"/>
  </w:style>
  <w:style w:type="paragraph" w:customStyle="1" w:styleId="016">
    <w:name w:val="016"/>
    <w:aliases w:val="inzake"/>
    <w:basedOn w:val="010"/>
    <w:next w:val="Normal"/>
    <w:rsid w:val="00260630"/>
    <w:pPr>
      <w:spacing w:before="280" w:after="60"/>
    </w:pPr>
  </w:style>
  <w:style w:type="paragraph" w:customStyle="1" w:styleId="017">
    <w:name w:val="017"/>
    <w:aliases w:val="onderwerp"/>
    <w:basedOn w:val="010"/>
    <w:rsid w:val="00260630"/>
  </w:style>
  <w:style w:type="paragraph" w:customStyle="1" w:styleId="018">
    <w:name w:val="018"/>
    <w:aliases w:val="financieel verslag"/>
    <w:basedOn w:val="010"/>
    <w:next w:val="Normal"/>
    <w:rsid w:val="00260630"/>
    <w:pPr>
      <w:spacing w:before="2200" w:after="60"/>
      <w:jc w:val="center"/>
    </w:pPr>
    <w:rPr>
      <w:b/>
    </w:rPr>
  </w:style>
  <w:style w:type="paragraph" w:customStyle="1" w:styleId="019">
    <w:name w:val="019"/>
    <w:aliases w:val="van (bij fin. verslag)"/>
    <w:basedOn w:val="010"/>
    <w:next w:val="014"/>
    <w:rsid w:val="00260630"/>
    <w:pPr>
      <w:spacing w:after="60"/>
      <w:jc w:val="center"/>
    </w:pPr>
  </w:style>
  <w:style w:type="paragraph" w:customStyle="1" w:styleId="020">
    <w:name w:val="020"/>
    <w:aliases w:val="streep"/>
    <w:basedOn w:val="000"/>
    <w:next w:val="000"/>
    <w:rsid w:val="00260630"/>
    <w:pPr>
      <w:pBdr>
        <w:bottom w:val="single" w:sz="6" w:space="0" w:color="auto"/>
      </w:pBdr>
      <w:tabs>
        <w:tab w:val="right" w:pos="9380"/>
      </w:tabs>
      <w:spacing w:after="280"/>
    </w:pPr>
  </w:style>
  <w:style w:type="paragraph" w:customStyle="1" w:styleId="021">
    <w:name w:val="021"/>
    <w:aliases w:val="inhoudsopgave"/>
    <w:basedOn w:val="Normal"/>
    <w:next w:val="Normal"/>
    <w:rsid w:val="00260630"/>
    <w:pPr>
      <w:spacing w:before="780" w:after="280" w:line="240" w:lineRule="auto"/>
    </w:pPr>
    <w:rPr>
      <w:b/>
      <w:sz w:val="32"/>
    </w:rPr>
  </w:style>
  <w:style w:type="paragraph" w:customStyle="1" w:styleId="023">
    <w:name w:val="023"/>
    <w:aliases w:val="regel &quot;Rapport&quot;"/>
    <w:basedOn w:val="Normal"/>
    <w:next w:val="TOC2"/>
    <w:rsid w:val="00260630"/>
    <w:pPr>
      <w:spacing w:before="280" w:after="140" w:line="240" w:lineRule="auto"/>
    </w:pPr>
    <w:rPr>
      <w:sz w:val="28"/>
    </w:rPr>
  </w:style>
  <w:style w:type="paragraph" w:styleId="TOC2">
    <w:name w:val="toc 2"/>
    <w:basedOn w:val="000"/>
    <w:uiPriority w:val="39"/>
    <w:qFormat/>
    <w:rsid w:val="00260630"/>
    <w:pPr>
      <w:tabs>
        <w:tab w:val="right" w:pos="9378"/>
      </w:tabs>
      <w:ind w:left="720" w:hanging="720"/>
    </w:pPr>
  </w:style>
  <w:style w:type="paragraph" w:customStyle="1" w:styleId="024">
    <w:name w:val="024"/>
    <w:aliases w:val="nummering bijlagen"/>
    <w:basedOn w:val="Normal"/>
    <w:rsid w:val="00260630"/>
    <w:pPr>
      <w:tabs>
        <w:tab w:val="right" w:pos="9380"/>
      </w:tabs>
      <w:ind w:left="720" w:hanging="720"/>
    </w:pPr>
  </w:style>
  <w:style w:type="paragraph" w:customStyle="1" w:styleId="025">
    <w:name w:val="025"/>
    <w:aliases w:val="regel &quot;Bijlagen&quot;"/>
    <w:basedOn w:val="Normal"/>
    <w:next w:val="024"/>
    <w:rsid w:val="00260630"/>
    <w:pPr>
      <w:spacing w:before="280" w:line="240" w:lineRule="auto"/>
    </w:pPr>
    <w:rPr>
      <w:sz w:val="28"/>
    </w:rPr>
  </w:style>
  <w:style w:type="paragraph" w:customStyle="1" w:styleId="026">
    <w:name w:val="026"/>
    <w:aliases w:val="regel &quot;Jaarrekening&quot; etc."/>
    <w:basedOn w:val="000"/>
    <w:rsid w:val="00260630"/>
    <w:pPr>
      <w:spacing w:before="140" w:after="140" w:line="240" w:lineRule="auto"/>
    </w:pPr>
  </w:style>
  <w:style w:type="paragraph" w:customStyle="1" w:styleId="027">
    <w:name w:val="027"/>
    <w:aliases w:val="opschrift"/>
    <w:basedOn w:val="Normal"/>
    <w:next w:val="000"/>
    <w:link w:val="027Char"/>
    <w:rsid w:val="00260630"/>
    <w:pPr>
      <w:spacing w:before="4200" w:line="240" w:lineRule="auto"/>
      <w:jc w:val="center"/>
    </w:pPr>
    <w:rPr>
      <w:b/>
      <w:color w:val="808080"/>
      <w:spacing w:val="100"/>
      <w:sz w:val="48"/>
    </w:rPr>
  </w:style>
  <w:style w:type="character" w:customStyle="1" w:styleId="027Char">
    <w:name w:val="027 Char"/>
    <w:aliases w:val="opschrift Char"/>
    <w:basedOn w:val="DefaultParagraphFont"/>
    <w:link w:val="027"/>
    <w:rsid w:val="00260630"/>
    <w:rPr>
      <w:rFonts w:ascii="EYInterstate" w:eastAsia="Times New Roman" w:hAnsi="EYInterstate" w:cs="Times New Roman"/>
      <w:b/>
      <w:color w:val="808080"/>
      <w:spacing w:val="100"/>
      <w:sz w:val="48"/>
      <w:szCs w:val="20"/>
    </w:rPr>
  </w:style>
  <w:style w:type="paragraph" w:customStyle="1" w:styleId="031">
    <w:name w:val="031"/>
    <w:aliases w:val="geadresseerde"/>
    <w:basedOn w:val="000"/>
    <w:next w:val="Normal"/>
    <w:rsid w:val="00260630"/>
  </w:style>
  <w:style w:type="paragraph" w:customStyle="1" w:styleId="032">
    <w:name w:val="032"/>
    <w:aliases w:val="naam-cliënt"/>
    <w:basedOn w:val="000"/>
    <w:next w:val="Normal"/>
    <w:rsid w:val="00260630"/>
  </w:style>
  <w:style w:type="paragraph" w:customStyle="1" w:styleId="034">
    <w:name w:val="034"/>
    <w:aliases w:val="vertrouwelijk"/>
    <w:basedOn w:val="000"/>
    <w:next w:val="Normal"/>
    <w:rsid w:val="00260630"/>
    <w:rPr>
      <w:b/>
      <w:caps/>
    </w:rPr>
  </w:style>
  <w:style w:type="paragraph" w:customStyle="1" w:styleId="035">
    <w:name w:val="035"/>
    <w:aliases w:val="plaats cliënt"/>
    <w:basedOn w:val="000"/>
    <w:next w:val="Normal"/>
    <w:rsid w:val="00260630"/>
    <w:pPr>
      <w:spacing w:after="780"/>
    </w:pPr>
    <w:rPr>
      <w:caps/>
    </w:rPr>
  </w:style>
  <w:style w:type="paragraph" w:customStyle="1" w:styleId="036">
    <w:name w:val="036"/>
    <w:aliases w:val="datum/kenmerk"/>
    <w:basedOn w:val="000"/>
    <w:next w:val="000"/>
    <w:rsid w:val="00260630"/>
    <w:pPr>
      <w:tabs>
        <w:tab w:val="right" w:pos="4819"/>
        <w:tab w:val="right" w:pos="9377"/>
      </w:tabs>
      <w:spacing w:after="520"/>
    </w:pPr>
  </w:style>
  <w:style w:type="paragraph" w:customStyle="1" w:styleId="037">
    <w:name w:val="037"/>
    <w:aliases w:val="betreft"/>
    <w:basedOn w:val="Normal"/>
    <w:qFormat/>
    <w:rsid w:val="00260630"/>
    <w:rPr>
      <w:b/>
      <w:sz w:val="26"/>
    </w:rPr>
  </w:style>
  <w:style w:type="paragraph" w:customStyle="1" w:styleId="038">
    <w:name w:val="038"/>
    <w:aliases w:val="aanhef memo/kopie aan/bijlage"/>
    <w:basedOn w:val="000"/>
    <w:rsid w:val="00260630"/>
    <w:pPr>
      <w:ind w:left="1123" w:hanging="1123"/>
    </w:pPr>
    <w:rPr>
      <w:kern w:val="0"/>
    </w:rPr>
  </w:style>
  <w:style w:type="paragraph" w:customStyle="1" w:styleId="040">
    <w:name w:val="040"/>
    <w:aliases w:val="titel 2"/>
    <w:basedOn w:val="Normal"/>
    <w:next w:val="000"/>
    <w:rsid w:val="00260630"/>
    <w:pPr>
      <w:keepNext/>
      <w:tabs>
        <w:tab w:val="left" w:pos="720"/>
      </w:tabs>
      <w:spacing w:after="520" w:line="240" w:lineRule="auto"/>
    </w:pPr>
    <w:rPr>
      <w:b/>
      <w:sz w:val="36"/>
    </w:rPr>
  </w:style>
  <w:style w:type="paragraph" w:customStyle="1" w:styleId="041">
    <w:name w:val="041"/>
    <w:aliases w:val="14 punten vet 1 witregel"/>
    <w:basedOn w:val="Normal"/>
    <w:next w:val="000"/>
    <w:rsid w:val="00260630"/>
    <w:pPr>
      <w:keepNext/>
      <w:tabs>
        <w:tab w:val="left" w:pos="720"/>
      </w:tabs>
      <w:spacing w:before="240" w:after="60" w:line="240" w:lineRule="auto"/>
      <w:ind w:left="720" w:hanging="720"/>
    </w:pPr>
    <w:rPr>
      <w:b/>
      <w:sz w:val="32"/>
    </w:rPr>
  </w:style>
  <w:style w:type="paragraph" w:customStyle="1" w:styleId="042">
    <w:name w:val="042"/>
    <w:aliases w:val="vet 1 witregel"/>
    <w:basedOn w:val="Normal"/>
    <w:next w:val="000"/>
    <w:rsid w:val="00260630"/>
    <w:pPr>
      <w:keepNext/>
      <w:tabs>
        <w:tab w:val="left" w:pos="720"/>
      </w:tabs>
      <w:spacing w:before="240" w:after="60" w:line="240" w:lineRule="auto"/>
      <w:ind w:left="720" w:hanging="720"/>
    </w:pPr>
    <w:rPr>
      <w:b/>
      <w:i/>
      <w:sz w:val="28"/>
    </w:rPr>
  </w:style>
  <w:style w:type="paragraph" w:customStyle="1" w:styleId="043">
    <w:name w:val="043"/>
    <w:aliases w:val="vet cursief 1 witregel"/>
    <w:basedOn w:val="Normal"/>
    <w:next w:val="000"/>
    <w:rsid w:val="00260630"/>
    <w:pPr>
      <w:keepNext/>
      <w:tabs>
        <w:tab w:val="left" w:pos="720"/>
      </w:tabs>
      <w:spacing w:before="240" w:after="60" w:line="240" w:lineRule="auto"/>
      <w:ind w:left="720" w:hanging="720"/>
    </w:pPr>
    <w:rPr>
      <w:b/>
      <w:sz w:val="26"/>
    </w:rPr>
  </w:style>
  <w:style w:type="paragraph" w:customStyle="1" w:styleId="045">
    <w:name w:val="045"/>
    <w:aliases w:val="inspringing a"/>
    <w:basedOn w:val="000"/>
    <w:rsid w:val="00260630"/>
    <w:pPr>
      <w:ind w:left="567" w:hanging="567"/>
    </w:pPr>
  </w:style>
  <w:style w:type="paragraph" w:customStyle="1" w:styleId="046">
    <w:name w:val="046"/>
    <w:aliases w:val="inspringing b"/>
    <w:basedOn w:val="000"/>
    <w:rsid w:val="00260630"/>
    <w:pPr>
      <w:ind w:left="1134" w:hanging="567"/>
    </w:pPr>
  </w:style>
  <w:style w:type="paragraph" w:customStyle="1" w:styleId="047">
    <w:name w:val="047"/>
    <w:aliases w:val="inspringing c"/>
    <w:basedOn w:val="000"/>
    <w:rsid w:val="00260630"/>
    <w:pPr>
      <w:ind w:left="1701" w:hanging="567"/>
    </w:pPr>
  </w:style>
  <w:style w:type="paragraph" w:customStyle="1" w:styleId="048">
    <w:name w:val="048"/>
    <w:aliases w:val="inspring"/>
    <w:basedOn w:val="000"/>
    <w:rsid w:val="00260630"/>
    <w:pPr>
      <w:ind w:left="567" w:hanging="567"/>
    </w:pPr>
  </w:style>
  <w:style w:type="paragraph" w:customStyle="1" w:styleId="049">
    <w:name w:val="049"/>
    <w:aliases w:val="handtekening"/>
    <w:basedOn w:val="000"/>
    <w:rsid w:val="00260630"/>
    <w:pPr>
      <w:tabs>
        <w:tab w:val="left" w:pos="4680"/>
      </w:tabs>
    </w:pPr>
  </w:style>
  <w:style w:type="paragraph" w:customStyle="1" w:styleId="061">
    <w:name w:val="061"/>
    <w:aliases w:val="paginanr."/>
    <w:basedOn w:val="000"/>
    <w:rsid w:val="00260630"/>
    <w:pPr>
      <w:spacing w:before="110"/>
      <w:jc w:val="right"/>
    </w:pPr>
  </w:style>
  <w:style w:type="paragraph" w:customStyle="1" w:styleId="070">
    <w:name w:val="070"/>
    <w:aliases w:val="kop balans/specificatie"/>
    <w:basedOn w:val="Normal"/>
    <w:next w:val="000"/>
    <w:rsid w:val="00260630"/>
    <w:pPr>
      <w:spacing w:line="240" w:lineRule="auto"/>
    </w:pPr>
    <w:rPr>
      <w:b/>
      <w:sz w:val="36"/>
    </w:rPr>
  </w:style>
  <w:style w:type="paragraph" w:customStyle="1" w:styleId="073">
    <w:name w:val="073"/>
    <w:aliases w:val="activa"/>
    <w:basedOn w:val="000"/>
    <w:next w:val="000"/>
    <w:rsid w:val="00260630"/>
    <w:rPr>
      <w:b/>
      <w:spacing w:val="100"/>
    </w:rPr>
  </w:style>
  <w:style w:type="paragraph" w:customStyle="1" w:styleId="074">
    <w:name w:val="074"/>
    <w:aliases w:val="passiva"/>
    <w:basedOn w:val="000"/>
    <w:next w:val="000"/>
    <w:rsid w:val="00260630"/>
    <w:pPr>
      <w:ind w:right="-100"/>
      <w:jc w:val="right"/>
    </w:pPr>
    <w:rPr>
      <w:b/>
      <w:spacing w:val="100"/>
    </w:rPr>
  </w:style>
  <w:style w:type="paragraph" w:customStyle="1" w:styleId="080">
    <w:name w:val="080"/>
    <w:aliases w:val="titel"/>
    <w:basedOn w:val="Normal"/>
    <w:next w:val="000"/>
    <w:rsid w:val="00260630"/>
    <w:pPr>
      <w:keepNext/>
      <w:spacing w:after="520" w:line="240" w:lineRule="auto"/>
    </w:pPr>
    <w:rPr>
      <w:b/>
      <w:sz w:val="36"/>
    </w:rPr>
  </w:style>
  <w:style w:type="paragraph" w:customStyle="1" w:styleId="081">
    <w:name w:val="081"/>
    <w:aliases w:val="kop 1"/>
    <w:basedOn w:val="Normal"/>
    <w:next w:val="000"/>
    <w:qFormat/>
    <w:rsid w:val="00260630"/>
    <w:pPr>
      <w:keepNext/>
      <w:spacing w:before="240" w:after="60" w:line="240" w:lineRule="auto"/>
    </w:pPr>
    <w:rPr>
      <w:b/>
      <w:kern w:val="32"/>
      <w:sz w:val="32"/>
    </w:rPr>
  </w:style>
  <w:style w:type="paragraph" w:customStyle="1" w:styleId="082">
    <w:name w:val="082"/>
    <w:aliases w:val="kop 2"/>
    <w:basedOn w:val="Normal"/>
    <w:next w:val="000"/>
    <w:qFormat/>
    <w:rsid w:val="00260630"/>
    <w:pPr>
      <w:keepNext/>
      <w:spacing w:before="240" w:after="60" w:line="240" w:lineRule="auto"/>
    </w:pPr>
    <w:rPr>
      <w:b/>
      <w:i/>
      <w:kern w:val="32"/>
      <w:sz w:val="28"/>
    </w:rPr>
  </w:style>
  <w:style w:type="paragraph" w:customStyle="1" w:styleId="083">
    <w:name w:val="083"/>
    <w:aliases w:val="kop 3"/>
    <w:basedOn w:val="Normal"/>
    <w:next w:val="000"/>
    <w:qFormat/>
    <w:rsid w:val="00260630"/>
    <w:pPr>
      <w:keepNext/>
      <w:spacing w:before="240" w:after="60" w:line="240" w:lineRule="auto"/>
    </w:pPr>
    <w:rPr>
      <w:b/>
      <w:kern w:val="32"/>
      <w:sz w:val="26"/>
    </w:rPr>
  </w:style>
  <w:style w:type="paragraph" w:customStyle="1" w:styleId="084">
    <w:name w:val="084"/>
    <w:aliases w:val="cursief geen inspring"/>
    <w:basedOn w:val="000"/>
    <w:next w:val="000"/>
    <w:rsid w:val="00260630"/>
    <w:pPr>
      <w:keepNext/>
      <w:spacing w:before="260"/>
    </w:pPr>
    <w:rPr>
      <w:i/>
    </w:rPr>
  </w:style>
  <w:style w:type="paragraph" w:customStyle="1" w:styleId="091">
    <w:name w:val="091"/>
    <w:aliases w:val="inhoudsopgave 14 punten vet"/>
    <w:basedOn w:val="021"/>
    <w:next w:val="Normal"/>
    <w:rsid w:val="00260630"/>
    <w:pPr>
      <w:spacing w:before="280"/>
      <w:ind w:left="720" w:hanging="720"/>
    </w:pPr>
    <w:rPr>
      <w:b w:val="0"/>
      <w:sz w:val="28"/>
    </w:rPr>
  </w:style>
  <w:style w:type="paragraph" w:customStyle="1" w:styleId="099">
    <w:name w:val="099"/>
    <w:aliases w:val="einde document teken"/>
    <w:basedOn w:val="000"/>
    <w:rsid w:val="00260630"/>
    <w:pPr>
      <w:pBdr>
        <w:bottom w:val="single" w:sz="18" w:space="0" w:color="auto"/>
      </w:pBdr>
      <w:tabs>
        <w:tab w:val="right" w:pos="9380"/>
      </w:tabs>
      <w:ind w:right="8820"/>
    </w:pPr>
  </w:style>
  <w:style w:type="paragraph" w:styleId="BalloonText">
    <w:name w:val="Balloon Text"/>
    <w:basedOn w:val="Normal"/>
    <w:link w:val="BalloonTextChar"/>
    <w:rsid w:val="0026063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260630"/>
    <w:rPr>
      <w:rFonts w:ascii="Tahoma" w:eastAsia="Times New Roman" w:hAnsi="Tahoma" w:cs="Tahoma"/>
      <w:sz w:val="16"/>
      <w:szCs w:val="16"/>
    </w:rPr>
  </w:style>
  <w:style w:type="paragraph" w:customStyle="1" w:styleId="BijlageHeading1">
    <w:name w:val="BijlageHeading 1"/>
    <w:basedOn w:val="Normal"/>
    <w:next w:val="000"/>
    <w:qFormat/>
    <w:rsid w:val="00260630"/>
    <w:pPr>
      <w:keepNext/>
      <w:numPr>
        <w:numId w:val="4"/>
      </w:numPr>
      <w:spacing w:before="240" w:after="60" w:line="240" w:lineRule="auto"/>
      <w:outlineLvl w:val="0"/>
    </w:pPr>
    <w:rPr>
      <w:b/>
      <w:kern w:val="32"/>
      <w:sz w:val="32"/>
    </w:rPr>
  </w:style>
  <w:style w:type="paragraph" w:customStyle="1" w:styleId="BijlageHeading2">
    <w:name w:val="BijlageHeading 2"/>
    <w:basedOn w:val="BijlageHeading1"/>
    <w:next w:val="000"/>
    <w:qFormat/>
    <w:rsid w:val="00260630"/>
    <w:pPr>
      <w:numPr>
        <w:ilvl w:val="1"/>
      </w:numPr>
      <w:outlineLvl w:val="1"/>
    </w:pPr>
    <w:rPr>
      <w:i/>
      <w:sz w:val="28"/>
    </w:rPr>
  </w:style>
  <w:style w:type="paragraph" w:customStyle="1" w:styleId="BijlageHeading3">
    <w:name w:val="BijlageHeading 3"/>
    <w:basedOn w:val="BijlageHeading1"/>
    <w:next w:val="000"/>
    <w:qFormat/>
    <w:rsid w:val="00260630"/>
    <w:pPr>
      <w:numPr>
        <w:ilvl w:val="2"/>
      </w:numPr>
      <w:outlineLvl w:val="2"/>
    </w:pPr>
    <w:rPr>
      <w:sz w:val="26"/>
    </w:rPr>
  </w:style>
  <w:style w:type="paragraph" w:customStyle="1" w:styleId="BijlageHeading4">
    <w:name w:val="BijlageHeading 4"/>
    <w:basedOn w:val="BijlageHeading1"/>
    <w:next w:val="000"/>
    <w:rsid w:val="00260630"/>
    <w:pPr>
      <w:numPr>
        <w:ilvl w:val="3"/>
      </w:numPr>
      <w:outlineLvl w:val="3"/>
    </w:pPr>
    <w:rPr>
      <w:rFonts w:ascii="EYInterstate Light" w:hAnsi="EYInterstate Light"/>
      <w:i/>
      <w:sz w:val="22"/>
    </w:rPr>
  </w:style>
  <w:style w:type="paragraph" w:customStyle="1" w:styleId="Bullet">
    <w:name w:val="Bullet"/>
    <w:basedOn w:val="000"/>
    <w:qFormat/>
    <w:rsid w:val="00260630"/>
    <w:pPr>
      <w:numPr>
        <w:numId w:val="8"/>
      </w:numPr>
    </w:pPr>
  </w:style>
  <w:style w:type="paragraph" w:styleId="EndnoteText">
    <w:name w:val="endnote text"/>
    <w:basedOn w:val="Normal"/>
    <w:link w:val="EndnoteTextChar"/>
    <w:semiHidden/>
    <w:rsid w:val="00260630"/>
  </w:style>
  <w:style w:type="character" w:customStyle="1" w:styleId="EndnoteTextChar">
    <w:name w:val="Endnote Text Char"/>
    <w:basedOn w:val="DefaultParagraphFont"/>
    <w:link w:val="EndnoteText"/>
    <w:semiHidden/>
    <w:rsid w:val="00260630"/>
    <w:rPr>
      <w:rFonts w:ascii="EYInterstate" w:eastAsia="Times New Roman" w:hAnsi="EYInterstate" w:cs="Times New Roman"/>
      <w:sz w:val="20"/>
      <w:szCs w:val="20"/>
    </w:rPr>
  </w:style>
  <w:style w:type="paragraph" w:customStyle="1" w:styleId="EYAttachment">
    <w:name w:val="EY Attachment"/>
    <w:basedOn w:val="000"/>
    <w:next w:val="000"/>
    <w:qFormat/>
    <w:rsid w:val="00260630"/>
    <w:pPr>
      <w:tabs>
        <w:tab w:val="left" w:pos="907"/>
      </w:tabs>
      <w:spacing w:before="260"/>
    </w:pPr>
  </w:style>
  <w:style w:type="paragraph" w:customStyle="1" w:styleId="EYBodytextnoparaspace">
    <w:name w:val="EY Body text (no para space)"/>
    <w:basedOn w:val="000"/>
    <w:qFormat/>
    <w:rsid w:val="00260630"/>
    <w:pPr>
      <w:tabs>
        <w:tab w:val="left" w:pos="907"/>
      </w:tabs>
    </w:pPr>
  </w:style>
  <w:style w:type="paragraph" w:customStyle="1" w:styleId="EYBodytextwithparaspace">
    <w:name w:val="EY Body text (with para space)"/>
    <w:basedOn w:val="000"/>
    <w:qFormat/>
    <w:rsid w:val="00260630"/>
    <w:pPr>
      <w:tabs>
        <w:tab w:val="left" w:pos="907"/>
      </w:tabs>
      <w:spacing w:after="260"/>
    </w:pPr>
  </w:style>
  <w:style w:type="paragraph" w:customStyle="1" w:styleId="EYBoldsubjectheading">
    <w:name w:val="EY Bold subject heading"/>
    <w:basedOn w:val="000"/>
    <w:next w:val="000"/>
    <w:qFormat/>
    <w:rsid w:val="00260630"/>
    <w:rPr>
      <w:rFonts w:ascii="EYInterstate" w:hAnsi="EYInterstate"/>
      <w:b/>
      <w:sz w:val="26"/>
    </w:rPr>
  </w:style>
  <w:style w:type="paragraph" w:customStyle="1" w:styleId="EYBulletedtext1">
    <w:name w:val="EY Bulleted text 1"/>
    <w:basedOn w:val="Bullet"/>
    <w:qFormat/>
    <w:rsid w:val="00260630"/>
    <w:pPr>
      <w:numPr>
        <w:numId w:val="0"/>
      </w:numPr>
    </w:pPr>
  </w:style>
  <w:style w:type="paragraph" w:customStyle="1" w:styleId="EYBulletedtext2">
    <w:name w:val="EY Bulleted text 2"/>
    <w:basedOn w:val="Bullet"/>
    <w:qFormat/>
    <w:rsid w:val="00260630"/>
    <w:pPr>
      <w:numPr>
        <w:numId w:val="0"/>
      </w:numPr>
    </w:pPr>
  </w:style>
  <w:style w:type="paragraph" w:customStyle="1" w:styleId="EYBulletedtext3">
    <w:name w:val="EY Bulleted text 3"/>
    <w:basedOn w:val="Bullet"/>
    <w:qFormat/>
    <w:rsid w:val="00260630"/>
    <w:pPr>
      <w:numPr>
        <w:numId w:val="0"/>
      </w:numPr>
    </w:pPr>
  </w:style>
  <w:style w:type="paragraph" w:customStyle="1" w:styleId="EYBusinessaddress">
    <w:name w:val="EY Business address"/>
    <w:basedOn w:val="000"/>
    <w:rsid w:val="00260630"/>
    <w:pPr>
      <w:spacing w:line="170" w:lineRule="atLeast"/>
    </w:pPr>
    <w:rPr>
      <w:color w:val="333333"/>
      <w:sz w:val="15"/>
    </w:rPr>
  </w:style>
  <w:style w:type="paragraph" w:customStyle="1" w:styleId="EYClosure">
    <w:name w:val="EY Closure"/>
    <w:basedOn w:val="000"/>
    <w:next w:val="000"/>
    <w:rsid w:val="00260630"/>
    <w:pPr>
      <w:tabs>
        <w:tab w:val="left" w:pos="907"/>
      </w:tabs>
      <w:spacing w:after="1040"/>
    </w:pPr>
  </w:style>
  <w:style w:type="paragraph" w:customStyle="1" w:styleId="EYContinuationheader">
    <w:name w:val="EY Continuation header"/>
    <w:basedOn w:val="000"/>
    <w:rsid w:val="00260630"/>
    <w:pPr>
      <w:tabs>
        <w:tab w:val="left" w:pos="2495"/>
      </w:tabs>
      <w:jc w:val="right"/>
    </w:pPr>
  </w:style>
  <w:style w:type="paragraph" w:customStyle="1" w:styleId="EYDate">
    <w:name w:val="EY Date"/>
    <w:basedOn w:val="000"/>
    <w:next w:val="000"/>
    <w:rsid w:val="00260630"/>
    <w:pPr>
      <w:tabs>
        <w:tab w:val="left" w:pos="907"/>
      </w:tabs>
    </w:pPr>
  </w:style>
  <w:style w:type="paragraph" w:customStyle="1" w:styleId="EYfooter">
    <w:name w:val="EY footer"/>
    <w:basedOn w:val="000"/>
    <w:rsid w:val="00260630"/>
    <w:pPr>
      <w:spacing w:line="240" w:lineRule="auto"/>
    </w:pPr>
    <w:rPr>
      <w:sz w:val="11"/>
    </w:rPr>
  </w:style>
  <w:style w:type="paragraph" w:styleId="Footer">
    <w:name w:val="footer"/>
    <w:basedOn w:val="000"/>
    <w:link w:val="FooterChar"/>
    <w:uiPriority w:val="99"/>
    <w:rsid w:val="00260630"/>
    <w:pPr>
      <w:tabs>
        <w:tab w:val="center" w:pos="4321"/>
        <w:tab w:val="center" w:pos="8641"/>
      </w:tabs>
      <w:spacing w:line="240" w:lineRule="auto"/>
    </w:pPr>
    <w:rPr>
      <w:rFonts w:ascii="EYInterstate" w:hAnsi="EYInterstate"/>
      <w:kern w:val="0"/>
    </w:rPr>
  </w:style>
  <w:style w:type="character" w:customStyle="1" w:styleId="FooterChar">
    <w:name w:val="Footer Char"/>
    <w:basedOn w:val="DefaultParagraphFont"/>
    <w:link w:val="Footer"/>
    <w:uiPriority w:val="99"/>
    <w:rsid w:val="00260630"/>
    <w:rPr>
      <w:rFonts w:ascii="EYInterstate" w:eastAsia="Times New Roman" w:hAnsi="EYInterstate" w:cs="Times New Roman"/>
      <w:sz w:val="20"/>
      <w:szCs w:val="20"/>
    </w:rPr>
  </w:style>
  <w:style w:type="character" w:styleId="FootnoteReference">
    <w:name w:val="footnote reference"/>
    <w:basedOn w:val="DefaultParagraphFont"/>
    <w:rsid w:val="00260630"/>
    <w:rPr>
      <w:rFonts w:ascii="EYInterstate Light" w:hAnsi="EYInterstate Light"/>
      <w:position w:val="6"/>
      <w:sz w:val="14"/>
    </w:rPr>
  </w:style>
  <w:style w:type="paragraph" w:styleId="FootnoteText">
    <w:name w:val="footnote text"/>
    <w:basedOn w:val="000"/>
    <w:link w:val="FootnoteTextChar"/>
    <w:rsid w:val="00260630"/>
    <w:pPr>
      <w:ind w:left="480" w:hanging="480"/>
    </w:pPr>
    <w:rPr>
      <w:sz w:val="18"/>
    </w:rPr>
  </w:style>
  <w:style w:type="character" w:customStyle="1" w:styleId="FootnoteTextChar">
    <w:name w:val="Footnote Text Char"/>
    <w:basedOn w:val="DefaultParagraphFont"/>
    <w:link w:val="FootnoteText"/>
    <w:rsid w:val="00260630"/>
    <w:rPr>
      <w:rFonts w:ascii="EYInterstate Light" w:eastAsia="Times New Roman" w:hAnsi="EYInterstate Light" w:cs="Times New Roman"/>
      <w:kern w:val="12"/>
      <w:sz w:val="18"/>
      <w:szCs w:val="20"/>
    </w:rPr>
  </w:style>
  <w:style w:type="paragraph" w:styleId="Header">
    <w:name w:val="header"/>
    <w:basedOn w:val="000"/>
    <w:link w:val="HeaderChar"/>
    <w:rsid w:val="00260630"/>
    <w:pPr>
      <w:tabs>
        <w:tab w:val="left" w:pos="4321"/>
        <w:tab w:val="left" w:pos="8641"/>
      </w:tabs>
      <w:spacing w:line="240" w:lineRule="auto"/>
    </w:pPr>
    <w:rPr>
      <w:rFonts w:ascii="EYInterstate" w:hAnsi="EYInterstate"/>
      <w:kern w:val="0"/>
    </w:rPr>
  </w:style>
  <w:style w:type="character" w:customStyle="1" w:styleId="HeaderChar">
    <w:name w:val="Header Char"/>
    <w:basedOn w:val="DefaultParagraphFont"/>
    <w:link w:val="Header"/>
    <w:rsid w:val="00260630"/>
    <w:rPr>
      <w:rFonts w:ascii="EYInterstate" w:eastAsia="Times New Roman" w:hAnsi="EYInterstate" w:cs="Times New Roman"/>
      <w:sz w:val="20"/>
      <w:szCs w:val="20"/>
    </w:rPr>
  </w:style>
  <w:style w:type="character" w:customStyle="1" w:styleId="Heading1Char">
    <w:name w:val="Heading 1 Char"/>
    <w:aliases w:val="051 Char"/>
    <w:basedOn w:val="DefaultParagraphFont"/>
    <w:link w:val="Heading1"/>
    <w:rsid w:val="00260630"/>
    <w:rPr>
      <w:rFonts w:ascii="EYInterstate" w:eastAsia="Times New Roman" w:hAnsi="EYInterstate" w:cs="Times New Roman"/>
      <w:b/>
      <w:kern w:val="32"/>
      <w:sz w:val="32"/>
      <w:szCs w:val="20"/>
    </w:rPr>
  </w:style>
  <w:style w:type="character" w:customStyle="1" w:styleId="Heading2Char">
    <w:name w:val="Heading 2 Char"/>
    <w:aliases w:val="052 Char"/>
    <w:basedOn w:val="DefaultParagraphFont"/>
    <w:link w:val="Heading2"/>
    <w:rsid w:val="00260630"/>
    <w:rPr>
      <w:rFonts w:ascii="EYInterstate" w:eastAsia="Times New Roman" w:hAnsi="EYInterstate" w:cs="Times New Roman"/>
      <w:b/>
      <w:i/>
      <w:kern w:val="28"/>
      <w:sz w:val="28"/>
      <w:szCs w:val="20"/>
    </w:rPr>
  </w:style>
  <w:style w:type="character" w:customStyle="1" w:styleId="Heading3Char">
    <w:name w:val="Heading 3 Char"/>
    <w:aliases w:val="053 Char"/>
    <w:basedOn w:val="DefaultParagraphFont"/>
    <w:link w:val="Heading3"/>
    <w:rsid w:val="00260630"/>
    <w:rPr>
      <w:rFonts w:ascii="EYInterstate" w:eastAsia="Times New Roman" w:hAnsi="EYInterstate" w:cs="Times New Roman"/>
      <w:b/>
      <w:kern w:val="26"/>
      <w:sz w:val="26"/>
      <w:szCs w:val="20"/>
    </w:rPr>
  </w:style>
  <w:style w:type="character" w:customStyle="1" w:styleId="Heading4Char">
    <w:name w:val="Heading 4 Char"/>
    <w:aliases w:val="054 Char"/>
    <w:basedOn w:val="DefaultParagraphFont"/>
    <w:link w:val="Heading4"/>
    <w:rsid w:val="00260630"/>
    <w:rPr>
      <w:rFonts w:ascii="EYInterstate" w:eastAsia="Times New Roman" w:hAnsi="EYInterstate" w:cs="Times New Roman"/>
      <w:i/>
      <w:kern w:val="32"/>
      <w:szCs w:val="20"/>
    </w:rPr>
  </w:style>
  <w:style w:type="character" w:customStyle="1" w:styleId="Heading5Char">
    <w:name w:val="Heading 5 Char"/>
    <w:basedOn w:val="DefaultParagraphFont"/>
    <w:link w:val="Heading5"/>
    <w:rsid w:val="00260630"/>
    <w:rPr>
      <w:rFonts w:ascii="EYInterstate Light" w:eastAsia="Times New Roman" w:hAnsi="EYInterstate Light" w:cs="Times New Roman"/>
      <w:kern w:val="12"/>
      <w:sz w:val="20"/>
      <w:szCs w:val="20"/>
    </w:rPr>
  </w:style>
  <w:style w:type="character" w:customStyle="1" w:styleId="Heading6Char">
    <w:name w:val="Heading 6 Char"/>
    <w:basedOn w:val="DefaultParagraphFont"/>
    <w:link w:val="Heading6"/>
    <w:rsid w:val="00260630"/>
    <w:rPr>
      <w:rFonts w:ascii="EYInterstate Light" w:eastAsia="Times New Roman" w:hAnsi="EYInterstate Light" w:cs="Times New Roman"/>
      <w:i/>
      <w:kern w:val="12"/>
      <w:sz w:val="20"/>
      <w:szCs w:val="20"/>
    </w:rPr>
  </w:style>
  <w:style w:type="character" w:customStyle="1" w:styleId="Heading7Char">
    <w:name w:val="Heading 7 Char"/>
    <w:basedOn w:val="DefaultParagraphFont"/>
    <w:link w:val="Heading7"/>
    <w:rsid w:val="00260630"/>
    <w:rPr>
      <w:rFonts w:ascii="EYInterstate Light" w:eastAsia="Times New Roman" w:hAnsi="EYInterstate Light" w:cs="Times New Roman"/>
      <w:kern w:val="12"/>
      <w:sz w:val="20"/>
      <w:szCs w:val="20"/>
    </w:rPr>
  </w:style>
  <w:style w:type="character" w:customStyle="1" w:styleId="Heading8Char">
    <w:name w:val="Heading 8 Char"/>
    <w:basedOn w:val="DefaultParagraphFont"/>
    <w:link w:val="Heading8"/>
    <w:rsid w:val="00260630"/>
    <w:rPr>
      <w:rFonts w:ascii="EYInterstate Light" w:eastAsia="Times New Roman" w:hAnsi="EYInterstate Light" w:cs="Times New Roman"/>
      <w:i/>
      <w:kern w:val="12"/>
      <w:sz w:val="20"/>
      <w:szCs w:val="20"/>
    </w:rPr>
  </w:style>
  <w:style w:type="character" w:customStyle="1" w:styleId="Heading9Char">
    <w:name w:val="Heading 9 Char"/>
    <w:basedOn w:val="DefaultParagraphFont"/>
    <w:link w:val="Heading9"/>
    <w:rsid w:val="00260630"/>
    <w:rPr>
      <w:rFonts w:ascii="EYInterstate Light" w:eastAsia="Times New Roman" w:hAnsi="EYInterstate Light" w:cs="Times New Roman"/>
      <w:b/>
      <w:i/>
      <w:kern w:val="12"/>
      <w:sz w:val="18"/>
      <w:szCs w:val="20"/>
    </w:rPr>
  </w:style>
  <w:style w:type="paragraph" w:styleId="ListBullet">
    <w:name w:val="List Bullet"/>
    <w:basedOn w:val="EYBulletedtext1"/>
    <w:rsid w:val="00260630"/>
    <w:pPr>
      <w:numPr>
        <w:numId w:val="19"/>
      </w:numPr>
    </w:pPr>
  </w:style>
  <w:style w:type="paragraph" w:styleId="ListBullet2">
    <w:name w:val="List Bullet 2"/>
    <w:basedOn w:val="EYBulletedtext2"/>
    <w:rsid w:val="00260630"/>
    <w:pPr>
      <w:numPr>
        <w:numId w:val="21"/>
      </w:numPr>
    </w:pPr>
  </w:style>
  <w:style w:type="paragraph" w:styleId="ListBullet3">
    <w:name w:val="List Bullet 3"/>
    <w:basedOn w:val="EYBulletedtext3"/>
    <w:rsid w:val="00260630"/>
    <w:pPr>
      <w:numPr>
        <w:numId w:val="23"/>
      </w:numPr>
    </w:pPr>
  </w:style>
  <w:style w:type="paragraph" w:styleId="ListNumber">
    <w:name w:val="List Number"/>
    <w:basedOn w:val="000"/>
    <w:rsid w:val="00260630"/>
    <w:pPr>
      <w:numPr>
        <w:numId w:val="25"/>
      </w:numPr>
    </w:pPr>
  </w:style>
  <w:style w:type="paragraph" w:styleId="TOC1">
    <w:name w:val="toc 1"/>
    <w:basedOn w:val="Normal"/>
    <w:next w:val="Normal"/>
    <w:uiPriority w:val="39"/>
    <w:qFormat/>
    <w:rsid w:val="00260630"/>
    <w:pPr>
      <w:tabs>
        <w:tab w:val="right" w:pos="9378"/>
      </w:tabs>
      <w:spacing w:before="280"/>
      <w:ind w:left="720" w:hanging="720"/>
    </w:pPr>
    <w:rPr>
      <w:b/>
    </w:rPr>
  </w:style>
  <w:style w:type="paragraph" w:styleId="TOC3">
    <w:name w:val="toc 3"/>
    <w:basedOn w:val="Normal"/>
    <w:next w:val="Normal"/>
    <w:autoRedefine/>
    <w:uiPriority w:val="39"/>
    <w:semiHidden/>
    <w:qFormat/>
    <w:rsid w:val="00260630"/>
    <w:pPr>
      <w:ind w:left="480"/>
    </w:pPr>
  </w:style>
  <w:style w:type="paragraph" w:styleId="TOC4">
    <w:name w:val="toc 4"/>
    <w:basedOn w:val="Normal"/>
    <w:next w:val="Normal"/>
    <w:autoRedefine/>
    <w:semiHidden/>
    <w:rsid w:val="00260630"/>
    <w:pPr>
      <w:ind w:left="720"/>
    </w:pPr>
  </w:style>
  <w:style w:type="paragraph" w:styleId="TOC5">
    <w:name w:val="toc 5"/>
    <w:basedOn w:val="Normal"/>
    <w:next w:val="Normal"/>
    <w:autoRedefine/>
    <w:semiHidden/>
    <w:rsid w:val="00260630"/>
    <w:pPr>
      <w:ind w:left="960"/>
    </w:pPr>
  </w:style>
  <w:style w:type="paragraph" w:styleId="TOC6">
    <w:name w:val="toc 6"/>
    <w:basedOn w:val="Normal"/>
    <w:next w:val="Normal"/>
    <w:autoRedefine/>
    <w:semiHidden/>
    <w:rsid w:val="00260630"/>
    <w:pPr>
      <w:ind w:left="1200"/>
    </w:pPr>
  </w:style>
  <w:style w:type="paragraph" w:styleId="TOC7">
    <w:name w:val="toc 7"/>
    <w:basedOn w:val="Normal"/>
    <w:next w:val="Normal"/>
    <w:autoRedefine/>
    <w:semiHidden/>
    <w:rsid w:val="00260630"/>
    <w:pPr>
      <w:ind w:left="1440"/>
    </w:pPr>
  </w:style>
  <w:style w:type="paragraph" w:styleId="TOC8">
    <w:name w:val="toc 8"/>
    <w:basedOn w:val="Normal"/>
    <w:next w:val="Normal"/>
    <w:autoRedefine/>
    <w:semiHidden/>
    <w:rsid w:val="00260630"/>
    <w:pPr>
      <w:ind w:left="1680"/>
    </w:pPr>
  </w:style>
  <w:style w:type="paragraph" w:styleId="TOC9">
    <w:name w:val="toc 9"/>
    <w:basedOn w:val="Normal"/>
    <w:next w:val="Normal"/>
    <w:autoRedefine/>
    <w:semiHidden/>
    <w:rsid w:val="00260630"/>
    <w:pPr>
      <w:ind w:left="1920"/>
    </w:pPr>
  </w:style>
  <w:style w:type="paragraph" w:styleId="Title">
    <w:name w:val="Title"/>
    <w:basedOn w:val="Normal"/>
    <w:next w:val="Normal"/>
    <w:link w:val="TitleChar"/>
    <w:qFormat/>
    <w:rsid w:val="00D81E8C"/>
    <w:pPr>
      <w:overflowPunct/>
      <w:autoSpaceDE/>
      <w:autoSpaceDN/>
      <w:adjustRightInd/>
      <w:spacing w:before="240" w:after="60" w:line="240" w:lineRule="auto"/>
      <w:jc w:val="center"/>
      <w:textAlignment w:val="auto"/>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rsid w:val="00D81E8C"/>
    <w:rPr>
      <w:rFonts w:asciiTheme="majorHAnsi" w:eastAsiaTheme="majorEastAsia" w:hAnsiTheme="majorHAnsi" w:cs="Times New Roman"/>
      <w:b/>
      <w:bCs/>
      <w:kern w:val="28"/>
      <w:sz w:val="32"/>
      <w:szCs w:val="32"/>
    </w:rPr>
  </w:style>
  <w:style w:type="paragraph" w:styleId="Subtitle">
    <w:name w:val="Subtitle"/>
    <w:basedOn w:val="Normal"/>
    <w:next w:val="Normal"/>
    <w:link w:val="SubtitleChar"/>
    <w:qFormat/>
    <w:rsid w:val="00D81E8C"/>
    <w:pPr>
      <w:overflowPunct/>
      <w:autoSpaceDE/>
      <w:autoSpaceDN/>
      <w:adjustRightInd/>
      <w:spacing w:after="60" w:line="240" w:lineRule="auto"/>
      <w:jc w:val="center"/>
      <w:textAlignment w:val="auto"/>
      <w:outlineLvl w:val="1"/>
    </w:pPr>
    <w:rPr>
      <w:rFonts w:asciiTheme="majorHAnsi" w:eastAsiaTheme="majorEastAsia" w:hAnsiTheme="majorHAnsi"/>
      <w:sz w:val="24"/>
      <w:szCs w:val="24"/>
    </w:rPr>
  </w:style>
  <w:style w:type="character" w:customStyle="1" w:styleId="SubtitleChar">
    <w:name w:val="Subtitle Char"/>
    <w:basedOn w:val="DefaultParagraphFont"/>
    <w:link w:val="Subtitle"/>
    <w:rsid w:val="00D81E8C"/>
    <w:rPr>
      <w:rFonts w:asciiTheme="majorHAnsi" w:eastAsiaTheme="majorEastAsia" w:hAnsiTheme="majorHAnsi" w:cs="Times New Roman"/>
      <w:sz w:val="24"/>
      <w:szCs w:val="24"/>
    </w:rPr>
  </w:style>
  <w:style w:type="paragraph" w:styleId="ListParagraph">
    <w:name w:val="List Paragraph"/>
    <w:basedOn w:val="Normal"/>
    <w:uiPriority w:val="34"/>
    <w:qFormat/>
    <w:rsid w:val="00D81E8C"/>
    <w:pPr>
      <w:overflowPunct/>
      <w:autoSpaceDE/>
      <w:autoSpaceDN/>
      <w:adjustRightInd/>
      <w:spacing w:line="240" w:lineRule="auto"/>
      <w:ind w:left="720"/>
      <w:contextualSpacing/>
      <w:textAlignment w:val="auto"/>
    </w:pPr>
    <w:rPr>
      <w:rFonts w:asciiTheme="minorHAnsi" w:eastAsiaTheme="minorEastAsia" w:hAnsiTheme="minorHAnsi"/>
      <w:sz w:val="24"/>
      <w:szCs w:val="24"/>
    </w:rPr>
  </w:style>
  <w:style w:type="paragraph" w:styleId="NormalWeb">
    <w:name w:val="Normal (Web)"/>
    <w:basedOn w:val="Normal"/>
    <w:uiPriority w:val="99"/>
    <w:unhideWhenUsed/>
    <w:rsid w:val="00D81E8C"/>
    <w:pPr>
      <w:overflowPunct/>
      <w:autoSpaceDE/>
      <w:autoSpaceDN/>
      <w:adjustRightInd/>
      <w:spacing w:before="100" w:beforeAutospacing="1" w:after="100" w:afterAutospacing="1" w:line="240" w:lineRule="auto"/>
      <w:textAlignment w:val="auto"/>
    </w:pPr>
    <w:rPr>
      <w:rFonts w:ascii="Times New Roman" w:hAnsi="Times New Roman"/>
      <w:sz w:val="24"/>
      <w:szCs w:val="24"/>
    </w:rPr>
  </w:style>
  <w:style w:type="paragraph" w:styleId="TOCHeading">
    <w:name w:val="TOC Heading"/>
    <w:basedOn w:val="Heading1"/>
    <w:next w:val="Normal"/>
    <w:uiPriority w:val="39"/>
    <w:unhideWhenUsed/>
    <w:qFormat/>
    <w:rsid w:val="00D81E8C"/>
    <w:pPr>
      <w:keepLines/>
      <w:numPr>
        <w:numId w:val="0"/>
      </w:numPr>
      <w:overflowPunct/>
      <w:autoSpaceDE/>
      <w:autoSpaceDN/>
      <w:adjustRightInd/>
      <w:spacing w:before="480" w:after="0" w:line="276" w:lineRule="auto"/>
      <w:textAlignment w:val="auto"/>
      <w:outlineLvl w:val="9"/>
    </w:pPr>
    <w:rPr>
      <w:rFonts w:asciiTheme="majorHAnsi" w:eastAsiaTheme="majorEastAsia" w:hAnsiTheme="majorHAnsi" w:cstheme="majorBidi"/>
      <w:bCs/>
      <w:color w:val="365F91" w:themeColor="accent1" w:themeShade="BF"/>
      <w:kern w:val="0"/>
      <w:sz w:val="28"/>
      <w:szCs w:val="28"/>
      <w:lang w:eastAsia="ja-JP"/>
    </w:rPr>
  </w:style>
  <w:style w:type="character" w:styleId="Hyperlink">
    <w:name w:val="Hyperlink"/>
    <w:basedOn w:val="DefaultParagraphFont"/>
    <w:uiPriority w:val="99"/>
    <w:unhideWhenUsed/>
    <w:rsid w:val="00D81E8C"/>
    <w:rPr>
      <w:color w:val="0000FF" w:themeColor="hyperlink"/>
      <w:u w:val="single"/>
    </w:rPr>
  </w:style>
  <w:style w:type="character" w:styleId="Strong">
    <w:name w:val="Strong"/>
    <w:basedOn w:val="DefaultParagraphFont"/>
    <w:uiPriority w:val="22"/>
    <w:qFormat/>
    <w:rsid w:val="00D81E8C"/>
    <w:rPr>
      <w:b/>
      <w:bCs/>
    </w:rPr>
  </w:style>
  <w:style w:type="character" w:styleId="Emphasis">
    <w:name w:val="Emphasis"/>
    <w:basedOn w:val="DefaultParagraphFont"/>
    <w:uiPriority w:val="20"/>
    <w:qFormat/>
    <w:rsid w:val="00D81E8C"/>
    <w:rPr>
      <w:rFonts w:asciiTheme="minorHAnsi" w:hAnsiTheme="minorHAnsi"/>
      <w:b/>
      <w:i/>
      <w:iCs/>
    </w:rPr>
  </w:style>
  <w:style w:type="paragraph" w:styleId="NoSpacing">
    <w:name w:val="No Spacing"/>
    <w:basedOn w:val="Normal"/>
    <w:uiPriority w:val="1"/>
    <w:qFormat/>
    <w:rsid w:val="00D81E8C"/>
    <w:pPr>
      <w:overflowPunct/>
      <w:autoSpaceDE/>
      <w:autoSpaceDN/>
      <w:adjustRightInd/>
      <w:spacing w:line="240" w:lineRule="auto"/>
      <w:textAlignment w:val="auto"/>
    </w:pPr>
    <w:rPr>
      <w:rFonts w:asciiTheme="minorHAnsi" w:eastAsiaTheme="minorEastAsia" w:hAnsiTheme="minorHAnsi"/>
      <w:sz w:val="24"/>
      <w:szCs w:val="32"/>
    </w:rPr>
  </w:style>
  <w:style w:type="paragraph" w:styleId="Quote">
    <w:name w:val="Quote"/>
    <w:basedOn w:val="Normal"/>
    <w:next w:val="Normal"/>
    <w:link w:val="QuoteChar"/>
    <w:uiPriority w:val="29"/>
    <w:qFormat/>
    <w:rsid w:val="00D81E8C"/>
    <w:pPr>
      <w:overflowPunct/>
      <w:autoSpaceDE/>
      <w:autoSpaceDN/>
      <w:adjustRightInd/>
      <w:spacing w:line="240" w:lineRule="auto"/>
      <w:textAlignment w:val="auto"/>
    </w:pPr>
    <w:rPr>
      <w:rFonts w:asciiTheme="minorHAnsi" w:eastAsiaTheme="minorEastAsia" w:hAnsiTheme="minorHAnsi"/>
      <w:i/>
      <w:sz w:val="24"/>
      <w:szCs w:val="24"/>
    </w:rPr>
  </w:style>
  <w:style w:type="character" w:customStyle="1" w:styleId="QuoteChar">
    <w:name w:val="Quote Char"/>
    <w:basedOn w:val="DefaultParagraphFont"/>
    <w:link w:val="Quote"/>
    <w:uiPriority w:val="29"/>
    <w:rsid w:val="00D81E8C"/>
    <w:rPr>
      <w:rFonts w:cs="Times New Roman"/>
      <w:i/>
      <w:sz w:val="24"/>
      <w:szCs w:val="24"/>
    </w:rPr>
  </w:style>
  <w:style w:type="paragraph" w:styleId="IntenseQuote">
    <w:name w:val="Intense Quote"/>
    <w:basedOn w:val="Normal"/>
    <w:next w:val="Normal"/>
    <w:link w:val="IntenseQuoteChar"/>
    <w:uiPriority w:val="30"/>
    <w:qFormat/>
    <w:rsid w:val="00D81E8C"/>
    <w:pPr>
      <w:overflowPunct/>
      <w:autoSpaceDE/>
      <w:autoSpaceDN/>
      <w:adjustRightInd/>
      <w:spacing w:line="240" w:lineRule="auto"/>
      <w:ind w:left="720" w:right="720"/>
      <w:textAlignment w:val="auto"/>
    </w:pPr>
    <w:rPr>
      <w:rFonts w:asciiTheme="minorHAnsi" w:eastAsiaTheme="minorEastAsia" w:hAnsiTheme="minorHAnsi"/>
      <w:b/>
      <w:i/>
      <w:sz w:val="24"/>
      <w:szCs w:val="22"/>
    </w:rPr>
  </w:style>
  <w:style w:type="character" w:customStyle="1" w:styleId="IntenseQuoteChar">
    <w:name w:val="Intense Quote Char"/>
    <w:basedOn w:val="DefaultParagraphFont"/>
    <w:link w:val="IntenseQuote"/>
    <w:uiPriority w:val="30"/>
    <w:rsid w:val="00D81E8C"/>
    <w:rPr>
      <w:rFonts w:cs="Times New Roman"/>
      <w:b/>
      <w:i/>
      <w:sz w:val="24"/>
    </w:rPr>
  </w:style>
  <w:style w:type="character" w:styleId="SubtleEmphasis">
    <w:name w:val="Subtle Emphasis"/>
    <w:uiPriority w:val="19"/>
    <w:qFormat/>
    <w:rsid w:val="00D81E8C"/>
    <w:rPr>
      <w:i/>
      <w:color w:val="5A5A5A" w:themeColor="text1" w:themeTint="A5"/>
    </w:rPr>
  </w:style>
  <w:style w:type="character" w:styleId="IntenseEmphasis">
    <w:name w:val="Intense Emphasis"/>
    <w:basedOn w:val="DefaultParagraphFont"/>
    <w:uiPriority w:val="21"/>
    <w:qFormat/>
    <w:rsid w:val="00D81E8C"/>
    <w:rPr>
      <w:b/>
      <w:i/>
      <w:sz w:val="24"/>
      <w:szCs w:val="24"/>
      <w:u w:val="single"/>
    </w:rPr>
  </w:style>
  <w:style w:type="character" w:styleId="SubtleReference">
    <w:name w:val="Subtle Reference"/>
    <w:basedOn w:val="DefaultParagraphFont"/>
    <w:uiPriority w:val="31"/>
    <w:qFormat/>
    <w:rsid w:val="00D81E8C"/>
    <w:rPr>
      <w:sz w:val="24"/>
      <w:szCs w:val="24"/>
      <w:u w:val="single"/>
    </w:rPr>
  </w:style>
  <w:style w:type="character" w:styleId="IntenseReference">
    <w:name w:val="Intense Reference"/>
    <w:basedOn w:val="DefaultParagraphFont"/>
    <w:uiPriority w:val="32"/>
    <w:qFormat/>
    <w:rsid w:val="00D81E8C"/>
    <w:rPr>
      <w:b/>
      <w:sz w:val="24"/>
      <w:u w:val="single"/>
    </w:rPr>
  </w:style>
  <w:style w:type="character" w:styleId="BookTitle">
    <w:name w:val="Book Title"/>
    <w:basedOn w:val="DefaultParagraphFont"/>
    <w:uiPriority w:val="33"/>
    <w:qFormat/>
    <w:rsid w:val="00D81E8C"/>
    <w:rPr>
      <w:rFonts w:asciiTheme="majorHAnsi" w:eastAsiaTheme="majorEastAsia" w:hAnsiTheme="majorHAnsi"/>
      <w:b/>
      <w:i/>
      <w:sz w:val="24"/>
      <w:szCs w:val="24"/>
    </w:rPr>
  </w:style>
  <w:style w:type="paragraph" w:styleId="Caption">
    <w:name w:val="caption"/>
    <w:basedOn w:val="Normal"/>
    <w:next w:val="Normal"/>
    <w:uiPriority w:val="35"/>
    <w:unhideWhenUsed/>
    <w:qFormat/>
    <w:rsid w:val="00D81E8C"/>
    <w:pPr>
      <w:overflowPunct/>
      <w:autoSpaceDE/>
      <w:autoSpaceDN/>
      <w:adjustRightInd/>
      <w:spacing w:line="240" w:lineRule="auto"/>
      <w:textAlignment w:val="auto"/>
    </w:pPr>
    <w:rPr>
      <w:rFonts w:asciiTheme="minorHAnsi" w:eastAsiaTheme="minorEastAsia" w:hAnsiTheme="minorHAnsi"/>
      <w:b/>
      <w:bCs/>
      <w:color w:val="4F81BD" w:themeColor="accent1"/>
      <w:sz w:val="18"/>
      <w:szCs w:val="18"/>
    </w:rPr>
  </w:style>
  <w:style w:type="character" w:customStyle="1" w:styleId="apple-converted-space">
    <w:name w:val="apple-converted-space"/>
    <w:basedOn w:val="DefaultParagraphFont"/>
    <w:rsid w:val="00D81E8C"/>
  </w:style>
  <w:style w:type="character" w:styleId="CommentReference">
    <w:name w:val="annotation reference"/>
    <w:basedOn w:val="DefaultParagraphFont"/>
    <w:uiPriority w:val="99"/>
    <w:semiHidden/>
    <w:unhideWhenUsed/>
    <w:rsid w:val="00D81E8C"/>
    <w:rPr>
      <w:sz w:val="16"/>
      <w:szCs w:val="16"/>
    </w:rPr>
  </w:style>
  <w:style w:type="paragraph" w:styleId="CommentText">
    <w:name w:val="annotation text"/>
    <w:basedOn w:val="Normal"/>
    <w:link w:val="CommentTextChar"/>
    <w:uiPriority w:val="99"/>
    <w:semiHidden/>
    <w:unhideWhenUsed/>
    <w:rsid w:val="00D81E8C"/>
    <w:pPr>
      <w:overflowPunct/>
      <w:autoSpaceDE/>
      <w:autoSpaceDN/>
      <w:adjustRightInd/>
      <w:spacing w:line="240" w:lineRule="auto"/>
      <w:textAlignment w:val="auto"/>
    </w:pPr>
    <w:rPr>
      <w:rFonts w:asciiTheme="minorHAnsi" w:eastAsiaTheme="minorEastAsia" w:hAnsiTheme="minorHAnsi"/>
    </w:rPr>
  </w:style>
  <w:style w:type="character" w:customStyle="1" w:styleId="CommentTextChar">
    <w:name w:val="Comment Text Char"/>
    <w:basedOn w:val="DefaultParagraphFont"/>
    <w:link w:val="CommentText"/>
    <w:uiPriority w:val="99"/>
    <w:semiHidden/>
    <w:rsid w:val="00D81E8C"/>
    <w:rPr>
      <w:rFonts w:cs="Times New Roman"/>
      <w:sz w:val="20"/>
      <w:szCs w:val="20"/>
    </w:rPr>
  </w:style>
  <w:style w:type="paragraph" w:styleId="CommentSubject">
    <w:name w:val="annotation subject"/>
    <w:basedOn w:val="CommentText"/>
    <w:next w:val="CommentText"/>
    <w:link w:val="CommentSubjectChar"/>
    <w:uiPriority w:val="99"/>
    <w:semiHidden/>
    <w:unhideWhenUsed/>
    <w:rsid w:val="00D81E8C"/>
    <w:rPr>
      <w:b/>
      <w:bCs/>
    </w:rPr>
  </w:style>
  <w:style w:type="character" w:customStyle="1" w:styleId="CommentSubjectChar">
    <w:name w:val="Comment Subject Char"/>
    <w:basedOn w:val="CommentTextChar"/>
    <w:link w:val="CommentSubject"/>
    <w:uiPriority w:val="99"/>
    <w:semiHidden/>
    <w:rsid w:val="00D81E8C"/>
    <w:rPr>
      <w:rFonts w:cs="Times New Roman"/>
      <w:b/>
      <w:bCs/>
      <w:sz w:val="20"/>
      <w:szCs w:val="20"/>
    </w:rPr>
  </w:style>
  <w:style w:type="character" w:styleId="PlaceholderText">
    <w:name w:val="Placeholder Text"/>
    <w:basedOn w:val="DefaultParagraphFont"/>
    <w:uiPriority w:val="99"/>
    <w:semiHidden/>
    <w:rsid w:val="00144315"/>
    <w:rPr>
      <w:color w:val="808080"/>
    </w:rPr>
  </w:style>
  <w:style w:type="paragraph" w:styleId="BodyText">
    <w:name w:val="Body Text"/>
    <w:basedOn w:val="Normal"/>
    <w:link w:val="BodyTextChar"/>
    <w:unhideWhenUsed/>
    <w:qFormat/>
    <w:rsid w:val="00144315"/>
    <w:pPr>
      <w:overflowPunct/>
      <w:autoSpaceDE/>
      <w:autoSpaceDN/>
      <w:adjustRightInd/>
      <w:spacing w:after="240" w:line="240" w:lineRule="atLeast"/>
      <w:textAlignment w:val="auto"/>
    </w:pPr>
    <w:rPr>
      <w:rFonts w:ascii="Georgia" w:eastAsiaTheme="minorHAnsi" w:hAnsi="Georgia" w:cstheme="minorBidi"/>
      <w:lang w:val="en-GB" w:eastAsia="en-US"/>
    </w:rPr>
  </w:style>
  <w:style w:type="character" w:customStyle="1" w:styleId="BodyTextChar">
    <w:name w:val="Body Text Char"/>
    <w:basedOn w:val="DefaultParagraphFont"/>
    <w:link w:val="BodyText"/>
    <w:rsid w:val="00144315"/>
    <w:rPr>
      <w:rFonts w:ascii="Georgia" w:eastAsiaTheme="minorHAnsi" w:hAnsi="Georgia"/>
      <w:sz w:val="20"/>
      <w:szCs w:val="20"/>
      <w:lang w:val="en-GB" w:eastAsia="en-US"/>
    </w:rPr>
  </w:style>
  <w:style w:type="table" w:styleId="TableGrid">
    <w:name w:val="Table Grid"/>
    <w:basedOn w:val="TableNormal"/>
    <w:uiPriority w:val="59"/>
    <w:rsid w:val="00144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35" w:qFormat="1"/>
    <w:lsdException w:name="footnote reference" w:uiPriority="0"/>
    <w:lsdException w:name="endnote text" w:uiPriority="0"/>
    <w:lsdException w:name="List Bullet" w:uiPriority="0"/>
    <w:lsdException w:name="List Number"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630"/>
    <w:pPr>
      <w:overflowPunct w:val="0"/>
      <w:autoSpaceDE w:val="0"/>
      <w:autoSpaceDN w:val="0"/>
      <w:adjustRightInd w:val="0"/>
      <w:spacing w:after="0" w:line="260" w:lineRule="atLeast"/>
      <w:textAlignment w:val="baseline"/>
    </w:pPr>
    <w:rPr>
      <w:rFonts w:ascii="EYInterstate" w:eastAsia="Times New Roman" w:hAnsi="EYInterstate" w:cs="Times New Roman"/>
      <w:sz w:val="20"/>
      <w:szCs w:val="20"/>
    </w:rPr>
  </w:style>
  <w:style w:type="paragraph" w:styleId="Heading1">
    <w:name w:val="heading 1"/>
    <w:aliases w:val="051"/>
    <w:basedOn w:val="Normal"/>
    <w:next w:val="000"/>
    <w:link w:val="Heading1Char"/>
    <w:qFormat/>
    <w:rsid w:val="00260630"/>
    <w:pPr>
      <w:keepNext/>
      <w:numPr>
        <w:numId w:val="17"/>
      </w:numPr>
      <w:spacing w:before="240" w:after="60" w:line="240" w:lineRule="auto"/>
      <w:outlineLvl w:val="0"/>
    </w:pPr>
    <w:rPr>
      <w:b/>
      <w:kern w:val="32"/>
      <w:sz w:val="32"/>
    </w:rPr>
  </w:style>
  <w:style w:type="paragraph" w:styleId="Heading2">
    <w:name w:val="heading 2"/>
    <w:aliases w:val="052"/>
    <w:basedOn w:val="Heading1"/>
    <w:next w:val="000"/>
    <w:link w:val="Heading2Char"/>
    <w:qFormat/>
    <w:rsid w:val="00260630"/>
    <w:pPr>
      <w:numPr>
        <w:ilvl w:val="1"/>
      </w:numPr>
      <w:outlineLvl w:val="1"/>
    </w:pPr>
    <w:rPr>
      <w:i/>
      <w:kern w:val="28"/>
      <w:sz w:val="28"/>
    </w:rPr>
  </w:style>
  <w:style w:type="paragraph" w:styleId="Heading3">
    <w:name w:val="heading 3"/>
    <w:aliases w:val="053"/>
    <w:basedOn w:val="Heading1"/>
    <w:next w:val="000"/>
    <w:link w:val="Heading3Char"/>
    <w:qFormat/>
    <w:rsid w:val="00260630"/>
    <w:pPr>
      <w:numPr>
        <w:ilvl w:val="2"/>
      </w:numPr>
      <w:outlineLvl w:val="2"/>
    </w:pPr>
    <w:rPr>
      <w:kern w:val="26"/>
      <w:sz w:val="26"/>
    </w:rPr>
  </w:style>
  <w:style w:type="paragraph" w:styleId="Heading4">
    <w:name w:val="heading 4"/>
    <w:aliases w:val="054"/>
    <w:basedOn w:val="Heading1"/>
    <w:next w:val="000"/>
    <w:link w:val="Heading4Char"/>
    <w:qFormat/>
    <w:rsid w:val="00260630"/>
    <w:pPr>
      <w:numPr>
        <w:ilvl w:val="3"/>
      </w:numPr>
      <w:outlineLvl w:val="3"/>
    </w:pPr>
    <w:rPr>
      <w:b w:val="0"/>
      <w:i/>
      <w:sz w:val="22"/>
    </w:rPr>
  </w:style>
  <w:style w:type="paragraph" w:styleId="Heading5">
    <w:name w:val="heading 5"/>
    <w:basedOn w:val="000"/>
    <w:next w:val="000"/>
    <w:link w:val="Heading5Char"/>
    <w:qFormat/>
    <w:rsid w:val="00260630"/>
    <w:pPr>
      <w:numPr>
        <w:ilvl w:val="4"/>
        <w:numId w:val="17"/>
      </w:numPr>
      <w:spacing w:before="240" w:after="60"/>
      <w:outlineLvl w:val="4"/>
    </w:pPr>
  </w:style>
  <w:style w:type="paragraph" w:styleId="Heading6">
    <w:name w:val="heading 6"/>
    <w:basedOn w:val="000"/>
    <w:next w:val="000"/>
    <w:link w:val="Heading6Char"/>
    <w:qFormat/>
    <w:rsid w:val="00260630"/>
    <w:pPr>
      <w:numPr>
        <w:ilvl w:val="5"/>
        <w:numId w:val="17"/>
      </w:numPr>
      <w:spacing w:before="240" w:after="60"/>
      <w:outlineLvl w:val="5"/>
    </w:pPr>
    <w:rPr>
      <w:i/>
    </w:rPr>
  </w:style>
  <w:style w:type="paragraph" w:styleId="Heading7">
    <w:name w:val="heading 7"/>
    <w:basedOn w:val="000"/>
    <w:next w:val="000"/>
    <w:link w:val="Heading7Char"/>
    <w:qFormat/>
    <w:rsid w:val="00260630"/>
    <w:pPr>
      <w:numPr>
        <w:ilvl w:val="6"/>
        <w:numId w:val="17"/>
      </w:numPr>
      <w:spacing w:before="240" w:after="60"/>
      <w:outlineLvl w:val="6"/>
    </w:pPr>
  </w:style>
  <w:style w:type="paragraph" w:styleId="Heading8">
    <w:name w:val="heading 8"/>
    <w:basedOn w:val="000"/>
    <w:next w:val="000"/>
    <w:link w:val="Heading8Char"/>
    <w:qFormat/>
    <w:rsid w:val="00260630"/>
    <w:pPr>
      <w:numPr>
        <w:ilvl w:val="7"/>
        <w:numId w:val="17"/>
      </w:numPr>
      <w:spacing w:before="240" w:after="60"/>
      <w:outlineLvl w:val="7"/>
    </w:pPr>
    <w:rPr>
      <w:i/>
    </w:rPr>
  </w:style>
  <w:style w:type="paragraph" w:styleId="Heading9">
    <w:name w:val="heading 9"/>
    <w:basedOn w:val="000"/>
    <w:next w:val="000"/>
    <w:link w:val="Heading9Char"/>
    <w:qFormat/>
    <w:rsid w:val="00260630"/>
    <w:pPr>
      <w:numPr>
        <w:ilvl w:val="8"/>
        <w:numId w:val="17"/>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00">
    <w:name w:val="000"/>
    <w:aliases w:val="standaard"/>
    <w:basedOn w:val="Normal"/>
    <w:rsid w:val="00260630"/>
    <w:rPr>
      <w:rFonts w:ascii="EYInterstate Light" w:hAnsi="EYInterstate Light"/>
      <w:kern w:val="12"/>
    </w:rPr>
  </w:style>
  <w:style w:type="paragraph" w:customStyle="1" w:styleId="001">
    <w:name w:val="001"/>
    <w:aliases w:val="cliëntnummer"/>
    <w:basedOn w:val="000"/>
    <w:rsid w:val="00260630"/>
    <w:pPr>
      <w:spacing w:before="660"/>
      <w:jc w:val="right"/>
    </w:pPr>
  </w:style>
  <w:style w:type="paragraph" w:customStyle="1" w:styleId="003">
    <w:name w:val="003"/>
    <w:aliases w:val="bijlage 1 enz."/>
    <w:basedOn w:val="000"/>
    <w:next w:val="000"/>
    <w:rsid w:val="00260630"/>
    <w:pPr>
      <w:spacing w:before="120"/>
      <w:ind w:left="2608"/>
      <w:jc w:val="right"/>
    </w:pPr>
    <w:rPr>
      <w:b/>
    </w:rPr>
  </w:style>
  <w:style w:type="paragraph" w:customStyle="1" w:styleId="004">
    <w:name w:val="004"/>
    <w:aliases w:val="bij rapport d.d."/>
    <w:basedOn w:val="000"/>
    <w:next w:val="Normal"/>
    <w:rsid w:val="00260630"/>
    <w:pPr>
      <w:ind w:left="2608"/>
      <w:jc w:val="right"/>
    </w:pPr>
  </w:style>
  <w:style w:type="paragraph" w:customStyle="1" w:styleId="005">
    <w:name w:val="005"/>
    <w:aliases w:val="cliënt-naam"/>
    <w:basedOn w:val="000"/>
    <w:rsid w:val="00260630"/>
    <w:pPr>
      <w:ind w:left="2608"/>
      <w:jc w:val="right"/>
    </w:pPr>
  </w:style>
  <w:style w:type="paragraph" w:customStyle="1" w:styleId="006">
    <w:name w:val="006"/>
    <w:aliases w:val="Titel tekst"/>
    <w:basedOn w:val="Normal"/>
    <w:rsid w:val="00260630"/>
    <w:pPr>
      <w:spacing w:line="240" w:lineRule="auto"/>
    </w:pPr>
    <w:rPr>
      <w:b/>
      <w:color w:val="808080"/>
      <w:sz w:val="60"/>
      <w:szCs w:val="88"/>
    </w:rPr>
  </w:style>
  <w:style w:type="paragraph" w:customStyle="1" w:styleId="007">
    <w:name w:val="007"/>
    <w:aliases w:val="Subtitel tekst"/>
    <w:basedOn w:val="000"/>
    <w:rsid w:val="00260630"/>
    <w:pPr>
      <w:overflowPunct/>
      <w:autoSpaceDE/>
      <w:autoSpaceDN/>
      <w:adjustRightInd/>
      <w:spacing w:line="360" w:lineRule="atLeast"/>
      <w:textAlignment w:val="auto"/>
    </w:pPr>
    <w:rPr>
      <w:rFonts w:ascii="EYInterstate" w:hAnsi="EYInterstate"/>
      <w:color w:val="808080"/>
      <w:sz w:val="28"/>
      <w:szCs w:val="24"/>
    </w:rPr>
  </w:style>
  <w:style w:type="paragraph" w:customStyle="1" w:styleId="010">
    <w:name w:val="010"/>
    <w:aliases w:val="venster"/>
    <w:basedOn w:val="000"/>
    <w:rsid w:val="00260630"/>
    <w:pPr>
      <w:ind w:left="493"/>
    </w:pPr>
  </w:style>
  <w:style w:type="paragraph" w:customStyle="1" w:styleId="011">
    <w:name w:val="011"/>
    <w:aliases w:val="rapport"/>
    <w:basedOn w:val="Normal"/>
    <w:next w:val="Normal"/>
    <w:rsid w:val="00260630"/>
    <w:pPr>
      <w:spacing w:before="2000" w:after="60" w:line="240" w:lineRule="auto"/>
      <w:ind w:left="493"/>
    </w:pPr>
    <w:rPr>
      <w:b/>
      <w:sz w:val="32"/>
    </w:rPr>
  </w:style>
  <w:style w:type="paragraph" w:customStyle="1" w:styleId="012">
    <w:name w:val="012"/>
    <w:aliases w:val="aan"/>
    <w:basedOn w:val="010"/>
    <w:next w:val="Normal"/>
    <w:rsid w:val="00260630"/>
    <w:pPr>
      <w:spacing w:after="60"/>
    </w:pPr>
    <w:rPr>
      <w:b/>
    </w:rPr>
  </w:style>
  <w:style w:type="paragraph" w:customStyle="1" w:styleId="013">
    <w:name w:val="013"/>
    <w:aliases w:val="de directie van"/>
    <w:basedOn w:val="010"/>
    <w:next w:val="Normal"/>
    <w:rsid w:val="00260630"/>
  </w:style>
  <w:style w:type="paragraph" w:customStyle="1" w:styleId="014">
    <w:name w:val="014"/>
    <w:aliases w:val="cliëntnaam"/>
    <w:basedOn w:val="010"/>
    <w:next w:val="Normal"/>
    <w:rsid w:val="00260630"/>
  </w:style>
  <w:style w:type="paragraph" w:customStyle="1" w:styleId="015">
    <w:name w:val="015"/>
    <w:aliases w:val="plaatsnaam"/>
    <w:basedOn w:val="010"/>
    <w:next w:val="Normal"/>
    <w:rsid w:val="00260630"/>
  </w:style>
  <w:style w:type="paragraph" w:customStyle="1" w:styleId="016">
    <w:name w:val="016"/>
    <w:aliases w:val="inzake"/>
    <w:basedOn w:val="010"/>
    <w:next w:val="Normal"/>
    <w:rsid w:val="00260630"/>
    <w:pPr>
      <w:spacing w:before="280" w:after="60"/>
    </w:pPr>
  </w:style>
  <w:style w:type="paragraph" w:customStyle="1" w:styleId="017">
    <w:name w:val="017"/>
    <w:aliases w:val="onderwerp"/>
    <w:basedOn w:val="010"/>
    <w:rsid w:val="00260630"/>
  </w:style>
  <w:style w:type="paragraph" w:customStyle="1" w:styleId="018">
    <w:name w:val="018"/>
    <w:aliases w:val="financieel verslag"/>
    <w:basedOn w:val="010"/>
    <w:next w:val="Normal"/>
    <w:rsid w:val="00260630"/>
    <w:pPr>
      <w:spacing w:before="2200" w:after="60"/>
      <w:jc w:val="center"/>
    </w:pPr>
    <w:rPr>
      <w:b/>
    </w:rPr>
  </w:style>
  <w:style w:type="paragraph" w:customStyle="1" w:styleId="019">
    <w:name w:val="019"/>
    <w:aliases w:val="van (bij fin. verslag)"/>
    <w:basedOn w:val="010"/>
    <w:next w:val="014"/>
    <w:rsid w:val="00260630"/>
    <w:pPr>
      <w:spacing w:after="60"/>
      <w:jc w:val="center"/>
    </w:pPr>
  </w:style>
  <w:style w:type="paragraph" w:customStyle="1" w:styleId="020">
    <w:name w:val="020"/>
    <w:aliases w:val="streep"/>
    <w:basedOn w:val="000"/>
    <w:next w:val="000"/>
    <w:rsid w:val="00260630"/>
    <w:pPr>
      <w:pBdr>
        <w:bottom w:val="single" w:sz="6" w:space="0" w:color="auto"/>
      </w:pBdr>
      <w:tabs>
        <w:tab w:val="right" w:pos="9380"/>
      </w:tabs>
      <w:spacing w:after="280"/>
    </w:pPr>
  </w:style>
  <w:style w:type="paragraph" w:customStyle="1" w:styleId="021">
    <w:name w:val="021"/>
    <w:aliases w:val="inhoudsopgave"/>
    <w:basedOn w:val="Normal"/>
    <w:next w:val="Normal"/>
    <w:rsid w:val="00260630"/>
    <w:pPr>
      <w:spacing w:before="780" w:after="280" w:line="240" w:lineRule="auto"/>
    </w:pPr>
    <w:rPr>
      <w:b/>
      <w:sz w:val="32"/>
    </w:rPr>
  </w:style>
  <w:style w:type="paragraph" w:customStyle="1" w:styleId="023">
    <w:name w:val="023"/>
    <w:aliases w:val="regel &quot;Rapport&quot;"/>
    <w:basedOn w:val="Normal"/>
    <w:next w:val="TOC2"/>
    <w:rsid w:val="00260630"/>
    <w:pPr>
      <w:spacing w:before="280" w:after="140" w:line="240" w:lineRule="auto"/>
    </w:pPr>
    <w:rPr>
      <w:sz w:val="28"/>
    </w:rPr>
  </w:style>
  <w:style w:type="paragraph" w:styleId="TOC2">
    <w:name w:val="toc 2"/>
    <w:basedOn w:val="000"/>
    <w:uiPriority w:val="39"/>
    <w:qFormat/>
    <w:rsid w:val="00260630"/>
    <w:pPr>
      <w:tabs>
        <w:tab w:val="right" w:pos="9378"/>
      </w:tabs>
      <w:ind w:left="720" w:hanging="720"/>
    </w:pPr>
  </w:style>
  <w:style w:type="paragraph" w:customStyle="1" w:styleId="024">
    <w:name w:val="024"/>
    <w:aliases w:val="nummering bijlagen"/>
    <w:basedOn w:val="Normal"/>
    <w:rsid w:val="00260630"/>
    <w:pPr>
      <w:tabs>
        <w:tab w:val="right" w:pos="9380"/>
      </w:tabs>
      <w:ind w:left="720" w:hanging="720"/>
    </w:pPr>
  </w:style>
  <w:style w:type="paragraph" w:customStyle="1" w:styleId="025">
    <w:name w:val="025"/>
    <w:aliases w:val="regel &quot;Bijlagen&quot;"/>
    <w:basedOn w:val="Normal"/>
    <w:next w:val="024"/>
    <w:rsid w:val="00260630"/>
    <w:pPr>
      <w:spacing w:before="280" w:line="240" w:lineRule="auto"/>
    </w:pPr>
    <w:rPr>
      <w:sz w:val="28"/>
    </w:rPr>
  </w:style>
  <w:style w:type="paragraph" w:customStyle="1" w:styleId="026">
    <w:name w:val="026"/>
    <w:aliases w:val="regel &quot;Jaarrekening&quot; etc."/>
    <w:basedOn w:val="000"/>
    <w:rsid w:val="00260630"/>
    <w:pPr>
      <w:spacing w:before="140" w:after="140" w:line="240" w:lineRule="auto"/>
    </w:pPr>
  </w:style>
  <w:style w:type="paragraph" w:customStyle="1" w:styleId="027">
    <w:name w:val="027"/>
    <w:aliases w:val="opschrift"/>
    <w:basedOn w:val="Normal"/>
    <w:next w:val="000"/>
    <w:link w:val="027Char"/>
    <w:rsid w:val="00260630"/>
    <w:pPr>
      <w:spacing w:before="4200" w:line="240" w:lineRule="auto"/>
      <w:jc w:val="center"/>
    </w:pPr>
    <w:rPr>
      <w:b/>
      <w:color w:val="808080"/>
      <w:spacing w:val="100"/>
      <w:sz w:val="48"/>
    </w:rPr>
  </w:style>
  <w:style w:type="character" w:customStyle="1" w:styleId="027Char">
    <w:name w:val="027 Char"/>
    <w:aliases w:val="opschrift Char"/>
    <w:basedOn w:val="DefaultParagraphFont"/>
    <w:link w:val="027"/>
    <w:rsid w:val="00260630"/>
    <w:rPr>
      <w:rFonts w:ascii="EYInterstate" w:eastAsia="Times New Roman" w:hAnsi="EYInterstate" w:cs="Times New Roman"/>
      <w:b/>
      <w:color w:val="808080"/>
      <w:spacing w:val="100"/>
      <w:sz w:val="48"/>
      <w:szCs w:val="20"/>
    </w:rPr>
  </w:style>
  <w:style w:type="paragraph" w:customStyle="1" w:styleId="031">
    <w:name w:val="031"/>
    <w:aliases w:val="geadresseerde"/>
    <w:basedOn w:val="000"/>
    <w:next w:val="Normal"/>
    <w:rsid w:val="00260630"/>
  </w:style>
  <w:style w:type="paragraph" w:customStyle="1" w:styleId="032">
    <w:name w:val="032"/>
    <w:aliases w:val="naam-cliënt"/>
    <w:basedOn w:val="000"/>
    <w:next w:val="Normal"/>
    <w:rsid w:val="00260630"/>
  </w:style>
  <w:style w:type="paragraph" w:customStyle="1" w:styleId="034">
    <w:name w:val="034"/>
    <w:aliases w:val="vertrouwelijk"/>
    <w:basedOn w:val="000"/>
    <w:next w:val="Normal"/>
    <w:rsid w:val="00260630"/>
    <w:rPr>
      <w:b/>
      <w:caps/>
    </w:rPr>
  </w:style>
  <w:style w:type="paragraph" w:customStyle="1" w:styleId="035">
    <w:name w:val="035"/>
    <w:aliases w:val="plaats cliënt"/>
    <w:basedOn w:val="000"/>
    <w:next w:val="Normal"/>
    <w:rsid w:val="00260630"/>
    <w:pPr>
      <w:spacing w:after="780"/>
    </w:pPr>
    <w:rPr>
      <w:caps/>
    </w:rPr>
  </w:style>
  <w:style w:type="paragraph" w:customStyle="1" w:styleId="036">
    <w:name w:val="036"/>
    <w:aliases w:val="datum/kenmerk"/>
    <w:basedOn w:val="000"/>
    <w:next w:val="000"/>
    <w:rsid w:val="00260630"/>
    <w:pPr>
      <w:tabs>
        <w:tab w:val="right" w:pos="4819"/>
        <w:tab w:val="right" w:pos="9377"/>
      </w:tabs>
      <w:spacing w:after="520"/>
    </w:pPr>
  </w:style>
  <w:style w:type="paragraph" w:customStyle="1" w:styleId="037">
    <w:name w:val="037"/>
    <w:aliases w:val="betreft"/>
    <w:basedOn w:val="Normal"/>
    <w:qFormat/>
    <w:rsid w:val="00260630"/>
    <w:rPr>
      <w:b/>
      <w:sz w:val="26"/>
    </w:rPr>
  </w:style>
  <w:style w:type="paragraph" w:customStyle="1" w:styleId="038">
    <w:name w:val="038"/>
    <w:aliases w:val="aanhef memo/kopie aan/bijlage"/>
    <w:basedOn w:val="000"/>
    <w:rsid w:val="00260630"/>
    <w:pPr>
      <w:ind w:left="1123" w:hanging="1123"/>
    </w:pPr>
    <w:rPr>
      <w:kern w:val="0"/>
    </w:rPr>
  </w:style>
  <w:style w:type="paragraph" w:customStyle="1" w:styleId="040">
    <w:name w:val="040"/>
    <w:aliases w:val="titel 2"/>
    <w:basedOn w:val="Normal"/>
    <w:next w:val="000"/>
    <w:rsid w:val="00260630"/>
    <w:pPr>
      <w:keepNext/>
      <w:tabs>
        <w:tab w:val="left" w:pos="720"/>
      </w:tabs>
      <w:spacing w:after="520" w:line="240" w:lineRule="auto"/>
    </w:pPr>
    <w:rPr>
      <w:b/>
      <w:sz w:val="36"/>
    </w:rPr>
  </w:style>
  <w:style w:type="paragraph" w:customStyle="1" w:styleId="041">
    <w:name w:val="041"/>
    <w:aliases w:val="14 punten vet 1 witregel"/>
    <w:basedOn w:val="Normal"/>
    <w:next w:val="000"/>
    <w:rsid w:val="00260630"/>
    <w:pPr>
      <w:keepNext/>
      <w:tabs>
        <w:tab w:val="left" w:pos="720"/>
      </w:tabs>
      <w:spacing w:before="240" w:after="60" w:line="240" w:lineRule="auto"/>
      <w:ind w:left="720" w:hanging="720"/>
    </w:pPr>
    <w:rPr>
      <w:b/>
      <w:sz w:val="32"/>
    </w:rPr>
  </w:style>
  <w:style w:type="paragraph" w:customStyle="1" w:styleId="042">
    <w:name w:val="042"/>
    <w:aliases w:val="vet 1 witregel"/>
    <w:basedOn w:val="Normal"/>
    <w:next w:val="000"/>
    <w:rsid w:val="00260630"/>
    <w:pPr>
      <w:keepNext/>
      <w:tabs>
        <w:tab w:val="left" w:pos="720"/>
      </w:tabs>
      <w:spacing w:before="240" w:after="60" w:line="240" w:lineRule="auto"/>
      <w:ind w:left="720" w:hanging="720"/>
    </w:pPr>
    <w:rPr>
      <w:b/>
      <w:i/>
      <w:sz w:val="28"/>
    </w:rPr>
  </w:style>
  <w:style w:type="paragraph" w:customStyle="1" w:styleId="043">
    <w:name w:val="043"/>
    <w:aliases w:val="vet cursief 1 witregel"/>
    <w:basedOn w:val="Normal"/>
    <w:next w:val="000"/>
    <w:rsid w:val="00260630"/>
    <w:pPr>
      <w:keepNext/>
      <w:tabs>
        <w:tab w:val="left" w:pos="720"/>
      </w:tabs>
      <w:spacing w:before="240" w:after="60" w:line="240" w:lineRule="auto"/>
      <w:ind w:left="720" w:hanging="720"/>
    </w:pPr>
    <w:rPr>
      <w:b/>
      <w:sz w:val="26"/>
    </w:rPr>
  </w:style>
  <w:style w:type="paragraph" w:customStyle="1" w:styleId="045">
    <w:name w:val="045"/>
    <w:aliases w:val="inspringing a"/>
    <w:basedOn w:val="000"/>
    <w:rsid w:val="00260630"/>
    <w:pPr>
      <w:ind w:left="567" w:hanging="567"/>
    </w:pPr>
  </w:style>
  <w:style w:type="paragraph" w:customStyle="1" w:styleId="046">
    <w:name w:val="046"/>
    <w:aliases w:val="inspringing b"/>
    <w:basedOn w:val="000"/>
    <w:rsid w:val="00260630"/>
    <w:pPr>
      <w:ind w:left="1134" w:hanging="567"/>
    </w:pPr>
  </w:style>
  <w:style w:type="paragraph" w:customStyle="1" w:styleId="047">
    <w:name w:val="047"/>
    <w:aliases w:val="inspringing c"/>
    <w:basedOn w:val="000"/>
    <w:rsid w:val="00260630"/>
    <w:pPr>
      <w:ind w:left="1701" w:hanging="567"/>
    </w:pPr>
  </w:style>
  <w:style w:type="paragraph" w:customStyle="1" w:styleId="048">
    <w:name w:val="048"/>
    <w:aliases w:val="inspring"/>
    <w:basedOn w:val="000"/>
    <w:rsid w:val="00260630"/>
    <w:pPr>
      <w:ind w:left="567" w:hanging="567"/>
    </w:pPr>
  </w:style>
  <w:style w:type="paragraph" w:customStyle="1" w:styleId="049">
    <w:name w:val="049"/>
    <w:aliases w:val="handtekening"/>
    <w:basedOn w:val="000"/>
    <w:rsid w:val="00260630"/>
    <w:pPr>
      <w:tabs>
        <w:tab w:val="left" w:pos="4680"/>
      </w:tabs>
    </w:pPr>
  </w:style>
  <w:style w:type="paragraph" w:customStyle="1" w:styleId="061">
    <w:name w:val="061"/>
    <w:aliases w:val="paginanr."/>
    <w:basedOn w:val="000"/>
    <w:rsid w:val="00260630"/>
    <w:pPr>
      <w:spacing w:before="110"/>
      <w:jc w:val="right"/>
    </w:pPr>
  </w:style>
  <w:style w:type="paragraph" w:customStyle="1" w:styleId="070">
    <w:name w:val="070"/>
    <w:aliases w:val="kop balans/specificatie"/>
    <w:basedOn w:val="Normal"/>
    <w:next w:val="000"/>
    <w:rsid w:val="00260630"/>
    <w:pPr>
      <w:spacing w:line="240" w:lineRule="auto"/>
    </w:pPr>
    <w:rPr>
      <w:b/>
      <w:sz w:val="36"/>
    </w:rPr>
  </w:style>
  <w:style w:type="paragraph" w:customStyle="1" w:styleId="073">
    <w:name w:val="073"/>
    <w:aliases w:val="activa"/>
    <w:basedOn w:val="000"/>
    <w:next w:val="000"/>
    <w:rsid w:val="00260630"/>
    <w:rPr>
      <w:b/>
      <w:spacing w:val="100"/>
    </w:rPr>
  </w:style>
  <w:style w:type="paragraph" w:customStyle="1" w:styleId="074">
    <w:name w:val="074"/>
    <w:aliases w:val="passiva"/>
    <w:basedOn w:val="000"/>
    <w:next w:val="000"/>
    <w:rsid w:val="00260630"/>
    <w:pPr>
      <w:ind w:right="-100"/>
      <w:jc w:val="right"/>
    </w:pPr>
    <w:rPr>
      <w:b/>
      <w:spacing w:val="100"/>
    </w:rPr>
  </w:style>
  <w:style w:type="paragraph" w:customStyle="1" w:styleId="080">
    <w:name w:val="080"/>
    <w:aliases w:val="titel"/>
    <w:basedOn w:val="Normal"/>
    <w:next w:val="000"/>
    <w:rsid w:val="00260630"/>
    <w:pPr>
      <w:keepNext/>
      <w:spacing w:after="520" w:line="240" w:lineRule="auto"/>
    </w:pPr>
    <w:rPr>
      <w:b/>
      <w:sz w:val="36"/>
    </w:rPr>
  </w:style>
  <w:style w:type="paragraph" w:customStyle="1" w:styleId="081">
    <w:name w:val="081"/>
    <w:aliases w:val="kop 1"/>
    <w:basedOn w:val="Normal"/>
    <w:next w:val="000"/>
    <w:qFormat/>
    <w:rsid w:val="00260630"/>
    <w:pPr>
      <w:keepNext/>
      <w:spacing w:before="240" w:after="60" w:line="240" w:lineRule="auto"/>
    </w:pPr>
    <w:rPr>
      <w:b/>
      <w:kern w:val="32"/>
      <w:sz w:val="32"/>
    </w:rPr>
  </w:style>
  <w:style w:type="paragraph" w:customStyle="1" w:styleId="082">
    <w:name w:val="082"/>
    <w:aliases w:val="kop 2"/>
    <w:basedOn w:val="Normal"/>
    <w:next w:val="000"/>
    <w:qFormat/>
    <w:rsid w:val="00260630"/>
    <w:pPr>
      <w:keepNext/>
      <w:spacing w:before="240" w:after="60" w:line="240" w:lineRule="auto"/>
    </w:pPr>
    <w:rPr>
      <w:b/>
      <w:i/>
      <w:kern w:val="32"/>
      <w:sz w:val="28"/>
    </w:rPr>
  </w:style>
  <w:style w:type="paragraph" w:customStyle="1" w:styleId="083">
    <w:name w:val="083"/>
    <w:aliases w:val="kop 3"/>
    <w:basedOn w:val="Normal"/>
    <w:next w:val="000"/>
    <w:qFormat/>
    <w:rsid w:val="00260630"/>
    <w:pPr>
      <w:keepNext/>
      <w:spacing w:before="240" w:after="60" w:line="240" w:lineRule="auto"/>
    </w:pPr>
    <w:rPr>
      <w:b/>
      <w:kern w:val="32"/>
      <w:sz w:val="26"/>
    </w:rPr>
  </w:style>
  <w:style w:type="paragraph" w:customStyle="1" w:styleId="084">
    <w:name w:val="084"/>
    <w:aliases w:val="cursief geen inspring"/>
    <w:basedOn w:val="000"/>
    <w:next w:val="000"/>
    <w:rsid w:val="00260630"/>
    <w:pPr>
      <w:keepNext/>
      <w:spacing w:before="260"/>
    </w:pPr>
    <w:rPr>
      <w:i/>
    </w:rPr>
  </w:style>
  <w:style w:type="paragraph" w:customStyle="1" w:styleId="091">
    <w:name w:val="091"/>
    <w:aliases w:val="inhoudsopgave 14 punten vet"/>
    <w:basedOn w:val="021"/>
    <w:next w:val="Normal"/>
    <w:rsid w:val="00260630"/>
    <w:pPr>
      <w:spacing w:before="280"/>
      <w:ind w:left="720" w:hanging="720"/>
    </w:pPr>
    <w:rPr>
      <w:b w:val="0"/>
      <w:sz w:val="28"/>
    </w:rPr>
  </w:style>
  <w:style w:type="paragraph" w:customStyle="1" w:styleId="099">
    <w:name w:val="099"/>
    <w:aliases w:val="einde document teken"/>
    <w:basedOn w:val="000"/>
    <w:rsid w:val="00260630"/>
    <w:pPr>
      <w:pBdr>
        <w:bottom w:val="single" w:sz="18" w:space="0" w:color="auto"/>
      </w:pBdr>
      <w:tabs>
        <w:tab w:val="right" w:pos="9380"/>
      </w:tabs>
      <w:ind w:right="8820"/>
    </w:pPr>
  </w:style>
  <w:style w:type="paragraph" w:styleId="BalloonText">
    <w:name w:val="Balloon Text"/>
    <w:basedOn w:val="Normal"/>
    <w:link w:val="BalloonTextChar"/>
    <w:rsid w:val="00260630"/>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260630"/>
    <w:rPr>
      <w:rFonts w:ascii="Tahoma" w:eastAsia="Times New Roman" w:hAnsi="Tahoma" w:cs="Tahoma"/>
      <w:sz w:val="16"/>
      <w:szCs w:val="16"/>
    </w:rPr>
  </w:style>
  <w:style w:type="paragraph" w:customStyle="1" w:styleId="BijlageHeading1">
    <w:name w:val="BijlageHeading 1"/>
    <w:basedOn w:val="Normal"/>
    <w:next w:val="000"/>
    <w:qFormat/>
    <w:rsid w:val="00260630"/>
    <w:pPr>
      <w:keepNext/>
      <w:numPr>
        <w:numId w:val="4"/>
      </w:numPr>
      <w:spacing w:before="240" w:after="60" w:line="240" w:lineRule="auto"/>
      <w:outlineLvl w:val="0"/>
    </w:pPr>
    <w:rPr>
      <w:b/>
      <w:kern w:val="32"/>
      <w:sz w:val="32"/>
    </w:rPr>
  </w:style>
  <w:style w:type="paragraph" w:customStyle="1" w:styleId="BijlageHeading2">
    <w:name w:val="BijlageHeading 2"/>
    <w:basedOn w:val="BijlageHeading1"/>
    <w:next w:val="000"/>
    <w:qFormat/>
    <w:rsid w:val="00260630"/>
    <w:pPr>
      <w:numPr>
        <w:ilvl w:val="1"/>
      </w:numPr>
      <w:outlineLvl w:val="1"/>
    </w:pPr>
    <w:rPr>
      <w:i/>
      <w:sz w:val="28"/>
    </w:rPr>
  </w:style>
  <w:style w:type="paragraph" w:customStyle="1" w:styleId="BijlageHeading3">
    <w:name w:val="BijlageHeading 3"/>
    <w:basedOn w:val="BijlageHeading1"/>
    <w:next w:val="000"/>
    <w:qFormat/>
    <w:rsid w:val="00260630"/>
    <w:pPr>
      <w:numPr>
        <w:ilvl w:val="2"/>
      </w:numPr>
      <w:outlineLvl w:val="2"/>
    </w:pPr>
    <w:rPr>
      <w:sz w:val="26"/>
    </w:rPr>
  </w:style>
  <w:style w:type="paragraph" w:customStyle="1" w:styleId="BijlageHeading4">
    <w:name w:val="BijlageHeading 4"/>
    <w:basedOn w:val="BijlageHeading1"/>
    <w:next w:val="000"/>
    <w:rsid w:val="00260630"/>
    <w:pPr>
      <w:numPr>
        <w:ilvl w:val="3"/>
      </w:numPr>
      <w:outlineLvl w:val="3"/>
    </w:pPr>
    <w:rPr>
      <w:rFonts w:ascii="EYInterstate Light" w:hAnsi="EYInterstate Light"/>
      <w:i/>
      <w:sz w:val="22"/>
    </w:rPr>
  </w:style>
  <w:style w:type="paragraph" w:customStyle="1" w:styleId="Bullet">
    <w:name w:val="Bullet"/>
    <w:basedOn w:val="000"/>
    <w:qFormat/>
    <w:rsid w:val="00260630"/>
    <w:pPr>
      <w:numPr>
        <w:numId w:val="8"/>
      </w:numPr>
    </w:pPr>
  </w:style>
  <w:style w:type="paragraph" w:styleId="EndnoteText">
    <w:name w:val="endnote text"/>
    <w:basedOn w:val="Normal"/>
    <w:link w:val="EndnoteTextChar"/>
    <w:semiHidden/>
    <w:rsid w:val="00260630"/>
  </w:style>
  <w:style w:type="character" w:customStyle="1" w:styleId="EndnoteTextChar">
    <w:name w:val="Endnote Text Char"/>
    <w:basedOn w:val="DefaultParagraphFont"/>
    <w:link w:val="EndnoteText"/>
    <w:semiHidden/>
    <w:rsid w:val="00260630"/>
    <w:rPr>
      <w:rFonts w:ascii="EYInterstate" w:eastAsia="Times New Roman" w:hAnsi="EYInterstate" w:cs="Times New Roman"/>
      <w:sz w:val="20"/>
      <w:szCs w:val="20"/>
    </w:rPr>
  </w:style>
  <w:style w:type="paragraph" w:customStyle="1" w:styleId="EYAttachment">
    <w:name w:val="EY Attachment"/>
    <w:basedOn w:val="000"/>
    <w:next w:val="000"/>
    <w:qFormat/>
    <w:rsid w:val="00260630"/>
    <w:pPr>
      <w:tabs>
        <w:tab w:val="left" w:pos="907"/>
      </w:tabs>
      <w:spacing w:before="260"/>
    </w:pPr>
  </w:style>
  <w:style w:type="paragraph" w:customStyle="1" w:styleId="EYBodytextnoparaspace">
    <w:name w:val="EY Body text (no para space)"/>
    <w:basedOn w:val="000"/>
    <w:qFormat/>
    <w:rsid w:val="00260630"/>
    <w:pPr>
      <w:tabs>
        <w:tab w:val="left" w:pos="907"/>
      </w:tabs>
    </w:pPr>
  </w:style>
  <w:style w:type="paragraph" w:customStyle="1" w:styleId="EYBodytextwithparaspace">
    <w:name w:val="EY Body text (with para space)"/>
    <w:basedOn w:val="000"/>
    <w:qFormat/>
    <w:rsid w:val="00260630"/>
    <w:pPr>
      <w:tabs>
        <w:tab w:val="left" w:pos="907"/>
      </w:tabs>
      <w:spacing w:after="260"/>
    </w:pPr>
  </w:style>
  <w:style w:type="paragraph" w:customStyle="1" w:styleId="EYBoldsubjectheading">
    <w:name w:val="EY Bold subject heading"/>
    <w:basedOn w:val="000"/>
    <w:next w:val="000"/>
    <w:qFormat/>
    <w:rsid w:val="00260630"/>
    <w:rPr>
      <w:rFonts w:ascii="EYInterstate" w:hAnsi="EYInterstate"/>
      <w:b/>
      <w:sz w:val="26"/>
    </w:rPr>
  </w:style>
  <w:style w:type="paragraph" w:customStyle="1" w:styleId="EYBulletedtext1">
    <w:name w:val="EY Bulleted text 1"/>
    <w:basedOn w:val="Bullet"/>
    <w:qFormat/>
    <w:rsid w:val="00260630"/>
    <w:pPr>
      <w:numPr>
        <w:numId w:val="0"/>
      </w:numPr>
    </w:pPr>
  </w:style>
  <w:style w:type="paragraph" w:customStyle="1" w:styleId="EYBulletedtext2">
    <w:name w:val="EY Bulleted text 2"/>
    <w:basedOn w:val="Bullet"/>
    <w:qFormat/>
    <w:rsid w:val="00260630"/>
    <w:pPr>
      <w:numPr>
        <w:numId w:val="0"/>
      </w:numPr>
    </w:pPr>
  </w:style>
  <w:style w:type="paragraph" w:customStyle="1" w:styleId="EYBulletedtext3">
    <w:name w:val="EY Bulleted text 3"/>
    <w:basedOn w:val="Bullet"/>
    <w:qFormat/>
    <w:rsid w:val="00260630"/>
    <w:pPr>
      <w:numPr>
        <w:numId w:val="0"/>
      </w:numPr>
    </w:pPr>
  </w:style>
  <w:style w:type="paragraph" w:customStyle="1" w:styleId="EYBusinessaddress">
    <w:name w:val="EY Business address"/>
    <w:basedOn w:val="000"/>
    <w:rsid w:val="00260630"/>
    <w:pPr>
      <w:spacing w:line="170" w:lineRule="atLeast"/>
    </w:pPr>
    <w:rPr>
      <w:color w:val="333333"/>
      <w:sz w:val="15"/>
    </w:rPr>
  </w:style>
  <w:style w:type="paragraph" w:customStyle="1" w:styleId="EYClosure">
    <w:name w:val="EY Closure"/>
    <w:basedOn w:val="000"/>
    <w:next w:val="000"/>
    <w:rsid w:val="00260630"/>
    <w:pPr>
      <w:tabs>
        <w:tab w:val="left" w:pos="907"/>
      </w:tabs>
      <w:spacing w:after="1040"/>
    </w:pPr>
  </w:style>
  <w:style w:type="paragraph" w:customStyle="1" w:styleId="EYContinuationheader">
    <w:name w:val="EY Continuation header"/>
    <w:basedOn w:val="000"/>
    <w:rsid w:val="00260630"/>
    <w:pPr>
      <w:tabs>
        <w:tab w:val="left" w:pos="2495"/>
      </w:tabs>
      <w:jc w:val="right"/>
    </w:pPr>
  </w:style>
  <w:style w:type="paragraph" w:customStyle="1" w:styleId="EYDate">
    <w:name w:val="EY Date"/>
    <w:basedOn w:val="000"/>
    <w:next w:val="000"/>
    <w:rsid w:val="00260630"/>
    <w:pPr>
      <w:tabs>
        <w:tab w:val="left" w:pos="907"/>
      </w:tabs>
    </w:pPr>
  </w:style>
  <w:style w:type="paragraph" w:customStyle="1" w:styleId="EYfooter">
    <w:name w:val="EY footer"/>
    <w:basedOn w:val="000"/>
    <w:rsid w:val="00260630"/>
    <w:pPr>
      <w:spacing w:line="240" w:lineRule="auto"/>
    </w:pPr>
    <w:rPr>
      <w:sz w:val="11"/>
    </w:rPr>
  </w:style>
  <w:style w:type="paragraph" w:styleId="Footer">
    <w:name w:val="footer"/>
    <w:basedOn w:val="000"/>
    <w:link w:val="FooterChar"/>
    <w:uiPriority w:val="99"/>
    <w:rsid w:val="00260630"/>
    <w:pPr>
      <w:tabs>
        <w:tab w:val="center" w:pos="4321"/>
        <w:tab w:val="center" w:pos="8641"/>
      </w:tabs>
      <w:spacing w:line="240" w:lineRule="auto"/>
    </w:pPr>
    <w:rPr>
      <w:rFonts w:ascii="EYInterstate" w:hAnsi="EYInterstate"/>
      <w:kern w:val="0"/>
    </w:rPr>
  </w:style>
  <w:style w:type="character" w:customStyle="1" w:styleId="FooterChar">
    <w:name w:val="Footer Char"/>
    <w:basedOn w:val="DefaultParagraphFont"/>
    <w:link w:val="Footer"/>
    <w:uiPriority w:val="99"/>
    <w:rsid w:val="00260630"/>
    <w:rPr>
      <w:rFonts w:ascii="EYInterstate" w:eastAsia="Times New Roman" w:hAnsi="EYInterstate" w:cs="Times New Roman"/>
      <w:sz w:val="20"/>
      <w:szCs w:val="20"/>
    </w:rPr>
  </w:style>
  <w:style w:type="character" w:styleId="FootnoteReference">
    <w:name w:val="footnote reference"/>
    <w:basedOn w:val="DefaultParagraphFont"/>
    <w:rsid w:val="00260630"/>
    <w:rPr>
      <w:rFonts w:ascii="EYInterstate Light" w:hAnsi="EYInterstate Light"/>
      <w:position w:val="6"/>
      <w:sz w:val="14"/>
    </w:rPr>
  </w:style>
  <w:style w:type="paragraph" w:styleId="FootnoteText">
    <w:name w:val="footnote text"/>
    <w:basedOn w:val="000"/>
    <w:link w:val="FootnoteTextChar"/>
    <w:rsid w:val="00260630"/>
    <w:pPr>
      <w:ind w:left="480" w:hanging="480"/>
    </w:pPr>
    <w:rPr>
      <w:sz w:val="18"/>
    </w:rPr>
  </w:style>
  <w:style w:type="character" w:customStyle="1" w:styleId="FootnoteTextChar">
    <w:name w:val="Footnote Text Char"/>
    <w:basedOn w:val="DefaultParagraphFont"/>
    <w:link w:val="FootnoteText"/>
    <w:rsid w:val="00260630"/>
    <w:rPr>
      <w:rFonts w:ascii="EYInterstate Light" w:eastAsia="Times New Roman" w:hAnsi="EYInterstate Light" w:cs="Times New Roman"/>
      <w:kern w:val="12"/>
      <w:sz w:val="18"/>
      <w:szCs w:val="20"/>
    </w:rPr>
  </w:style>
  <w:style w:type="paragraph" w:styleId="Header">
    <w:name w:val="header"/>
    <w:basedOn w:val="000"/>
    <w:link w:val="HeaderChar"/>
    <w:rsid w:val="00260630"/>
    <w:pPr>
      <w:tabs>
        <w:tab w:val="left" w:pos="4321"/>
        <w:tab w:val="left" w:pos="8641"/>
      </w:tabs>
      <w:spacing w:line="240" w:lineRule="auto"/>
    </w:pPr>
    <w:rPr>
      <w:rFonts w:ascii="EYInterstate" w:hAnsi="EYInterstate"/>
      <w:kern w:val="0"/>
    </w:rPr>
  </w:style>
  <w:style w:type="character" w:customStyle="1" w:styleId="HeaderChar">
    <w:name w:val="Header Char"/>
    <w:basedOn w:val="DefaultParagraphFont"/>
    <w:link w:val="Header"/>
    <w:rsid w:val="00260630"/>
    <w:rPr>
      <w:rFonts w:ascii="EYInterstate" w:eastAsia="Times New Roman" w:hAnsi="EYInterstate" w:cs="Times New Roman"/>
      <w:sz w:val="20"/>
      <w:szCs w:val="20"/>
    </w:rPr>
  </w:style>
  <w:style w:type="character" w:customStyle="1" w:styleId="Heading1Char">
    <w:name w:val="Heading 1 Char"/>
    <w:aliases w:val="051 Char"/>
    <w:basedOn w:val="DefaultParagraphFont"/>
    <w:link w:val="Heading1"/>
    <w:rsid w:val="00260630"/>
    <w:rPr>
      <w:rFonts w:ascii="EYInterstate" w:eastAsia="Times New Roman" w:hAnsi="EYInterstate" w:cs="Times New Roman"/>
      <w:b/>
      <w:kern w:val="32"/>
      <w:sz w:val="32"/>
      <w:szCs w:val="20"/>
    </w:rPr>
  </w:style>
  <w:style w:type="character" w:customStyle="1" w:styleId="Heading2Char">
    <w:name w:val="Heading 2 Char"/>
    <w:aliases w:val="052 Char"/>
    <w:basedOn w:val="DefaultParagraphFont"/>
    <w:link w:val="Heading2"/>
    <w:rsid w:val="00260630"/>
    <w:rPr>
      <w:rFonts w:ascii="EYInterstate" w:eastAsia="Times New Roman" w:hAnsi="EYInterstate" w:cs="Times New Roman"/>
      <w:b/>
      <w:i/>
      <w:kern w:val="28"/>
      <w:sz w:val="28"/>
      <w:szCs w:val="20"/>
    </w:rPr>
  </w:style>
  <w:style w:type="character" w:customStyle="1" w:styleId="Heading3Char">
    <w:name w:val="Heading 3 Char"/>
    <w:aliases w:val="053 Char"/>
    <w:basedOn w:val="DefaultParagraphFont"/>
    <w:link w:val="Heading3"/>
    <w:rsid w:val="00260630"/>
    <w:rPr>
      <w:rFonts w:ascii="EYInterstate" w:eastAsia="Times New Roman" w:hAnsi="EYInterstate" w:cs="Times New Roman"/>
      <w:b/>
      <w:kern w:val="26"/>
      <w:sz w:val="26"/>
      <w:szCs w:val="20"/>
    </w:rPr>
  </w:style>
  <w:style w:type="character" w:customStyle="1" w:styleId="Heading4Char">
    <w:name w:val="Heading 4 Char"/>
    <w:aliases w:val="054 Char"/>
    <w:basedOn w:val="DefaultParagraphFont"/>
    <w:link w:val="Heading4"/>
    <w:rsid w:val="00260630"/>
    <w:rPr>
      <w:rFonts w:ascii="EYInterstate" w:eastAsia="Times New Roman" w:hAnsi="EYInterstate" w:cs="Times New Roman"/>
      <w:i/>
      <w:kern w:val="32"/>
      <w:szCs w:val="20"/>
    </w:rPr>
  </w:style>
  <w:style w:type="character" w:customStyle="1" w:styleId="Heading5Char">
    <w:name w:val="Heading 5 Char"/>
    <w:basedOn w:val="DefaultParagraphFont"/>
    <w:link w:val="Heading5"/>
    <w:rsid w:val="00260630"/>
    <w:rPr>
      <w:rFonts w:ascii="EYInterstate Light" w:eastAsia="Times New Roman" w:hAnsi="EYInterstate Light" w:cs="Times New Roman"/>
      <w:kern w:val="12"/>
      <w:sz w:val="20"/>
      <w:szCs w:val="20"/>
    </w:rPr>
  </w:style>
  <w:style w:type="character" w:customStyle="1" w:styleId="Heading6Char">
    <w:name w:val="Heading 6 Char"/>
    <w:basedOn w:val="DefaultParagraphFont"/>
    <w:link w:val="Heading6"/>
    <w:rsid w:val="00260630"/>
    <w:rPr>
      <w:rFonts w:ascii="EYInterstate Light" w:eastAsia="Times New Roman" w:hAnsi="EYInterstate Light" w:cs="Times New Roman"/>
      <w:i/>
      <w:kern w:val="12"/>
      <w:sz w:val="20"/>
      <w:szCs w:val="20"/>
    </w:rPr>
  </w:style>
  <w:style w:type="character" w:customStyle="1" w:styleId="Heading7Char">
    <w:name w:val="Heading 7 Char"/>
    <w:basedOn w:val="DefaultParagraphFont"/>
    <w:link w:val="Heading7"/>
    <w:rsid w:val="00260630"/>
    <w:rPr>
      <w:rFonts w:ascii="EYInterstate Light" w:eastAsia="Times New Roman" w:hAnsi="EYInterstate Light" w:cs="Times New Roman"/>
      <w:kern w:val="12"/>
      <w:sz w:val="20"/>
      <w:szCs w:val="20"/>
    </w:rPr>
  </w:style>
  <w:style w:type="character" w:customStyle="1" w:styleId="Heading8Char">
    <w:name w:val="Heading 8 Char"/>
    <w:basedOn w:val="DefaultParagraphFont"/>
    <w:link w:val="Heading8"/>
    <w:rsid w:val="00260630"/>
    <w:rPr>
      <w:rFonts w:ascii="EYInterstate Light" w:eastAsia="Times New Roman" w:hAnsi="EYInterstate Light" w:cs="Times New Roman"/>
      <w:i/>
      <w:kern w:val="12"/>
      <w:sz w:val="20"/>
      <w:szCs w:val="20"/>
    </w:rPr>
  </w:style>
  <w:style w:type="character" w:customStyle="1" w:styleId="Heading9Char">
    <w:name w:val="Heading 9 Char"/>
    <w:basedOn w:val="DefaultParagraphFont"/>
    <w:link w:val="Heading9"/>
    <w:rsid w:val="00260630"/>
    <w:rPr>
      <w:rFonts w:ascii="EYInterstate Light" w:eastAsia="Times New Roman" w:hAnsi="EYInterstate Light" w:cs="Times New Roman"/>
      <w:b/>
      <w:i/>
      <w:kern w:val="12"/>
      <w:sz w:val="18"/>
      <w:szCs w:val="20"/>
    </w:rPr>
  </w:style>
  <w:style w:type="paragraph" w:styleId="ListBullet">
    <w:name w:val="List Bullet"/>
    <w:basedOn w:val="EYBulletedtext1"/>
    <w:rsid w:val="00260630"/>
    <w:pPr>
      <w:numPr>
        <w:numId w:val="19"/>
      </w:numPr>
    </w:pPr>
  </w:style>
  <w:style w:type="paragraph" w:styleId="ListBullet2">
    <w:name w:val="List Bullet 2"/>
    <w:basedOn w:val="EYBulletedtext2"/>
    <w:rsid w:val="00260630"/>
    <w:pPr>
      <w:numPr>
        <w:numId w:val="21"/>
      </w:numPr>
    </w:pPr>
  </w:style>
  <w:style w:type="paragraph" w:styleId="ListBullet3">
    <w:name w:val="List Bullet 3"/>
    <w:basedOn w:val="EYBulletedtext3"/>
    <w:rsid w:val="00260630"/>
    <w:pPr>
      <w:numPr>
        <w:numId w:val="23"/>
      </w:numPr>
    </w:pPr>
  </w:style>
  <w:style w:type="paragraph" w:styleId="ListNumber">
    <w:name w:val="List Number"/>
    <w:basedOn w:val="000"/>
    <w:rsid w:val="00260630"/>
    <w:pPr>
      <w:numPr>
        <w:numId w:val="25"/>
      </w:numPr>
    </w:pPr>
  </w:style>
  <w:style w:type="paragraph" w:styleId="TOC1">
    <w:name w:val="toc 1"/>
    <w:basedOn w:val="Normal"/>
    <w:next w:val="Normal"/>
    <w:uiPriority w:val="39"/>
    <w:qFormat/>
    <w:rsid w:val="00260630"/>
    <w:pPr>
      <w:tabs>
        <w:tab w:val="right" w:pos="9378"/>
      </w:tabs>
      <w:spacing w:before="280"/>
      <w:ind w:left="720" w:hanging="720"/>
    </w:pPr>
    <w:rPr>
      <w:b/>
    </w:rPr>
  </w:style>
  <w:style w:type="paragraph" w:styleId="TOC3">
    <w:name w:val="toc 3"/>
    <w:basedOn w:val="Normal"/>
    <w:next w:val="Normal"/>
    <w:autoRedefine/>
    <w:uiPriority w:val="39"/>
    <w:semiHidden/>
    <w:qFormat/>
    <w:rsid w:val="00260630"/>
    <w:pPr>
      <w:ind w:left="480"/>
    </w:pPr>
  </w:style>
  <w:style w:type="paragraph" w:styleId="TOC4">
    <w:name w:val="toc 4"/>
    <w:basedOn w:val="Normal"/>
    <w:next w:val="Normal"/>
    <w:autoRedefine/>
    <w:semiHidden/>
    <w:rsid w:val="00260630"/>
    <w:pPr>
      <w:ind w:left="720"/>
    </w:pPr>
  </w:style>
  <w:style w:type="paragraph" w:styleId="TOC5">
    <w:name w:val="toc 5"/>
    <w:basedOn w:val="Normal"/>
    <w:next w:val="Normal"/>
    <w:autoRedefine/>
    <w:semiHidden/>
    <w:rsid w:val="00260630"/>
    <w:pPr>
      <w:ind w:left="960"/>
    </w:pPr>
  </w:style>
  <w:style w:type="paragraph" w:styleId="TOC6">
    <w:name w:val="toc 6"/>
    <w:basedOn w:val="Normal"/>
    <w:next w:val="Normal"/>
    <w:autoRedefine/>
    <w:semiHidden/>
    <w:rsid w:val="00260630"/>
    <w:pPr>
      <w:ind w:left="1200"/>
    </w:pPr>
  </w:style>
  <w:style w:type="paragraph" w:styleId="TOC7">
    <w:name w:val="toc 7"/>
    <w:basedOn w:val="Normal"/>
    <w:next w:val="Normal"/>
    <w:autoRedefine/>
    <w:semiHidden/>
    <w:rsid w:val="00260630"/>
    <w:pPr>
      <w:ind w:left="1440"/>
    </w:pPr>
  </w:style>
  <w:style w:type="paragraph" w:styleId="TOC8">
    <w:name w:val="toc 8"/>
    <w:basedOn w:val="Normal"/>
    <w:next w:val="Normal"/>
    <w:autoRedefine/>
    <w:semiHidden/>
    <w:rsid w:val="00260630"/>
    <w:pPr>
      <w:ind w:left="1680"/>
    </w:pPr>
  </w:style>
  <w:style w:type="paragraph" w:styleId="TOC9">
    <w:name w:val="toc 9"/>
    <w:basedOn w:val="Normal"/>
    <w:next w:val="Normal"/>
    <w:autoRedefine/>
    <w:semiHidden/>
    <w:rsid w:val="00260630"/>
    <w:pPr>
      <w:ind w:left="1920"/>
    </w:pPr>
  </w:style>
  <w:style w:type="paragraph" w:styleId="Title">
    <w:name w:val="Title"/>
    <w:basedOn w:val="Normal"/>
    <w:next w:val="Normal"/>
    <w:link w:val="TitleChar"/>
    <w:qFormat/>
    <w:rsid w:val="00D81E8C"/>
    <w:pPr>
      <w:overflowPunct/>
      <w:autoSpaceDE/>
      <w:autoSpaceDN/>
      <w:adjustRightInd/>
      <w:spacing w:before="240" w:after="60" w:line="240" w:lineRule="auto"/>
      <w:jc w:val="center"/>
      <w:textAlignment w:val="auto"/>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rsid w:val="00D81E8C"/>
    <w:rPr>
      <w:rFonts w:asciiTheme="majorHAnsi" w:eastAsiaTheme="majorEastAsia" w:hAnsiTheme="majorHAnsi" w:cs="Times New Roman"/>
      <w:b/>
      <w:bCs/>
      <w:kern w:val="28"/>
      <w:sz w:val="32"/>
      <w:szCs w:val="32"/>
    </w:rPr>
  </w:style>
  <w:style w:type="paragraph" w:styleId="Subtitle">
    <w:name w:val="Subtitle"/>
    <w:basedOn w:val="Normal"/>
    <w:next w:val="Normal"/>
    <w:link w:val="SubtitleChar"/>
    <w:qFormat/>
    <w:rsid w:val="00D81E8C"/>
    <w:pPr>
      <w:overflowPunct/>
      <w:autoSpaceDE/>
      <w:autoSpaceDN/>
      <w:adjustRightInd/>
      <w:spacing w:after="60" w:line="240" w:lineRule="auto"/>
      <w:jc w:val="center"/>
      <w:textAlignment w:val="auto"/>
      <w:outlineLvl w:val="1"/>
    </w:pPr>
    <w:rPr>
      <w:rFonts w:asciiTheme="majorHAnsi" w:eastAsiaTheme="majorEastAsia" w:hAnsiTheme="majorHAnsi"/>
      <w:sz w:val="24"/>
      <w:szCs w:val="24"/>
    </w:rPr>
  </w:style>
  <w:style w:type="character" w:customStyle="1" w:styleId="SubtitleChar">
    <w:name w:val="Subtitle Char"/>
    <w:basedOn w:val="DefaultParagraphFont"/>
    <w:link w:val="Subtitle"/>
    <w:rsid w:val="00D81E8C"/>
    <w:rPr>
      <w:rFonts w:asciiTheme="majorHAnsi" w:eastAsiaTheme="majorEastAsia" w:hAnsiTheme="majorHAnsi" w:cs="Times New Roman"/>
      <w:sz w:val="24"/>
      <w:szCs w:val="24"/>
    </w:rPr>
  </w:style>
  <w:style w:type="paragraph" w:styleId="ListParagraph">
    <w:name w:val="List Paragraph"/>
    <w:basedOn w:val="Normal"/>
    <w:uiPriority w:val="34"/>
    <w:qFormat/>
    <w:rsid w:val="00D81E8C"/>
    <w:pPr>
      <w:overflowPunct/>
      <w:autoSpaceDE/>
      <w:autoSpaceDN/>
      <w:adjustRightInd/>
      <w:spacing w:line="240" w:lineRule="auto"/>
      <w:ind w:left="720"/>
      <w:contextualSpacing/>
      <w:textAlignment w:val="auto"/>
    </w:pPr>
    <w:rPr>
      <w:rFonts w:asciiTheme="minorHAnsi" w:eastAsiaTheme="minorEastAsia" w:hAnsiTheme="minorHAnsi"/>
      <w:sz w:val="24"/>
      <w:szCs w:val="24"/>
    </w:rPr>
  </w:style>
  <w:style w:type="paragraph" w:styleId="NormalWeb">
    <w:name w:val="Normal (Web)"/>
    <w:basedOn w:val="Normal"/>
    <w:uiPriority w:val="99"/>
    <w:unhideWhenUsed/>
    <w:rsid w:val="00D81E8C"/>
    <w:pPr>
      <w:overflowPunct/>
      <w:autoSpaceDE/>
      <w:autoSpaceDN/>
      <w:adjustRightInd/>
      <w:spacing w:before="100" w:beforeAutospacing="1" w:after="100" w:afterAutospacing="1" w:line="240" w:lineRule="auto"/>
      <w:textAlignment w:val="auto"/>
    </w:pPr>
    <w:rPr>
      <w:rFonts w:ascii="Times New Roman" w:hAnsi="Times New Roman"/>
      <w:sz w:val="24"/>
      <w:szCs w:val="24"/>
    </w:rPr>
  </w:style>
  <w:style w:type="paragraph" w:styleId="TOCHeading">
    <w:name w:val="TOC Heading"/>
    <w:basedOn w:val="Heading1"/>
    <w:next w:val="Normal"/>
    <w:uiPriority w:val="39"/>
    <w:unhideWhenUsed/>
    <w:qFormat/>
    <w:rsid w:val="00D81E8C"/>
    <w:pPr>
      <w:keepLines/>
      <w:numPr>
        <w:numId w:val="0"/>
      </w:numPr>
      <w:overflowPunct/>
      <w:autoSpaceDE/>
      <w:autoSpaceDN/>
      <w:adjustRightInd/>
      <w:spacing w:before="480" w:after="0" w:line="276" w:lineRule="auto"/>
      <w:textAlignment w:val="auto"/>
      <w:outlineLvl w:val="9"/>
    </w:pPr>
    <w:rPr>
      <w:rFonts w:asciiTheme="majorHAnsi" w:eastAsiaTheme="majorEastAsia" w:hAnsiTheme="majorHAnsi" w:cstheme="majorBidi"/>
      <w:bCs/>
      <w:color w:val="365F91" w:themeColor="accent1" w:themeShade="BF"/>
      <w:kern w:val="0"/>
      <w:sz w:val="28"/>
      <w:szCs w:val="28"/>
      <w:lang w:eastAsia="ja-JP"/>
    </w:rPr>
  </w:style>
  <w:style w:type="character" w:styleId="Hyperlink">
    <w:name w:val="Hyperlink"/>
    <w:basedOn w:val="DefaultParagraphFont"/>
    <w:uiPriority w:val="99"/>
    <w:unhideWhenUsed/>
    <w:rsid w:val="00D81E8C"/>
    <w:rPr>
      <w:color w:val="0000FF" w:themeColor="hyperlink"/>
      <w:u w:val="single"/>
    </w:rPr>
  </w:style>
  <w:style w:type="character" w:styleId="Strong">
    <w:name w:val="Strong"/>
    <w:basedOn w:val="DefaultParagraphFont"/>
    <w:uiPriority w:val="22"/>
    <w:qFormat/>
    <w:rsid w:val="00D81E8C"/>
    <w:rPr>
      <w:b/>
      <w:bCs/>
    </w:rPr>
  </w:style>
  <w:style w:type="character" w:styleId="Emphasis">
    <w:name w:val="Emphasis"/>
    <w:basedOn w:val="DefaultParagraphFont"/>
    <w:uiPriority w:val="20"/>
    <w:qFormat/>
    <w:rsid w:val="00D81E8C"/>
    <w:rPr>
      <w:rFonts w:asciiTheme="minorHAnsi" w:hAnsiTheme="minorHAnsi"/>
      <w:b/>
      <w:i/>
      <w:iCs/>
    </w:rPr>
  </w:style>
  <w:style w:type="paragraph" w:styleId="NoSpacing">
    <w:name w:val="No Spacing"/>
    <w:basedOn w:val="Normal"/>
    <w:uiPriority w:val="1"/>
    <w:qFormat/>
    <w:rsid w:val="00D81E8C"/>
    <w:pPr>
      <w:overflowPunct/>
      <w:autoSpaceDE/>
      <w:autoSpaceDN/>
      <w:adjustRightInd/>
      <w:spacing w:line="240" w:lineRule="auto"/>
      <w:textAlignment w:val="auto"/>
    </w:pPr>
    <w:rPr>
      <w:rFonts w:asciiTheme="minorHAnsi" w:eastAsiaTheme="minorEastAsia" w:hAnsiTheme="minorHAnsi"/>
      <w:sz w:val="24"/>
      <w:szCs w:val="32"/>
    </w:rPr>
  </w:style>
  <w:style w:type="paragraph" w:styleId="Quote">
    <w:name w:val="Quote"/>
    <w:basedOn w:val="Normal"/>
    <w:next w:val="Normal"/>
    <w:link w:val="QuoteChar"/>
    <w:uiPriority w:val="29"/>
    <w:qFormat/>
    <w:rsid w:val="00D81E8C"/>
    <w:pPr>
      <w:overflowPunct/>
      <w:autoSpaceDE/>
      <w:autoSpaceDN/>
      <w:adjustRightInd/>
      <w:spacing w:line="240" w:lineRule="auto"/>
      <w:textAlignment w:val="auto"/>
    </w:pPr>
    <w:rPr>
      <w:rFonts w:asciiTheme="minorHAnsi" w:eastAsiaTheme="minorEastAsia" w:hAnsiTheme="minorHAnsi"/>
      <w:i/>
      <w:sz w:val="24"/>
      <w:szCs w:val="24"/>
    </w:rPr>
  </w:style>
  <w:style w:type="character" w:customStyle="1" w:styleId="QuoteChar">
    <w:name w:val="Quote Char"/>
    <w:basedOn w:val="DefaultParagraphFont"/>
    <w:link w:val="Quote"/>
    <w:uiPriority w:val="29"/>
    <w:rsid w:val="00D81E8C"/>
    <w:rPr>
      <w:rFonts w:cs="Times New Roman"/>
      <w:i/>
      <w:sz w:val="24"/>
      <w:szCs w:val="24"/>
    </w:rPr>
  </w:style>
  <w:style w:type="paragraph" w:styleId="IntenseQuote">
    <w:name w:val="Intense Quote"/>
    <w:basedOn w:val="Normal"/>
    <w:next w:val="Normal"/>
    <w:link w:val="IntenseQuoteChar"/>
    <w:uiPriority w:val="30"/>
    <w:qFormat/>
    <w:rsid w:val="00D81E8C"/>
    <w:pPr>
      <w:overflowPunct/>
      <w:autoSpaceDE/>
      <w:autoSpaceDN/>
      <w:adjustRightInd/>
      <w:spacing w:line="240" w:lineRule="auto"/>
      <w:ind w:left="720" w:right="720"/>
      <w:textAlignment w:val="auto"/>
    </w:pPr>
    <w:rPr>
      <w:rFonts w:asciiTheme="minorHAnsi" w:eastAsiaTheme="minorEastAsia" w:hAnsiTheme="minorHAnsi"/>
      <w:b/>
      <w:i/>
      <w:sz w:val="24"/>
      <w:szCs w:val="22"/>
    </w:rPr>
  </w:style>
  <w:style w:type="character" w:customStyle="1" w:styleId="IntenseQuoteChar">
    <w:name w:val="Intense Quote Char"/>
    <w:basedOn w:val="DefaultParagraphFont"/>
    <w:link w:val="IntenseQuote"/>
    <w:uiPriority w:val="30"/>
    <w:rsid w:val="00D81E8C"/>
    <w:rPr>
      <w:rFonts w:cs="Times New Roman"/>
      <w:b/>
      <w:i/>
      <w:sz w:val="24"/>
    </w:rPr>
  </w:style>
  <w:style w:type="character" w:styleId="SubtleEmphasis">
    <w:name w:val="Subtle Emphasis"/>
    <w:uiPriority w:val="19"/>
    <w:qFormat/>
    <w:rsid w:val="00D81E8C"/>
    <w:rPr>
      <w:i/>
      <w:color w:val="5A5A5A" w:themeColor="text1" w:themeTint="A5"/>
    </w:rPr>
  </w:style>
  <w:style w:type="character" w:styleId="IntenseEmphasis">
    <w:name w:val="Intense Emphasis"/>
    <w:basedOn w:val="DefaultParagraphFont"/>
    <w:uiPriority w:val="21"/>
    <w:qFormat/>
    <w:rsid w:val="00D81E8C"/>
    <w:rPr>
      <w:b/>
      <w:i/>
      <w:sz w:val="24"/>
      <w:szCs w:val="24"/>
      <w:u w:val="single"/>
    </w:rPr>
  </w:style>
  <w:style w:type="character" w:styleId="SubtleReference">
    <w:name w:val="Subtle Reference"/>
    <w:basedOn w:val="DefaultParagraphFont"/>
    <w:uiPriority w:val="31"/>
    <w:qFormat/>
    <w:rsid w:val="00D81E8C"/>
    <w:rPr>
      <w:sz w:val="24"/>
      <w:szCs w:val="24"/>
      <w:u w:val="single"/>
    </w:rPr>
  </w:style>
  <w:style w:type="character" w:styleId="IntenseReference">
    <w:name w:val="Intense Reference"/>
    <w:basedOn w:val="DefaultParagraphFont"/>
    <w:uiPriority w:val="32"/>
    <w:qFormat/>
    <w:rsid w:val="00D81E8C"/>
    <w:rPr>
      <w:b/>
      <w:sz w:val="24"/>
      <w:u w:val="single"/>
    </w:rPr>
  </w:style>
  <w:style w:type="character" w:styleId="BookTitle">
    <w:name w:val="Book Title"/>
    <w:basedOn w:val="DefaultParagraphFont"/>
    <w:uiPriority w:val="33"/>
    <w:qFormat/>
    <w:rsid w:val="00D81E8C"/>
    <w:rPr>
      <w:rFonts w:asciiTheme="majorHAnsi" w:eastAsiaTheme="majorEastAsia" w:hAnsiTheme="majorHAnsi"/>
      <w:b/>
      <w:i/>
      <w:sz w:val="24"/>
      <w:szCs w:val="24"/>
    </w:rPr>
  </w:style>
  <w:style w:type="paragraph" w:styleId="Caption">
    <w:name w:val="caption"/>
    <w:basedOn w:val="Normal"/>
    <w:next w:val="Normal"/>
    <w:uiPriority w:val="35"/>
    <w:unhideWhenUsed/>
    <w:qFormat/>
    <w:rsid w:val="00D81E8C"/>
    <w:pPr>
      <w:overflowPunct/>
      <w:autoSpaceDE/>
      <w:autoSpaceDN/>
      <w:adjustRightInd/>
      <w:spacing w:line="240" w:lineRule="auto"/>
      <w:textAlignment w:val="auto"/>
    </w:pPr>
    <w:rPr>
      <w:rFonts w:asciiTheme="minorHAnsi" w:eastAsiaTheme="minorEastAsia" w:hAnsiTheme="minorHAnsi"/>
      <w:b/>
      <w:bCs/>
      <w:color w:val="4F81BD" w:themeColor="accent1"/>
      <w:sz w:val="18"/>
      <w:szCs w:val="18"/>
    </w:rPr>
  </w:style>
  <w:style w:type="character" w:customStyle="1" w:styleId="apple-converted-space">
    <w:name w:val="apple-converted-space"/>
    <w:basedOn w:val="DefaultParagraphFont"/>
    <w:rsid w:val="00D81E8C"/>
  </w:style>
  <w:style w:type="character" w:styleId="CommentReference">
    <w:name w:val="annotation reference"/>
    <w:basedOn w:val="DefaultParagraphFont"/>
    <w:uiPriority w:val="99"/>
    <w:semiHidden/>
    <w:unhideWhenUsed/>
    <w:rsid w:val="00D81E8C"/>
    <w:rPr>
      <w:sz w:val="16"/>
      <w:szCs w:val="16"/>
    </w:rPr>
  </w:style>
  <w:style w:type="paragraph" w:styleId="CommentText">
    <w:name w:val="annotation text"/>
    <w:basedOn w:val="Normal"/>
    <w:link w:val="CommentTextChar"/>
    <w:uiPriority w:val="99"/>
    <w:semiHidden/>
    <w:unhideWhenUsed/>
    <w:rsid w:val="00D81E8C"/>
    <w:pPr>
      <w:overflowPunct/>
      <w:autoSpaceDE/>
      <w:autoSpaceDN/>
      <w:adjustRightInd/>
      <w:spacing w:line="240" w:lineRule="auto"/>
      <w:textAlignment w:val="auto"/>
    </w:pPr>
    <w:rPr>
      <w:rFonts w:asciiTheme="minorHAnsi" w:eastAsiaTheme="minorEastAsia" w:hAnsiTheme="minorHAnsi"/>
    </w:rPr>
  </w:style>
  <w:style w:type="character" w:customStyle="1" w:styleId="CommentTextChar">
    <w:name w:val="Comment Text Char"/>
    <w:basedOn w:val="DefaultParagraphFont"/>
    <w:link w:val="CommentText"/>
    <w:uiPriority w:val="99"/>
    <w:semiHidden/>
    <w:rsid w:val="00D81E8C"/>
    <w:rPr>
      <w:rFonts w:cs="Times New Roman"/>
      <w:sz w:val="20"/>
      <w:szCs w:val="20"/>
    </w:rPr>
  </w:style>
  <w:style w:type="paragraph" w:styleId="CommentSubject">
    <w:name w:val="annotation subject"/>
    <w:basedOn w:val="CommentText"/>
    <w:next w:val="CommentText"/>
    <w:link w:val="CommentSubjectChar"/>
    <w:uiPriority w:val="99"/>
    <w:semiHidden/>
    <w:unhideWhenUsed/>
    <w:rsid w:val="00D81E8C"/>
    <w:rPr>
      <w:b/>
      <w:bCs/>
    </w:rPr>
  </w:style>
  <w:style w:type="character" w:customStyle="1" w:styleId="CommentSubjectChar">
    <w:name w:val="Comment Subject Char"/>
    <w:basedOn w:val="CommentTextChar"/>
    <w:link w:val="CommentSubject"/>
    <w:uiPriority w:val="99"/>
    <w:semiHidden/>
    <w:rsid w:val="00D81E8C"/>
    <w:rPr>
      <w:rFonts w:cs="Times New Roman"/>
      <w:b/>
      <w:bCs/>
      <w:sz w:val="20"/>
      <w:szCs w:val="20"/>
    </w:rPr>
  </w:style>
  <w:style w:type="character" w:styleId="PlaceholderText">
    <w:name w:val="Placeholder Text"/>
    <w:basedOn w:val="DefaultParagraphFont"/>
    <w:uiPriority w:val="99"/>
    <w:semiHidden/>
    <w:rsid w:val="00144315"/>
    <w:rPr>
      <w:color w:val="808080"/>
    </w:rPr>
  </w:style>
  <w:style w:type="paragraph" w:styleId="BodyText">
    <w:name w:val="Body Text"/>
    <w:basedOn w:val="Normal"/>
    <w:link w:val="BodyTextChar"/>
    <w:unhideWhenUsed/>
    <w:qFormat/>
    <w:rsid w:val="00144315"/>
    <w:pPr>
      <w:overflowPunct/>
      <w:autoSpaceDE/>
      <w:autoSpaceDN/>
      <w:adjustRightInd/>
      <w:spacing w:after="240" w:line="240" w:lineRule="atLeast"/>
      <w:textAlignment w:val="auto"/>
    </w:pPr>
    <w:rPr>
      <w:rFonts w:ascii="Georgia" w:eastAsiaTheme="minorHAnsi" w:hAnsi="Georgia" w:cstheme="minorBidi"/>
      <w:lang w:val="en-GB" w:eastAsia="en-US"/>
    </w:rPr>
  </w:style>
  <w:style w:type="character" w:customStyle="1" w:styleId="BodyTextChar">
    <w:name w:val="Body Text Char"/>
    <w:basedOn w:val="DefaultParagraphFont"/>
    <w:link w:val="BodyText"/>
    <w:rsid w:val="00144315"/>
    <w:rPr>
      <w:rFonts w:ascii="Georgia" w:eastAsiaTheme="minorHAnsi" w:hAnsi="Georgia"/>
      <w:sz w:val="20"/>
      <w:szCs w:val="20"/>
      <w:lang w:val="en-GB" w:eastAsia="en-US"/>
    </w:rPr>
  </w:style>
  <w:style w:type="table" w:styleId="TableGrid">
    <w:name w:val="Table Grid"/>
    <w:basedOn w:val="TableNormal"/>
    <w:uiPriority w:val="59"/>
    <w:rsid w:val="001443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33580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41F0DE-DF05-4845-9E0D-08ECBCEBA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63</Pages>
  <Words>49863</Words>
  <Characters>284225</Characters>
  <Application>Microsoft Office Word</Application>
  <DocSecurity>0</DocSecurity>
  <Lines>2368</Lines>
  <Paragraphs>666</Paragraphs>
  <ScaleCrop>false</ScaleCrop>
  <HeadingPairs>
    <vt:vector size="2" baseType="variant">
      <vt:variant>
        <vt:lpstr>Title</vt:lpstr>
      </vt:variant>
      <vt:variant>
        <vt:i4>1</vt:i4>
      </vt:variant>
    </vt:vector>
  </HeadingPairs>
  <TitlesOfParts>
    <vt:vector size="1" baseType="lpstr">
      <vt:lpstr/>
    </vt:vector>
  </TitlesOfParts>
  <Company>Ernst &amp; Young</Company>
  <LinksUpToDate>false</LinksUpToDate>
  <CharactersWithSpaces>333422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 Guo</dc:creator>
  <cp:lastModifiedBy>Eef A. de Knecht</cp:lastModifiedBy>
  <cp:revision>2</cp:revision>
  <dcterms:created xsi:type="dcterms:W3CDTF">2014-07-25T12:24:00Z</dcterms:created>
  <dcterms:modified xsi:type="dcterms:W3CDTF">2014-07-25T12:24:00Z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y fmtid="{D5CDD505-2E9C-101B-9397-08002B2CF9AE}" pid="3" name="Mendeley Document_1">
    <vt:lpwstr>True</vt:lpwstr>
  </property>
  <property fmtid="{D5CDD505-2E9C-101B-9397-08002B2CF9AE}" pid="4" name="Mendeley User Name_1">
    <vt:lpwstr>superjianguo@gmail.com@www.mendeley.com</vt:lpwstr>
  </property>
  <property fmtid="{D5CDD505-2E9C-101B-9397-08002B2CF9AE}" pid="5" name="Mendeley Citation Style_1">
    <vt:lpwstr>http://www.zotero.org/styles/apa</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16th edition (author-date)</vt:lpwstr>
  </property>
  <property fmtid="{D5CDD505-2E9C-101B-9397-08002B2CF9AE}" pid="16" name="Mendeley Recent Style Id 5_1">
    <vt:lpwstr>http://www.zotero.org/styles/harvard1</vt:lpwstr>
  </property>
  <property fmtid="{D5CDD505-2E9C-101B-9397-08002B2CF9AE}" pid="17" name="Mendeley Recent Style Name 5_1">
    <vt:lpwstr>Harvard Reference format 1 (author-date)</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7th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