
<file path=[Content_Types].xml><?xml version="1.0" encoding="utf-8"?>
<Types xmlns="http://schemas.openxmlformats.org/package/2006/content-types">
  <Override PartName="/word/footnotes.xml" ContentType="application/vnd.openxmlformats-officedocument.wordprocessingml.footnotes+xml"/>
  <Default Extension="vsd" ContentType="application/vnd.visio"/>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413A" w:rsidRDefault="00CD63C5" w:rsidP="005467E3">
      <w:pPr>
        <w:spacing w:line="240" w:lineRule="auto"/>
        <w:jc w:val="center"/>
        <w:rPr>
          <w:b/>
          <w:sz w:val="48"/>
          <w:szCs w:val="48"/>
        </w:rPr>
      </w:pPr>
      <w:r w:rsidRPr="005467E3">
        <w:rPr>
          <w:b/>
          <w:sz w:val="48"/>
          <w:szCs w:val="48"/>
        </w:rPr>
        <w:t xml:space="preserve">Is there a </w:t>
      </w:r>
      <w:r w:rsidR="004D3649">
        <w:rPr>
          <w:b/>
          <w:sz w:val="48"/>
          <w:szCs w:val="48"/>
        </w:rPr>
        <w:t xml:space="preserve">difference in </w:t>
      </w:r>
      <w:r w:rsidRPr="005467E3">
        <w:rPr>
          <w:b/>
          <w:sz w:val="48"/>
          <w:szCs w:val="48"/>
        </w:rPr>
        <w:t>relationship between corporate gov</w:t>
      </w:r>
      <w:r w:rsidR="005467E3">
        <w:rPr>
          <w:b/>
          <w:sz w:val="48"/>
          <w:szCs w:val="48"/>
        </w:rPr>
        <w:t>ernance and earning</w:t>
      </w:r>
      <w:r w:rsidR="00443C8B">
        <w:rPr>
          <w:b/>
          <w:sz w:val="48"/>
          <w:szCs w:val="48"/>
        </w:rPr>
        <w:t>s</w:t>
      </w:r>
      <w:r w:rsidR="005467E3">
        <w:rPr>
          <w:b/>
          <w:sz w:val="48"/>
          <w:szCs w:val="48"/>
        </w:rPr>
        <w:t xml:space="preserve"> management</w:t>
      </w:r>
      <w:r w:rsidR="009E65D5">
        <w:rPr>
          <w:b/>
          <w:sz w:val="48"/>
          <w:szCs w:val="48"/>
        </w:rPr>
        <w:t xml:space="preserve"> </w:t>
      </w:r>
      <w:r w:rsidR="009E65D5" w:rsidRPr="00EC41CE">
        <w:rPr>
          <w:b/>
          <w:sz w:val="48"/>
          <w:szCs w:val="48"/>
        </w:rPr>
        <w:t>in different countries</w:t>
      </w:r>
      <w:r w:rsidR="005467E3" w:rsidRPr="00EC41CE">
        <w:rPr>
          <w:b/>
          <w:sz w:val="48"/>
          <w:szCs w:val="48"/>
        </w:rPr>
        <w:t xml:space="preserve">? </w:t>
      </w:r>
      <w:r w:rsidRPr="00EC41CE">
        <w:rPr>
          <w:b/>
          <w:sz w:val="48"/>
          <w:szCs w:val="48"/>
        </w:rPr>
        <w:t>Evidence f</w:t>
      </w:r>
      <w:r w:rsidRPr="005467E3">
        <w:rPr>
          <w:b/>
          <w:sz w:val="48"/>
          <w:szCs w:val="48"/>
        </w:rPr>
        <w:t xml:space="preserve">rom comparing </w:t>
      </w:r>
      <w:r w:rsidR="009E65D5">
        <w:rPr>
          <w:b/>
          <w:sz w:val="48"/>
          <w:szCs w:val="48"/>
        </w:rPr>
        <w:t xml:space="preserve">the </w:t>
      </w:r>
      <w:r w:rsidRPr="005467E3">
        <w:rPr>
          <w:b/>
          <w:sz w:val="48"/>
          <w:szCs w:val="48"/>
        </w:rPr>
        <w:t xml:space="preserve">emerging market of China and </w:t>
      </w:r>
      <w:r w:rsidR="009E65D5">
        <w:rPr>
          <w:b/>
          <w:sz w:val="48"/>
          <w:szCs w:val="48"/>
        </w:rPr>
        <w:t xml:space="preserve">the </w:t>
      </w:r>
      <w:r w:rsidRPr="005467E3">
        <w:rPr>
          <w:b/>
          <w:sz w:val="48"/>
          <w:szCs w:val="48"/>
        </w:rPr>
        <w:t xml:space="preserve">developed market of </w:t>
      </w:r>
      <w:r w:rsidR="00C16DF9">
        <w:rPr>
          <w:b/>
          <w:sz w:val="48"/>
          <w:szCs w:val="48"/>
        </w:rPr>
        <w:t>U.S.</w:t>
      </w:r>
    </w:p>
    <w:p w:rsidR="005467E3" w:rsidRPr="005467E3" w:rsidRDefault="005467E3" w:rsidP="005467E3">
      <w:pPr>
        <w:spacing w:line="240" w:lineRule="auto"/>
        <w:jc w:val="center"/>
        <w:rPr>
          <w:rFonts w:cs="Times New Roman"/>
          <w:b/>
          <w:i/>
          <w:sz w:val="36"/>
          <w:szCs w:val="36"/>
          <w:lang w:val="en-GB"/>
        </w:rPr>
      </w:pPr>
    </w:p>
    <w:p w:rsidR="00AF413A" w:rsidRDefault="00EF1EDC" w:rsidP="00AF413A">
      <w:pPr>
        <w:jc w:val="center"/>
        <w:rPr>
          <w:b/>
          <w:bCs/>
          <w:sz w:val="48"/>
          <w:szCs w:val="48"/>
          <w:lang w:val="en-GB"/>
        </w:rPr>
      </w:pPr>
      <w:r>
        <w:rPr>
          <w:sz w:val="32"/>
          <w:szCs w:val="32"/>
          <w:lang w:val="en-GB"/>
        </w:rPr>
        <w:fldChar w:fldCharType="begin"/>
      </w:r>
      <w:r w:rsidR="00AF413A">
        <w:rPr>
          <w:sz w:val="32"/>
          <w:szCs w:val="32"/>
          <w:lang w:val="en-GB"/>
        </w:rPr>
        <w:instrText xml:space="preserve"> DATE \@ "d MMMM yyyy" </w:instrText>
      </w:r>
      <w:r>
        <w:rPr>
          <w:sz w:val="32"/>
          <w:szCs w:val="32"/>
          <w:lang w:val="en-GB"/>
        </w:rPr>
        <w:fldChar w:fldCharType="separate"/>
      </w:r>
      <w:r w:rsidR="00E0407F">
        <w:rPr>
          <w:noProof/>
          <w:sz w:val="32"/>
          <w:szCs w:val="32"/>
          <w:lang w:val="en-GB"/>
        </w:rPr>
        <w:t>24 October 2014</w:t>
      </w:r>
      <w:r>
        <w:rPr>
          <w:sz w:val="32"/>
          <w:szCs w:val="32"/>
          <w:lang w:val="en-GB"/>
        </w:rPr>
        <w:fldChar w:fldCharType="end"/>
      </w:r>
    </w:p>
    <w:p w:rsidR="00AF413A" w:rsidRDefault="00AF413A" w:rsidP="00AF413A">
      <w:pPr>
        <w:jc w:val="center"/>
        <w:rPr>
          <w:b/>
          <w:bCs/>
          <w:sz w:val="32"/>
          <w:szCs w:val="32"/>
          <w:lang w:val="en-GB"/>
        </w:rPr>
      </w:pPr>
      <w:r>
        <w:rPr>
          <w:b/>
          <w:noProof/>
          <w:sz w:val="32"/>
          <w:szCs w:val="32"/>
        </w:rPr>
        <w:drawing>
          <wp:inline distT="0" distB="0" distL="0" distR="0">
            <wp:extent cx="3502025" cy="828040"/>
            <wp:effectExtent l="0" t="0" r="3175" b="0"/>
            <wp:docPr id="26" name="Picture 26" descr="Description: Beschrijving: Logo_Erasmus_Universiteit_Rotterdam_ZW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Description: Beschrijving: Logo_Erasmus_Universiteit_Rotterdam_ZWART"/>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02025" cy="828040"/>
                    </a:xfrm>
                    <a:prstGeom prst="rect">
                      <a:avLst/>
                    </a:prstGeom>
                    <a:noFill/>
                    <a:ln>
                      <a:noFill/>
                    </a:ln>
                  </pic:spPr>
                </pic:pic>
              </a:graphicData>
            </a:graphic>
          </wp:inline>
        </w:drawing>
      </w:r>
    </w:p>
    <w:p w:rsidR="00AF413A" w:rsidRDefault="00AF413A" w:rsidP="00AF413A">
      <w:pPr>
        <w:jc w:val="center"/>
        <w:rPr>
          <w:b/>
          <w:bCs/>
          <w:sz w:val="32"/>
          <w:szCs w:val="32"/>
          <w:lang w:val="en-GB"/>
        </w:rPr>
      </w:pPr>
    </w:p>
    <w:p w:rsidR="00AF413A" w:rsidRDefault="00AF413A" w:rsidP="00AF413A">
      <w:pPr>
        <w:jc w:val="center"/>
        <w:rPr>
          <w:bCs/>
          <w:i/>
          <w:sz w:val="32"/>
          <w:szCs w:val="32"/>
          <w:lang w:val="en-GB"/>
        </w:rPr>
      </w:pPr>
      <w:r>
        <w:rPr>
          <w:bCs/>
          <w:i/>
          <w:sz w:val="32"/>
          <w:szCs w:val="32"/>
          <w:lang w:val="en-GB"/>
        </w:rPr>
        <w:t>Erasmus School of Economics</w:t>
      </w:r>
    </w:p>
    <w:p w:rsidR="00AF413A" w:rsidRDefault="00AF413A" w:rsidP="00AF413A">
      <w:pPr>
        <w:jc w:val="center"/>
        <w:rPr>
          <w:sz w:val="32"/>
          <w:szCs w:val="32"/>
          <w:lang w:val="en-GB"/>
        </w:rPr>
      </w:pPr>
    </w:p>
    <w:p w:rsidR="00AF413A" w:rsidRDefault="00AF413A" w:rsidP="00AF413A">
      <w:pPr>
        <w:jc w:val="center"/>
        <w:rPr>
          <w:sz w:val="32"/>
          <w:szCs w:val="32"/>
          <w:lang w:val="en-GB"/>
        </w:rPr>
      </w:pPr>
      <w:r>
        <w:rPr>
          <w:sz w:val="32"/>
          <w:szCs w:val="32"/>
          <w:lang w:val="en-GB"/>
        </w:rPr>
        <w:t>Master Accounting, Auditing &amp; Control - 2013-2014</w:t>
      </w:r>
    </w:p>
    <w:p w:rsidR="00AF413A" w:rsidRDefault="00AF413A" w:rsidP="00AF413A">
      <w:pPr>
        <w:rPr>
          <w:rFonts w:cs="Times New Roman"/>
          <w:bCs/>
          <w:lang w:val="en-GB"/>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557"/>
        <w:gridCol w:w="5966"/>
      </w:tblGrid>
      <w:tr w:rsidR="00FC2984" w:rsidRPr="00F319AF" w:rsidTr="00F319AF">
        <w:trPr>
          <w:jc w:val="center"/>
        </w:trPr>
        <w:tc>
          <w:tcPr>
            <w:tcW w:w="1500" w:type="pct"/>
          </w:tcPr>
          <w:p w:rsidR="00FC2984" w:rsidRPr="00F319AF" w:rsidRDefault="00FC2984" w:rsidP="006077B4">
            <w:pPr>
              <w:spacing w:line="300" w:lineRule="exact"/>
              <w:rPr>
                <w:rFonts w:cs="Times New Roman"/>
                <w:bCs/>
                <w:sz w:val="28"/>
                <w:lang w:val="en-GB"/>
              </w:rPr>
            </w:pPr>
            <w:r w:rsidRPr="00F319AF">
              <w:rPr>
                <w:rFonts w:cs="Times New Roman"/>
                <w:bCs/>
                <w:sz w:val="28"/>
                <w:lang w:val="en-GB"/>
              </w:rPr>
              <w:t>Name</w:t>
            </w:r>
          </w:p>
        </w:tc>
        <w:tc>
          <w:tcPr>
            <w:tcW w:w="3500" w:type="pct"/>
          </w:tcPr>
          <w:p w:rsidR="00FC2984" w:rsidRPr="00F319AF" w:rsidRDefault="00FC2984" w:rsidP="006077B4">
            <w:pPr>
              <w:spacing w:line="300" w:lineRule="exact"/>
              <w:rPr>
                <w:rFonts w:cs="Times New Roman"/>
                <w:bCs/>
                <w:sz w:val="28"/>
                <w:lang w:val="en-GB"/>
              </w:rPr>
            </w:pPr>
            <w:proofErr w:type="spellStart"/>
            <w:r w:rsidRPr="00F319AF">
              <w:rPr>
                <w:rFonts w:cs="Times New Roman"/>
                <w:bCs/>
                <w:sz w:val="28"/>
                <w:lang w:val="en-GB"/>
              </w:rPr>
              <w:t>Rong</w:t>
            </w:r>
            <w:proofErr w:type="spellEnd"/>
            <w:r w:rsidRPr="00F319AF">
              <w:rPr>
                <w:rFonts w:cs="Times New Roman"/>
                <w:bCs/>
                <w:sz w:val="28"/>
                <w:lang w:val="en-GB"/>
              </w:rPr>
              <w:t xml:space="preserve"> </w:t>
            </w:r>
            <w:proofErr w:type="spellStart"/>
            <w:r w:rsidRPr="00F319AF">
              <w:rPr>
                <w:rFonts w:cs="Times New Roman"/>
                <w:bCs/>
                <w:sz w:val="28"/>
                <w:lang w:val="en-GB"/>
              </w:rPr>
              <w:t>Zheng</w:t>
            </w:r>
            <w:proofErr w:type="spellEnd"/>
          </w:p>
        </w:tc>
      </w:tr>
      <w:tr w:rsidR="00FC2984" w:rsidRPr="00F319AF" w:rsidTr="00F319AF">
        <w:trPr>
          <w:jc w:val="center"/>
        </w:trPr>
        <w:tc>
          <w:tcPr>
            <w:tcW w:w="1500" w:type="pct"/>
          </w:tcPr>
          <w:p w:rsidR="00FC2984" w:rsidRPr="00F319AF" w:rsidRDefault="00FC2984" w:rsidP="006077B4">
            <w:pPr>
              <w:spacing w:line="300" w:lineRule="exact"/>
              <w:rPr>
                <w:rFonts w:cs="Times New Roman"/>
                <w:bCs/>
                <w:sz w:val="28"/>
                <w:lang w:val="en-GB"/>
              </w:rPr>
            </w:pPr>
            <w:r w:rsidRPr="00F319AF">
              <w:rPr>
                <w:rFonts w:cs="Times New Roman"/>
                <w:bCs/>
                <w:sz w:val="28"/>
                <w:lang w:val="en-GB"/>
              </w:rPr>
              <w:t>Student number</w:t>
            </w:r>
          </w:p>
        </w:tc>
        <w:tc>
          <w:tcPr>
            <w:tcW w:w="3500" w:type="pct"/>
          </w:tcPr>
          <w:p w:rsidR="00FC2984" w:rsidRPr="00F319AF" w:rsidRDefault="00FC2984" w:rsidP="006077B4">
            <w:pPr>
              <w:spacing w:line="300" w:lineRule="exact"/>
              <w:rPr>
                <w:rFonts w:cs="Times New Roman"/>
                <w:bCs/>
                <w:sz w:val="28"/>
                <w:lang w:val="en-GB"/>
              </w:rPr>
            </w:pPr>
            <w:r w:rsidRPr="00F319AF">
              <w:rPr>
                <w:rFonts w:cs="Times New Roman"/>
                <w:bCs/>
                <w:sz w:val="28"/>
                <w:lang w:val="en-GB"/>
              </w:rPr>
              <w:t>366006</w:t>
            </w:r>
          </w:p>
        </w:tc>
      </w:tr>
      <w:tr w:rsidR="00FC2984" w:rsidRPr="005E7221" w:rsidTr="00F319AF">
        <w:trPr>
          <w:jc w:val="center"/>
        </w:trPr>
        <w:tc>
          <w:tcPr>
            <w:tcW w:w="1500" w:type="pct"/>
          </w:tcPr>
          <w:p w:rsidR="00FC2984" w:rsidRPr="00F319AF" w:rsidRDefault="00FC2984" w:rsidP="006077B4">
            <w:pPr>
              <w:spacing w:line="300" w:lineRule="exact"/>
              <w:rPr>
                <w:rFonts w:cs="Times New Roman"/>
                <w:bCs/>
                <w:sz w:val="28"/>
                <w:lang w:val="en-GB"/>
              </w:rPr>
            </w:pPr>
            <w:r w:rsidRPr="00F319AF">
              <w:rPr>
                <w:rFonts w:cs="Times New Roman"/>
                <w:bCs/>
                <w:sz w:val="28"/>
                <w:lang w:val="en-GB"/>
              </w:rPr>
              <w:t>Supervisor</w:t>
            </w:r>
          </w:p>
        </w:tc>
        <w:tc>
          <w:tcPr>
            <w:tcW w:w="3500" w:type="pct"/>
          </w:tcPr>
          <w:p w:rsidR="00FC2984" w:rsidRPr="00B9756C" w:rsidRDefault="00BC4EC1" w:rsidP="006077B4">
            <w:pPr>
              <w:spacing w:line="300" w:lineRule="exact"/>
              <w:rPr>
                <w:rFonts w:cs="Times New Roman"/>
                <w:bCs/>
                <w:sz w:val="28"/>
                <w:lang w:val="nl-NL"/>
              </w:rPr>
            </w:pPr>
            <w:r w:rsidRPr="00B9756C">
              <w:rPr>
                <w:rFonts w:cs="Times New Roman"/>
                <w:bCs/>
                <w:sz w:val="28"/>
                <w:lang w:val="nl-NL"/>
              </w:rPr>
              <w:t>Drs. sc. ind. A.H. van der Boom</w:t>
            </w:r>
          </w:p>
        </w:tc>
      </w:tr>
      <w:tr w:rsidR="00FC2984" w:rsidRPr="005E7221" w:rsidTr="00F319AF">
        <w:trPr>
          <w:jc w:val="center"/>
        </w:trPr>
        <w:tc>
          <w:tcPr>
            <w:tcW w:w="1500" w:type="pct"/>
          </w:tcPr>
          <w:p w:rsidR="00FC2984" w:rsidRPr="00F319AF" w:rsidRDefault="00800FF2" w:rsidP="006077B4">
            <w:pPr>
              <w:spacing w:line="300" w:lineRule="exact"/>
              <w:rPr>
                <w:rFonts w:cs="Times New Roman"/>
                <w:bCs/>
                <w:sz w:val="28"/>
                <w:lang w:val="en-GB"/>
              </w:rPr>
            </w:pPr>
            <w:r w:rsidRPr="00F319AF">
              <w:rPr>
                <w:rFonts w:cs="Times New Roman"/>
                <w:bCs/>
                <w:sz w:val="28"/>
                <w:lang w:val="en-GB"/>
              </w:rPr>
              <w:t>Co-reader</w:t>
            </w:r>
          </w:p>
        </w:tc>
        <w:tc>
          <w:tcPr>
            <w:tcW w:w="3500" w:type="pct"/>
          </w:tcPr>
          <w:p w:rsidR="00FC2984" w:rsidRPr="00B9756C" w:rsidRDefault="00BF08C7" w:rsidP="006077B4">
            <w:pPr>
              <w:spacing w:line="300" w:lineRule="exact"/>
              <w:rPr>
                <w:rFonts w:cs="Times New Roman"/>
                <w:bCs/>
                <w:sz w:val="28"/>
                <w:lang w:val="nl-NL"/>
              </w:rPr>
            </w:pPr>
            <w:r w:rsidRPr="009E231C">
              <w:rPr>
                <w:rFonts w:cs="Times New Roman"/>
                <w:bCs/>
                <w:sz w:val="28"/>
                <w:lang w:val="nl-NL"/>
              </w:rPr>
              <w:t>E.A. de Knecht R</w:t>
            </w:r>
            <w:r>
              <w:rPr>
                <w:rFonts w:cs="Times New Roman"/>
                <w:bCs/>
                <w:sz w:val="28"/>
                <w:lang w:val="nl-NL"/>
              </w:rPr>
              <w:t>A</w:t>
            </w:r>
          </w:p>
        </w:tc>
      </w:tr>
      <w:tr w:rsidR="00FC2984" w:rsidRPr="00F319AF" w:rsidTr="00F319AF">
        <w:trPr>
          <w:jc w:val="center"/>
        </w:trPr>
        <w:tc>
          <w:tcPr>
            <w:tcW w:w="1500" w:type="pct"/>
          </w:tcPr>
          <w:p w:rsidR="00FC2984" w:rsidRPr="00F319AF" w:rsidRDefault="00800FF2" w:rsidP="006077B4">
            <w:pPr>
              <w:spacing w:line="300" w:lineRule="exact"/>
              <w:rPr>
                <w:rFonts w:cs="Times New Roman"/>
                <w:bCs/>
                <w:sz w:val="28"/>
                <w:lang w:val="en-GB"/>
              </w:rPr>
            </w:pPr>
            <w:r w:rsidRPr="00F319AF">
              <w:rPr>
                <w:rFonts w:cs="Times New Roman"/>
                <w:bCs/>
                <w:sz w:val="28"/>
                <w:lang w:val="en-GB"/>
              </w:rPr>
              <w:t>Date</w:t>
            </w:r>
          </w:p>
        </w:tc>
        <w:tc>
          <w:tcPr>
            <w:tcW w:w="3500" w:type="pct"/>
          </w:tcPr>
          <w:p w:rsidR="00FC2984" w:rsidRPr="00F319AF" w:rsidRDefault="00BF08C7" w:rsidP="006077B4">
            <w:pPr>
              <w:spacing w:line="300" w:lineRule="exact"/>
              <w:rPr>
                <w:rFonts w:cs="Times New Roman"/>
                <w:bCs/>
                <w:sz w:val="28"/>
                <w:lang w:val="en-GB"/>
              </w:rPr>
            </w:pPr>
            <w:r w:rsidRPr="00BF08C7">
              <w:rPr>
                <w:rFonts w:cs="Times New Roman"/>
                <w:bCs/>
                <w:sz w:val="28"/>
                <w:lang w:val="en-GB"/>
              </w:rPr>
              <w:t>October 2014</w:t>
            </w:r>
          </w:p>
        </w:tc>
      </w:tr>
      <w:tr w:rsidR="00FC2984" w:rsidRPr="00F319AF" w:rsidTr="00F319AF">
        <w:trPr>
          <w:jc w:val="center"/>
        </w:trPr>
        <w:tc>
          <w:tcPr>
            <w:tcW w:w="1500" w:type="pct"/>
          </w:tcPr>
          <w:p w:rsidR="00FC2984" w:rsidRPr="00F319AF" w:rsidRDefault="00800FF2" w:rsidP="006077B4">
            <w:pPr>
              <w:spacing w:line="300" w:lineRule="exact"/>
              <w:rPr>
                <w:rFonts w:cs="Times New Roman"/>
                <w:bCs/>
                <w:sz w:val="28"/>
                <w:lang w:val="en-GB"/>
              </w:rPr>
            </w:pPr>
            <w:r w:rsidRPr="00F319AF">
              <w:rPr>
                <w:rFonts w:cs="Times New Roman"/>
                <w:bCs/>
                <w:sz w:val="28"/>
                <w:lang w:val="en-GB"/>
              </w:rPr>
              <w:t>Master</w:t>
            </w:r>
          </w:p>
        </w:tc>
        <w:tc>
          <w:tcPr>
            <w:tcW w:w="3500" w:type="pct"/>
          </w:tcPr>
          <w:p w:rsidR="00FC2984" w:rsidRPr="00F319AF" w:rsidRDefault="00800FF2" w:rsidP="006077B4">
            <w:pPr>
              <w:spacing w:line="300" w:lineRule="exact"/>
              <w:rPr>
                <w:rFonts w:cs="Times New Roman"/>
                <w:bCs/>
                <w:sz w:val="28"/>
                <w:lang w:val="en-GB"/>
              </w:rPr>
            </w:pPr>
            <w:r w:rsidRPr="00F319AF">
              <w:rPr>
                <w:rFonts w:cs="Times New Roman"/>
                <w:bCs/>
                <w:sz w:val="28"/>
                <w:lang w:val="en-GB"/>
              </w:rPr>
              <w:t>Accounting, Auditing and Control</w:t>
            </w:r>
            <w:r w:rsidR="00812091">
              <w:rPr>
                <w:rFonts w:cs="Times New Roman"/>
                <w:bCs/>
                <w:sz w:val="28"/>
                <w:lang w:val="en-GB"/>
              </w:rPr>
              <w:t xml:space="preserve"> </w:t>
            </w:r>
          </w:p>
        </w:tc>
      </w:tr>
    </w:tbl>
    <w:p w:rsidR="005467E3" w:rsidRDefault="005467E3" w:rsidP="005467E3">
      <w:pPr>
        <w:rPr>
          <w:lang w:val="en-GB" w:eastAsia="nl-NL"/>
        </w:rPr>
      </w:pPr>
      <w:r>
        <w:rPr>
          <w:lang w:val="en-GB" w:eastAsia="nl-NL"/>
        </w:rPr>
        <w:br w:type="page"/>
      </w:r>
    </w:p>
    <w:p w:rsidR="004D3649" w:rsidRDefault="00AF413A" w:rsidP="00AF413A">
      <w:pPr>
        <w:rPr>
          <w:rFonts w:cs="Times New Roman"/>
          <w:b/>
          <w:lang w:val="en-GB" w:eastAsia="nl-NL"/>
        </w:rPr>
      </w:pPr>
      <w:r w:rsidRPr="005467E3">
        <w:rPr>
          <w:rFonts w:cs="Times New Roman"/>
          <w:b/>
          <w:lang w:val="en-GB" w:eastAsia="nl-NL"/>
        </w:rPr>
        <w:lastRenderedPageBreak/>
        <w:t>Abstract</w:t>
      </w:r>
    </w:p>
    <w:p w:rsidR="00857693" w:rsidRPr="004D3649" w:rsidRDefault="004D3649" w:rsidP="00857693">
      <w:r w:rsidRPr="004D3649">
        <w:t xml:space="preserve">This empirical </w:t>
      </w:r>
      <w:r>
        <w:t xml:space="preserve">thesis aims to investigate </w:t>
      </w:r>
      <w:r w:rsidRPr="004D3649">
        <w:t xml:space="preserve">whether there </w:t>
      </w:r>
      <w:r w:rsidR="00703175">
        <w:t xml:space="preserve">is a </w:t>
      </w:r>
      <w:r w:rsidRPr="004D3649">
        <w:t xml:space="preserve">difference in the relationship between corporate governance and earnings management based on comparing </w:t>
      </w:r>
      <w:r>
        <w:t xml:space="preserve">the results of </w:t>
      </w:r>
      <w:r w:rsidRPr="004D3649">
        <w:t>China and U.S.  </w:t>
      </w:r>
      <w:r w:rsidR="007B3B08">
        <w:t>With</w:t>
      </w:r>
      <w:r w:rsidRPr="004D3649">
        <w:t xml:space="preserve"> </w:t>
      </w:r>
      <w:r w:rsidR="007B3B08">
        <w:t xml:space="preserve">the </w:t>
      </w:r>
      <w:r w:rsidRPr="004D3649">
        <w:t xml:space="preserve">datasets of China and U.S. </w:t>
      </w:r>
      <w:r>
        <w:t xml:space="preserve">during </w:t>
      </w:r>
      <w:r w:rsidRPr="004D3649">
        <w:t>2007</w:t>
      </w:r>
      <w:r>
        <w:t>-</w:t>
      </w:r>
      <w:r w:rsidRPr="004D3649">
        <w:t>2011</w:t>
      </w:r>
      <w:r>
        <w:t>, this thesis adopts the</w:t>
      </w:r>
      <w:r w:rsidR="006302C5">
        <w:t xml:space="preserve"> Performance–Matched D</w:t>
      </w:r>
      <w:r>
        <w:t>iscretionary</w:t>
      </w:r>
      <w:r w:rsidR="006302C5">
        <w:t xml:space="preserve"> A</w:t>
      </w:r>
      <w:r w:rsidRPr="004D3649">
        <w:t xml:space="preserve">ccruals </w:t>
      </w:r>
      <w:r w:rsidR="006302C5">
        <w:t>M</w:t>
      </w:r>
      <w:r>
        <w:t xml:space="preserve">odel </w:t>
      </w:r>
      <w:r w:rsidRPr="004D3649">
        <w:t>to calculate an</w:t>
      </w:r>
      <w:r>
        <w:t xml:space="preserve">d measure earnings management. </w:t>
      </w:r>
      <w:r w:rsidR="007B3B08">
        <w:t xml:space="preserve">The specific items - </w:t>
      </w:r>
      <w:r w:rsidRPr="004D3649">
        <w:t xml:space="preserve">board size, </w:t>
      </w:r>
      <w:r w:rsidR="007B3B08">
        <w:t xml:space="preserve">supervisory board size, executive directors, non-executive directors, independent directors, </w:t>
      </w:r>
      <w:r w:rsidRPr="004D3649">
        <w:t xml:space="preserve">CEO dummy, managerial ownership and </w:t>
      </w:r>
      <w:r w:rsidR="007B3B08">
        <w:t xml:space="preserve">block-holder ownership - </w:t>
      </w:r>
      <w:r w:rsidRPr="004D3649">
        <w:t xml:space="preserve">were employed as proxy for corporate governance mechanism. </w:t>
      </w:r>
      <w:r w:rsidR="007B3B08">
        <w:t>The OLS regression model</w:t>
      </w:r>
      <w:r w:rsidR="00F06554">
        <w:t>s</w:t>
      </w:r>
      <w:r w:rsidR="0099448E">
        <w:t xml:space="preserve"> and the </w:t>
      </w:r>
      <w:r w:rsidR="00703175">
        <w:t>fixed effect model</w:t>
      </w:r>
      <w:r w:rsidR="00F06554">
        <w:t>s</w:t>
      </w:r>
      <w:r w:rsidR="007B3B08">
        <w:t xml:space="preserve"> w</w:t>
      </w:r>
      <w:r w:rsidR="00703175">
        <w:t>ere</w:t>
      </w:r>
      <w:r w:rsidR="007B3B08">
        <w:t xml:space="preserve"> performed and the results </w:t>
      </w:r>
      <w:r w:rsidR="00703175">
        <w:t>confirm there is a</w:t>
      </w:r>
      <w:r w:rsidRPr="004D3649">
        <w:t xml:space="preserve"> relationship between corporate governance and earnings management both in sample firms of China and U.S. </w:t>
      </w:r>
      <w:r w:rsidR="00857693">
        <w:t>Especially, these results also stated that there are differences in the relation between those two items comparing China and U.S.</w:t>
      </w:r>
    </w:p>
    <w:p w:rsidR="004D3649" w:rsidRPr="004D3649" w:rsidRDefault="004D3649" w:rsidP="004D3649"/>
    <w:p w:rsidR="004D3649" w:rsidRDefault="004D3649" w:rsidP="004D3649">
      <w:pPr>
        <w:rPr>
          <w:rFonts w:cs="Times New Roman"/>
          <w:b/>
          <w:lang w:val="en-GB" w:eastAsia="nl-NL"/>
        </w:rPr>
      </w:pPr>
    </w:p>
    <w:p w:rsidR="00FC2984" w:rsidRPr="005467E3" w:rsidRDefault="004D3649" w:rsidP="004D3649">
      <w:pPr>
        <w:rPr>
          <w:rFonts w:cs="Times New Roman"/>
          <w:i/>
          <w:strike/>
          <w:color w:val="FF0000"/>
          <w:szCs w:val="24"/>
          <w:lang w:val="en-GB" w:eastAsia="nl-NL"/>
        </w:rPr>
      </w:pPr>
      <w:r w:rsidRPr="00AD5B94">
        <w:rPr>
          <w:rFonts w:cs="Times New Roman"/>
          <w:b/>
          <w:i/>
          <w:lang w:val="en-GB" w:eastAsia="nl-NL"/>
        </w:rPr>
        <w:t>Keywords</w:t>
      </w:r>
      <w:r>
        <w:rPr>
          <w:rFonts w:cs="Times New Roman"/>
          <w:b/>
          <w:lang w:val="en-GB" w:eastAsia="nl-NL"/>
        </w:rPr>
        <w:t xml:space="preserve">: </w:t>
      </w:r>
      <w:r>
        <w:t>Corporate governance, Earnings management, China, U.S.</w:t>
      </w:r>
    </w:p>
    <w:p w:rsidR="00FC2984" w:rsidRDefault="00FC2984" w:rsidP="00FC2984">
      <w:pPr>
        <w:rPr>
          <w:lang w:val="en-GB" w:eastAsia="nl-NL"/>
        </w:rPr>
      </w:pPr>
      <w:r>
        <w:rPr>
          <w:lang w:val="en-GB" w:eastAsia="nl-NL"/>
        </w:rPr>
        <w:br w:type="page"/>
      </w:r>
    </w:p>
    <w:p w:rsidR="00FC2984" w:rsidRPr="005467E3" w:rsidRDefault="00FC2984" w:rsidP="00FC2984">
      <w:pPr>
        <w:rPr>
          <w:b/>
        </w:rPr>
      </w:pPr>
      <w:r w:rsidRPr="005467E3">
        <w:rPr>
          <w:b/>
        </w:rPr>
        <w:lastRenderedPageBreak/>
        <w:t>ACKNOWLEDGEMENT</w:t>
      </w:r>
    </w:p>
    <w:p w:rsidR="00FC2984" w:rsidRPr="00F25CDB" w:rsidRDefault="006A1BA9" w:rsidP="006A1BA9">
      <w:pPr>
        <w:rPr>
          <w:sz w:val="28"/>
        </w:rPr>
      </w:pPr>
      <w:r w:rsidRPr="00F25CDB">
        <w:rPr>
          <w:rFonts w:cs="Times New Roman"/>
        </w:rPr>
        <w:t xml:space="preserve">I would like to take the opportunity to acknowledge to all the people who helped me in </w:t>
      </w:r>
      <w:r w:rsidR="005B4242">
        <w:rPr>
          <w:rFonts w:cs="Times New Roman"/>
        </w:rPr>
        <w:t>my study at Erasmus University of Rotterdam</w:t>
      </w:r>
      <w:r w:rsidRPr="00F25CDB">
        <w:rPr>
          <w:rFonts w:cs="Times New Roman"/>
        </w:rPr>
        <w:t>.</w:t>
      </w:r>
    </w:p>
    <w:p w:rsidR="00FC2984" w:rsidRPr="005467E3" w:rsidRDefault="006A1BA9" w:rsidP="00BC4EC1">
      <w:pPr>
        <w:rPr>
          <w:strike/>
          <w:color w:val="FF0000"/>
        </w:rPr>
      </w:pPr>
      <w:r>
        <w:t xml:space="preserve">My sincere gratitude is directed to my supervisor </w:t>
      </w:r>
      <w:r w:rsidR="00F25CDB" w:rsidRPr="00F25CDB">
        <w:t xml:space="preserve">Drs. </w:t>
      </w:r>
      <w:proofErr w:type="gramStart"/>
      <w:r w:rsidR="00F25CDB" w:rsidRPr="00F25CDB">
        <w:t>sc</w:t>
      </w:r>
      <w:proofErr w:type="gramEnd"/>
      <w:r w:rsidR="00F25CDB" w:rsidRPr="00F25CDB">
        <w:t xml:space="preserve">. </w:t>
      </w:r>
      <w:proofErr w:type="spellStart"/>
      <w:r w:rsidR="00F25CDB" w:rsidRPr="00F25CDB">
        <w:t>ind</w:t>
      </w:r>
      <w:proofErr w:type="spellEnd"/>
      <w:r w:rsidR="00F25CDB" w:rsidRPr="00F25CDB">
        <w:t xml:space="preserve">. A.H. van </w:t>
      </w:r>
      <w:proofErr w:type="spellStart"/>
      <w:r w:rsidR="00F25CDB" w:rsidRPr="00F25CDB">
        <w:t>der</w:t>
      </w:r>
      <w:proofErr w:type="spellEnd"/>
      <w:r w:rsidR="00F25CDB" w:rsidRPr="00F25CDB">
        <w:t xml:space="preserve"> Boom</w:t>
      </w:r>
      <w:r w:rsidR="00BC4EC1">
        <w:t xml:space="preserve"> at Erasmus University of Rotterdam. </w:t>
      </w:r>
      <w:r>
        <w:t xml:space="preserve">He actively instructed me through the entire </w:t>
      </w:r>
      <w:r w:rsidR="00BC4EC1">
        <w:t>thesis,</w:t>
      </w:r>
      <w:r>
        <w:t xml:space="preserve"> </w:t>
      </w:r>
      <w:r w:rsidR="005B4242">
        <w:t>answered all my questions with great patience, o</w:t>
      </w:r>
      <w:r w:rsidR="005B4242" w:rsidRPr="00F25CDB">
        <w:t>ff</w:t>
      </w:r>
      <w:r w:rsidR="005B4242">
        <w:t xml:space="preserve">ered useful support at every stage of the thesis, and </w:t>
      </w:r>
      <w:r>
        <w:t>shared the valuable knowledge</w:t>
      </w:r>
      <w:r w:rsidR="00BC4EC1">
        <w:t xml:space="preserve"> </w:t>
      </w:r>
      <w:r w:rsidR="005B4242">
        <w:t>with me</w:t>
      </w:r>
      <w:r>
        <w:t>.</w:t>
      </w:r>
      <w:r w:rsidR="005C2F4E">
        <w:t xml:space="preserve"> I would</w:t>
      </w:r>
      <w:r w:rsidR="00C54684">
        <w:t xml:space="preserve"> also</w:t>
      </w:r>
      <w:r w:rsidR="005C2F4E">
        <w:t xml:space="preserve"> like to thank Mr.</w:t>
      </w:r>
      <w:r w:rsidR="005C2F4E" w:rsidRPr="005C2F4E">
        <w:rPr>
          <w:color w:val="212121"/>
          <w:sz w:val="20"/>
          <w:szCs w:val="20"/>
          <w:shd w:val="clear" w:color="auto" w:fill="FFFFFF"/>
        </w:rPr>
        <w:t xml:space="preserve"> </w:t>
      </w:r>
      <w:r w:rsidR="00C54684">
        <w:t>d</w:t>
      </w:r>
      <w:r w:rsidR="005C2F4E" w:rsidRPr="005C2F4E">
        <w:t xml:space="preserve">e </w:t>
      </w:r>
      <w:proofErr w:type="spellStart"/>
      <w:r w:rsidR="005C2F4E" w:rsidRPr="005C2F4E">
        <w:t>Knecht</w:t>
      </w:r>
      <w:proofErr w:type="spellEnd"/>
      <w:r w:rsidR="005C2F4E">
        <w:t xml:space="preserve"> for giving me </w:t>
      </w:r>
      <w:r w:rsidR="0026014F">
        <w:t>important comments on this research</w:t>
      </w:r>
      <w:r w:rsidR="005C2F4E">
        <w:t xml:space="preserve"> thesis. </w:t>
      </w:r>
    </w:p>
    <w:p w:rsidR="00FC2984" w:rsidRPr="005467E3" w:rsidRDefault="00BC4EC1" w:rsidP="00BC4EC1">
      <w:pPr>
        <w:rPr>
          <w:strike/>
          <w:color w:val="FF0000"/>
        </w:rPr>
      </w:pPr>
      <w:r>
        <w:t xml:space="preserve">I would like to acknowledge </w:t>
      </w:r>
      <w:r w:rsidR="00113947">
        <w:t>the</w:t>
      </w:r>
      <w:r>
        <w:t xml:space="preserve"> </w:t>
      </w:r>
      <w:r w:rsidR="00113947">
        <w:t xml:space="preserve">teachers, coordinators, and </w:t>
      </w:r>
      <w:r>
        <w:t xml:space="preserve">friends at </w:t>
      </w:r>
      <w:r w:rsidR="00F25CDB">
        <w:t>Erasmus University of Rotterdam</w:t>
      </w:r>
      <w:r>
        <w:t xml:space="preserve"> who were kindly helping me during my </w:t>
      </w:r>
      <w:r w:rsidR="00113947">
        <w:t>stud</w:t>
      </w:r>
      <w:r w:rsidR="004F4651">
        <w:t>y</w:t>
      </w:r>
      <w:r>
        <w:t>.</w:t>
      </w:r>
    </w:p>
    <w:p w:rsidR="00AF413A" w:rsidRDefault="00F25CDB" w:rsidP="00F25CDB">
      <w:r>
        <w:t>I owe my loving thanks to my parents, husband and friends</w:t>
      </w:r>
      <w:r w:rsidR="00113947">
        <w:t xml:space="preserve">. </w:t>
      </w:r>
      <w:r>
        <w:t>Without their encouragement it would have been impossible for me to finish this study.</w:t>
      </w:r>
    </w:p>
    <w:p w:rsidR="003A11A4" w:rsidRDefault="003A11A4" w:rsidP="003A11A4">
      <w:pPr>
        <w:jc w:val="right"/>
      </w:pPr>
      <w:proofErr w:type="spellStart"/>
      <w:r>
        <w:t>Rong</w:t>
      </w:r>
      <w:proofErr w:type="spellEnd"/>
      <w:r>
        <w:t xml:space="preserve"> </w:t>
      </w:r>
      <w:proofErr w:type="spellStart"/>
      <w:r>
        <w:t>Zheng</w:t>
      </w:r>
      <w:proofErr w:type="spellEnd"/>
    </w:p>
    <w:p w:rsidR="003A11A4" w:rsidRDefault="003A11A4" w:rsidP="003A11A4">
      <w:pPr>
        <w:jc w:val="right"/>
      </w:pPr>
      <w:r>
        <w:t xml:space="preserve">Rotterdam, </w:t>
      </w:r>
      <w:proofErr w:type="gramStart"/>
      <w:r>
        <w:t>The</w:t>
      </w:r>
      <w:proofErr w:type="gramEnd"/>
      <w:r>
        <w:t xml:space="preserve"> Netherlands</w:t>
      </w:r>
    </w:p>
    <w:p w:rsidR="003A11A4" w:rsidRDefault="003A11A4" w:rsidP="003A11A4">
      <w:pPr>
        <w:jc w:val="right"/>
        <w:rPr>
          <w:i/>
          <w:sz w:val="18"/>
          <w:szCs w:val="18"/>
          <w:lang w:val="en-GB" w:eastAsia="nl-NL"/>
        </w:rPr>
      </w:pPr>
      <w:r>
        <w:t>October, 2014</w:t>
      </w:r>
    </w:p>
    <w:p w:rsidR="00AF413A" w:rsidRDefault="00AF413A" w:rsidP="00AF413A">
      <w:pPr>
        <w:rPr>
          <w:rFonts w:cs="Times New Roman"/>
          <w:b/>
          <w:bCs/>
          <w:sz w:val="20"/>
          <w:szCs w:val="20"/>
          <w:lang w:val="en-GB"/>
        </w:rPr>
      </w:pPr>
    </w:p>
    <w:p w:rsidR="00AC20C7" w:rsidRDefault="00AC20C7" w:rsidP="00252752">
      <w:pPr>
        <w:sectPr w:rsidR="00AC20C7" w:rsidSect="003C5640">
          <w:footerReference w:type="default" r:id="rId9"/>
          <w:pgSz w:w="11907" w:h="16839" w:code="9"/>
          <w:pgMar w:top="1440" w:right="1800" w:bottom="1440" w:left="1800" w:header="720" w:footer="720" w:gutter="0"/>
          <w:cols w:space="720"/>
          <w:docGrid w:linePitch="360"/>
        </w:sectPr>
      </w:pPr>
    </w:p>
    <w:sdt>
      <w:sdtPr>
        <w:rPr>
          <w:rFonts w:ascii="Times New Roman" w:eastAsiaTheme="minorEastAsia" w:hAnsi="Times New Roman" w:cs="Times New Roman"/>
          <w:b w:val="0"/>
          <w:bCs w:val="0"/>
          <w:color w:val="auto"/>
          <w:sz w:val="24"/>
          <w:szCs w:val="24"/>
          <w:lang w:eastAsia="zh-CN"/>
        </w:rPr>
        <w:id w:val="2137988665"/>
        <w:docPartObj>
          <w:docPartGallery w:val="Table of Contents"/>
          <w:docPartUnique/>
        </w:docPartObj>
      </w:sdtPr>
      <w:sdtEndPr>
        <w:rPr>
          <w:noProof/>
        </w:rPr>
      </w:sdtEndPr>
      <w:sdtContent>
        <w:p w:rsidR="00DD2110" w:rsidRPr="00FB6148" w:rsidRDefault="00DD2110" w:rsidP="00FB6148">
          <w:pPr>
            <w:pStyle w:val="TOCHeading"/>
            <w:spacing w:before="120" w:after="120" w:line="240" w:lineRule="exact"/>
            <w:contextualSpacing/>
            <w:rPr>
              <w:rFonts w:ascii="Times New Roman" w:hAnsi="Times New Roman" w:cs="Times New Roman"/>
              <w:color w:val="auto"/>
              <w:sz w:val="24"/>
              <w:szCs w:val="24"/>
            </w:rPr>
          </w:pPr>
          <w:r w:rsidRPr="00FB6148">
            <w:rPr>
              <w:rFonts w:ascii="Times New Roman" w:hAnsi="Times New Roman" w:cs="Times New Roman"/>
              <w:color w:val="auto"/>
              <w:sz w:val="24"/>
              <w:szCs w:val="24"/>
            </w:rPr>
            <w:t>Table of Contents</w:t>
          </w:r>
        </w:p>
        <w:p w:rsidR="0066122F" w:rsidRPr="00FB6148" w:rsidRDefault="00EF1EDC" w:rsidP="00FB6148">
          <w:pPr>
            <w:pStyle w:val="TOC1"/>
            <w:spacing w:line="240" w:lineRule="exact"/>
            <w:rPr>
              <w:rFonts w:cs="Times New Roman"/>
              <w:noProof/>
              <w:szCs w:val="24"/>
            </w:rPr>
          </w:pPr>
          <w:r w:rsidRPr="00EF1EDC">
            <w:rPr>
              <w:rFonts w:cs="Times New Roman"/>
              <w:szCs w:val="24"/>
            </w:rPr>
            <w:fldChar w:fldCharType="begin"/>
          </w:r>
          <w:r w:rsidR="00DD2110" w:rsidRPr="00FB6148">
            <w:rPr>
              <w:rFonts w:cs="Times New Roman"/>
              <w:szCs w:val="24"/>
            </w:rPr>
            <w:instrText xml:space="preserve"> TOC \o "1-3" \h \z \u </w:instrText>
          </w:r>
          <w:r w:rsidRPr="00EF1EDC">
            <w:rPr>
              <w:rFonts w:cs="Times New Roman"/>
              <w:szCs w:val="24"/>
            </w:rPr>
            <w:fldChar w:fldCharType="separate"/>
          </w:r>
          <w:hyperlink w:anchor="_Toc400916028" w:history="1">
            <w:r w:rsidR="0066122F" w:rsidRPr="00FB6148">
              <w:rPr>
                <w:rStyle w:val="Hyperlink"/>
                <w:rFonts w:cs="Times New Roman"/>
                <w:noProof/>
                <w:color w:val="auto"/>
                <w:szCs w:val="24"/>
              </w:rPr>
              <w:t>Chapter 1.</w:t>
            </w:r>
            <w:r w:rsidR="0066122F" w:rsidRPr="00FB6148">
              <w:rPr>
                <w:rFonts w:cs="Times New Roman"/>
                <w:noProof/>
                <w:szCs w:val="24"/>
              </w:rPr>
              <w:tab/>
            </w:r>
            <w:r w:rsidR="0066122F" w:rsidRPr="00FB6148">
              <w:rPr>
                <w:rStyle w:val="Hyperlink"/>
                <w:rFonts w:cs="Times New Roman"/>
                <w:noProof/>
                <w:color w:val="auto"/>
                <w:szCs w:val="24"/>
              </w:rPr>
              <w:t>Introduction</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_Toc400916028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6</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29" w:history="1">
            <w:r w:rsidR="0066122F" w:rsidRPr="00FB6148">
              <w:rPr>
                <w:rStyle w:val="Hyperlink"/>
                <w:rFonts w:cs="Times New Roman"/>
                <w:noProof/>
                <w:color w:val="auto"/>
                <w:szCs w:val="24"/>
              </w:rPr>
              <w:t>1.1</w:t>
            </w:r>
            <w:r w:rsidR="0066122F" w:rsidRPr="00FB6148">
              <w:rPr>
                <w:rFonts w:cs="Times New Roman"/>
                <w:noProof/>
                <w:szCs w:val="24"/>
              </w:rPr>
              <w:tab/>
            </w:r>
            <w:r w:rsidR="0066122F" w:rsidRPr="00FB6148">
              <w:rPr>
                <w:rStyle w:val="Hyperlink"/>
                <w:rFonts w:cs="Times New Roman"/>
                <w:noProof/>
                <w:color w:val="auto"/>
                <w:szCs w:val="24"/>
              </w:rPr>
              <w:t>Background</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_Toc400916029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6</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30" w:history="1">
            <w:r w:rsidR="0066122F" w:rsidRPr="00FB6148">
              <w:rPr>
                <w:rStyle w:val="Hyperlink"/>
                <w:rFonts w:cs="Times New Roman"/>
                <w:noProof/>
                <w:color w:val="auto"/>
                <w:szCs w:val="24"/>
              </w:rPr>
              <w:t>1.2</w:t>
            </w:r>
            <w:r w:rsidR="0066122F" w:rsidRPr="00FB6148">
              <w:rPr>
                <w:rFonts w:cs="Times New Roman"/>
                <w:noProof/>
                <w:szCs w:val="24"/>
              </w:rPr>
              <w:tab/>
            </w:r>
            <w:r w:rsidR="0066122F" w:rsidRPr="00FB6148">
              <w:rPr>
                <w:rStyle w:val="Hyperlink"/>
                <w:rFonts w:cs="Times New Roman"/>
                <w:noProof/>
                <w:color w:val="auto"/>
                <w:szCs w:val="24"/>
              </w:rPr>
              <w:t>Objectives</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_Toc400916030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8</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31" w:history="1">
            <w:r w:rsidR="0066122F" w:rsidRPr="00FB6148">
              <w:rPr>
                <w:rStyle w:val="Hyperlink"/>
                <w:rFonts w:cs="Times New Roman"/>
                <w:noProof/>
                <w:color w:val="auto"/>
                <w:szCs w:val="24"/>
              </w:rPr>
              <w:t>1.3</w:t>
            </w:r>
            <w:r w:rsidR="0066122F" w:rsidRPr="00FB6148">
              <w:rPr>
                <w:rFonts w:cs="Times New Roman"/>
                <w:noProof/>
                <w:szCs w:val="24"/>
              </w:rPr>
              <w:tab/>
            </w:r>
            <w:r w:rsidR="0066122F" w:rsidRPr="00FB6148">
              <w:rPr>
                <w:rStyle w:val="Hyperlink"/>
                <w:rFonts w:cs="Times New Roman"/>
                <w:noProof/>
                <w:color w:val="auto"/>
                <w:szCs w:val="24"/>
              </w:rPr>
              <w:t>Research question definition</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_Toc400916031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9</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32" w:history="1">
            <w:r w:rsidR="0066122F" w:rsidRPr="00FB6148">
              <w:rPr>
                <w:rStyle w:val="Hyperlink"/>
                <w:rFonts w:cs="Times New Roman"/>
                <w:noProof/>
                <w:color w:val="auto"/>
                <w:szCs w:val="24"/>
              </w:rPr>
              <w:t>1.4</w:t>
            </w:r>
            <w:r w:rsidR="0066122F" w:rsidRPr="00FB6148">
              <w:rPr>
                <w:rFonts w:cs="Times New Roman"/>
                <w:noProof/>
                <w:szCs w:val="24"/>
              </w:rPr>
              <w:tab/>
            </w:r>
            <w:r w:rsidR="0066122F" w:rsidRPr="00FB6148">
              <w:rPr>
                <w:rStyle w:val="Hyperlink"/>
                <w:rFonts w:cs="Times New Roman"/>
                <w:noProof/>
                <w:color w:val="auto"/>
                <w:szCs w:val="24"/>
              </w:rPr>
              <w:t>Methodology</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_Toc400916032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9</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33" w:history="1">
            <w:r w:rsidR="0066122F" w:rsidRPr="00FB6148">
              <w:rPr>
                <w:rStyle w:val="Hyperlink"/>
                <w:rFonts w:cs="Times New Roman"/>
                <w:noProof/>
                <w:color w:val="auto"/>
                <w:szCs w:val="24"/>
              </w:rPr>
              <w:t>1.5</w:t>
            </w:r>
            <w:r w:rsidR="0066122F" w:rsidRPr="00FB6148">
              <w:rPr>
                <w:rFonts w:cs="Times New Roman"/>
                <w:noProof/>
                <w:szCs w:val="24"/>
              </w:rPr>
              <w:tab/>
            </w:r>
            <w:r w:rsidR="0066122F" w:rsidRPr="00FB6148">
              <w:rPr>
                <w:rStyle w:val="Hyperlink"/>
                <w:rFonts w:cs="Times New Roman"/>
                <w:noProof/>
                <w:color w:val="auto"/>
                <w:szCs w:val="24"/>
              </w:rPr>
              <w:t>Relevance</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_Toc400916033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10</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34" w:history="1">
            <w:r w:rsidR="0066122F" w:rsidRPr="00FB6148">
              <w:rPr>
                <w:rStyle w:val="Hyperlink"/>
                <w:rFonts w:cs="Times New Roman"/>
                <w:noProof/>
                <w:color w:val="auto"/>
                <w:szCs w:val="24"/>
              </w:rPr>
              <w:t>1.6</w:t>
            </w:r>
            <w:r w:rsidR="0066122F" w:rsidRPr="00FB6148">
              <w:rPr>
                <w:rFonts w:cs="Times New Roman"/>
                <w:noProof/>
                <w:szCs w:val="24"/>
              </w:rPr>
              <w:tab/>
            </w:r>
            <w:r w:rsidR="0066122F" w:rsidRPr="00FB6148">
              <w:rPr>
                <w:rStyle w:val="Hyperlink"/>
                <w:rFonts w:cs="Times New Roman"/>
                <w:noProof/>
                <w:color w:val="auto"/>
                <w:szCs w:val="24"/>
              </w:rPr>
              <w:t>Limitation</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_Toc400916034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11</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35" w:history="1">
            <w:r w:rsidR="0066122F" w:rsidRPr="00FB6148">
              <w:rPr>
                <w:rStyle w:val="Hyperlink"/>
                <w:rFonts w:cs="Times New Roman"/>
                <w:noProof/>
                <w:color w:val="auto"/>
                <w:szCs w:val="24"/>
              </w:rPr>
              <w:t>1.7</w:t>
            </w:r>
            <w:r w:rsidR="0066122F" w:rsidRPr="00FB6148">
              <w:rPr>
                <w:rFonts w:cs="Times New Roman"/>
                <w:noProof/>
                <w:szCs w:val="24"/>
              </w:rPr>
              <w:tab/>
            </w:r>
            <w:r w:rsidR="0066122F" w:rsidRPr="00FB6148">
              <w:rPr>
                <w:rStyle w:val="Hyperlink"/>
                <w:rFonts w:cs="Times New Roman"/>
                <w:noProof/>
                <w:color w:val="auto"/>
                <w:szCs w:val="24"/>
              </w:rPr>
              <w:t>Structure of the research</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_Toc400916035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11</w:t>
            </w:r>
            <w:r w:rsidRPr="00FB6148">
              <w:rPr>
                <w:rFonts w:cs="Times New Roman"/>
                <w:noProof/>
                <w:webHidden/>
                <w:szCs w:val="24"/>
              </w:rPr>
              <w:fldChar w:fldCharType="end"/>
            </w:r>
          </w:hyperlink>
        </w:p>
        <w:p w:rsidR="0066122F" w:rsidRPr="00FB6148" w:rsidRDefault="00EF1EDC" w:rsidP="00FB6148">
          <w:pPr>
            <w:pStyle w:val="TOC1"/>
            <w:spacing w:line="240" w:lineRule="exact"/>
            <w:rPr>
              <w:rFonts w:cs="Times New Roman"/>
              <w:noProof/>
              <w:szCs w:val="24"/>
            </w:rPr>
          </w:pPr>
          <w:hyperlink w:anchor="_Toc400916036" w:history="1">
            <w:r w:rsidR="0066122F" w:rsidRPr="00FB6148">
              <w:rPr>
                <w:rStyle w:val="Hyperlink"/>
                <w:rFonts w:cs="Times New Roman"/>
                <w:noProof/>
                <w:color w:val="auto"/>
                <w:szCs w:val="24"/>
              </w:rPr>
              <w:t>Chapter 2.</w:t>
            </w:r>
            <w:r w:rsidR="0066122F" w:rsidRPr="00FB6148">
              <w:rPr>
                <w:rFonts w:cs="Times New Roman"/>
                <w:noProof/>
                <w:szCs w:val="24"/>
              </w:rPr>
              <w:tab/>
            </w:r>
            <w:r w:rsidR="0066122F" w:rsidRPr="00FB6148">
              <w:rPr>
                <w:rStyle w:val="Hyperlink"/>
                <w:rFonts w:cs="Times New Roman"/>
                <w:noProof/>
                <w:color w:val="auto"/>
                <w:szCs w:val="24"/>
              </w:rPr>
              <w:t>Theoretical Background</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_Toc400916036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12</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37" w:history="1">
            <w:r w:rsidR="0066122F" w:rsidRPr="00FB6148">
              <w:rPr>
                <w:rStyle w:val="Hyperlink"/>
                <w:rFonts w:cs="Times New Roman"/>
                <w:noProof/>
                <w:color w:val="auto"/>
                <w:szCs w:val="24"/>
              </w:rPr>
              <w:t>2.1</w:t>
            </w:r>
            <w:r w:rsidR="0066122F" w:rsidRPr="00FB6148">
              <w:rPr>
                <w:rFonts w:cs="Times New Roman"/>
                <w:noProof/>
                <w:szCs w:val="24"/>
              </w:rPr>
              <w:tab/>
            </w:r>
            <w:r w:rsidR="0066122F" w:rsidRPr="00FB6148">
              <w:rPr>
                <w:rStyle w:val="Hyperlink"/>
                <w:rFonts w:cs="Times New Roman"/>
                <w:noProof/>
                <w:color w:val="auto"/>
                <w:szCs w:val="24"/>
              </w:rPr>
              <w:t>Earnings management</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_Toc400916037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12</w:t>
            </w:r>
            <w:r w:rsidRPr="00FB6148">
              <w:rPr>
                <w:rFonts w:cs="Times New Roman"/>
                <w:noProof/>
                <w:webHidden/>
                <w:szCs w:val="24"/>
              </w:rPr>
              <w:fldChar w:fldCharType="end"/>
            </w:r>
          </w:hyperlink>
        </w:p>
        <w:p w:rsidR="0066122F" w:rsidRPr="00FB6148" w:rsidRDefault="00EF1EDC" w:rsidP="00FB6148">
          <w:pPr>
            <w:pStyle w:val="TOC3"/>
            <w:tabs>
              <w:tab w:val="left" w:pos="1320"/>
              <w:tab w:val="right" w:leader="dot" w:pos="8297"/>
            </w:tabs>
            <w:spacing w:line="240" w:lineRule="exact"/>
            <w:rPr>
              <w:rFonts w:cs="Times New Roman"/>
              <w:noProof/>
              <w:szCs w:val="24"/>
            </w:rPr>
          </w:pPr>
          <w:hyperlink w:anchor="_Toc400916038" w:history="1">
            <w:r w:rsidR="0066122F" w:rsidRPr="00FB6148">
              <w:rPr>
                <w:rStyle w:val="Hyperlink"/>
                <w:rFonts w:cs="Times New Roman"/>
                <w:noProof/>
                <w:color w:val="auto"/>
                <w:szCs w:val="24"/>
              </w:rPr>
              <w:t>2.1.1</w:t>
            </w:r>
            <w:r w:rsidR="0066122F" w:rsidRPr="00FB6148">
              <w:rPr>
                <w:rFonts w:cs="Times New Roman"/>
                <w:noProof/>
                <w:szCs w:val="24"/>
              </w:rPr>
              <w:tab/>
            </w:r>
            <w:r w:rsidR="0066122F" w:rsidRPr="00FB6148">
              <w:rPr>
                <w:rStyle w:val="Hyperlink"/>
                <w:rFonts w:cs="Times New Roman"/>
                <w:noProof/>
                <w:color w:val="auto"/>
                <w:szCs w:val="24"/>
              </w:rPr>
              <w:t>Definitions of earnings management</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_Toc400916038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12</w:t>
            </w:r>
            <w:r w:rsidRPr="00FB6148">
              <w:rPr>
                <w:rFonts w:cs="Times New Roman"/>
                <w:noProof/>
                <w:webHidden/>
                <w:szCs w:val="24"/>
              </w:rPr>
              <w:fldChar w:fldCharType="end"/>
            </w:r>
          </w:hyperlink>
        </w:p>
        <w:p w:rsidR="0066122F" w:rsidRPr="00FB6148" w:rsidRDefault="00EF1EDC" w:rsidP="00FB6148">
          <w:pPr>
            <w:pStyle w:val="TOC3"/>
            <w:tabs>
              <w:tab w:val="left" w:pos="1320"/>
              <w:tab w:val="right" w:leader="dot" w:pos="8297"/>
            </w:tabs>
            <w:spacing w:line="240" w:lineRule="exact"/>
            <w:rPr>
              <w:rFonts w:cs="Times New Roman"/>
              <w:noProof/>
              <w:szCs w:val="24"/>
            </w:rPr>
          </w:pPr>
          <w:hyperlink w:anchor="_Toc400916039" w:history="1">
            <w:r w:rsidR="0066122F" w:rsidRPr="00FB6148">
              <w:rPr>
                <w:rStyle w:val="Hyperlink"/>
                <w:rFonts w:cs="Times New Roman"/>
                <w:noProof/>
                <w:color w:val="auto"/>
                <w:szCs w:val="24"/>
              </w:rPr>
              <w:t>2.1.2</w:t>
            </w:r>
            <w:r w:rsidR="0066122F" w:rsidRPr="00FB6148">
              <w:rPr>
                <w:rFonts w:cs="Times New Roman"/>
                <w:noProof/>
                <w:szCs w:val="24"/>
              </w:rPr>
              <w:tab/>
            </w:r>
            <w:r w:rsidR="0066122F" w:rsidRPr="00FB6148">
              <w:rPr>
                <w:rStyle w:val="Hyperlink"/>
                <w:rFonts w:cs="Times New Roman"/>
                <w:noProof/>
                <w:color w:val="auto"/>
                <w:szCs w:val="24"/>
              </w:rPr>
              <w:t>Measurements of earnings management</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_Toc400916039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15</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40" w:history="1">
            <w:r w:rsidR="0066122F" w:rsidRPr="00FB6148">
              <w:rPr>
                <w:rStyle w:val="Hyperlink"/>
                <w:rFonts w:cs="Times New Roman"/>
                <w:noProof/>
                <w:color w:val="auto"/>
                <w:szCs w:val="24"/>
              </w:rPr>
              <w:t>2.2</w:t>
            </w:r>
            <w:r w:rsidR="0066122F" w:rsidRPr="00FB6148">
              <w:rPr>
                <w:rFonts w:cs="Times New Roman"/>
                <w:noProof/>
                <w:szCs w:val="24"/>
              </w:rPr>
              <w:tab/>
            </w:r>
            <w:r w:rsidR="0066122F" w:rsidRPr="00FB6148">
              <w:rPr>
                <w:rStyle w:val="Hyperlink"/>
                <w:rFonts w:cs="Times New Roman"/>
                <w:noProof/>
                <w:color w:val="auto"/>
                <w:szCs w:val="24"/>
              </w:rPr>
              <w:t>Corporate governance</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_Toc400916040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21</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41" w:history="1">
            <w:r w:rsidR="0066122F" w:rsidRPr="00FB6148">
              <w:rPr>
                <w:rStyle w:val="Hyperlink"/>
                <w:rFonts w:cs="Times New Roman"/>
                <w:noProof/>
                <w:color w:val="auto"/>
                <w:szCs w:val="24"/>
              </w:rPr>
              <w:t>2.3</w:t>
            </w:r>
            <w:r w:rsidR="0066122F" w:rsidRPr="00FB6148">
              <w:rPr>
                <w:rFonts w:cs="Times New Roman"/>
                <w:noProof/>
                <w:szCs w:val="24"/>
              </w:rPr>
              <w:tab/>
            </w:r>
            <w:r w:rsidR="00880E11" w:rsidRPr="00FB6148">
              <w:rPr>
                <w:rStyle w:val="Hyperlink"/>
                <w:rFonts w:cs="Times New Roman"/>
                <w:noProof/>
                <w:color w:val="auto"/>
                <w:szCs w:val="24"/>
              </w:rPr>
              <w:t>Relevant</w:t>
            </w:r>
            <w:r w:rsidR="0066122F" w:rsidRPr="00FB6148">
              <w:rPr>
                <w:rStyle w:val="Hyperlink"/>
                <w:rFonts w:cs="Times New Roman"/>
                <w:noProof/>
                <w:color w:val="auto"/>
                <w:szCs w:val="24"/>
              </w:rPr>
              <w:t xml:space="preserve"> theory</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_Toc400916041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24</w:t>
            </w:r>
            <w:r w:rsidRPr="00FB6148">
              <w:rPr>
                <w:rFonts w:cs="Times New Roman"/>
                <w:noProof/>
                <w:webHidden/>
                <w:szCs w:val="24"/>
              </w:rPr>
              <w:fldChar w:fldCharType="end"/>
            </w:r>
          </w:hyperlink>
        </w:p>
        <w:p w:rsidR="0066122F" w:rsidRPr="00FB6148" w:rsidRDefault="00EF1EDC" w:rsidP="00FB6148">
          <w:pPr>
            <w:pStyle w:val="TOC3"/>
            <w:tabs>
              <w:tab w:val="left" w:pos="1320"/>
              <w:tab w:val="right" w:leader="dot" w:pos="8297"/>
            </w:tabs>
            <w:spacing w:line="240" w:lineRule="exact"/>
            <w:rPr>
              <w:rFonts w:cs="Times New Roman"/>
              <w:noProof/>
              <w:szCs w:val="24"/>
            </w:rPr>
          </w:pPr>
          <w:hyperlink w:anchor="_Toc400916042" w:history="1">
            <w:r w:rsidR="0066122F" w:rsidRPr="00FB6148">
              <w:rPr>
                <w:rStyle w:val="Hyperlink"/>
                <w:rFonts w:cs="Times New Roman"/>
                <w:noProof/>
                <w:color w:val="auto"/>
                <w:szCs w:val="24"/>
              </w:rPr>
              <w:t>2.3.1</w:t>
            </w:r>
            <w:r w:rsidR="0066122F" w:rsidRPr="00FB6148">
              <w:rPr>
                <w:rFonts w:cs="Times New Roman"/>
                <w:noProof/>
                <w:szCs w:val="24"/>
              </w:rPr>
              <w:tab/>
            </w:r>
            <w:r w:rsidR="0066122F" w:rsidRPr="00FB6148">
              <w:rPr>
                <w:rStyle w:val="Hyperlink"/>
                <w:rFonts w:cs="Times New Roman"/>
                <w:noProof/>
                <w:color w:val="auto"/>
                <w:szCs w:val="24"/>
              </w:rPr>
              <w:t>Agency theory</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_Toc400916042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24</w:t>
            </w:r>
            <w:r w:rsidRPr="00FB6148">
              <w:rPr>
                <w:rFonts w:cs="Times New Roman"/>
                <w:noProof/>
                <w:webHidden/>
                <w:szCs w:val="24"/>
              </w:rPr>
              <w:fldChar w:fldCharType="end"/>
            </w:r>
          </w:hyperlink>
        </w:p>
        <w:p w:rsidR="0066122F" w:rsidRPr="00FB6148" w:rsidRDefault="00EF1EDC" w:rsidP="00FB6148">
          <w:pPr>
            <w:pStyle w:val="TOC3"/>
            <w:tabs>
              <w:tab w:val="left" w:pos="1320"/>
              <w:tab w:val="right" w:leader="dot" w:pos="8297"/>
            </w:tabs>
            <w:spacing w:line="240" w:lineRule="exact"/>
            <w:rPr>
              <w:rFonts w:cs="Times New Roman"/>
              <w:noProof/>
              <w:szCs w:val="24"/>
            </w:rPr>
          </w:pPr>
          <w:hyperlink w:anchor="_Toc400916043" w:history="1">
            <w:r w:rsidR="0066122F" w:rsidRPr="00FB6148">
              <w:rPr>
                <w:rStyle w:val="Hyperlink"/>
                <w:rFonts w:cs="Times New Roman"/>
                <w:noProof/>
                <w:color w:val="auto"/>
                <w:szCs w:val="24"/>
              </w:rPr>
              <w:t>2.3.2</w:t>
            </w:r>
            <w:r w:rsidR="0066122F" w:rsidRPr="00FB6148">
              <w:rPr>
                <w:rFonts w:cs="Times New Roman"/>
                <w:noProof/>
                <w:szCs w:val="24"/>
              </w:rPr>
              <w:tab/>
            </w:r>
            <w:r w:rsidR="0066122F" w:rsidRPr="00FB6148">
              <w:rPr>
                <w:rStyle w:val="Hyperlink"/>
                <w:rFonts w:cs="Times New Roman"/>
                <w:noProof/>
                <w:color w:val="auto"/>
                <w:szCs w:val="24"/>
              </w:rPr>
              <w:t>Positive accounting theory</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_Toc400916043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24</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44" w:history="1">
            <w:r w:rsidR="0066122F" w:rsidRPr="00FB6148">
              <w:rPr>
                <w:rStyle w:val="Hyperlink"/>
                <w:rFonts w:cs="Times New Roman"/>
                <w:noProof/>
                <w:color w:val="auto"/>
                <w:szCs w:val="24"/>
              </w:rPr>
              <w:t>2.4</w:t>
            </w:r>
            <w:r w:rsidR="0066122F" w:rsidRPr="00FB6148">
              <w:rPr>
                <w:rFonts w:cs="Times New Roman"/>
                <w:noProof/>
                <w:szCs w:val="24"/>
              </w:rPr>
              <w:tab/>
            </w:r>
            <w:r w:rsidR="0066122F" w:rsidRPr="00FB6148">
              <w:rPr>
                <w:rStyle w:val="Hyperlink"/>
                <w:rFonts w:cs="Times New Roman"/>
                <w:noProof/>
                <w:color w:val="auto"/>
                <w:szCs w:val="24"/>
              </w:rPr>
              <w:t>Background of China</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_Toc400916044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26</w:t>
            </w:r>
            <w:r w:rsidRPr="00FB6148">
              <w:rPr>
                <w:rFonts w:cs="Times New Roman"/>
                <w:noProof/>
                <w:webHidden/>
                <w:szCs w:val="24"/>
              </w:rPr>
              <w:fldChar w:fldCharType="end"/>
            </w:r>
          </w:hyperlink>
        </w:p>
        <w:p w:rsidR="0066122F" w:rsidRPr="00FB6148" w:rsidRDefault="00EF1EDC" w:rsidP="00FB6148">
          <w:pPr>
            <w:pStyle w:val="TOC3"/>
            <w:tabs>
              <w:tab w:val="left" w:pos="1320"/>
              <w:tab w:val="right" w:leader="dot" w:pos="8297"/>
            </w:tabs>
            <w:spacing w:line="240" w:lineRule="exact"/>
            <w:rPr>
              <w:rFonts w:cs="Times New Roman"/>
              <w:noProof/>
              <w:szCs w:val="24"/>
            </w:rPr>
          </w:pPr>
          <w:hyperlink w:anchor="_Toc400916045" w:history="1">
            <w:r w:rsidR="0066122F" w:rsidRPr="00FB6148">
              <w:rPr>
                <w:rStyle w:val="Hyperlink"/>
                <w:rFonts w:cs="Times New Roman"/>
                <w:noProof/>
                <w:color w:val="auto"/>
                <w:szCs w:val="24"/>
              </w:rPr>
              <w:t>2.4.1</w:t>
            </w:r>
            <w:r w:rsidR="0066122F" w:rsidRPr="00FB6148">
              <w:rPr>
                <w:rFonts w:cs="Times New Roman"/>
                <w:noProof/>
                <w:szCs w:val="24"/>
              </w:rPr>
              <w:tab/>
            </w:r>
            <w:r w:rsidR="0066122F" w:rsidRPr="00FB6148">
              <w:rPr>
                <w:rStyle w:val="Hyperlink"/>
                <w:rFonts w:cs="Times New Roman"/>
                <w:noProof/>
                <w:color w:val="auto"/>
                <w:szCs w:val="24"/>
              </w:rPr>
              <w:t>Ownership structure</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_Toc400916045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26</w:t>
            </w:r>
            <w:r w:rsidRPr="00FB6148">
              <w:rPr>
                <w:rFonts w:cs="Times New Roman"/>
                <w:noProof/>
                <w:webHidden/>
                <w:szCs w:val="24"/>
              </w:rPr>
              <w:fldChar w:fldCharType="end"/>
            </w:r>
          </w:hyperlink>
        </w:p>
        <w:p w:rsidR="0066122F" w:rsidRPr="00FB6148" w:rsidRDefault="00EF1EDC" w:rsidP="00FB6148">
          <w:pPr>
            <w:pStyle w:val="TOC3"/>
            <w:tabs>
              <w:tab w:val="left" w:pos="1320"/>
              <w:tab w:val="right" w:leader="dot" w:pos="8297"/>
            </w:tabs>
            <w:spacing w:line="240" w:lineRule="exact"/>
            <w:rPr>
              <w:rFonts w:cs="Times New Roman"/>
              <w:noProof/>
              <w:szCs w:val="24"/>
            </w:rPr>
          </w:pPr>
          <w:hyperlink w:anchor="_Toc400916046" w:history="1">
            <w:r w:rsidR="0066122F" w:rsidRPr="00FB6148">
              <w:rPr>
                <w:rStyle w:val="Hyperlink"/>
                <w:rFonts w:cs="Times New Roman"/>
                <w:noProof/>
                <w:color w:val="auto"/>
                <w:szCs w:val="24"/>
              </w:rPr>
              <w:t>2.4.2</w:t>
            </w:r>
            <w:r w:rsidR="0066122F" w:rsidRPr="00FB6148">
              <w:rPr>
                <w:rFonts w:cs="Times New Roman"/>
                <w:noProof/>
                <w:szCs w:val="24"/>
              </w:rPr>
              <w:tab/>
            </w:r>
            <w:r w:rsidR="0066122F" w:rsidRPr="00FB6148">
              <w:rPr>
                <w:rStyle w:val="Hyperlink"/>
                <w:rFonts w:cs="Times New Roman"/>
                <w:noProof/>
                <w:color w:val="auto"/>
                <w:szCs w:val="24"/>
              </w:rPr>
              <w:t>Board structure</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_Toc400916046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27</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47" w:history="1">
            <w:r w:rsidR="0066122F" w:rsidRPr="00FB6148">
              <w:rPr>
                <w:rStyle w:val="Hyperlink"/>
                <w:rFonts w:cs="Times New Roman"/>
                <w:noProof/>
                <w:color w:val="auto"/>
                <w:szCs w:val="24"/>
              </w:rPr>
              <w:t>2.5</w:t>
            </w:r>
            <w:r w:rsidR="0066122F" w:rsidRPr="00FB6148">
              <w:rPr>
                <w:rFonts w:cs="Times New Roman"/>
                <w:noProof/>
                <w:szCs w:val="24"/>
              </w:rPr>
              <w:tab/>
            </w:r>
            <w:r w:rsidR="0066122F" w:rsidRPr="00FB6148">
              <w:rPr>
                <w:rStyle w:val="Hyperlink"/>
                <w:rFonts w:cs="Times New Roman"/>
                <w:noProof/>
                <w:color w:val="auto"/>
                <w:szCs w:val="24"/>
              </w:rPr>
              <w:t>Summary</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_Toc400916047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28</w:t>
            </w:r>
            <w:r w:rsidRPr="00FB6148">
              <w:rPr>
                <w:rFonts w:cs="Times New Roman"/>
                <w:noProof/>
                <w:webHidden/>
                <w:szCs w:val="24"/>
              </w:rPr>
              <w:fldChar w:fldCharType="end"/>
            </w:r>
          </w:hyperlink>
        </w:p>
        <w:p w:rsidR="0066122F" w:rsidRPr="00FB6148" w:rsidRDefault="00EF1EDC" w:rsidP="00FB6148">
          <w:pPr>
            <w:pStyle w:val="TOC1"/>
            <w:spacing w:line="240" w:lineRule="exact"/>
            <w:rPr>
              <w:rFonts w:cs="Times New Roman"/>
              <w:noProof/>
              <w:szCs w:val="24"/>
            </w:rPr>
          </w:pPr>
          <w:hyperlink w:anchor="_Toc400916048" w:history="1">
            <w:r w:rsidR="0066122F" w:rsidRPr="00FB6148">
              <w:rPr>
                <w:rStyle w:val="Hyperlink"/>
                <w:rFonts w:cs="Times New Roman"/>
                <w:noProof/>
                <w:color w:val="auto"/>
                <w:szCs w:val="24"/>
              </w:rPr>
              <w:t>Chapter 3.</w:t>
            </w:r>
            <w:r w:rsidR="0066122F" w:rsidRPr="00FB6148">
              <w:rPr>
                <w:rFonts w:cs="Times New Roman"/>
                <w:noProof/>
                <w:szCs w:val="24"/>
              </w:rPr>
              <w:tab/>
            </w:r>
            <w:r w:rsidR="0066122F" w:rsidRPr="00FB6148">
              <w:rPr>
                <w:rStyle w:val="Hyperlink"/>
                <w:rFonts w:cs="Times New Roman"/>
                <w:noProof/>
                <w:color w:val="auto"/>
                <w:szCs w:val="24"/>
              </w:rPr>
              <w:t>Literature Review</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_Toc400916048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29</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49" w:history="1">
            <w:r w:rsidR="0066122F" w:rsidRPr="00FB6148">
              <w:rPr>
                <w:rStyle w:val="Hyperlink"/>
                <w:rFonts w:cs="Times New Roman"/>
                <w:noProof/>
                <w:color w:val="auto"/>
                <w:szCs w:val="24"/>
              </w:rPr>
              <w:t>3.1</w:t>
            </w:r>
            <w:r w:rsidR="0066122F" w:rsidRPr="00FB6148">
              <w:rPr>
                <w:rFonts w:cs="Times New Roman"/>
                <w:noProof/>
                <w:szCs w:val="24"/>
              </w:rPr>
              <w:tab/>
            </w:r>
            <w:r w:rsidR="0066122F" w:rsidRPr="00FB6148">
              <w:rPr>
                <w:rStyle w:val="Hyperlink"/>
                <w:rFonts w:cs="Times New Roman"/>
                <w:noProof/>
                <w:color w:val="auto"/>
                <w:szCs w:val="24"/>
              </w:rPr>
              <w:t>Literature evidence on corporate governance</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_Toc400916049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29</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50" w:history="1">
            <w:r w:rsidR="0066122F" w:rsidRPr="00FB6148">
              <w:rPr>
                <w:rStyle w:val="Hyperlink"/>
                <w:rFonts w:cs="Times New Roman"/>
                <w:noProof/>
                <w:color w:val="auto"/>
                <w:szCs w:val="24"/>
              </w:rPr>
              <w:t>3.2</w:t>
            </w:r>
            <w:r w:rsidR="0066122F" w:rsidRPr="00FB6148">
              <w:rPr>
                <w:rFonts w:cs="Times New Roman"/>
                <w:noProof/>
                <w:szCs w:val="24"/>
              </w:rPr>
              <w:tab/>
            </w:r>
            <w:r w:rsidR="0066122F" w:rsidRPr="00FB6148">
              <w:rPr>
                <w:rStyle w:val="Hyperlink"/>
                <w:rFonts w:cs="Times New Roman"/>
                <w:noProof/>
                <w:color w:val="auto"/>
                <w:szCs w:val="24"/>
              </w:rPr>
              <w:t>Reviewing prior literature on earnings management</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_Toc400916050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31</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51" w:history="1">
            <w:r w:rsidR="0066122F" w:rsidRPr="00FB6148">
              <w:rPr>
                <w:rStyle w:val="Hyperlink"/>
                <w:rFonts w:cs="Times New Roman"/>
                <w:noProof/>
                <w:color w:val="auto"/>
                <w:szCs w:val="24"/>
              </w:rPr>
              <w:t>3.3</w:t>
            </w:r>
            <w:r w:rsidR="0066122F" w:rsidRPr="00FB6148">
              <w:rPr>
                <w:rFonts w:cs="Times New Roman"/>
                <w:noProof/>
                <w:szCs w:val="24"/>
              </w:rPr>
              <w:tab/>
            </w:r>
            <w:r w:rsidR="0066122F" w:rsidRPr="00FB6148">
              <w:rPr>
                <w:rStyle w:val="Hyperlink"/>
                <w:rFonts w:cs="Times New Roman"/>
                <w:noProof/>
                <w:color w:val="auto"/>
                <w:szCs w:val="24"/>
              </w:rPr>
              <w:t>Corporate governance and earnings management</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_Toc400916051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32</w:t>
            </w:r>
            <w:r w:rsidRPr="00FB6148">
              <w:rPr>
                <w:rFonts w:cs="Times New Roman"/>
                <w:noProof/>
                <w:webHidden/>
                <w:szCs w:val="24"/>
              </w:rPr>
              <w:fldChar w:fldCharType="end"/>
            </w:r>
          </w:hyperlink>
        </w:p>
        <w:p w:rsidR="0066122F" w:rsidRPr="00FB6148" w:rsidRDefault="00EF1EDC" w:rsidP="00FB6148">
          <w:pPr>
            <w:pStyle w:val="TOC3"/>
            <w:tabs>
              <w:tab w:val="left" w:pos="1320"/>
              <w:tab w:val="right" w:leader="dot" w:pos="8297"/>
            </w:tabs>
            <w:spacing w:line="240" w:lineRule="exact"/>
            <w:rPr>
              <w:rFonts w:cs="Times New Roman"/>
              <w:noProof/>
              <w:szCs w:val="24"/>
            </w:rPr>
          </w:pPr>
          <w:hyperlink w:anchor="_Toc400916052" w:history="1">
            <w:r w:rsidR="0066122F" w:rsidRPr="00FB6148">
              <w:rPr>
                <w:rStyle w:val="Hyperlink"/>
                <w:rFonts w:cs="Times New Roman"/>
                <w:noProof/>
                <w:color w:val="auto"/>
                <w:szCs w:val="24"/>
              </w:rPr>
              <w:t>3.3.1</w:t>
            </w:r>
            <w:r w:rsidR="0066122F" w:rsidRPr="00FB6148">
              <w:rPr>
                <w:rFonts w:cs="Times New Roman"/>
                <w:noProof/>
                <w:szCs w:val="24"/>
              </w:rPr>
              <w:tab/>
            </w:r>
            <w:r w:rsidR="0066122F" w:rsidRPr="00FB6148">
              <w:rPr>
                <w:rStyle w:val="Hyperlink"/>
                <w:rFonts w:cs="Times New Roman"/>
                <w:noProof/>
                <w:color w:val="auto"/>
                <w:szCs w:val="24"/>
              </w:rPr>
              <w:t>Board characteristics</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_Toc400916052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33</w:t>
            </w:r>
            <w:r w:rsidRPr="00FB6148">
              <w:rPr>
                <w:rFonts w:cs="Times New Roman"/>
                <w:noProof/>
                <w:webHidden/>
                <w:szCs w:val="24"/>
              </w:rPr>
              <w:fldChar w:fldCharType="end"/>
            </w:r>
          </w:hyperlink>
        </w:p>
        <w:p w:rsidR="0066122F" w:rsidRPr="00FB6148" w:rsidRDefault="00EF1EDC" w:rsidP="00FB6148">
          <w:pPr>
            <w:pStyle w:val="TOC3"/>
            <w:tabs>
              <w:tab w:val="left" w:pos="1320"/>
              <w:tab w:val="right" w:leader="dot" w:pos="8297"/>
            </w:tabs>
            <w:spacing w:line="240" w:lineRule="exact"/>
            <w:rPr>
              <w:rFonts w:cs="Times New Roman"/>
              <w:noProof/>
              <w:szCs w:val="24"/>
            </w:rPr>
          </w:pPr>
          <w:hyperlink w:anchor="_Toc400916053" w:history="1">
            <w:r w:rsidR="0066122F" w:rsidRPr="00FB6148">
              <w:rPr>
                <w:rStyle w:val="Hyperlink"/>
                <w:rFonts w:cs="Times New Roman"/>
                <w:noProof/>
                <w:color w:val="auto"/>
                <w:szCs w:val="24"/>
              </w:rPr>
              <w:t>3.3.2</w:t>
            </w:r>
            <w:r w:rsidR="0066122F" w:rsidRPr="00FB6148">
              <w:rPr>
                <w:rFonts w:cs="Times New Roman"/>
                <w:noProof/>
                <w:szCs w:val="24"/>
              </w:rPr>
              <w:tab/>
            </w:r>
            <w:r w:rsidR="0066122F" w:rsidRPr="00FB6148">
              <w:rPr>
                <w:rStyle w:val="Hyperlink"/>
                <w:rFonts w:cs="Times New Roman"/>
                <w:noProof/>
                <w:color w:val="auto"/>
                <w:szCs w:val="24"/>
              </w:rPr>
              <w:t>Ownership structure</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_Toc400916053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36</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54" w:history="1">
            <w:r w:rsidR="0066122F" w:rsidRPr="00FB6148">
              <w:rPr>
                <w:rStyle w:val="Hyperlink"/>
                <w:rFonts w:cs="Times New Roman"/>
                <w:noProof/>
                <w:color w:val="auto"/>
                <w:szCs w:val="24"/>
              </w:rPr>
              <w:t>3.4</w:t>
            </w:r>
            <w:r w:rsidR="0066122F" w:rsidRPr="00FB6148">
              <w:rPr>
                <w:rFonts w:cs="Times New Roman"/>
                <w:noProof/>
                <w:szCs w:val="24"/>
              </w:rPr>
              <w:tab/>
            </w:r>
            <w:r w:rsidR="0066122F" w:rsidRPr="00FB6148">
              <w:rPr>
                <w:rStyle w:val="Hyperlink"/>
                <w:rFonts w:cs="Times New Roman"/>
                <w:noProof/>
                <w:color w:val="auto"/>
                <w:szCs w:val="24"/>
              </w:rPr>
              <w:t>Summary</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_Toc400916054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38</w:t>
            </w:r>
            <w:r w:rsidRPr="00FB6148">
              <w:rPr>
                <w:rFonts w:cs="Times New Roman"/>
                <w:noProof/>
                <w:webHidden/>
                <w:szCs w:val="24"/>
              </w:rPr>
              <w:fldChar w:fldCharType="end"/>
            </w:r>
          </w:hyperlink>
        </w:p>
        <w:p w:rsidR="0066122F" w:rsidRPr="00FB6148" w:rsidRDefault="00EF1EDC" w:rsidP="00FB6148">
          <w:pPr>
            <w:pStyle w:val="TOC1"/>
            <w:spacing w:line="240" w:lineRule="exact"/>
            <w:rPr>
              <w:rFonts w:cs="Times New Roman"/>
              <w:noProof/>
              <w:szCs w:val="24"/>
            </w:rPr>
          </w:pPr>
          <w:hyperlink w:anchor="_Toc400916055" w:history="1">
            <w:r w:rsidR="0066122F" w:rsidRPr="00FB6148">
              <w:rPr>
                <w:rStyle w:val="Hyperlink"/>
                <w:rFonts w:cs="Times New Roman"/>
                <w:noProof/>
                <w:color w:val="auto"/>
                <w:szCs w:val="24"/>
              </w:rPr>
              <w:t>Chapter 4.</w:t>
            </w:r>
            <w:r w:rsidR="0066122F" w:rsidRPr="00FB6148">
              <w:rPr>
                <w:rFonts w:cs="Times New Roman"/>
                <w:noProof/>
                <w:szCs w:val="24"/>
              </w:rPr>
              <w:tab/>
            </w:r>
            <w:r w:rsidR="0066122F" w:rsidRPr="00FB6148">
              <w:rPr>
                <w:rStyle w:val="Hyperlink"/>
                <w:rFonts w:cs="Times New Roman"/>
                <w:noProof/>
                <w:color w:val="auto"/>
                <w:szCs w:val="24"/>
              </w:rPr>
              <w:t>Hypotheses Development</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_Toc400916055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40</w:t>
            </w:r>
            <w:r w:rsidRPr="00FB6148">
              <w:rPr>
                <w:rFonts w:cs="Times New Roman"/>
                <w:noProof/>
                <w:webHidden/>
                <w:szCs w:val="24"/>
              </w:rPr>
              <w:fldChar w:fldCharType="end"/>
            </w:r>
          </w:hyperlink>
        </w:p>
        <w:p w:rsidR="0066122F" w:rsidRPr="00FB6148" w:rsidRDefault="00EF1EDC" w:rsidP="00FB6148">
          <w:pPr>
            <w:pStyle w:val="TOC1"/>
            <w:spacing w:line="240" w:lineRule="exact"/>
            <w:rPr>
              <w:rFonts w:cs="Times New Roman"/>
              <w:noProof/>
              <w:szCs w:val="24"/>
            </w:rPr>
          </w:pPr>
          <w:hyperlink w:anchor="_Toc400916056" w:history="1">
            <w:r w:rsidR="0066122F" w:rsidRPr="00FB6148">
              <w:rPr>
                <w:rStyle w:val="Hyperlink"/>
                <w:rFonts w:cs="Times New Roman"/>
                <w:noProof/>
                <w:color w:val="auto"/>
                <w:szCs w:val="24"/>
              </w:rPr>
              <w:t>Chapter 5.</w:t>
            </w:r>
            <w:r w:rsidR="0066122F" w:rsidRPr="00FB6148">
              <w:rPr>
                <w:rFonts w:cs="Times New Roman"/>
                <w:noProof/>
                <w:szCs w:val="24"/>
              </w:rPr>
              <w:tab/>
            </w:r>
            <w:r w:rsidR="0066122F" w:rsidRPr="00FB6148">
              <w:rPr>
                <w:rStyle w:val="Hyperlink"/>
                <w:rFonts w:cs="Times New Roman"/>
                <w:noProof/>
                <w:color w:val="auto"/>
                <w:szCs w:val="24"/>
              </w:rPr>
              <w:t>Research Design</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_Toc400916056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42</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57" w:history="1">
            <w:r w:rsidR="0066122F" w:rsidRPr="00FB6148">
              <w:rPr>
                <w:rStyle w:val="Hyperlink"/>
                <w:rFonts w:cs="Times New Roman"/>
                <w:noProof/>
                <w:color w:val="auto"/>
                <w:szCs w:val="24"/>
              </w:rPr>
              <w:t>5.1</w:t>
            </w:r>
            <w:r w:rsidR="0066122F" w:rsidRPr="00FB6148">
              <w:rPr>
                <w:rFonts w:cs="Times New Roman"/>
                <w:noProof/>
                <w:szCs w:val="24"/>
              </w:rPr>
              <w:tab/>
            </w:r>
            <w:r w:rsidR="0066122F" w:rsidRPr="00FB6148">
              <w:rPr>
                <w:rStyle w:val="Hyperlink"/>
                <w:rFonts w:cs="Times New Roman"/>
                <w:noProof/>
                <w:color w:val="auto"/>
                <w:szCs w:val="24"/>
              </w:rPr>
              <w:t>Research model</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_Toc400916057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42</w:t>
            </w:r>
            <w:r w:rsidRPr="00FB6148">
              <w:rPr>
                <w:rFonts w:cs="Times New Roman"/>
                <w:noProof/>
                <w:webHidden/>
                <w:szCs w:val="24"/>
              </w:rPr>
              <w:fldChar w:fldCharType="end"/>
            </w:r>
          </w:hyperlink>
        </w:p>
        <w:p w:rsidR="0066122F" w:rsidRPr="00FB6148" w:rsidRDefault="00EF1EDC" w:rsidP="00FB6148">
          <w:pPr>
            <w:pStyle w:val="TOC3"/>
            <w:tabs>
              <w:tab w:val="left" w:pos="1320"/>
              <w:tab w:val="right" w:leader="dot" w:pos="8297"/>
            </w:tabs>
            <w:spacing w:line="240" w:lineRule="exact"/>
            <w:rPr>
              <w:rFonts w:cs="Times New Roman"/>
              <w:noProof/>
              <w:szCs w:val="24"/>
            </w:rPr>
          </w:pPr>
          <w:hyperlink w:anchor="_Toc400916058" w:history="1">
            <w:r w:rsidR="0066122F" w:rsidRPr="00FB6148">
              <w:rPr>
                <w:rStyle w:val="Hyperlink"/>
                <w:rFonts w:cs="Times New Roman"/>
                <w:noProof/>
                <w:color w:val="auto"/>
                <w:szCs w:val="24"/>
              </w:rPr>
              <w:t>5.1.1</w:t>
            </w:r>
            <w:r w:rsidR="0066122F" w:rsidRPr="00FB6148">
              <w:rPr>
                <w:rFonts w:cs="Times New Roman"/>
                <w:noProof/>
                <w:szCs w:val="24"/>
              </w:rPr>
              <w:tab/>
            </w:r>
            <w:r w:rsidR="0066122F" w:rsidRPr="00FB6148">
              <w:rPr>
                <w:rStyle w:val="Hyperlink"/>
                <w:rFonts w:cs="Times New Roman"/>
                <w:noProof/>
                <w:color w:val="auto"/>
                <w:szCs w:val="24"/>
              </w:rPr>
              <w:t>Measurement of discretionary accruals</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_Toc400916058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42</w:t>
            </w:r>
            <w:r w:rsidRPr="00FB6148">
              <w:rPr>
                <w:rFonts w:cs="Times New Roman"/>
                <w:noProof/>
                <w:webHidden/>
                <w:szCs w:val="24"/>
              </w:rPr>
              <w:fldChar w:fldCharType="end"/>
            </w:r>
          </w:hyperlink>
        </w:p>
        <w:p w:rsidR="0066122F" w:rsidRPr="00FB6148" w:rsidRDefault="00EF1EDC" w:rsidP="00FB6148">
          <w:pPr>
            <w:pStyle w:val="TOC3"/>
            <w:tabs>
              <w:tab w:val="left" w:pos="1320"/>
              <w:tab w:val="right" w:leader="dot" w:pos="8297"/>
            </w:tabs>
            <w:spacing w:line="240" w:lineRule="exact"/>
            <w:rPr>
              <w:rFonts w:cs="Times New Roman"/>
              <w:noProof/>
              <w:szCs w:val="24"/>
            </w:rPr>
          </w:pPr>
          <w:hyperlink w:anchor="_Toc400916059" w:history="1">
            <w:r w:rsidR="0066122F" w:rsidRPr="00FB6148">
              <w:rPr>
                <w:rStyle w:val="Hyperlink"/>
                <w:rFonts w:cs="Times New Roman"/>
                <w:noProof/>
                <w:color w:val="auto"/>
                <w:szCs w:val="24"/>
              </w:rPr>
              <w:t>5.1.2</w:t>
            </w:r>
            <w:r w:rsidR="0066122F" w:rsidRPr="00FB6148">
              <w:rPr>
                <w:rFonts w:cs="Times New Roman"/>
                <w:noProof/>
                <w:szCs w:val="24"/>
              </w:rPr>
              <w:tab/>
            </w:r>
            <w:r w:rsidR="0066122F" w:rsidRPr="00FB6148">
              <w:rPr>
                <w:rStyle w:val="Hyperlink"/>
                <w:rFonts w:cs="Times New Roman"/>
                <w:noProof/>
                <w:color w:val="auto"/>
                <w:szCs w:val="24"/>
              </w:rPr>
              <w:t>Measurement of corporate governance</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_Toc400916059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43</w:t>
            </w:r>
            <w:r w:rsidRPr="00FB6148">
              <w:rPr>
                <w:rFonts w:cs="Times New Roman"/>
                <w:noProof/>
                <w:webHidden/>
                <w:szCs w:val="24"/>
              </w:rPr>
              <w:fldChar w:fldCharType="end"/>
            </w:r>
          </w:hyperlink>
        </w:p>
        <w:p w:rsidR="0066122F" w:rsidRPr="00FB6148" w:rsidRDefault="00EF1EDC" w:rsidP="00FB6148">
          <w:pPr>
            <w:pStyle w:val="TOC3"/>
            <w:tabs>
              <w:tab w:val="left" w:pos="1320"/>
              <w:tab w:val="right" w:leader="dot" w:pos="8297"/>
            </w:tabs>
            <w:spacing w:line="240" w:lineRule="exact"/>
            <w:rPr>
              <w:rFonts w:cs="Times New Roman"/>
              <w:noProof/>
              <w:szCs w:val="24"/>
            </w:rPr>
          </w:pPr>
          <w:hyperlink w:anchor="_Toc400916060" w:history="1">
            <w:r w:rsidR="0066122F" w:rsidRPr="00FB6148">
              <w:rPr>
                <w:rStyle w:val="Hyperlink"/>
                <w:rFonts w:cs="Times New Roman"/>
                <w:noProof/>
                <w:color w:val="auto"/>
                <w:szCs w:val="24"/>
              </w:rPr>
              <w:t>5.1.3</w:t>
            </w:r>
            <w:r w:rsidR="0066122F" w:rsidRPr="00FB6148">
              <w:rPr>
                <w:rFonts w:cs="Times New Roman"/>
                <w:noProof/>
                <w:szCs w:val="24"/>
              </w:rPr>
              <w:tab/>
            </w:r>
            <w:r w:rsidR="0066122F" w:rsidRPr="00FB6148">
              <w:rPr>
                <w:rStyle w:val="Hyperlink"/>
                <w:rFonts w:cs="Times New Roman"/>
                <w:noProof/>
                <w:color w:val="auto"/>
                <w:szCs w:val="24"/>
              </w:rPr>
              <w:t>Research regression model</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_Toc400916060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47</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61" w:history="1">
            <w:r w:rsidR="0066122F" w:rsidRPr="00FB6148">
              <w:rPr>
                <w:rStyle w:val="Hyperlink"/>
                <w:rFonts w:cs="Times New Roman"/>
                <w:noProof/>
                <w:color w:val="auto"/>
                <w:szCs w:val="24"/>
              </w:rPr>
              <w:t>5.2</w:t>
            </w:r>
            <w:r w:rsidR="0066122F" w:rsidRPr="00FB6148">
              <w:rPr>
                <w:rFonts w:cs="Times New Roman"/>
                <w:noProof/>
                <w:szCs w:val="24"/>
              </w:rPr>
              <w:tab/>
            </w:r>
            <w:r w:rsidR="0066122F" w:rsidRPr="00FB6148">
              <w:rPr>
                <w:rStyle w:val="Hyperlink"/>
                <w:rFonts w:cs="Times New Roman"/>
                <w:noProof/>
                <w:color w:val="auto"/>
                <w:szCs w:val="24"/>
              </w:rPr>
              <w:t>Sample selection</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_Toc400916061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50</w:t>
            </w:r>
            <w:r w:rsidRPr="00FB6148">
              <w:rPr>
                <w:rFonts w:cs="Times New Roman"/>
                <w:noProof/>
                <w:webHidden/>
                <w:szCs w:val="24"/>
              </w:rPr>
              <w:fldChar w:fldCharType="end"/>
            </w:r>
          </w:hyperlink>
        </w:p>
        <w:p w:rsidR="0066122F" w:rsidRPr="00FB6148" w:rsidRDefault="00EF1EDC" w:rsidP="00FB6148">
          <w:pPr>
            <w:pStyle w:val="TOC3"/>
            <w:tabs>
              <w:tab w:val="left" w:pos="1320"/>
              <w:tab w:val="right" w:leader="dot" w:pos="8297"/>
            </w:tabs>
            <w:spacing w:line="240" w:lineRule="exact"/>
            <w:rPr>
              <w:rFonts w:cs="Times New Roman"/>
              <w:noProof/>
              <w:szCs w:val="24"/>
            </w:rPr>
          </w:pPr>
          <w:hyperlink w:anchor="_Toc400916062" w:history="1">
            <w:r w:rsidR="0066122F" w:rsidRPr="00FB6148">
              <w:rPr>
                <w:rStyle w:val="Hyperlink"/>
                <w:rFonts w:cs="Times New Roman"/>
                <w:noProof/>
                <w:color w:val="auto"/>
                <w:szCs w:val="24"/>
              </w:rPr>
              <w:t>5.2.1</w:t>
            </w:r>
            <w:r w:rsidR="0066122F" w:rsidRPr="00FB6148">
              <w:rPr>
                <w:rFonts w:cs="Times New Roman"/>
                <w:noProof/>
                <w:szCs w:val="24"/>
              </w:rPr>
              <w:tab/>
            </w:r>
            <w:r w:rsidR="0066122F" w:rsidRPr="00FB6148">
              <w:rPr>
                <w:rStyle w:val="Hyperlink"/>
                <w:rFonts w:cs="Times New Roman"/>
                <w:noProof/>
                <w:color w:val="auto"/>
                <w:szCs w:val="24"/>
              </w:rPr>
              <w:t>Dataset of China</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_Toc400916062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50</w:t>
            </w:r>
            <w:r w:rsidRPr="00FB6148">
              <w:rPr>
                <w:rFonts w:cs="Times New Roman"/>
                <w:noProof/>
                <w:webHidden/>
                <w:szCs w:val="24"/>
              </w:rPr>
              <w:fldChar w:fldCharType="end"/>
            </w:r>
          </w:hyperlink>
        </w:p>
        <w:p w:rsidR="0066122F" w:rsidRPr="00FB6148" w:rsidRDefault="00EF1EDC" w:rsidP="00FB6148">
          <w:pPr>
            <w:pStyle w:val="TOC3"/>
            <w:tabs>
              <w:tab w:val="left" w:pos="1320"/>
              <w:tab w:val="right" w:leader="dot" w:pos="8297"/>
            </w:tabs>
            <w:spacing w:line="240" w:lineRule="exact"/>
            <w:rPr>
              <w:rFonts w:cs="Times New Roman"/>
              <w:noProof/>
              <w:szCs w:val="24"/>
            </w:rPr>
          </w:pPr>
          <w:hyperlink w:anchor="_Toc400916063" w:history="1">
            <w:r w:rsidR="0066122F" w:rsidRPr="00FB6148">
              <w:rPr>
                <w:rStyle w:val="Hyperlink"/>
                <w:rFonts w:cs="Times New Roman"/>
                <w:noProof/>
                <w:color w:val="auto"/>
                <w:szCs w:val="24"/>
              </w:rPr>
              <w:t>5.2.2</w:t>
            </w:r>
            <w:r w:rsidR="0066122F" w:rsidRPr="00FB6148">
              <w:rPr>
                <w:rFonts w:cs="Times New Roman"/>
                <w:noProof/>
                <w:szCs w:val="24"/>
              </w:rPr>
              <w:tab/>
            </w:r>
            <w:r w:rsidR="0066122F" w:rsidRPr="00FB6148">
              <w:rPr>
                <w:rStyle w:val="Hyperlink"/>
                <w:rFonts w:cs="Times New Roman"/>
                <w:noProof/>
                <w:color w:val="auto"/>
                <w:szCs w:val="24"/>
              </w:rPr>
              <w:t>Dataset of U.S.</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_Toc400916063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52</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64" w:history="1">
            <w:r w:rsidR="0066122F" w:rsidRPr="00FB6148">
              <w:rPr>
                <w:rStyle w:val="Hyperlink"/>
                <w:rFonts w:cs="Times New Roman"/>
                <w:noProof/>
                <w:color w:val="auto"/>
                <w:szCs w:val="24"/>
              </w:rPr>
              <w:t>5.3</w:t>
            </w:r>
            <w:r w:rsidR="0066122F" w:rsidRPr="00FB6148">
              <w:rPr>
                <w:rFonts w:cs="Times New Roman"/>
                <w:noProof/>
                <w:szCs w:val="24"/>
              </w:rPr>
              <w:tab/>
            </w:r>
            <w:r w:rsidR="0066122F" w:rsidRPr="00FB6148">
              <w:rPr>
                <w:rStyle w:val="Hyperlink"/>
                <w:rFonts w:cs="Times New Roman"/>
                <w:noProof/>
                <w:color w:val="auto"/>
                <w:szCs w:val="24"/>
              </w:rPr>
              <w:t>Statistical tests</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_Toc400916064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53</w:t>
            </w:r>
            <w:r w:rsidRPr="00FB6148">
              <w:rPr>
                <w:rFonts w:cs="Times New Roman"/>
                <w:noProof/>
                <w:webHidden/>
                <w:szCs w:val="24"/>
              </w:rPr>
              <w:fldChar w:fldCharType="end"/>
            </w:r>
          </w:hyperlink>
        </w:p>
        <w:p w:rsidR="0066122F" w:rsidRPr="00FB6148" w:rsidRDefault="00EF1EDC" w:rsidP="00FB6148">
          <w:pPr>
            <w:pStyle w:val="TOC1"/>
            <w:spacing w:line="240" w:lineRule="exact"/>
            <w:rPr>
              <w:rFonts w:cs="Times New Roman"/>
              <w:noProof/>
              <w:szCs w:val="24"/>
            </w:rPr>
          </w:pPr>
          <w:hyperlink w:anchor="_Toc400916065" w:history="1">
            <w:r w:rsidR="0066122F" w:rsidRPr="00FB6148">
              <w:rPr>
                <w:rStyle w:val="Hyperlink"/>
                <w:rFonts w:cs="Times New Roman"/>
                <w:noProof/>
                <w:color w:val="auto"/>
                <w:szCs w:val="24"/>
              </w:rPr>
              <w:t>Chapter 6.</w:t>
            </w:r>
            <w:r w:rsidR="0066122F" w:rsidRPr="00FB6148">
              <w:rPr>
                <w:rFonts w:cs="Times New Roman"/>
                <w:noProof/>
                <w:szCs w:val="24"/>
              </w:rPr>
              <w:tab/>
            </w:r>
            <w:r w:rsidR="0066122F" w:rsidRPr="00FB6148">
              <w:rPr>
                <w:rStyle w:val="Hyperlink"/>
                <w:rFonts w:cs="Times New Roman"/>
                <w:noProof/>
                <w:color w:val="auto"/>
                <w:szCs w:val="24"/>
              </w:rPr>
              <w:t>Results and Analysis</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_Toc400916065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55</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66" w:history="1">
            <w:r w:rsidR="0066122F" w:rsidRPr="00FB6148">
              <w:rPr>
                <w:rStyle w:val="Hyperlink"/>
                <w:rFonts w:cs="Times New Roman"/>
                <w:noProof/>
                <w:color w:val="auto"/>
                <w:szCs w:val="24"/>
              </w:rPr>
              <w:t>6.1</w:t>
            </w:r>
            <w:r w:rsidR="0066122F" w:rsidRPr="00FB6148">
              <w:rPr>
                <w:rFonts w:cs="Times New Roman"/>
                <w:noProof/>
                <w:szCs w:val="24"/>
              </w:rPr>
              <w:tab/>
            </w:r>
            <w:r w:rsidR="0066122F" w:rsidRPr="00FB6148">
              <w:rPr>
                <w:rStyle w:val="Hyperlink"/>
                <w:rFonts w:cs="Times New Roman"/>
                <w:noProof/>
                <w:color w:val="auto"/>
                <w:szCs w:val="24"/>
              </w:rPr>
              <w:t>Descriptive statistics</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_Toc400916066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55</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67" w:history="1">
            <w:r w:rsidR="0066122F" w:rsidRPr="00FB6148">
              <w:rPr>
                <w:rStyle w:val="Hyperlink"/>
                <w:rFonts w:cs="Times New Roman"/>
                <w:noProof/>
                <w:color w:val="auto"/>
                <w:szCs w:val="24"/>
              </w:rPr>
              <w:t>6.2</w:t>
            </w:r>
            <w:r w:rsidR="0066122F" w:rsidRPr="00FB6148">
              <w:rPr>
                <w:rFonts w:cs="Times New Roman"/>
                <w:noProof/>
                <w:szCs w:val="24"/>
              </w:rPr>
              <w:tab/>
            </w:r>
            <w:r w:rsidR="0066122F" w:rsidRPr="00FB6148">
              <w:rPr>
                <w:rStyle w:val="Hyperlink"/>
                <w:rFonts w:cs="Times New Roman"/>
                <w:noProof/>
                <w:color w:val="auto"/>
                <w:szCs w:val="24"/>
              </w:rPr>
              <w:t>Correlation matrix (Pearson Correlation test)</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_Toc400916067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56</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68" w:history="1">
            <w:r w:rsidR="0066122F" w:rsidRPr="00FB6148">
              <w:rPr>
                <w:rStyle w:val="Hyperlink"/>
                <w:rFonts w:cs="Times New Roman"/>
                <w:noProof/>
                <w:color w:val="auto"/>
                <w:szCs w:val="24"/>
              </w:rPr>
              <w:t>6.3</w:t>
            </w:r>
            <w:r w:rsidR="0066122F" w:rsidRPr="00FB6148">
              <w:rPr>
                <w:rFonts w:cs="Times New Roman"/>
                <w:noProof/>
                <w:szCs w:val="24"/>
              </w:rPr>
              <w:tab/>
            </w:r>
            <w:r w:rsidR="0066122F" w:rsidRPr="00FB6148">
              <w:rPr>
                <w:rStyle w:val="Hyperlink"/>
                <w:rFonts w:cs="Times New Roman"/>
                <w:noProof/>
                <w:color w:val="auto"/>
                <w:szCs w:val="24"/>
              </w:rPr>
              <w:t>Multicollinearity test</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_Toc400916068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62</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69" w:history="1">
            <w:r w:rsidR="0066122F" w:rsidRPr="00FB6148">
              <w:rPr>
                <w:rStyle w:val="Hyperlink"/>
                <w:rFonts w:cs="Times New Roman"/>
                <w:noProof/>
                <w:color w:val="auto"/>
                <w:szCs w:val="24"/>
              </w:rPr>
              <w:t>6.4</w:t>
            </w:r>
            <w:r w:rsidR="0066122F" w:rsidRPr="00FB6148">
              <w:rPr>
                <w:rFonts w:cs="Times New Roman"/>
                <w:noProof/>
                <w:szCs w:val="24"/>
              </w:rPr>
              <w:tab/>
            </w:r>
            <w:r w:rsidR="0066122F" w:rsidRPr="00FB6148">
              <w:rPr>
                <w:rStyle w:val="Hyperlink"/>
                <w:rFonts w:cs="Times New Roman"/>
                <w:noProof/>
                <w:color w:val="auto"/>
                <w:szCs w:val="24"/>
              </w:rPr>
              <w:t>Results and analysis</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_Toc400916069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65</w:t>
            </w:r>
            <w:r w:rsidRPr="00FB6148">
              <w:rPr>
                <w:rFonts w:cs="Times New Roman"/>
                <w:noProof/>
                <w:webHidden/>
                <w:szCs w:val="24"/>
              </w:rPr>
              <w:fldChar w:fldCharType="end"/>
            </w:r>
          </w:hyperlink>
        </w:p>
        <w:p w:rsidR="0066122F" w:rsidRPr="00FB6148" w:rsidRDefault="00EF1EDC" w:rsidP="00FB6148">
          <w:pPr>
            <w:pStyle w:val="TOC3"/>
            <w:tabs>
              <w:tab w:val="left" w:pos="1320"/>
              <w:tab w:val="right" w:leader="dot" w:pos="8297"/>
            </w:tabs>
            <w:spacing w:line="240" w:lineRule="exact"/>
            <w:rPr>
              <w:rFonts w:cs="Times New Roman"/>
              <w:noProof/>
              <w:szCs w:val="24"/>
            </w:rPr>
          </w:pPr>
          <w:hyperlink w:anchor="_Toc400916070" w:history="1">
            <w:r w:rsidR="0066122F" w:rsidRPr="00FB6148">
              <w:rPr>
                <w:rStyle w:val="Hyperlink"/>
                <w:rFonts w:cs="Times New Roman"/>
                <w:noProof/>
                <w:color w:val="auto"/>
                <w:szCs w:val="24"/>
              </w:rPr>
              <w:t>6.4.1</w:t>
            </w:r>
            <w:r w:rsidR="0066122F" w:rsidRPr="00FB6148">
              <w:rPr>
                <w:rFonts w:cs="Times New Roman"/>
                <w:noProof/>
                <w:szCs w:val="24"/>
              </w:rPr>
              <w:tab/>
            </w:r>
            <w:r w:rsidR="0066122F" w:rsidRPr="00FB6148">
              <w:rPr>
                <w:rStyle w:val="Hyperlink"/>
                <w:rFonts w:cs="Times New Roman"/>
                <w:noProof/>
                <w:color w:val="auto"/>
                <w:szCs w:val="24"/>
              </w:rPr>
              <w:t>OLS Results</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_Toc400916070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65</w:t>
            </w:r>
            <w:r w:rsidRPr="00FB6148">
              <w:rPr>
                <w:rFonts w:cs="Times New Roman"/>
                <w:noProof/>
                <w:webHidden/>
                <w:szCs w:val="24"/>
              </w:rPr>
              <w:fldChar w:fldCharType="end"/>
            </w:r>
          </w:hyperlink>
        </w:p>
        <w:p w:rsidR="0066122F" w:rsidRPr="00FB6148" w:rsidRDefault="00EF1EDC" w:rsidP="00FB6148">
          <w:pPr>
            <w:pStyle w:val="TOC3"/>
            <w:tabs>
              <w:tab w:val="left" w:pos="1320"/>
              <w:tab w:val="right" w:leader="dot" w:pos="8297"/>
            </w:tabs>
            <w:spacing w:line="240" w:lineRule="exact"/>
            <w:rPr>
              <w:rFonts w:cs="Times New Roman"/>
              <w:noProof/>
              <w:szCs w:val="24"/>
            </w:rPr>
          </w:pPr>
          <w:hyperlink w:anchor="_Toc400916071" w:history="1">
            <w:r w:rsidR="0066122F" w:rsidRPr="00FB6148">
              <w:rPr>
                <w:rStyle w:val="Hyperlink"/>
                <w:rFonts w:cs="Times New Roman"/>
                <w:noProof/>
                <w:color w:val="auto"/>
                <w:szCs w:val="24"/>
              </w:rPr>
              <w:t>6.4.2</w:t>
            </w:r>
            <w:r w:rsidR="0066122F" w:rsidRPr="00FB6148">
              <w:rPr>
                <w:rFonts w:cs="Times New Roman"/>
                <w:noProof/>
                <w:szCs w:val="24"/>
              </w:rPr>
              <w:tab/>
            </w:r>
            <w:r w:rsidR="0066122F" w:rsidRPr="00FB6148">
              <w:rPr>
                <w:rStyle w:val="Hyperlink"/>
                <w:rFonts w:cs="Times New Roman"/>
                <w:noProof/>
                <w:color w:val="auto"/>
                <w:szCs w:val="24"/>
              </w:rPr>
              <w:t>Hausman test of China and U.S.</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_Toc400916071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66</w:t>
            </w:r>
            <w:r w:rsidRPr="00FB6148">
              <w:rPr>
                <w:rFonts w:cs="Times New Roman"/>
                <w:noProof/>
                <w:webHidden/>
                <w:szCs w:val="24"/>
              </w:rPr>
              <w:fldChar w:fldCharType="end"/>
            </w:r>
          </w:hyperlink>
        </w:p>
        <w:p w:rsidR="0066122F" w:rsidRPr="00FB6148" w:rsidRDefault="00EF1EDC" w:rsidP="00FB6148">
          <w:pPr>
            <w:pStyle w:val="TOC3"/>
            <w:tabs>
              <w:tab w:val="left" w:pos="1320"/>
              <w:tab w:val="right" w:leader="dot" w:pos="8297"/>
            </w:tabs>
            <w:spacing w:line="240" w:lineRule="exact"/>
            <w:rPr>
              <w:rFonts w:cs="Times New Roman"/>
              <w:noProof/>
              <w:szCs w:val="24"/>
            </w:rPr>
          </w:pPr>
          <w:hyperlink w:anchor="_Toc400916072" w:history="1">
            <w:r w:rsidR="0066122F" w:rsidRPr="00FB6148">
              <w:rPr>
                <w:rStyle w:val="Hyperlink"/>
                <w:rFonts w:cs="Times New Roman"/>
                <w:noProof/>
                <w:color w:val="auto"/>
                <w:szCs w:val="24"/>
              </w:rPr>
              <w:t>6.4.3</w:t>
            </w:r>
            <w:r w:rsidR="0066122F" w:rsidRPr="00FB6148">
              <w:rPr>
                <w:rFonts w:cs="Times New Roman"/>
                <w:noProof/>
                <w:szCs w:val="24"/>
              </w:rPr>
              <w:tab/>
            </w:r>
            <w:r w:rsidR="0066122F" w:rsidRPr="00FB6148">
              <w:rPr>
                <w:rStyle w:val="Hyperlink"/>
                <w:rFonts w:cs="Times New Roman"/>
                <w:noProof/>
                <w:color w:val="auto"/>
                <w:szCs w:val="24"/>
              </w:rPr>
              <w:t>Fixed effect model development</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_Toc400916072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70</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73" w:history="1">
            <w:r w:rsidR="0066122F" w:rsidRPr="00FB6148">
              <w:rPr>
                <w:rStyle w:val="Hyperlink"/>
                <w:rFonts w:cs="Times New Roman"/>
                <w:noProof/>
                <w:color w:val="auto"/>
                <w:szCs w:val="24"/>
              </w:rPr>
              <w:t>6.5</w:t>
            </w:r>
            <w:r w:rsidR="0066122F" w:rsidRPr="00FB6148">
              <w:rPr>
                <w:rFonts w:cs="Times New Roman"/>
                <w:noProof/>
                <w:szCs w:val="24"/>
              </w:rPr>
              <w:tab/>
            </w:r>
            <w:r w:rsidR="0066122F" w:rsidRPr="00FB6148">
              <w:rPr>
                <w:rStyle w:val="Hyperlink"/>
                <w:rFonts w:cs="Times New Roman"/>
                <w:noProof/>
                <w:color w:val="auto"/>
                <w:szCs w:val="24"/>
              </w:rPr>
              <w:t>Summary</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_Toc400916073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71</w:t>
            </w:r>
            <w:r w:rsidRPr="00FB6148">
              <w:rPr>
                <w:rFonts w:cs="Times New Roman"/>
                <w:noProof/>
                <w:webHidden/>
                <w:szCs w:val="24"/>
              </w:rPr>
              <w:fldChar w:fldCharType="end"/>
            </w:r>
          </w:hyperlink>
        </w:p>
        <w:p w:rsidR="0066122F" w:rsidRPr="00FB6148" w:rsidRDefault="00EF1EDC" w:rsidP="00FB6148">
          <w:pPr>
            <w:pStyle w:val="TOC1"/>
            <w:spacing w:line="240" w:lineRule="exact"/>
            <w:rPr>
              <w:rFonts w:cs="Times New Roman"/>
              <w:noProof/>
              <w:szCs w:val="24"/>
            </w:rPr>
          </w:pPr>
          <w:hyperlink w:anchor="_Toc400916074" w:history="1">
            <w:r w:rsidR="0066122F" w:rsidRPr="00FB6148">
              <w:rPr>
                <w:rStyle w:val="Hyperlink"/>
                <w:rFonts w:cs="Times New Roman"/>
                <w:noProof/>
                <w:color w:val="auto"/>
                <w:szCs w:val="24"/>
              </w:rPr>
              <w:t>Chapter 7.</w:t>
            </w:r>
            <w:r w:rsidR="0066122F" w:rsidRPr="00FB6148">
              <w:rPr>
                <w:rFonts w:cs="Times New Roman"/>
                <w:noProof/>
                <w:szCs w:val="24"/>
              </w:rPr>
              <w:tab/>
            </w:r>
            <w:r w:rsidR="0066122F" w:rsidRPr="00FB6148">
              <w:rPr>
                <w:rStyle w:val="Hyperlink"/>
                <w:rFonts w:cs="Times New Roman"/>
                <w:noProof/>
                <w:color w:val="auto"/>
                <w:szCs w:val="24"/>
              </w:rPr>
              <w:t>Conclusions</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_Toc400916074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74</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75" w:history="1">
            <w:r w:rsidR="0066122F" w:rsidRPr="00FB6148">
              <w:rPr>
                <w:rStyle w:val="Hyperlink"/>
                <w:rFonts w:cs="Times New Roman"/>
                <w:noProof/>
                <w:color w:val="auto"/>
                <w:szCs w:val="24"/>
              </w:rPr>
              <w:t>7.1</w:t>
            </w:r>
            <w:r w:rsidR="0066122F" w:rsidRPr="00FB6148">
              <w:rPr>
                <w:rFonts w:cs="Times New Roman"/>
                <w:noProof/>
                <w:szCs w:val="24"/>
              </w:rPr>
              <w:tab/>
            </w:r>
            <w:r w:rsidR="0066122F" w:rsidRPr="00FB6148">
              <w:rPr>
                <w:rStyle w:val="Hyperlink"/>
                <w:rFonts w:cs="Times New Roman"/>
                <w:noProof/>
                <w:color w:val="auto"/>
                <w:szCs w:val="24"/>
              </w:rPr>
              <w:t>Conclusions</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_Toc400916075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74</w:t>
            </w:r>
            <w:r w:rsidRPr="00FB6148">
              <w:rPr>
                <w:rFonts w:cs="Times New Roman"/>
                <w:noProof/>
                <w:webHidden/>
                <w:szCs w:val="24"/>
              </w:rPr>
              <w:fldChar w:fldCharType="end"/>
            </w:r>
          </w:hyperlink>
        </w:p>
        <w:p w:rsidR="0066122F" w:rsidRPr="00FB6148" w:rsidRDefault="00EF1EDC" w:rsidP="00FB6148">
          <w:pPr>
            <w:pStyle w:val="TOC2"/>
            <w:tabs>
              <w:tab w:val="left" w:pos="880"/>
              <w:tab w:val="right" w:leader="dot" w:pos="8297"/>
            </w:tabs>
            <w:spacing w:line="240" w:lineRule="exact"/>
            <w:rPr>
              <w:rFonts w:cs="Times New Roman"/>
              <w:noProof/>
              <w:szCs w:val="24"/>
            </w:rPr>
          </w:pPr>
          <w:hyperlink w:anchor="_Toc400916076" w:history="1">
            <w:r w:rsidR="0066122F" w:rsidRPr="00FB6148">
              <w:rPr>
                <w:rStyle w:val="Hyperlink"/>
                <w:rFonts w:cs="Times New Roman"/>
                <w:noProof/>
                <w:color w:val="auto"/>
                <w:szCs w:val="24"/>
              </w:rPr>
              <w:t>7.2</w:t>
            </w:r>
            <w:r w:rsidR="0066122F" w:rsidRPr="00FB6148">
              <w:rPr>
                <w:rFonts w:cs="Times New Roman"/>
                <w:noProof/>
                <w:szCs w:val="24"/>
              </w:rPr>
              <w:tab/>
            </w:r>
            <w:r w:rsidR="0066122F" w:rsidRPr="00FB6148">
              <w:rPr>
                <w:rStyle w:val="Hyperlink"/>
                <w:rFonts w:cs="Times New Roman"/>
                <w:noProof/>
                <w:color w:val="auto"/>
                <w:szCs w:val="24"/>
              </w:rPr>
              <w:t>Limitation</w:t>
            </w:r>
            <w:r w:rsidR="006B643A">
              <w:rPr>
                <w:rStyle w:val="Hyperlink"/>
                <w:rFonts w:cs="Times New Roman"/>
                <w:noProof/>
                <w:color w:val="auto"/>
                <w:szCs w:val="24"/>
              </w:rPr>
              <w:t>s</w:t>
            </w:r>
            <w:r w:rsidR="0066122F" w:rsidRPr="00FB6148">
              <w:rPr>
                <w:rStyle w:val="Hyperlink"/>
                <w:rFonts w:cs="Times New Roman"/>
                <w:noProof/>
                <w:color w:val="auto"/>
                <w:szCs w:val="24"/>
              </w:rPr>
              <w:t xml:space="preserve"> and future recommendations</w:t>
            </w:r>
            <w:r w:rsidR="0066122F" w:rsidRPr="00FB6148">
              <w:rPr>
                <w:rFonts w:cs="Times New Roman"/>
                <w:noProof/>
                <w:webHidden/>
                <w:szCs w:val="24"/>
              </w:rPr>
              <w:tab/>
            </w:r>
            <w:r w:rsidRPr="00FB6148">
              <w:rPr>
                <w:rFonts w:cs="Times New Roman"/>
                <w:noProof/>
                <w:webHidden/>
                <w:szCs w:val="24"/>
              </w:rPr>
              <w:fldChar w:fldCharType="begin"/>
            </w:r>
            <w:r w:rsidR="0066122F" w:rsidRPr="00FB6148">
              <w:rPr>
                <w:rFonts w:cs="Times New Roman"/>
                <w:noProof/>
                <w:webHidden/>
                <w:szCs w:val="24"/>
              </w:rPr>
              <w:instrText xml:space="preserve"> PAGEREF _Toc400916076 \h </w:instrText>
            </w:r>
            <w:r w:rsidRPr="00FB6148">
              <w:rPr>
                <w:rFonts w:cs="Times New Roman"/>
                <w:noProof/>
                <w:webHidden/>
                <w:szCs w:val="24"/>
              </w:rPr>
            </w:r>
            <w:r w:rsidRPr="00FB6148">
              <w:rPr>
                <w:rFonts w:cs="Times New Roman"/>
                <w:noProof/>
                <w:webHidden/>
                <w:szCs w:val="24"/>
              </w:rPr>
              <w:fldChar w:fldCharType="separate"/>
            </w:r>
            <w:r w:rsidR="00E0407F">
              <w:rPr>
                <w:rFonts w:cs="Times New Roman"/>
                <w:noProof/>
                <w:webHidden/>
                <w:szCs w:val="24"/>
              </w:rPr>
              <w:t>75</w:t>
            </w:r>
            <w:r w:rsidRPr="00FB6148">
              <w:rPr>
                <w:rFonts w:cs="Times New Roman"/>
                <w:noProof/>
                <w:webHidden/>
                <w:szCs w:val="24"/>
              </w:rPr>
              <w:fldChar w:fldCharType="end"/>
            </w:r>
          </w:hyperlink>
        </w:p>
        <w:p w:rsidR="00D73E27" w:rsidRPr="00FB6148" w:rsidRDefault="00EF1EDC" w:rsidP="00FB6148">
          <w:pPr>
            <w:pStyle w:val="TOC1"/>
            <w:spacing w:after="120" w:line="240" w:lineRule="exact"/>
            <w:contextualSpacing/>
            <w:rPr>
              <w:rFonts w:cs="Times New Roman"/>
              <w:szCs w:val="24"/>
            </w:rPr>
          </w:pPr>
          <w:r w:rsidRPr="00FB6148">
            <w:rPr>
              <w:rFonts w:cs="Times New Roman"/>
              <w:b/>
              <w:bCs/>
              <w:noProof/>
              <w:szCs w:val="24"/>
            </w:rPr>
            <w:fldChar w:fldCharType="end"/>
          </w:r>
          <w:r w:rsidR="00D73E27" w:rsidRPr="00FB6148">
            <w:rPr>
              <w:rFonts w:cs="Times New Roman"/>
              <w:szCs w:val="24"/>
            </w:rPr>
            <w:t>References………</w:t>
          </w:r>
          <w:r w:rsidR="00FB6148">
            <w:rPr>
              <w:rFonts w:cs="Times New Roman"/>
              <w:szCs w:val="24"/>
            </w:rPr>
            <w:t>...</w:t>
          </w:r>
          <w:r w:rsidR="00D73E27" w:rsidRPr="00FB6148">
            <w:rPr>
              <w:rFonts w:cs="Times New Roman"/>
              <w:szCs w:val="24"/>
            </w:rPr>
            <w:t>………………………………………………………………….7</w:t>
          </w:r>
          <w:r w:rsidR="00BF0447">
            <w:rPr>
              <w:rFonts w:cs="Times New Roman"/>
              <w:szCs w:val="24"/>
            </w:rPr>
            <w:t>7</w:t>
          </w:r>
        </w:p>
        <w:p w:rsidR="00D73E27" w:rsidRPr="00FB6148" w:rsidRDefault="00D73E27" w:rsidP="00FB6148">
          <w:pPr>
            <w:spacing w:line="240" w:lineRule="exact"/>
            <w:jc w:val="left"/>
            <w:rPr>
              <w:rFonts w:cs="Times New Roman"/>
              <w:szCs w:val="24"/>
            </w:rPr>
          </w:pPr>
          <w:proofErr w:type="gramStart"/>
          <w:r w:rsidRPr="00FB6148">
            <w:rPr>
              <w:rFonts w:cs="Times New Roman"/>
              <w:szCs w:val="24"/>
            </w:rPr>
            <w:t>Appendix</w:t>
          </w:r>
          <w:r w:rsidR="00AD5B94" w:rsidRPr="00FB6148">
            <w:rPr>
              <w:rFonts w:cs="Times New Roman"/>
              <w:szCs w:val="24"/>
            </w:rPr>
            <w:t>.</w:t>
          </w:r>
          <w:proofErr w:type="gramEnd"/>
          <w:r w:rsidR="00A469FD" w:rsidRPr="00FB6148">
            <w:rPr>
              <w:rFonts w:cs="Times New Roman"/>
              <w:szCs w:val="24"/>
            </w:rPr>
            <w:t xml:space="preserve"> A</w:t>
          </w:r>
          <w:r w:rsidR="00AD5B94" w:rsidRPr="00FB6148">
            <w:rPr>
              <w:rFonts w:cs="Times New Roman"/>
              <w:szCs w:val="24"/>
            </w:rPr>
            <w:t xml:space="preserve"> </w:t>
          </w:r>
          <w:r w:rsidR="00A469FD" w:rsidRPr="00FB6148">
            <w:rPr>
              <w:rFonts w:cs="Times New Roman"/>
              <w:szCs w:val="24"/>
            </w:rPr>
            <w:t>Corpo</w:t>
          </w:r>
          <w:r w:rsidR="00FB6148">
            <w:rPr>
              <w:rFonts w:cs="Times New Roman"/>
              <w:szCs w:val="24"/>
            </w:rPr>
            <w:t xml:space="preserve">rate </w:t>
          </w:r>
          <w:r w:rsidR="00A469FD" w:rsidRPr="00FB6148">
            <w:rPr>
              <w:rFonts w:cs="Times New Roman"/>
              <w:szCs w:val="24"/>
            </w:rPr>
            <w:t>Governance</w:t>
          </w:r>
          <w:r w:rsidR="00FB6148">
            <w:rPr>
              <w:rFonts w:cs="Times New Roman"/>
              <w:szCs w:val="24"/>
            </w:rPr>
            <w:t xml:space="preserve"> ……</w:t>
          </w:r>
          <w:r w:rsidR="00A469FD" w:rsidRPr="00FB6148">
            <w:rPr>
              <w:rFonts w:cs="Times New Roman"/>
              <w:szCs w:val="24"/>
            </w:rPr>
            <w:t>………………………………………</w:t>
          </w:r>
          <w:r w:rsidR="00FB6148">
            <w:rPr>
              <w:rFonts w:cs="Times New Roman"/>
              <w:szCs w:val="24"/>
            </w:rPr>
            <w:t>…</w:t>
          </w:r>
          <w:r w:rsidR="00E0407F" w:rsidRPr="00E0407F">
            <w:rPr>
              <w:rFonts w:cs="Times New Roman"/>
              <w:sz w:val="20"/>
              <w:szCs w:val="20"/>
            </w:rPr>
            <w:t>…</w:t>
          </w:r>
          <w:r w:rsidR="001C672F">
            <w:rPr>
              <w:rFonts w:cs="Times New Roman"/>
              <w:szCs w:val="24"/>
            </w:rPr>
            <w:t>8</w:t>
          </w:r>
          <w:r w:rsidR="00BF0447">
            <w:rPr>
              <w:rFonts w:cs="Times New Roman"/>
              <w:szCs w:val="24"/>
            </w:rPr>
            <w:t>8</w:t>
          </w:r>
        </w:p>
        <w:p w:rsidR="00A469FD" w:rsidRPr="00FB6148" w:rsidRDefault="00A469FD" w:rsidP="00FB6148">
          <w:pPr>
            <w:spacing w:line="240" w:lineRule="exact"/>
            <w:jc w:val="left"/>
            <w:rPr>
              <w:rFonts w:cs="Times New Roman"/>
              <w:szCs w:val="24"/>
            </w:rPr>
          </w:pPr>
          <w:proofErr w:type="gramStart"/>
          <w:r w:rsidRPr="00FB6148">
            <w:rPr>
              <w:rFonts w:cs="Times New Roman"/>
              <w:szCs w:val="24"/>
            </w:rPr>
            <w:t>Appendix</w:t>
          </w:r>
          <w:r w:rsidR="00AD5B94" w:rsidRPr="00FB6148">
            <w:rPr>
              <w:rFonts w:cs="Times New Roman"/>
              <w:szCs w:val="24"/>
            </w:rPr>
            <w:t>.</w:t>
          </w:r>
          <w:proofErr w:type="gramEnd"/>
          <w:r w:rsidRPr="00FB6148">
            <w:rPr>
              <w:rFonts w:cs="Times New Roman"/>
              <w:szCs w:val="24"/>
            </w:rPr>
            <w:t xml:space="preserve"> B</w:t>
          </w:r>
          <w:r w:rsidR="00AD5B94" w:rsidRPr="00FB6148">
            <w:rPr>
              <w:rFonts w:cs="Times New Roman"/>
              <w:szCs w:val="24"/>
            </w:rPr>
            <w:t xml:space="preserve"> </w:t>
          </w:r>
          <w:r w:rsidRPr="00FB6148">
            <w:rPr>
              <w:rFonts w:cs="Times New Roman"/>
              <w:szCs w:val="24"/>
            </w:rPr>
            <w:t>Earnings Management</w:t>
          </w:r>
          <w:r w:rsidR="00AD5B94" w:rsidRPr="00FB6148">
            <w:rPr>
              <w:rFonts w:cs="Times New Roman"/>
              <w:szCs w:val="24"/>
            </w:rPr>
            <w:t>………</w:t>
          </w:r>
          <w:r w:rsidR="00FB6148">
            <w:rPr>
              <w:rFonts w:cs="Times New Roman"/>
              <w:szCs w:val="24"/>
            </w:rPr>
            <w:t>...</w:t>
          </w:r>
          <w:r w:rsidR="00BF0447">
            <w:rPr>
              <w:rFonts w:cs="Times New Roman"/>
              <w:szCs w:val="24"/>
            </w:rPr>
            <w:t>……………………………………</w:t>
          </w:r>
          <w:r w:rsidR="00BF0447" w:rsidRPr="00E0407F">
            <w:rPr>
              <w:rFonts w:cs="Times New Roman"/>
              <w:sz w:val="22"/>
            </w:rPr>
            <w:t>….</w:t>
          </w:r>
          <w:r w:rsidR="00E0407F">
            <w:rPr>
              <w:rFonts w:cs="Times New Roman"/>
              <w:szCs w:val="24"/>
            </w:rPr>
            <w:t>.</w:t>
          </w:r>
          <w:r w:rsidR="00BF0447">
            <w:rPr>
              <w:rFonts w:cs="Times New Roman"/>
              <w:szCs w:val="24"/>
            </w:rPr>
            <w:t>89</w:t>
          </w:r>
        </w:p>
        <w:p w:rsidR="00443250" w:rsidRPr="00D73E27" w:rsidRDefault="00A469FD" w:rsidP="00FB6148">
          <w:pPr>
            <w:spacing w:line="240" w:lineRule="exact"/>
            <w:jc w:val="left"/>
            <w:rPr>
              <w:rFonts w:cs="Times New Roman"/>
              <w:sz w:val="22"/>
            </w:rPr>
          </w:pPr>
          <w:proofErr w:type="gramStart"/>
          <w:r w:rsidRPr="00FB6148">
            <w:rPr>
              <w:rFonts w:cs="Times New Roman"/>
              <w:szCs w:val="24"/>
            </w:rPr>
            <w:t>Appendix</w:t>
          </w:r>
          <w:r w:rsidR="00AD5B94" w:rsidRPr="00FB6148">
            <w:rPr>
              <w:rFonts w:cs="Times New Roman"/>
              <w:szCs w:val="24"/>
            </w:rPr>
            <w:t>.</w:t>
          </w:r>
          <w:proofErr w:type="gramEnd"/>
          <w:r w:rsidRPr="00FB6148">
            <w:rPr>
              <w:rFonts w:cs="Times New Roman"/>
              <w:szCs w:val="24"/>
            </w:rPr>
            <w:t xml:space="preserve"> </w:t>
          </w:r>
          <w:r w:rsidR="00AD5B94" w:rsidRPr="00FB6148">
            <w:rPr>
              <w:rFonts w:cs="Times New Roman"/>
              <w:szCs w:val="24"/>
            </w:rPr>
            <w:t>C</w:t>
          </w:r>
          <w:r w:rsidRPr="00FB6148">
            <w:rPr>
              <w:rFonts w:cs="Times New Roman"/>
              <w:szCs w:val="24"/>
            </w:rPr>
            <w:t xml:space="preserve"> Corporate </w:t>
          </w:r>
          <w:r w:rsidR="00AD5B94" w:rsidRPr="00FB6148">
            <w:rPr>
              <w:rFonts w:cs="Times New Roman"/>
              <w:szCs w:val="24"/>
            </w:rPr>
            <w:t>g</w:t>
          </w:r>
          <w:r w:rsidRPr="00FB6148">
            <w:rPr>
              <w:rFonts w:cs="Times New Roman"/>
              <w:szCs w:val="24"/>
            </w:rPr>
            <w:t>overnance</w:t>
          </w:r>
          <w:r w:rsidR="00AD5B94" w:rsidRPr="00FB6148">
            <w:rPr>
              <w:rFonts w:cs="Times New Roman"/>
              <w:szCs w:val="24"/>
            </w:rPr>
            <w:t xml:space="preserve"> </w:t>
          </w:r>
          <w:r w:rsidR="00FB6148">
            <w:rPr>
              <w:rFonts w:cs="Times New Roman"/>
              <w:szCs w:val="24"/>
            </w:rPr>
            <w:t>and earnings management…………………….</w:t>
          </w:r>
          <w:r w:rsidR="00BF0447">
            <w:rPr>
              <w:rFonts w:cs="Times New Roman"/>
              <w:szCs w:val="24"/>
            </w:rPr>
            <w:t>.</w:t>
          </w:r>
          <w:r w:rsidR="00E0407F" w:rsidRPr="00E0407F">
            <w:rPr>
              <w:rFonts w:cs="Times New Roman"/>
              <w:sz w:val="18"/>
              <w:szCs w:val="18"/>
            </w:rPr>
            <w:t>.</w:t>
          </w:r>
          <w:r w:rsidR="00BF0447">
            <w:rPr>
              <w:rFonts w:cs="Times New Roman"/>
              <w:szCs w:val="24"/>
            </w:rPr>
            <w:t>90</w:t>
          </w:r>
        </w:p>
      </w:sdtContent>
    </w:sdt>
    <w:p w:rsidR="00FB6148" w:rsidRDefault="00FB6148">
      <w:pPr>
        <w:spacing w:before="0" w:after="200" w:line="276" w:lineRule="auto"/>
        <w:jc w:val="left"/>
        <w:rPr>
          <w:rFonts w:eastAsiaTheme="majorEastAsia" w:cstheme="majorBidi"/>
          <w:b/>
          <w:bCs/>
          <w:sz w:val="32"/>
          <w:szCs w:val="28"/>
        </w:rPr>
      </w:pPr>
      <w:bookmarkStart w:id="0" w:name="_Toc400916028"/>
      <w:r>
        <w:br w:type="page"/>
      </w:r>
    </w:p>
    <w:p w:rsidR="00E02AB1" w:rsidRPr="00C825E6" w:rsidRDefault="00E02AB1" w:rsidP="002C4DFA">
      <w:pPr>
        <w:pStyle w:val="Heading1"/>
        <w:numPr>
          <w:ilvl w:val="0"/>
          <w:numId w:val="18"/>
        </w:numPr>
      </w:pPr>
      <w:r w:rsidRPr="00C825E6">
        <w:lastRenderedPageBreak/>
        <w:t>Introduction</w:t>
      </w:r>
      <w:bookmarkEnd w:id="0"/>
    </w:p>
    <w:p w:rsidR="00E02AB1" w:rsidRPr="00A130F1" w:rsidRDefault="00E02AB1" w:rsidP="00252752">
      <w:pPr>
        <w:pStyle w:val="Heading2"/>
      </w:pPr>
      <w:bookmarkStart w:id="1" w:name="_Toc400916029"/>
      <w:r w:rsidRPr="00A130F1">
        <w:t>Background</w:t>
      </w:r>
      <w:bookmarkEnd w:id="1"/>
    </w:p>
    <w:p w:rsidR="00307273" w:rsidRDefault="00E02AB1" w:rsidP="00307273">
      <w:r w:rsidRPr="00444238">
        <w:t>Prior empirical evidence shows that managers have incentives to manipulate</w:t>
      </w:r>
      <w:r>
        <w:t xml:space="preserve"> the</w:t>
      </w:r>
      <w:r w:rsidRPr="00444238">
        <w:t xml:space="preserve"> earning</w:t>
      </w:r>
      <w:r>
        <w:t>s</w:t>
      </w:r>
      <w:r w:rsidRPr="00444238">
        <w:t xml:space="preserve"> infor</w:t>
      </w:r>
      <w:r>
        <w:t>mation of the</w:t>
      </w:r>
      <w:r w:rsidR="00053D97">
        <w:t xml:space="preserve"> company (</w:t>
      </w:r>
      <w:proofErr w:type="spellStart"/>
      <w:r w:rsidR="00053D97">
        <w:t>Teoh</w:t>
      </w:r>
      <w:proofErr w:type="spellEnd"/>
      <w:r w:rsidR="00053D97">
        <w:t xml:space="preserve"> </w:t>
      </w:r>
      <w:r w:rsidR="00053D97" w:rsidRPr="00053D97">
        <w:rPr>
          <w:i/>
        </w:rPr>
        <w:t>et al</w:t>
      </w:r>
      <w:r w:rsidR="00AD5B94">
        <w:t>.</w:t>
      </w:r>
      <w:r w:rsidR="00053D97">
        <w:rPr>
          <w:i/>
        </w:rPr>
        <w:t xml:space="preserve"> </w:t>
      </w:r>
      <w:r w:rsidRPr="00444238">
        <w:t xml:space="preserve">1998a, 1998b; </w:t>
      </w:r>
      <w:proofErr w:type="spellStart"/>
      <w:r w:rsidRPr="00444238">
        <w:t>Xie</w:t>
      </w:r>
      <w:proofErr w:type="spellEnd"/>
      <w:r w:rsidR="00053D97">
        <w:t>,</w:t>
      </w:r>
      <w:r w:rsidR="00C27052">
        <w:t xml:space="preserve"> 2001). A great numbers of res</w:t>
      </w:r>
      <w:r w:rsidRPr="00444238">
        <w:t xml:space="preserve">earchers and analysts attempt to investigate </w:t>
      </w:r>
      <w:r>
        <w:t xml:space="preserve">this phenomenon </w:t>
      </w:r>
      <w:r w:rsidRPr="00444238">
        <w:t>and</w:t>
      </w:r>
      <w:r>
        <w:t xml:space="preserve"> to</w:t>
      </w:r>
      <w:r w:rsidRPr="00444238">
        <w:t xml:space="preserve"> </w:t>
      </w:r>
      <w:r>
        <w:t xml:space="preserve">find </w:t>
      </w:r>
      <w:r w:rsidRPr="00444238">
        <w:t>the solutions to restrict</w:t>
      </w:r>
      <w:r>
        <w:t xml:space="preserve"> misleading</w:t>
      </w:r>
      <w:r w:rsidRPr="00444238">
        <w:t xml:space="preserve"> earning</w:t>
      </w:r>
      <w:r>
        <w:t>s</w:t>
      </w:r>
      <w:r w:rsidRPr="00444238">
        <w:t xml:space="preserve"> information manipulation. One of the solutions is </w:t>
      </w:r>
      <w:r>
        <w:t xml:space="preserve">effective </w:t>
      </w:r>
      <w:r w:rsidRPr="00444238">
        <w:t>corporate governance which</w:t>
      </w:r>
      <w:r>
        <w:t xml:space="preserve"> includes internal control and </w:t>
      </w:r>
      <w:r w:rsidRPr="00444238">
        <w:t>e</w:t>
      </w:r>
      <w:r>
        <w:t>xternal control</w:t>
      </w:r>
      <w:r w:rsidRPr="00444238">
        <w:t>.</w:t>
      </w:r>
      <w:r>
        <w:t xml:space="preserve"> In the previous two decades</w:t>
      </w:r>
      <w:r w:rsidRPr="00444238">
        <w:t>, the relationship between corporate governance and earn</w:t>
      </w:r>
      <w:r>
        <w:t>ing</w:t>
      </w:r>
      <w:r w:rsidR="006B643A">
        <w:t>s</w:t>
      </w:r>
      <w:r>
        <w:t xml:space="preserve"> management attracts increasing</w:t>
      </w:r>
      <w:r w:rsidRPr="00444238">
        <w:t xml:space="preserve"> attentions from researchers. Especially in the early 2000s, a number of financia</w:t>
      </w:r>
      <w:r w:rsidR="00B910C6">
        <w:t>l scandals took place in the U.S.</w:t>
      </w:r>
      <w:r w:rsidRPr="00444238">
        <w:t>, e.g., Tyco, WorldCom and Enron. The U.S. Congress enacted the Sarbanes-Oxley Act of 2002 (</w:t>
      </w:r>
      <w:r>
        <w:t>SOX) to respond to those scandals,</w:t>
      </w:r>
      <w:r w:rsidRPr="00444238">
        <w:t xml:space="preserve"> </w:t>
      </w:r>
      <w:r>
        <w:t>f</w:t>
      </w:r>
      <w:r w:rsidRPr="00444238">
        <w:t xml:space="preserve">or example, adding an independence auditor, code of ethnic for senior managers and requiring CEO and CFO </w:t>
      </w:r>
      <w:r>
        <w:t>certifying financial report. The</w:t>
      </w:r>
      <w:r w:rsidRPr="00444238">
        <w:t>se requirements</w:t>
      </w:r>
      <w:r>
        <w:t xml:space="preserve"> try to</w:t>
      </w:r>
      <w:r w:rsidRPr="00444238">
        <w:t xml:space="preserve"> enhance the corporate governance, strengthen the corporate accountability and reduce the likelihood of</w:t>
      </w:r>
      <w:r>
        <w:t xml:space="preserve"> misleading</w:t>
      </w:r>
      <w:r w:rsidRPr="00444238">
        <w:t xml:space="preserve"> earning</w:t>
      </w:r>
      <w:r w:rsidR="00417525">
        <w:t>s</w:t>
      </w:r>
      <w:r w:rsidRPr="00444238">
        <w:t xml:space="preserve"> management. </w:t>
      </w:r>
      <w:r>
        <w:t>Furthermore, a lot of</w:t>
      </w:r>
      <w:r w:rsidRPr="00444238">
        <w:t xml:space="preserve"> empirical research articles investigated corporate governance and earning</w:t>
      </w:r>
      <w:r w:rsidR="00071AAA">
        <w:t>s</w:t>
      </w:r>
      <w:r w:rsidRPr="00444238">
        <w:t xml:space="preserve"> management and confir</w:t>
      </w:r>
      <w:r>
        <w:t>med the relationship between the</w:t>
      </w:r>
      <w:r w:rsidRPr="00444238">
        <w:t>se two aspects. Klein (2002) indicated in his research paper that both board independence and audit committee independence have negative relationship with abnormal accruals by analyzing</w:t>
      </w:r>
      <w:r>
        <w:t xml:space="preserve"> </w:t>
      </w:r>
      <w:r w:rsidRPr="00444238">
        <w:t xml:space="preserve">data of </w:t>
      </w:r>
      <w:r>
        <w:t xml:space="preserve">the </w:t>
      </w:r>
      <w:r w:rsidRPr="00444238">
        <w:t>U</w:t>
      </w:r>
      <w:r w:rsidR="00B910C6">
        <w:t>.</w:t>
      </w:r>
      <w:r w:rsidRPr="00444238">
        <w:t xml:space="preserve">S. Davidson </w:t>
      </w:r>
      <w:r w:rsidRPr="00053D97">
        <w:rPr>
          <w:i/>
        </w:rPr>
        <w:t>et al</w:t>
      </w:r>
      <w:r w:rsidR="00AD5B94">
        <w:t>.</w:t>
      </w:r>
      <w:r w:rsidRPr="00444238">
        <w:t xml:space="preserve"> (2005) also found the similar results by investigating the data from Australian listed firm</w:t>
      </w:r>
      <w:r w:rsidR="00B910C6">
        <w:t>s</w:t>
      </w:r>
      <w:r w:rsidRPr="00444238">
        <w:t>, which prove</w:t>
      </w:r>
      <w:r w:rsidR="00B910C6">
        <w:t>s</w:t>
      </w:r>
      <w:r>
        <w:t xml:space="preserve"> that </w:t>
      </w:r>
      <w:r w:rsidRPr="00444238">
        <w:t xml:space="preserve">the board independence and </w:t>
      </w:r>
      <w:r>
        <w:t>audit committee independence could</w:t>
      </w:r>
      <w:r w:rsidRPr="00444238">
        <w:t xml:space="preserve"> </w:t>
      </w:r>
      <w:r>
        <w:t xml:space="preserve">decrease </w:t>
      </w:r>
      <w:r w:rsidRPr="00444238">
        <w:t>the likelih</w:t>
      </w:r>
      <w:r w:rsidR="00053D97">
        <w:t>ood of earning</w:t>
      </w:r>
      <w:r w:rsidR="00B910C6">
        <w:t>s</w:t>
      </w:r>
      <w:r w:rsidR="00053D97">
        <w:t xml:space="preserve"> management. Park </w:t>
      </w:r>
      <w:r w:rsidR="00053D97" w:rsidRPr="00053D97">
        <w:rPr>
          <w:i/>
        </w:rPr>
        <w:t>et al</w:t>
      </w:r>
      <w:r w:rsidR="00AD5B94">
        <w:t>.</w:t>
      </w:r>
      <w:r w:rsidR="00053D97">
        <w:t xml:space="preserve"> </w:t>
      </w:r>
      <w:r w:rsidRPr="00444238">
        <w:t xml:space="preserve">(2004) concluded that </w:t>
      </w:r>
      <w:r>
        <w:t xml:space="preserve">the </w:t>
      </w:r>
      <w:r w:rsidRPr="00444238">
        <w:t>outside directors did not reduce the abnormal accruals according to the data from Canada. Audit quality and earning</w:t>
      </w:r>
      <w:r w:rsidR="00B910C6">
        <w:t>s</w:t>
      </w:r>
      <w:r w:rsidRPr="00444238">
        <w:t xml:space="preserve"> management </w:t>
      </w:r>
      <w:r>
        <w:t xml:space="preserve">were </w:t>
      </w:r>
      <w:r w:rsidR="00053D97">
        <w:t xml:space="preserve">investigated by </w:t>
      </w:r>
      <w:proofErr w:type="spellStart"/>
      <w:r w:rsidR="00053D97">
        <w:t>Piot</w:t>
      </w:r>
      <w:proofErr w:type="spellEnd"/>
      <w:r w:rsidR="00053D97">
        <w:t xml:space="preserve"> </w:t>
      </w:r>
      <w:r w:rsidR="00053D97" w:rsidRPr="00053D97">
        <w:rPr>
          <w:i/>
        </w:rPr>
        <w:t>et al</w:t>
      </w:r>
      <w:r w:rsidR="00AD5B94">
        <w:t>.</w:t>
      </w:r>
      <w:r w:rsidR="00053D97">
        <w:t xml:space="preserve"> </w:t>
      </w:r>
      <w:r w:rsidRPr="00444238">
        <w:t>(2005)</w:t>
      </w:r>
      <w:r>
        <w:t xml:space="preserve"> based</w:t>
      </w:r>
      <w:r w:rsidRPr="00444238">
        <w:t xml:space="preserve"> on the data from France. They confirmed </w:t>
      </w:r>
      <w:r>
        <w:t xml:space="preserve">that </w:t>
      </w:r>
      <w:r w:rsidRPr="00444238">
        <w:t xml:space="preserve">the Big Five-audited companies in France </w:t>
      </w:r>
      <w:r>
        <w:t xml:space="preserve">did not have </w:t>
      </w:r>
      <w:r w:rsidRPr="00444238">
        <w:t xml:space="preserve">a lower level of earnings management. </w:t>
      </w:r>
      <w:proofErr w:type="spellStart"/>
      <w:r w:rsidRPr="00444238">
        <w:t>Chin</w:t>
      </w:r>
      <w:r>
        <w:t>g</w:t>
      </w:r>
      <w:proofErr w:type="spellEnd"/>
      <w:r w:rsidRPr="00444238">
        <w:t xml:space="preserve"> </w:t>
      </w:r>
      <w:r w:rsidRPr="00053D97">
        <w:rPr>
          <w:i/>
        </w:rPr>
        <w:t>et al</w:t>
      </w:r>
      <w:r w:rsidR="00AD5B94">
        <w:t>.</w:t>
      </w:r>
      <w:r w:rsidR="00916552">
        <w:t xml:space="preserve"> (2006</w:t>
      </w:r>
      <w:r w:rsidRPr="00444238">
        <w:t>) used sample firms from Hong Kong and demonstrated that SEO</w:t>
      </w:r>
      <w:r w:rsidR="00071AAA">
        <w:t xml:space="preserve"> </w:t>
      </w:r>
      <w:r w:rsidRPr="00444238">
        <w:t>(Seasoned Equity offerings) firms with large board size have a high likelihood of earning</w:t>
      </w:r>
      <w:r w:rsidR="00B910C6">
        <w:t>s</w:t>
      </w:r>
      <w:r w:rsidRPr="00444238">
        <w:t xml:space="preserve"> management.</w:t>
      </w:r>
    </w:p>
    <w:p w:rsidR="00E02AB1" w:rsidRDefault="00E02AB1" w:rsidP="00C55405">
      <w:r w:rsidRPr="00444238">
        <w:t>According to review the prior empirical research</w:t>
      </w:r>
      <w:r w:rsidR="00B910C6">
        <w:t>es</w:t>
      </w:r>
      <w:r w:rsidRPr="00444238">
        <w:t xml:space="preserve"> on corporate governance and earning</w:t>
      </w:r>
      <w:r w:rsidR="00B910C6">
        <w:t>s</w:t>
      </w:r>
      <w:r w:rsidRPr="00444238">
        <w:t xml:space="preserve"> management, a tremendous of research results were concluded from developed</w:t>
      </w:r>
      <w:r>
        <w:t xml:space="preserve"> </w:t>
      </w:r>
      <w:r w:rsidRPr="00444238">
        <w:t>market count</w:t>
      </w:r>
      <w:r w:rsidR="00B910C6">
        <w:t>r</w:t>
      </w:r>
      <w:r w:rsidR="00071AAA">
        <w:t>ies or areas such as U.S.,</w:t>
      </w:r>
      <w:r w:rsidRPr="00444238">
        <w:t xml:space="preserve"> UK, Canada, and Hong Kong and </w:t>
      </w:r>
      <w:r w:rsidRPr="00444238">
        <w:lastRenderedPageBreak/>
        <w:t>so on</w:t>
      </w:r>
      <w:r w:rsidR="004473A5">
        <w:t xml:space="preserve"> (</w:t>
      </w:r>
      <w:r>
        <w:t>Klein</w:t>
      </w:r>
      <w:r w:rsidR="005B7008">
        <w:t>,</w:t>
      </w:r>
      <w:r>
        <w:t xml:space="preserve"> 2002; Davidson </w:t>
      </w:r>
      <w:r w:rsidRPr="005B7008">
        <w:rPr>
          <w:i/>
        </w:rPr>
        <w:t>et al</w:t>
      </w:r>
      <w:r w:rsidR="00AD5B94">
        <w:t xml:space="preserve">., </w:t>
      </w:r>
      <w:r>
        <w:t>2005; Park</w:t>
      </w:r>
      <w:r w:rsidR="005B7008">
        <w:t xml:space="preserve"> </w:t>
      </w:r>
      <w:r w:rsidR="005B7008" w:rsidRPr="005B7008">
        <w:rPr>
          <w:i/>
        </w:rPr>
        <w:t>et al</w:t>
      </w:r>
      <w:r w:rsidR="005B7008">
        <w:t>.,</w:t>
      </w:r>
      <w:r>
        <w:t xml:space="preserve"> 2004; </w:t>
      </w:r>
      <w:proofErr w:type="spellStart"/>
      <w:r>
        <w:t>Piot</w:t>
      </w:r>
      <w:proofErr w:type="spellEnd"/>
      <w:r>
        <w:t xml:space="preserve"> </w:t>
      </w:r>
      <w:r w:rsidR="005B7008" w:rsidRPr="005B7008">
        <w:rPr>
          <w:i/>
        </w:rPr>
        <w:t>et al</w:t>
      </w:r>
      <w:r w:rsidR="005B7008">
        <w:t xml:space="preserve">., </w:t>
      </w:r>
      <w:r>
        <w:t>2005)</w:t>
      </w:r>
      <w:r w:rsidRPr="00444238">
        <w:t>.</w:t>
      </w:r>
      <w:r>
        <w:t xml:space="preserve"> However, </w:t>
      </w:r>
      <w:r w:rsidRPr="00444238">
        <w:t>few empi</w:t>
      </w:r>
      <w:r>
        <w:t xml:space="preserve">rical researches </w:t>
      </w:r>
      <w:r w:rsidRPr="00444238">
        <w:t xml:space="preserve">are </w:t>
      </w:r>
      <w:r>
        <w:t>based</w:t>
      </w:r>
      <w:r w:rsidRPr="00444238">
        <w:t xml:space="preserve"> on the emerging market</w:t>
      </w:r>
      <w:r w:rsidR="00B910C6">
        <w:t>s</w:t>
      </w:r>
      <w:r>
        <w:t>,</w:t>
      </w:r>
      <w:r w:rsidRPr="00444238">
        <w:t xml:space="preserve"> such as India, Brazil, Malaysia and China and so on. For instance, </w:t>
      </w:r>
      <w:proofErr w:type="spellStart"/>
      <w:r w:rsidRPr="00444238">
        <w:t>Houqe</w:t>
      </w:r>
      <w:proofErr w:type="spellEnd"/>
      <w:r w:rsidRPr="00444238">
        <w:t xml:space="preserve"> </w:t>
      </w:r>
      <w:r w:rsidRPr="005B7008">
        <w:rPr>
          <w:i/>
        </w:rPr>
        <w:t>et al</w:t>
      </w:r>
      <w:r w:rsidR="00AD5B94">
        <w:t>.</w:t>
      </w:r>
      <w:r w:rsidRPr="004E1D6C">
        <w:t xml:space="preserve"> </w:t>
      </w:r>
      <w:r w:rsidRPr="00444238">
        <w:t>(</w:t>
      </w:r>
      <w:r w:rsidR="005B7008">
        <w:t>2007</w:t>
      </w:r>
      <w:r w:rsidRPr="00444238">
        <w:t xml:space="preserve">) used a sample of 648 firm-year observations from 2001 to 2006 in Bangladesh and demonstrated that corporate governance system has effective monitoring power on financial reporting. </w:t>
      </w:r>
      <w:r>
        <w:t xml:space="preserve">By taking nine Asian emerging markets as test data, </w:t>
      </w:r>
      <w:proofErr w:type="spellStart"/>
      <w:r w:rsidRPr="00444238">
        <w:t>Shen</w:t>
      </w:r>
      <w:proofErr w:type="spellEnd"/>
      <w:r w:rsidRPr="00444238">
        <w:t xml:space="preserve"> and </w:t>
      </w:r>
      <w:proofErr w:type="spellStart"/>
      <w:r w:rsidRPr="00444238">
        <w:t>Chih</w:t>
      </w:r>
      <w:proofErr w:type="spellEnd"/>
      <w:r w:rsidRPr="00444238">
        <w:t xml:space="preserve"> (2007) found that effective corporate governance mechanism tend</w:t>
      </w:r>
      <w:r>
        <w:t>s</w:t>
      </w:r>
      <w:r w:rsidRPr="00444238">
        <w:t xml:space="preserve"> to reduce</w:t>
      </w:r>
      <w:r>
        <w:t xml:space="preserve"> earnings management</w:t>
      </w:r>
      <w:r w:rsidR="001173B5">
        <w:t xml:space="preserve"> activities</w:t>
      </w:r>
      <w:r w:rsidRPr="00444238">
        <w:t xml:space="preserve">. The research field </w:t>
      </w:r>
      <w:r>
        <w:t>linking to this topic is</w:t>
      </w:r>
      <w:r w:rsidRPr="00444238">
        <w:t xml:space="preserve"> </w:t>
      </w:r>
      <w:r>
        <w:t>in</w:t>
      </w:r>
      <w:r w:rsidRPr="00444238">
        <w:t>sufficient in emerging market</w:t>
      </w:r>
      <w:r>
        <w:t xml:space="preserve">s, </w:t>
      </w:r>
      <w:r w:rsidRPr="00444238">
        <w:t>although there have some research results. Furthermore, it is necessary to investigate the corporate governance and earning management in emerging market</w:t>
      </w:r>
      <w:r>
        <w:t>s</w:t>
      </w:r>
      <w:r w:rsidR="00071AAA">
        <w:t xml:space="preserve">. </w:t>
      </w:r>
      <w:r w:rsidRPr="00444238">
        <w:t>Emerging market</w:t>
      </w:r>
      <w:r>
        <w:t>s are</w:t>
      </w:r>
      <w:r w:rsidRPr="00444238">
        <w:t xml:space="preserve"> growing faster than developed market</w:t>
      </w:r>
      <w:r w:rsidR="001173B5">
        <w:t>s</w:t>
      </w:r>
      <w:r w:rsidRPr="00444238">
        <w:t xml:space="preserve"> especially in the econo</w:t>
      </w:r>
      <w:r>
        <w:t xml:space="preserve">my aspect. </w:t>
      </w:r>
      <w:r w:rsidRPr="00444238">
        <w:t>These developing regions draw a lot of attentions from investors around the world</w:t>
      </w:r>
      <w:r>
        <w:t xml:space="preserve"> since the investors</w:t>
      </w:r>
      <w:r w:rsidRPr="00444238">
        <w:t xml:space="preserve"> take developing market</w:t>
      </w:r>
      <w:r>
        <w:t>s</w:t>
      </w:r>
      <w:r w:rsidR="00C55405">
        <w:t xml:space="preserve"> as a new investment </w:t>
      </w:r>
      <w:r w:rsidRPr="00444238">
        <w:t xml:space="preserve">opportunity. Nevertheless, </w:t>
      </w:r>
      <w:r>
        <w:t>there still are</w:t>
      </w:r>
      <w:r w:rsidRPr="00444238">
        <w:t xml:space="preserve"> some potential risks of investment in emerging market</w:t>
      </w:r>
      <w:r>
        <w:t xml:space="preserve">s. For instance, the </w:t>
      </w:r>
      <w:r w:rsidRPr="00444238">
        <w:t>information asymmetry problem in emerging market</w:t>
      </w:r>
      <w:r w:rsidR="001173B5">
        <w:t>s</w:t>
      </w:r>
      <w:r w:rsidRPr="00444238">
        <w:t xml:space="preserve"> is worse than</w:t>
      </w:r>
      <w:r>
        <w:t xml:space="preserve"> in</w:t>
      </w:r>
      <w:r w:rsidRPr="00444238">
        <w:t xml:space="preserve"> developed countries (</w:t>
      </w:r>
      <w:proofErr w:type="spellStart"/>
      <w:r w:rsidRPr="00444238">
        <w:t>Vives</w:t>
      </w:r>
      <w:proofErr w:type="spellEnd"/>
      <w:r w:rsidR="009158A2">
        <w:t>,</w:t>
      </w:r>
      <w:r w:rsidRPr="00444238">
        <w:t xml:space="preserve"> 2006).</w:t>
      </w:r>
      <w:r>
        <w:t xml:space="preserve"> </w:t>
      </w:r>
      <w:r w:rsidR="00F03AC7">
        <w:t xml:space="preserve">On the other hand, </w:t>
      </w:r>
      <w:proofErr w:type="spellStart"/>
      <w:r w:rsidRPr="00444238">
        <w:t>Klapper</w:t>
      </w:r>
      <w:proofErr w:type="spellEnd"/>
      <w:r w:rsidRPr="00444238">
        <w:t xml:space="preserve"> and Love (2002) argue that inefficient corporat</w:t>
      </w:r>
      <w:r w:rsidR="00F03AC7">
        <w:t xml:space="preserve">e governance </w:t>
      </w:r>
      <w:r>
        <w:t>and weak</w:t>
      </w:r>
      <w:r w:rsidRPr="00444238">
        <w:t xml:space="preserve"> legal infrastructure</w:t>
      </w:r>
      <w:r>
        <w:t>s</w:t>
      </w:r>
      <w:r w:rsidRPr="00444238">
        <w:t xml:space="preserve"> </w:t>
      </w:r>
      <w:r>
        <w:t xml:space="preserve">raise </w:t>
      </w:r>
      <w:r w:rsidR="00F03AC7">
        <w:t xml:space="preserve">the </w:t>
      </w:r>
      <w:r w:rsidRPr="00444238">
        <w:t xml:space="preserve">risks </w:t>
      </w:r>
      <w:r w:rsidR="00F03AC7">
        <w:t xml:space="preserve">related to </w:t>
      </w:r>
      <w:r w:rsidRPr="00444238">
        <w:t>emerging market</w:t>
      </w:r>
      <w:r w:rsidR="001173B5">
        <w:t>s</w:t>
      </w:r>
      <w:r w:rsidRPr="00444238">
        <w:t xml:space="preserve"> investments.</w:t>
      </w:r>
    </w:p>
    <w:p w:rsidR="00E02AB1" w:rsidRDefault="00E02AB1" w:rsidP="00307273">
      <w:r>
        <w:t>One of the specific examples</w:t>
      </w:r>
      <w:r w:rsidRPr="002532EF">
        <w:t xml:space="preserve"> </w:t>
      </w:r>
      <w:r>
        <w:t xml:space="preserve">of emerging markets </w:t>
      </w:r>
      <w:r w:rsidRPr="00325DF8">
        <w:t>is China</w:t>
      </w:r>
      <w:r>
        <w:t xml:space="preserve"> because it is the biggest and fastest growing market from the emerging counties around the world.</w:t>
      </w:r>
      <w:r w:rsidRPr="00325DF8">
        <w:t xml:space="preserve"> According to the government data (National Bureau of Statistics of the P</w:t>
      </w:r>
      <w:r>
        <w:t>eople’s</w:t>
      </w:r>
      <w:r w:rsidRPr="00325DF8">
        <w:t xml:space="preserve"> Republic of China),</w:t>
      </w:r>
      <w:r>
        <w:t xml:space="preserve"> in the end of 2013,</w:t>
      </w:r>
      <w:r w:rsidRPr="00325DF8">
        <w:t xml:space="preserve"> China’s GDP</w:t>
      </w:r>
      <w:r>
        <w:t xml:space="preserve"> (Gross domestic product)</w:t>
      </w:r>
      <w:r w:rsidRPr="00325DF8">
        <w:t xml:space="preserve"> scored at 7.7 pe</w:t>
      </w:r>
      <w:r w:rsidR="00FC036E">
        <w:t>rcentage with 9.31 trillion U.S</w:t>
      </w:r>
      <w:r w:rsidRPr="00325DF8">
        <w:t>.</w:t>
      </w:r>
      <w:r w:rsidR="00FC036E">
        <w:t xml:space="preserve"> </w:t>
      </w:r>
      <w:r w:rsidRPr="00325DF8">
        <w:t>dollars.</w:t>
      </w:r>
      <w:r>
        <w:t xml:space="preserve"> Although the rate of GDP reduced slightly comparing to prior years, China is still the second largest economy</w:t>
      </w:r>
      <w:r w:rsidR="00863676">
        <w:t xml:space="preserve"> in the world</w:t>
      </w:r>
      <w:r>
        <w:t>. However, China is relatively younger than the developed countries in several aspects and still has some problems and risks as other emerging markets, for instance, high</w:t>
      </w:r>
      <w:r w:rsidRPr="00B66406">
        <w:t xml:space="preserve"> </w:t>
      </w:r>
      <w:r>
        <w:t xml:space="preserve">concentrated ownership, less transparency of financial information, inefficient regulation and market instability and so on. Furthermore, previous empirical </w:t>
      </w:r>
      <w:r w:rsidR="00FC036E">
        <w:t>thesis</w:t>
      </w:r>
      <w:r>
        <w:t xml:space="preserve"> </w:t>
      </w:r>
      <w:r w:rsidRPr="00B66406">
        <w:t>provide</w:t>
      </w:r>
      <w:r>
        <w:t>d</w:t>
      </w:r>
      <w:r w:rsidRPr="00B66406">
        <w:t xml:space="preserve"> evidence that Chinese li</w:t>
      </w:r>
      <w:r>
        <w:t xml:space="preserve">sted companies manipulate their </w:t>
      </w:r>
      <w:r w:rsidRPr="00B66406">
        <w:t xml:space="preserve">earnings </w:t>
      </w:r>
      <w:r>
        <w:t xml:space="preserve">information </w:t>
      </w:r>
      <w:r w:rsidRPr="00B66406">
        <w:t>dramatically.</w:t>
      </w:r>
      <w:r w:rsidR="004E1D6C">
        <w:t xml:space="preserve"> Li </w:t>
      </w:r>
      <w:r w:rsidR="004E1D6C">
        <w:rPr>
          <w:i/>
        </w:rPr>
        <w:t xml:space="preserve">et </w:t>
      </w:r>
      <w:r w:rsidRPr="009158A2">
        <w:rPr>
          <w:i/>
        </w:rPr>
        <w:t>al</w:t>
      </w:r>
      <w:r w:rsidR="00AD5B94">
        <w:t xml:space="preserve">. </w:t>
      </w:r>
      <w:r>
        <w:t>(2011) investigated the topic of manipulation financial data by using data from Industrial C</w:t>
      </w:r>
      <w:r w:rsidRPr="00175B98">
        <w:t>ensus of China</w:t>
      </w:r>
      <w:r>
        <w:t>. They found that earning</w:t>
      </w:r>
      <w:r w:rsidR="00FC036E">
        <w:t>s</w:t>
      </w:r>
      <w:r>
        <w:t xml:space="preserve"> management is more common in China than that in</w:t>
      </w:r>
      <w:r w:rsidR="00FC036E">
        <w:t xml:space="preserve"> developed countries such </w:t>
      </w:r>
      <w:r w:rsidR="00FC036E">
        <w:lastRenderedPageBreak/>
        <w:t>as U.S</w:t>
      </w:r>
      <w:r>
        <w:t xml:space="preserve">. Chen </w:t>
      </w:r>
      <w:r w:rsidRPr="009158A2">
        <w:rPr>
          <w:i/>
        </w:rPr>
        <w:t>et al</w:t>
      </w:r>
      <w:r w:rsidR="00AD5B94">
        <w:t xml:space="preserve">. </w:t>
      </w:r>
      <w:r>
        <w:t>(2003) confirmed that local governments take part in earning</w:t>
      </w:r>
      <w:r w:rsidR="0078311E">
        <w:t>s</w:t>
      </w:r>
      <w:r>
        <w:t xml:space="preserve"> management of listed companies by providing fiscal subsidies in China.  </w:t>
      </w:r>
    </w:p>
    <w:p w:rsidR="00E02AB1" w:rsidRDefault="00E02AB1" w:rsidP="00307273">
      <w:r>
        <w:t>In conclusion, the subject of this research thesis is to investigate whether or not corporate governance mechanism affects earning</w:t>
      </w:r>
      <w:r w:rsidR="0078311E">
        <w:t>s</w:t>
      </w:r>
      <w:r>
        <w:t xml:space="preserve"> management basing on the specific emerging market of China. On the other hand, as the world largest economy, The United States of America plays a vital and influential role in the world. It is often seen as a </w:t>
      </w:r>
      <w:r w:rsidRPr="002D7262">
        <w:t xml:space="preserve">remarkable </w:t>
      </w:r>
      <w:r>
        <w:t>example</w:t>
      </w:r>
      <w:r w:rsidRPr="002532EF">
        <w:t xml:space="preserve"> </w:t>
      </w:r>
      <w:r>
        <w:t>relating to economy, technology and so on. Moreover, the researches on the corporate governance and earning</w:t>
      </w:r>
      <w:r w:rsidR="0078311E">
        <w:t>s</w:t>
      </w:r>
      <w:r>
        <w:t xml:space="preserve"> management were booming after the finan</w:t>
      </w:r>
      <w:r w:rsidR="0078311E">
        <w:t>cial scandal</w:t>
      </w:r>
      <w:r w:rsidR="002414BD">
        <w:t>s</w:t>
      </w:r>
      <w:r w:rsidR="0078311E">
        <w:t xml:space="preserve"> of 2000s in the U.S</w:t>
      </w:r>
      <w:r>
        <w:t xml:space="preserve">. Those research findings can provide a benchmark for investigation of emerging market countries. Therefore, </w:t>
      </w:r>
      <w:r w:rsidRPr="00444238">
        <w:t>this research</w:t>
      </w:r>
      <w:r>
        <w:t xml:space="preserve"> thesis wil</w:t>
      </w:r>
      <w:r w:rsidR="0078311E">
        <w:t>l also collect data from the U.S.</w:t>
      </w:r>
      <w:r>
        <w:t>, and use the same methodology and tests to provide empirical results for comparing the case of China.</w:t>
      </w:r>
    </w:p>
    <w:p w:rsidR="00E02AB1" w:rsidRPr="0005567A" w:rsidRDefault="00E02AB1" w:rsidP="00252752">
      <w:pPr>
        <w:pStyle w:val="Heading2"/>
      </w:pPr>
      <w:bookmarkStart w:id="2" w:name="_Toc400916030"/>
      <w:r w:rsidRPr="0005567A">
        <w:t>Objectives</w:t>
      </w:r>
      <w:bookmarkEnd w:id="2"/>
    </w:p>
    <w:p w:rsidR="00307273" w:rsidRDefault="00E02AB1" w:rsidP="00307273">
      <w:r w:rsidRPr="00444238">
        <w:t>Basing on the previous indication, it is obviously that most</w:t>
      </w:r>
      <w:r>
        <w:t xml:space="preserve"> of</w:t>
      </w:r>
      <w:r w:rsidRPr="00444238">
        <w:t xml:space="preserve"> research results a</w:t>
      </w:r>
      <w:r>
        <w:t>re published from developed countries</w:t>
      </w:r>
      <w:r w:rsidRPr="00444238">
        <w:t xml:space="preserve"> such as </w:t>
      </w:r>
      <w:r w:rsidR="0078311E">
        <w:t>U.S.</w:t>
      </w:r>
      <w:r>
        <w:t>, Canada and so on</w:t>
      </w:r>
      <w:r w:rsidRPr="00444238">
        <w:t>.  A few numbers of research articles are based on the emerging market</w:t>
      </w:r>
      <w:r>
        <w:t>s</w:t>
      </w:r>
      <w:r w:rsidRPr="00444238">
        <w:t xml:space="preserve"> like Ind</w:t>
      </w:r>
      <w:r>
        <w:t>ia,</w:t>
      </w:r>
      <w:r w:rsidRPr="00444238">
        <w:t xml:space="preserve"> China an</w:t>
      </w:r>
      <w:r>
        <w:t>d</w:t>
      </w:r>
      <w:r w:rsidRPr="00444238">
        <w:t xml:space="preserve"> so on. In </w:t>
      </w:r>
      <w:r>
        <w:t>this</w:t>
      </w:r>
      <w:r w:rsidRPr="00444238">
        <w:t xml:space="preserve"> research thesis,</w:t>
      </w:r>
      <w:r>
        <w:t xml:space="preserve"> the first and most important aim </w:t>
      </w:r>
      <w:r w:rsidRPr="00444238">
        <w:t xml:space="preserve">is to </w:t>
      </w:r>
      <w:r>
        <w:t>enrich the empirical evidence on the emerging market</w:t>
      </w:r>
      <w:r w:rsidR="0078311E">
        <w:t>s</w:t>
      </w:r>
      <w:r>
        <w:t xml:space="preserve"> relating to the issue of corporate governance and earning</w:t>
      </w:r>
      <w:r w:rsidR="0078311E">
        <w:t>s</w:t>
      </w:r>
      <w:r>
        <w:t xml:space="preserve"> management.</w:t>
      </w:r>
    </w:p>
    <w:p w:rsidR="00E02AB1" w:rsidRDefault="00E02AB1" w:rsidP="00307273">
      <w:r>
        <w:t>On the other hand, the research</w:t>
      </w:r>
      <w:r w:rsidR="0078311E">
        <w:t>es</w:t>
      </w:r>
      <w:r>
        <w:t xml:space="preserve"> connecting to this issue has different outcomes. For instance, as mentioned before, both </w:t>
      </w:r>
      <w:r w:rsidRPr="00444238">
        <w:t>Klein (2002)</w:t>
      </w:r>
      <w:r>
        <w:t xml:space="preserve"> and </w:t>
      </w:r>
      <w:r w:rsidR="005D6B92">
        <w:t xml:space="preserve">Davidson </w:t>
      </w:r>
      <w:r w:rsidR="005D6B92" w:rsidRPr="004E1D6C">
        <w:rPr>
          <w:i/>
        </w:rPr>
        <w:t>et al</w:t>
      </w:r>
      <w:r w:rsidR="00AD5B94">
        <w:t>.</w:t>
      </w:r>
      <w:r w:rsidR="004E1D6C">
        <w:t xml:space="preserve"> </w:t>
      </w:r>
      <w:r w:rsidRPr="00444238">
        <w:t>(2005)</w:t>
      </w:r>
      <w:r>
        <w:t xml:space="preserve"> highlighted that the board independence and audit committee independence reduce the likelihood of earning</w:t>
      </w:r>
      <w:r w:rsidR="004E1D6C">
        <w:t>s</w:t>
      </w:r>
      <w:r>
        <w:t xml:space="preserve"> management. However, </w:t>
      </w:r>
      <w:proofErr w:type="spellStart"/>
      <w:r w:rsidRPr="00BD3B6C">
        <w:t>Peasnell</w:t>
      </w:r>
      <w:proofErr w:type="spellEnd"/>
      <w:r>
        <w:t xml:space="preserve"> </w:t>
      </w:r>
      <w:r w:rsidRPr="004E1D6C">
        <w:rPr>
          <w:i/>
        </w:rPr>
        <w:t>et al</w:t>
      </w:r>
      <w:r w:rsidR="00AD5B94">
        <w:t>.</w:t>
      </w:r>
      <w:r>
        <w:t xml:space="preserve"> (2000) found that audit committee and earning management have no relationship by analyzing the data from UK. </w:t>
      </w:r>
      <w:proofErr w:type="spellStart"/>
      <w:r>
        <w:t>Ching</w:t>
      </w:r>
      <w:proofErr w:type="spellEnd"/>
      <w:r>
        <w:t xml:space="preserve"> </w:t>
      </w:r>
      <w:r w:rsidRPr="000B6EED">
        <w:rPr>
          <w:i/>
        </w:rPr>
        <w:t>et al</w:t>
      </w:r>
      <w:r w:rsidR="00AD5B94">
        <w:t>.</w:t>
      </w:r>
      <w:r w:rsidR="00916552">
        <w:t xml:space="preserve"> (2006</w:t>
      </w:r>
      <w:r>
        <w:t>) indicated that there is a positive association between board size and the level of earnin</w:t>
      </w:r>
      <w:r w:rsidR="000B6EED">
        <w:t>g</w:t>
      </w:r>
      <w:r w:rsidR="0078311E">
        <w:t>s</w:t>
      </w:r>
      <w:r w:rsidR="000B6EED">
        <w:t xml:space="preserve"> management. Nevertheless, </w:t>
      </w:r>
      <w:proofErr w:type="spellStart"/>
      <w:r w:rsidR="000B6EED">
        <w:t>Xie</w:t>
      </w:r>
      <w:proofErr w:type="spellEnd"/>
      <w:r>
        <w:t xml:space="preserve"> </w:t>
      </w:r>
      <w:r w:rsidRPr="000B6EED">
        <w:rPr>
          <w:i/>
        </w:rPr>
        <w:t>et al</w:t>
      </w:r>
      <w:r w:rsidR="00AD5B94">
        <w:t>.</w:t>
      </w:r>
      <w:r>
        <w:t xml:space="preserve"> (2003) found that negative relationship between board size and earning</w:t>
      </w:r>
      <w:r w:rsidR="0078311E">
        <w:t>s</w:t>
      </w:r>
      <w:r>
        <w:t xml:space="preserve"> management. Therefore, the second target of this research thesis is to</w:t>
      </w:r>
      <w:r w:rsidRPr="00AB00CC">
        <w:t xml:space="preserve"> </w:t>
      </w:r>
      <w:r w:rsidR="002414BD">
        <w:t xml:space="preserve">review </w:t>
      </w:r>
      <w:r w:rsidRPr="00AB00CC">
        <w:t xml:space="preserve">this issue and </w:t>
      </w:r>
      <w:r>
        <w:t xml:space="preserve">analyze </w:t>
      </w:r>
      <w:r w:rsidRPr="00AB00CC">
        <w:t>the relation</w:t>
      </w:r>
      <w:r>
        <w:t>ship between</w:t>
      </w:r>
      <w:r w:rsidR="002414BD">
        <w:t xml:space="preserve"> corporate governance and earnings management</w:t>
      </w:r>
      <w:r>
        <w:t xml:space="preserve">, attempting to provide </w:t>
      </w:r>
      <w:r w:rsidRPr="00AB00CC">
        <w:t>more empirical</w:t>
      </w:r>
      <w:r w:rsidR="002414BD">
        <w:t xml:space="preserve"> evidence in this research topic</w:t>
      </w:r>
      <w:r w:rsidRPr="00AB00CC">
        <w:t>.</w:t>
      </w:r>
    </w:p>
    <w:p w:rsidR="00E02AB1" w:rsidRDefault="00E02AB1" w:rsidP="00307273">
      <w:r>
        <w:t>Finally, basing on the discussion before, China has some problems in corporate governance and earning</w:t>
      </w:r>
      <w:r w:rsidR="0078311E">
        <w:t>s</w:t>
      </w:r>
      <w:r>
        <w:t xml:space="preserve"> management. Therefore, it is urgent to analyze those issues </w:t>
      </w:r>
      <w:r>
        <w:lastRenderedPageBreak/>
        <w:t>and try to find out the answers.  This research will apply a</w:t>
      </w:r>
      <w:r w:rsidRPr="00E0284D">
        <w:t xml:space="preserve"> unique step</w:t>
      </w:r>
      <w:r>
        <w:t xml:space="preserve"> which</w:t>
      </w:r>
      <w:r w:rsidRPr="00E0284D">
        <w:t xml:space="preserve"> is to compare the e</w:t>
      </w:r>
      <w:r w:rsidR="0078311E">
        <w:t>mpirical results between the U.S.</w:t>
      </w:r>
      <w:r w:rsidRPr="00E0284D">
        <w:t xml:space="preserve"> and China. The purpose of this method is to conclude different results</w:t>
      </w:r>
      <w:r>
        <w:t xml:space="preserve"> and </w:t>
      </w:r>
      <w:r w:rsidRPr="00E0284D">
        <w:t xml:space="preserve">find out the explanation of </w:t>
      </w:r>
      <w:r>
        <w:t xml:space="preserve">these </w:t>
      </w:r>
      <w:r w:rsidRPr="00E0284D">
        <w:t>difference</w:t>
      </w:r>
      <w:r>
        <w:t>s. It can provide a guideline for</w:t>
      </w:r>
      <w:r w:rsidRPr="00E0284D">
        <w:t xml:space="preserve"> future</w:t>
      </w:r>
      <w:r>
        <w:t xml:space="preserve"> analysis.</w:t>
      </w:r>
    </w:p>
    <w:p w:rsidR="00E02AB1" w:rsidRPr="0005567A" w:rsidRDefault="00E02AB1" w:rsidP="00252752">
      <w:pPr>
        <w:pStyle w:val="Heading2"/>
      </w:pPr>
      <w:bookmarkStart w:id="3" w:name="_Toc269736439"/>
      <w:bookmarkStart w:id="4" w:name="_Toc269821872"/>
      <w:bookmarkStart w:id="5" w:name="_Toc400916031"/>
      <w:r w:rsidRPr="0005567A">
        <w:t>Research question</w:t>
      </w:r>
      <w:bookmarkEnd w:id="3"/>
      <w:bookmarkEnd w:id="4"/>
      <w:r w:rsidRPr="0005567A">
        <w:t xml:space="preserve"> definition</w:t>
      </w:r>
      <w:bookmarkEnd w:id="5"/>
    </w:p>
    <w:p w:rsidR="00E02AB1" w:rsidRPr="00444238" w:rsidRDefault="00E02AB1" w:rsidP="00E02AB1">
      <w:pPr>
        <w:pStyle w:val="ListParagraph"/>
        <w:spacing w:line="360" w:lineRule="auto"/>
        <w:ind w:left="0"/>
        <w:jc w:val="both"/>
        <w:rPr>
          <w:rFonts w:ascii="Times New Roman" w:hAnsi="Times New Roman" w:cs="Times New Roman"/>
          <w:sz w:val="24"/>
          <w:szCs w:val="24"/>
        </w:rPr>
      </w:pPr>
      <w:r w:rsidRPr="00444238">
        <w:rPr>
          <w:rFonts w:ascii="Times New Roman" w:hAnsi="Times New Roman" w:cs="Times New Roman"/>
          <w:sz w:val="24"/>
          <w:szCs w:val="24"/>
        </w:rPr>
        <w:t xml:space="preserve">Based on the </w:t>
      </w:r>
      <w:r>
        <w:rPr>
          <w:rFonts w:ascii="Times New Roman" w:hAnsi="Times New Roman" w:cs="Times New Roman"/>
          <w:sz w:val="24"/>
          <w:szCs w:val="24"/>
        </w:rPr>
        <w:t xml:space="preserve">aforementioned </w:t>
      </w:r>
      <w:r w:rsidRPr="00444238">
        <w:rPr>
          <w:rFonts w:ascii="Times New Roman" w:hAnsi="Times New Roman" w:cs="Times New Roman"/>
          <w:sz w:val="24"/>
          <w:szCs w:val="24"/>
        </w:rPr>
        <w:t>introduction</w:t>
      </w:r>
      <w:r>
        <w:rPr>
          <w:rFonts w:ascii="Times New Roman" w:hAnsi="Times New Roman" w:cs="Times New Roman"/>
          <w:sz w:val="24"/>
          <w:szCs w:val="24"/>
        </w:rPr>
        <w:t>,</w:t>
      </w:r>
      <w:r w:rsidRPr="00444238">
        <w:rPr>
          <w:rFonts w:ascii="Times New Roman" w:hAnsi="Times New Roman" w:cs="Times New Roman"/>
          <w:sz w:val="24"/>
          <w:szCs w:val="24"/>
        </w:rPr>
        <w:t xml:space="preserve"> the research question has been formulated as:</w:t>
      </w:r>
    </w:p>
    <w:p w:rsidR="00E02AB1" w:rsidRPr="00140381" w:rsidRDefault="00E02AB1" w:rsidP="00E02AB1">
      <w:pPr>
        <w:pStyle w:val="ListParagraph"/>
        <w:spacing w:line="360" w:lineRule="auto"/>
        <w:ind w:left="0"/>
        <w:jc w:val="both"/>
        <w:rPr>
          <w:rFonts w:ascii="Times New Roman" w:hAnsi="Times New Roman" w:cs="Times New Roman"/>
          <w:b/>
          <w:i/>
          <w:sz w:val="24"/>
          <w:szCs w:val="24"/>
        </w:rPr>
      </w:pPr>
      <w:r>
        <w:rPr>
          <w:rFonts w:ascii="Times New Roman" w:hAnsi="Times New Roman" w:cs="Times New Roman"/>
          <w:sz w:val="24"/>
          <w:szCs w:val="24"/>
        </w:rPr>
        <w:t>“</w:t>
      </w:r>
      <w:r w:rsidRPr="00B17BB7">
        <w:rPr>
          <w:rFonts w:ascii="Times New Roman" w:hAnsi="Times New Roman" w:cs="Times New Roman"/>
          <w:b/>
          <w:i/>
          <w:sz w:val="24"/>
          <w:szCs w:val="24"/>
        </w:rPr>
        <w:t xml:space="preserve">Is there a </w:t>
      </w:r>
      <w:r>
        <w:rPr>
          <w:rFonts w:ascii="Times New Roman" w:hAnsi="Times New Roman" w:cs="Times New Roman"/>
          <w:b/>
          <w:i/>
          <w:sz w:val="24"/>
          <w:szCs w:val="24"/>
        </w:rPr>
        <w:t xml:space="preserve">difference in </w:t>
      </w:r>
      <w:r w:rsidR="004E1D6C">
        <w:rPr>
          <w:rFonts w:ascii="Times New Roman" w:hAnsi="Times New Roman" w:cs="Times New Roman"/>
          <w:b/>
          <w:i/>
          <w:sz w:val="24"/>
          <w:szCs w:val="24"/>
        </w:rPr>
        <w:t xml:space="preserve">the </w:t>
      </w:r>
      <w:r>
        <w:rPr>
          <w:rFonts w:ascii="Times New Roman" w:hAnsi="Times New Roman" w:cs="Times New Roman"/>
          <w:b/>
          <w:i/>
          <w:sz w:val="24"/>
          <w:szCs w:val="24"/>
        </w:rPr>
        <w:t xml:space="preserve">relation </w:t>
      </w:r>
      <w:r w:rsidRPr="00B17BB7">
        <w:rPr>
          <w:rFonts w:ascii="Times New Roman" w:hAnsi="Times New Roman" w:cs="Times New Roman"/>
          <w:b/>
          <w:i/>
          <w:sz w:val="24"/>
          <w:szCs w:val="24"/>
        </w:rPr>
        <w:t xml:space="preserve">between </w:t>
      </w:r>
      <w:r w:rsidR="00863676">
        <w:rPr>
          <w:rFonts w:ascii="Times New Roman" w:hAnsi="Times New Roman" w:cs="Times New Roman"/>
          <w:b/>
          <w:i/>
          <w:sz w:val="24"/>
          <w:szCs w:val="24"/>
        </w:rPr>
        <w:t>corporate governance and earnings</w:t>
      </w:r>
      <w:r w:rsidRPr="00B17BB7">
        <w:rPr>
          <w:rFonts w:ascii="Times New Roman" w:hAnsi="Times New Roman" w:cs="Times New Roman"/>
          <w:b/>
          <w:i/>
          <w:sz w:val="24"/>
          <w:szCs w:val="24"/>
        </w:rPr>
        <w:t xml:space="preserve"> management</w:t>
      </w:r>
      <w:r>
        <w:rPr>
          <w:rFonts w:ascii="Times New Roman" w:hAnsi="Times New Roman" w:cs="Times New Roman"/>
          <w:b/>
          <w:i/>
          <w:sz w:val="24"/>
          <w:szCs w:val="24"/>
        </w:rPr>
        <w:t xml:space="preserve"> in the </w:t>
      </w:r>
      <w:r w:rsidRPr="00B17BB7">
        <w:rPr>
          <w:rFonts w:ascii="Times New Roman" w:hAnsi="Times New Roman" w:cs="Times New Roman"/>
          <w:b/>
          <w:i/>
          <w:sz w:val="24"/>
          <w:szCs w:val="24"/>
        </w:rPr>
        <w:t xml:space="preserve">emerging market of China and </w:t>
      </w:r>
      <w:r>
        <w:rPr>
          <w:rFonts w:ascii="Times New Roman" w:hAnsi="Times New Roman" w:cs="Times New Roman"/>
          <w:b/>
          <w:i/>
          <w:sz w:val="24"/>
          <w:szCs w:val="24"/>
        </w:rPr>
        <w:t>in the developed market of</w:t>
      </w:r>
      <w:r>
        <w:rPr>
          <w:rFonts w:ascii="Times New Roman" w:hAnsi="Times New Roman" w:cs="Times New Roman"/>
          <w:sz w:val="24"/>
          <w:szCs w:val="24"/>
        </w:rPr>
        <w:t xml:space="preserve"> </w:t>
      </w:r>
      <w:r>
        <w:rPr>
          <w:rFonts w:ascii="Times New Roman" w:hAnsi="Times New Roman" w:cs="Times New Roman"/>
          <w:b/>
          <w:i/>
          <w:sz w:val="24"/>
          <w:szCs w:val="24"/>
        </w:rPr>
        <w:t>The United S</w:t>
      </w:r>
      <w:r w:rsidRPr="00140381">
        <w:rPr>
          <w:rFonts w:ascii="Times New Roman" w:hAnsi="Times New Roman" w:cs="Times New Roman"/>
          <w:b/>
          <w:i/>
          <w:sz w:val="24"/>
          <w:szCs w:val="24"/>
        </w:rPr>
        <w:t>tates of America</w:t>
      </w:r>
      <w:r>
        <w:rPr>
          <w:rFonts w:ascii="Times New Roman" w:hAnsi="Times New Roman" w:cs="Times New Roman"/>
          <w:b/>
          <w:i/>
          <w:sz w:val="24"/>
          <w:szCs w:val="24"/>
        </w:rPr>
        <w:t>?”</w:t>
      </w:r>
    </w:p>
    <w:p w:rsidR="00E02AB1" w:rsidRDefault="00E02AB1" w:rsidP="00E02AB1">
      <w:pPr>
        <w:pStyle w:val="ListParagraph"/>
        <w:spacing w:line="360" w:lineRule="auto"/>
        <w:ind w:left="0"/>
        <w:jc w:val="both"/>
        <w:rPr>
          <w:rFonts w:ascii="Times New Roman" w:hAnsi="Times New Roman" w:cs="Times New Roman"/>
          <w:sz w:val="24"/>
          <w:szCs w:val="24"/>
        </w:rPr>
      </w:pPr>
      <w:r w:rsidRPr="00444238">
        <w:rPr>
          <w:rFonts w:ascii="Times New Roman" w:hAnsi="Times New Roman" w:cs="Times New Roman"/>
          <w:sz w:val="24"/>
          <w:szCs w:val="24"/>
        </w:rPr>
        <w:t xml:space="preserve">Before answering </w:t>
      </w:r>
      <w:r>
        <w:rPr>
          <w:rFonts w:ascii="Times New Roman" w:hAnsi="Times New Roman" w:cs="Times New Roman"/>
          <w:sz w:val="24"/>
          <w:szCs w:val="24"/>
        </w:rPr>
        <w:t>such research question, the following sub-</w:t>
      </w:r>
      <w:r w:rsidRPr="00444238">
        <w:rPr>
          <w:rFonts w:ascii="Times New Roman" w:hAnsi="Times New Roman" w:cs="Times New Roman"/>
          <w:sz w:val="24"/>
          <w:szCs w:val="24"/>
        </w:rPr>
        <w:t>questions need to be answered:</w:t>
      </w:r>
    </w:p>
    <w:p w:rsidR="00307273" w:rsidRDefault="00307273" w:rsidP="002E1543">
      <w:pPr>
        <w:pStyle w:val="ListParagraph"/>
        <w:numPr>
          <w:ilvl w:val="0"/>
          <w:numId w:val="7"/>
        </w:numPr>
        <w:spacing w:line="360" w:lineRule="auto"/>
        <w:jc w:val="both"/>
        <w:rPr>
          <w:rFonts w:ascii="Times New Roman" w:hAnsi="Times New Roman" w:cs="Times New Roman"/>
          <w:sz w:val="24"/>
          <w:szCs w:val="24"/>
        </w:rPr>
      </w:pPr>
      <w:r w:rsidRPr="00444238">
        <w:rPr>
          <w:rFonts w:ascii="Times New Roman" w:hAnsi="Times New Roman" w:cs="Times New Roman"/>
          <w:sz w:val="24"/>
          <w:szCs w:val="24"/>
        </w:rPr>
        <w:t xml:space="preserve">What is the </w:t>
      </w:r>
      <w:r>
        <w:rPr>
          <w:rFonts w:ascii="Times New Roman" w:hAnsi="Times New Roman" w:cs="Times New Roman"/>
          <w:sz w:val="24"/>
          <w:szCs w:val="24"/>
        </w:rPr>
        <w:t>definition</w:t>
      </w:r>
      <w:r w:rsidRPr="00444238">
        <w:rPr>
          <w:rFonts w:ascii="Times New Roman" w:hAnsi="Times New Roman" w:cs="Times New Roman"/>
          <w:sz w:val="24"/>
          <w:szCs w:val="24"/>
        </w:rPr>
        <w:t xml:space="preserve"> of the term corporate governance?</w:t>
      </w:r>
      <w:r>
        <w:rPr>
          <w:rFonts w:ascii="Times New Roman" w:hAnsi="Times New Roman" w:cs="Times New Roman"/>
          <w:sz w:val="24"/>
          <w:szCs w:val="24"/>
        </w:rPr>
        <w:t xml:space="preserve"> How do we measure      corporate governance?</w:t>
      </w:r>
    </w:p>
    <w:p w:rsidR="00307273" w:rsidRDefault="00307273" w:rsidP="002E1543">
      <w:pPr>
        <w:pStyle w:val="ListParagraph"/>
        <w:numPr>
          <w:ilvl w:val="0"/>
          <w:numId w:val="7"/>
        </w:numPr>
        <w:spacing w:line="360" w:lineRule="auto"/>
        <w:jc w:val="both"/>
        <w:rPr>
          <w:rFonts w:ascii="Times New Roman" w:hAnsi="Times New Roman" w:cs="Times New Roman"/>
          <w:sz w:val="24"/>
          <w:szCs w:val="24"/>
        </w:rPr>
      </w:pPr>
      <w:r w:rsidRPr="00444238">
        <w:rPr>
          <w:rFonts w:ascii="Times New Roman" w:hAnsi="Times New Roman" w:cs="Times New Roman"/>
          <w:sz w:val="24"/>
          <w:szCs w:val="24"/>
        </w:rPr>
        <w:t xml:space="preserve">What is the </w:t>
      </w:r>
      <w:r>
        <w:rPr>
          <w:rFonts w:ascii="Times New Roman" w:hAnsi="Times New Roman" w:cs="Times New Roman"/>
          <w:sz w:val="24"/>
          <w:szCs w:val="24"/>
        </w:rPr>
        <w:t xml:space="preserve">definition of </w:t>
      </w:r>
      <w:r w:rsidRPr="00444238">
        <w:rPr>
          <w:rFonts w:ascii="Times New Roman" w:hAnsi="Times New Roman" w:cs="Times New Roman"/>
          <w:sz w:val="24"/>
          <w:szCs w:val="24"/>
        </w:rPr>
        <w:t>earnings management?</w:t>
      </w:r>
      <w:r>
        <w:rPr>
          <w:rFonts w:ascii="Times New Roman" w:hAnsi="Times New Roman" w:cs="Times New Roman"/>
          <w:sz w:val="24"/>
          <w:szCs w:val="24"/>
        </w:rPr>
        <w:t xml:space="preserve"> How do we measure earning</w:t>
      </w:r>
      <w:r w:rsidR="00B17DFB">
        <w:rPr>
          <w:rFonts w:ascii="Times New Roman" w:hAnsi="Times New Roman" w:cs="Times New Roman"/>
          <w:sz w:val="24"/>
          <w:szCs w:val="24"/>
        </w:rPr>
        <w:t>s</w:t>
      </w:r>
      <w:r>
        <w:rPr>
          <w:rFonts w:ascii="Times New Roman" w:hAnsi="Times New Roman" w:cs="Times New Roman"/>
          <w:sz w:val="24"/>
          <w:szCs w:val="24"/>
        </w:rPr>
        <w:t xml:space="preserve"> management?</w:t>
      </w:r>
    </w:p>
    <w:p w:rsidR="00307273" w:rsidRDefault="00307273" w:rsidP="002E1543">
      <w:pPr>
        <w:pStyle w:val="ListParagraph"/>
        <w:numPr>
          <w:ilvl w:val="0"/>
          <w:numId w:val="7"/>
        </w:numPr>
        <w:spacing w:line="360" w:lineRule="auto"/>
        <w:jc w:val="both"/>
        <w:rPr>
          <w:rFonts w:ascii="Times New Roman" w:hAnsi="Times New Roman" w:cs="Times New Roman"/>
          <w:sz w:val="24"/>
          <w:szCs w:val="24"/>
        </w:rPr>
      </w:pPr>
      <w:r w:rsidRPr="00B14F50">
        <w:rPr>
          <w:rFonts w:ascii="Times New Roman" w:hAnsi="Times New Roman" w:cs="Times New Roman"/>
          <w:sz w:val="24"/>
          <w:szCs w:val="24"/>
        </w:rPr>
        <w:t>What</w:t>
      </w:r>
      <w:r>
        <w:rPr>
          <w:rFonts w:ascii="Times New Roman" w:hAnsi="Times New Roman" w:cs="Times New Roman"/>
          <w:sz w:val="24"/>
          <w:szCs w:val="24"/>
        </w:rPr>
        <w:t xml:space="preserve"> are the</w:t>
      </w:r>
      <w:r w:rsidRPr="00B14F50">
        <w:rPr>
          <w:rFonts w:ascii="Times New Roman" w:hAnsi="Times New Roman" w:cs="Times New Roman"/>
          <w:sz w:val="24"/>
          <w:szCs w:val="24"/>
        </w:rPr>
        <w:t xml:space="preserve"> underlying economic theories </w:t>
      </w:r>
      <w:r>
        <w:rPr>
          <w:rFonts w:ascii="Times New Roman" w:hAnsi="Times New Roman" w:cs="Times New Roman"/>
          <w:sz w:val="24"/>
          <w:szCs w:val="24"/>
        </w:rPr>
        <w:t xml:space="preserve">explaining </w:t>
      </w:r>
      <w:r w:rsidRPr="00B14F50">
        <w:rPr>
          <w:rFonts w:ascii="Times New Roman" w:hAnsi="Times New Roman" w:cs="Times New Roman"/>
          <w:sz w:val="24"/>
          <w:szCs w:val="24"/>
        </w:rPr>
        <w:t>earnings management and corporate governance?</w:t>
      </w:r>
    </w:p>
    <w:p w:rsidR="00307273" w:rsidRDefault="00307273" w:rsidP="002E1543">
      <w:pPr>
        <w:pStyle w:val="ListParagraph"/>
        <w:numPr>
          <w:ilvl w:val="0"/>
          <w:numId w:val="7"/>
        </w:numPr>
        <w:spacing w:line="360" w:lineRule="auto"/>
        <w:jc w:val="both"/>
        <w:rPr>
          <w:rFonts w:ascii="Times New Roman" w:hAnsi="Times New Roman" w:cs="Times New Roman"/>
          <w:sz w:val="24"/>
          <w:szCs w:val="24"/>
        </w:rPr>
      </w:pPr>
      <w:r>
        <w:rPr>
          <w:rFonts w:ascii="Times New Roman" w:hAnsi="Times New Roman" w:cs="Times New Roman"/>
          <w:sz w:val="24"/>
          <w:szCs w:val="24"/>
        </w:rPr>
        <w:t>What are the prior research results on the relationship between corporate governance and earning</w:t>
      </w:r>
      <w:r w:rsidR="00B17DFB">
        <w:rPr>
          <w:rFonts w:ascii="Times New Roman" w:hAnsi="Times New Roman" w:cs="Times New Roman"/>
          <w:sz w:val="24"/>
          <w:szCs w:val="24"/>
        </w:rPr>
        <w:t>s</w:t>
      </w:r>
      <w:r>
        <w:rPr>
          <w:rFonts w:ascii="Times New Roman" w:hAnsi="Times New Roman" w:cs="Times New Roman"/>
          <w:sz w:val="24"/>
          <w:szCs w:val="24"/>
        </w:rPr>
        <w:t xml:space="preserve"> management?</w:t>
      </w:r>
    </w:p>
    <w:p w:rsidR="00307273" w:rsidRDefault="00307273" w:rsidP="002E1543">
      <w:pPr>
        <w:pStyle w:val="ListParagraph"/>
        <w:numPr>
          <w:ilvl w:val="0"/>
          <w:numId w:val="7"/>
        </w:numPr>
        <w:spacing w:line="360" w:lineRule="auto"/>
        <w:jc w:val="both"/>
        <w:rPr>
          <w:rFonts w:ascii="Times New Roman" w:hAnsi="Times New Roman" w:cs="Times New Roman"/>
          <w:sz w:val="24"/>
          <w:szCs w:val="24"/>
        </w:rPr>
      </w:pPr>
      <w:r>
        <w:rPr>
          <w:rFonts w:ascii="Times New Roman" w:hAnsi="Times New Roman" w:cs="Times New Roman"/>
          <w:sz w:val="24"/>
          <w:szCs w:val="24"/>
        </w:rPr>
        <w:t>What are the hypotheses for the empirical research of this thesis?</w:t>
      </w:r>
    </w:p>
    <w:p w:rsidR="00307273" w:rsidRDefault="00307273" w:rsidP="002E1543">
      <w:pPr>
        <w:pStyle w:val="ListParagraph"/>
        <w:numPr>
          <w:ilvl w:val="0"/>
          <w:numId w:val="7"/>
        </w:numPr>
        <w:spacing w:line="360" w:lineRule="auto"/>
        <w:jc w:val="both"/>
        <w:rPr>
          <w:rFonts w:ascii="Times New Roman" w:hAnsi="Times New Roman" w:cs="Times New Roman"/>
          <w:sz w:val="24"/>
          <w:szCs w:val="24"/>
        </w:rPr>
      </w:pPr>
      <w:r>
        <w:rPr>
          <w:rFonts w:ascii="Times New Roman" w:hAnsi="Times New Roman" w:cs="Times New Roman"/>
          <w:sz w:val="24"/>
          <w:szCs w:val="24"/>
        </w:rPr>
        <w:t>What is the research design for this research thesis?</w:t>
      </w:r>
    </w:p>
    <w:p w:rsidR="00307273" w:rsidRDefault="00307273" w:rsidP="002E1543">
      <w:pPr>
        <w:pStyle w:val="ListParagraph"/>
        <w:numPr>
          <w:ilvl w:val="0"/>
          <w:numId w:val="7"/>
        </w:numPr>
        <w:spacing w:line="360" w:lineRule="auto"/>
        <w:jc w:val="both"/>
        <w:rPr>
          <w:rFonts w:ascii="Times New Roman" w:hAnsi="Times New Roman" w:cs="Times New Roman"/>
          <w:sz w:val="24"/>
          <w:szCs w:val="24"/>
        </w:rPr>
      </w:pPr>
      <w:r>
        <w:rPr>
          <w:rFonts w:ascii="Times New Roman" w:hAnsi="Times New Roman" w:cs="Times New Roman"/>
          <w:sz w:val="24"/>
          <w:szCs w:val="24"/>
        </w:rPr>
        <w:t>What are the results of this research thesis?</w:t>
      </w:r>
    </w:p>
    <w:p w:rsidR="00307273" w:rsidRDefault="00307273" w:rsidP="002E1543">
      <w:pPr>
        <w:pStyle w:val="ListParagraph"/>
        <w:numPr>
          <w:ilvl w:val="0"/>
          <w:numId w:val="7"/>
        </w:numPr>
        <w:spacing w:line="360" w:lineRule="auto"/>
        <w:jc w:val="both"/>
        <w:rPr>
          <w:rFonts w:ascii="Times New Roman" w:hAnsi="Times New Roman" w:cs="Times New Roman"/>
          <w:sz w:val="24"/>
          <w:szCs w:val="24"/>
        </w:rPr>
      </w:pPr>
      <w:r>
        <w:rPr>
          <w:rFonts w:ascii="Times New Roman" w:hAnsi="Times New Roman" w:cs="Times New Roman"/>
          <w:sz w:val="24"/>
          <w:szCs w:val="24"/>
        </w:rPr>
        <w:t>What are the analysis and conclusions of this research thesis?</w:t>
      </w:r>
    </w:p>
    <w:p w:rsidR="00E02AB1" w:rsidRPr="0005567A" w:rsidRDefault="00E02AB1" w:rsidP="00252752">
      <w:pPr>
        <w:pStyle w:val="Heading2"/>
      </w:pPr>
      <w:bookmarkStart w:id="6" w:name="_Toc400916032"/>
      <w:r w:rsidRPr="0005567A">
        <w:t>Methodology</w:t>
      </w:r>
      <w:bookmarkEnd w:id="6"/>
    </w:p>
    <w:p w:rsidR="00E02AB1" w:rsidRDefault="00E02AB1" w:rsidP="00914C78">
      <w:r w:rsidRPr="00444238">
        <w:t>The first step of this research is to locate the relevant empirical studies with the content of corporate governance and earning</w:t>
      </w:r>
      <w:r w:rsidR="00B17DFB">
        <w:t>s</w:t>
      </w:r>
      <w:r w:rsidRPr="00444238">
        <w:t xml:space="preserve"> management. These research articles can provide basic information to explain the term of corporate governance and earning</w:t>
      </w:r>
      <w:r w:rsidR="00B17DFB">
        <w:t>s</w:t>
      </w:r>
      <w:r w:rsidRPr="00444238">
        <w:t xml:space="preserve"> management. Meanwhile, the research articles relating to this issue also </w:t>
      </w:r>
      <w:r>
        <w:t>provide</w:t>
      </w:r>
      <w:r w:rsidRPr="00444238">
        <w:t xml:space="preserve"> the process of hypotheses development, research analysis models, and so on. </w:t>
      </w:r>
      <w:r>
        <w:t>This</w:t>
      </w:r>
      <w:r w:rsidRPr="00444238">
        <w:t xml:space="preserve"> information from previous research papers can </w:t>
      </w:r>
      <w:r>
        <w:t xml:space="preserve">supply </w:t>
      </w:r>
      <w:r w:rsidRPr="00444238">
        <w:t xml:space="preserve">a first clue for </w:t>
      </w:r>
      <w:r>
        <w:t>this</w:t>
      </w:r>
      <w:r w:rsidRPr="00444238">
        <w:t xml:space="preserve"> research work.</w:t>
      </w:r>
    </w:p>
    <w:p w:rsidR="00E02AB1" w:rsidRDefault="00E02AB1" w:rsidP="00914C78">
      <w:r w:rsidRPr="00444238">
        <w:lastRenderedPageBreak/>
        <w:t xml:space="preserve">After that, </w:t>
      </w:r>
      <w:r>
        <w:t>in order to</w:t>
      </w:r>
      <w:r w:rsidRPr="00444238">
        <w:t xml:space="preserve"> test the relationship between corporate governance and earning</w:t>
      </w:r>
      <w:r w:rsidR="006029D6">
        <w:t>s</w:t>
      </w:r>
      <w:r w:rsidRPr="00444238">
        <w:t xml:space="preserve"> management, </w:t>
      </w:r>
      <w:r>
        <w:t xml:space="preserve">all data will be collected from Erasmus University Database.  The data of China will be selected </w:t>
      </w:r>
      <w:r w:rsidRPr="00444238">
        <w:t>from CSMAR database</w:t>
      </w:r>
      <w:r>
        <w:t>. It</w:t>
      </w:r>
      <w:r w:rsidRPr="00444238">
        <w:t xml:space="preserve"> </w:t>
      </w:r>
      <w:r>
        <w:t xml:space="preserve">offers </w:t>
      </w:r>
      <w:r w:rsidRPr="00444238">
        <w:t>all Chinese listed firms information relating to corporate governance and financial information</w:t>
      </w:r>
      <w:r>
        <w:t>. Besides,</w:t>
      </w:r>
      <w:r w:rsidR="00B17DFB">
        <w:t xml:space="preserve"> the data for analyzing the U.S. </w:t>
      </w:r>
      <w:r>
        <w:t xml:space="preserve">will be selected from </w:t>
      </w:r>
      <w:proofErr w:type="spellStart"/>
      <w:r w:rsidR="00B17DFB">
        <w:t>Compustat</w:t>
      </w:r>
      <w:proofErr w:type="spellEnd"/>
      <w:r w:rsidR="00B17DFB">
        <w:t xml:space="preserve"> North America, GMI Ratings and Risk Metrics database</w:t>
      </w:r>
      <w:r w:rsidR="006029D6">
        <w:t>s</w:t>
      </w:r>
      <w:r>
        <w:t>. The research period w</w:t>
      </w:r>
      <w:r w:rsidR="004E1D6C">
        <w:t xml:space="preserve">ill be </w:t>
      </w:r>
      <w:r w:rsidR="00B17DFB">
        <w:t xml:space="preserve">draw </w:t>
      </w:r>
      <w:r w:rsidR="004E1D6C">
        <w:t>from 2007 to 2011</w:t>
      </w:r>
      <w:r>
        <w:t>.</w:t>
      </w:r>
    </w:p>
    <w:p w:rsidR="00E02AB1" w:rsidRDefault="00E02AB1" w:rsidP="00914C78">
      <w:r>
        <w:t xml:space="preserve">Furthermore, </w:t>
      </w:r>
      <w:proofErr w:type="spellStart"/>
      <w:r w:rsidR="00863C89" w:rsidRPr="00863C89">
        <w:t>Dimitropoulos</w:t>
      </w:r>
      <w:proofErr w:type="spellEnd"/>
      <w:r>
        <w:t xml:space="preserve"> and </w:t>
      </w:r>
      <w:proofErr w:type="spellStart"/>
      <w:r>
        <w:t>Asteriou</w:t>
      </w:r>
      <w:proofErr w:type="spellEnd"/>
      <w:r>
        <w:t xml:space="preserve"> (2010) employed M</w:t>
      </w:r>
      <w:r w:rsidRPr="003113AA">
        <w:t>odified Jones Model t</w:t>
      </w:r>
      <w:r w:rsidR="00B17DFB">
        <w:t>o investigate earnings</w:t>
      </w:r>
      <w:r w:rsidRPr="003113AA">
        <w:t xml:space="preserve"> management. Chen (2010) concluded in his paper that the modified Jones model is the best model to test earning</w:t>
      </w:r>
      <w:r w:rsidR="00B17DFB">
        <w:t>s</w:t>
      </w:r>
      <w:r w:rsidRPr="003113AA">
        <w:t xml:space="preserve"> management comparing to other models</w:t>
      </w:r>
      <w:r>
        <w:t>. Although Modified</w:t>
      </w:r>
      <w:r w:rsidRPr="003113AA">
        <w:t xml:space="preserve"> Jones Model </w:t>
      </w:r>
      <w:r>
        <w:t>is widely used in previous research articles, in this research thesis, Performance-Matched</w:t>
      </w:r>
      <w:r w:rsidRPr="003113AA">
        <w:t xml:space="preserve"> Discretionary Accruals Model (Kothari </w:t>
      </w:r>
      <w:r w:rsidRPr="000B6EED">
        <w:rPr>
          <w:i/>
        </w:rPr>
        <w:t>et al</w:t>
      </w:r>
      <w:r w:rsidRPr="003113AA">
        <w:t>.</w:t>
      </w:r>
      <w:r w:rsidR="000B6EED">
        <w:t>,</w:t>
      </w:r>
      <w:r w:rsidRPr="003113AA">
        <w:t xml:space="preserve"> 2005) will be </w:t>
      </w:r>
      <w:r>
        <w:t xml:space="preserve">used </w:t>
      </w:r>
      <w:r w:rsidRPr="003113AA">
        <w:t>to calculate the discretionary accruals as proxy for earnings management</w:t>
      </w:r>
      <w:r>
        <w:t xml:space="preserve">. This is because it has advantage in reducing </w:t>
      </w:r>
      <w:r w:rsidRPr="005E491A">
        <w:t>model misspecification</w:t>
      </w:r>
      <w:r>
        <w:t xml:space="preserve"> (</w:t>
      </w:r>
      <w:proofErr w:type="spellStart"/>
      <w:r>
        <w:t>Dechow</w:t>
      </w:r>
      <w:proofErr w:type="spellEnd"/>
      <w:r>
        <w:t xml:space="preserve"> </w:t>
      </w:r>
      <w:r w:rsidRPr="00093037">
        <w:rPr>
          <w:i/>
        </w:rPr>
        <w:t>et al</w:t>
      </w:r>
      <w:r>
        <w:t>.</w:t>
      </w:r>
      <w:r w:rsidR="00093037">
        <w:t>,</w:t>
      </w:r>
      <w:r>
        <w:t xml:space="preserve"> </w:t>
      </w:r>
      <w:r w:rsidRPr="005E491A">
        <w:t>2012)</w:t>
      </w:r>
      <w:r>
        <w:t>. This will be introduced in Chapter two.</w:t>
      </w:r>
    </w:p>
    <w:p w:rsidR="00E02AB1" w:rsidRDefault="00E02AB1" w:rsidP="00E02AB1">
      <w:pPr>
        <w:rPr>
          <w:rFonts w:cs="Times New Roman"/>
          <w:szCs w:val="24"/>
        </w:rPr>
      </w:pPr>
      <w:r>
        <w:t>Lastly</w:t>
      </w:r>
      <w:r w:rsidRPr="00444238">
        <w:t>, in the</w:t>
      </w:r>
      <w:r>
        <w:t xml:space="preserve"> </w:t>
      </w:r>
      <w:r w:rsidRPr="00444238">
        <w:t>design</w:t>
      </w:r>
      <w:r>
        <w:t xml:space="preserve"> process of regression</w:t>
      </w:r>
      <w:r w:rsidRPr="00444238">
        <w:t xml:space="preserve"> model,</w:t>
      </w:r>
      <w:r w:rsidRPr="005E2054">
        <w:t xml:space="preserve"> </w:t>
      </w:r>
      <w:r>
        <w:t>several corporate governance variables which include board size,</w:t>
      </w:r>
      <w:r w:rsidRPr="005E2054">
        <w:t xml:space="preserve"> </w:t>
      </w:r>
      <w:r w:rsidR="00AD79C4">
        <w:t>CEO dummy</w:t>
      </w:r>
      <w:r w:rsidR="005D6B92">
        <w:t xml:space="preserve">, </w:t>
      </w:r>
      <w:r w:rsidR="004C314B">
        <w:t>independent directors</w:t>
      </w:r>
      <w:r w:rsidR="005D6B92">
        <w:t>, supervisory board</w:t>
      </w:r>
      <w:r w:rsidR="00756494">
        <w:t xml:space="preserve"> size and non</w:t>
      </w:r>
      <w:r w:rsidR="005D6B92">
        <w:t xml:space="preserve">-executives directors </w:t>
      </w:r>
      <w:r w:rsidRPr="005E2054">
        <w:t>and so on</w:t>
      </w:r>
      <w:r>
        <w:t xml:space="preserve"> will be tested. On the other hand,</w:t>
      </w:r>
      <w:r w:rsidR="00B17DFB">
        <w:t xml:space="preserve"> it</w:t>
      </w:r>
      <w:r w:rsidRPr="00444238">
        <w:t xml:space="preserve"> propose</w:t>
      </w:r>
      <w:r w:rsidR="00B17DFB">
        <w:t>s</w:t>
      </w:r>
      <w:r w:rsidRPr="00444238">
        <w:t xml:space="preserve"> to add </w:t>
      </w:r>
      <w:r>
        <w:t xml:space="preserve">some </w:t>
      </w:r>
      <w:r w:rsidRPr="00444238">
        <w:t>control variables su</w:t>
      </w:r>
      <w:r>
        <w:t>ch as firm size, return on equity</w:t>
      </w:r>
      <w:r w:rsidR="005D6B92">
        <w:t>, Leverage</w:t>
      </w:r>
      <w:r w:rsidRPr="00444238">
        <w:t xml:space="preserve">. </w:t>
      </w:r>
      <w:r>
        <w:t>Moreover, SPSS</w:t>
      </w:r>
      <w:r w:rsidR="005D6B92">
        <w:t xml:space="preserve"> and </w:t>
      </w:r>
      <w:proofErr w:type="spellStart"/>
      <w:r w:rsidR="005D6B92">
        <w:t>Eviews</w:t>
      </w:r>
      <w:proofErr w:type="spellEnd"/>
      <w:r w:rsidR="005D6B92">
        <w:t xml:space="preserve"> </w:t>
      </w:r>
      <w:r>
        <w:t>will be applied</w:t>
      </w:r>
      <w:r w:rsidRPr="000B3771">
        <w:t xml:space="preserve"> to </w:t>
      </w:r>
      <w:r>
        <w:t xml:space="preserve">perform </w:t>
      </w:r>
      <w:r w:rsidRPr="000B3771">
        <w:t xml:space="preserve">the statistical analysis </w:t>
      </w:r>
      <w:r>
        <w:t xml:space="preserve">which </w:t>
      </w:r>
      <w:r w:rsidRPr="000B3771">
        <w:t>is needed to test the hypotheses</w:t>
      </w:r>
      <w:r>
        <w:t>.</w:t>
      </w:r>
    </w:p>
    <w:p w:rsidR="00E02AB1" w:rsidRPr="005E491A" w:rsidRDefault="00E02AB1" w:rsidP="00252752">
      <w:pPr>
        <w:pStyle w:val="Heading2"/>
      </w:pPr>
      <w:bookmarkStart w:id="7" w:name="_Toc400916033"/>
      <w:r w:rsidRPr="00AF46C9">
        <w:t>Relevance</w:t>
      </w:r>
      <w:bookmarkEnd w:id="7"/>
    </w:p>
    <w:p w:rsidR="00E02AB1" w:rsidRDefault="00E02AB1" w:rsidP="00914C78">
      <w:r>
        <w:t xml:space="preserve">Firstly, the </w:t>
      </w:r>
      <w:r w:rsidRPr="00042FEC">
        <w:t>findings</w:t>
      </w:r>
      <w:r>
        <w:t xml:space="preserve"> of this research thesis </w:t>
      </w:r>
      <w:r w:rsidRPr="00042FEC">
        <w:t>could</w:t>
      </w:r>
      <w:r>
        <w:t xml:space="preserve"> provide useful </w:t>
      </w:r>
      <w:r w:rsidRPr="00042FEC">
        <w:t>information for helping regulators</w:t>
      </w:r>
      <w:r>
        <w:t xml:space="preserve"> to enhance </w:t>
      </w:r>
      <w:r w:rsidRPr="00042FEC">
        <w:t xml:space="preserve">their </w:t>
      </w:r>
      <w:r>
        <w:t>insight efficiently. Especially, it can help</w:t>
      </w:r>
      <w:r w:rsidRPr="00042FEC">
        <w:t xml:space="preserve"> the regulators</w:t>
      </w:r>
      <w:r>
        <w:t xml:space="preserve"> to</w:t>
      </w:r>
      <w:r w:rsidRPr="00042FEC">
        <w:t xml:space="preserve"> design more realistic corporate governance </w:t>
      </w:r>
      <w:r>
        <w:t>policies which link</w:t>
      </w:r>
      <w:r w:rsidRPr="00042FEC">
        <w:t xml:space="preserve"> to the Chinese </w:t>
      </w:r>
      <w:r>
        <w:t>background.</w:t>
      </w:r>
    </w:p>
    <w:p w:rsidR="00E02AB1" w:rsidRDefault="00E02AB1" w:rsidP="00914C78">
      <w:r>
        <w:t>Secondly</w:t>
      </w:r>
      <w:r w:rsidRPr="00042FEC">
        <w:t xml:space="preserve">, </w:t>
      </w:r>
      <w:r>
        <w:t>the results of this thesis could</w:t>
      </w:r>
      <w:r w:rsidRPr="00042FEC">
        <w:t xml:space="preserve"> p</w:t>
      </w:r>
      <w:r>
        <w:t>rovide useful guidance for companies</w:t>
      </w:r>
      <w:r w:rsidRPr="00042FEC">
        <w:t xml:space="preserve"> to </w:t>
      </w:r>
      <w:r>
        <w:t xml:space="preserve">carry out </w:t>
      </w:r>
      <w:r w:rsidRPr="00042FEC">
        <w:t>appropriate corporate governance</w:t>
      </w:r>
      <w:r>
        <w:t xml:space="preserve"> policies</w:t>
      </w:r>
      <w:r w:rsidRPr="00042FEC">
        <w:t xml:space="preserve"> with a </w:t>
      </w:r>
      <w:r>
        <w:t>target of</w:t>
      </w:r>
      <w:r w:rsidRPr="00042FEC">
        <w:t xml:space="preserve"> </w:t>
      </w:r>
      <w:r>
        <w:t xml:space="preserve">reducing earnings manipulation and </w:t>
      </w:r>
      <w:r w:rsidRPr="00042FEC">
        <w:t>facilitating</w:t>
      </w:r>
      <w:r>
        <w:t xml:space="preserve"> the</w:t>
      </w:r>
      <w:r w:rsidRPr="00042FEC">
        <w:t xml:space="preserve"> effective</w:t>
      </w:r>
      <w:r>
        <w:t>ness of internal control.</w:t>
      </w:r>
    </w:p>
    <w:p w:rsidR="00E02AB1" w:rsidRDefault="00E02AB1" w:rsidP="00914C78">
      <w:r>
        <w:t>And, last but not lease, the thesis can help the future analysts</w:t>
      </w:r>
      <w:r w:rsidRPr="00444238">
        <w:t xml:space="preserve"> to </w:t>
      </w:r>
      <w:r>
        <w:t xml:space="preserve">understand the real situation linking to </w:t>
      </w:r>
      <w:r w:rsidRPr="00444238">
        <w:t>corporate gover</w:t>
      </w:r>
      <w:r>
        <w:t>nance and earnings management in</w:t>
      </w:r>
      <w:r w:rsidRPr="00444238">
        <w:t xml:space="preserve"> China</w:t>
      </w:r>
      <w:r>
        <w:t xml:space="preserve">. In the meantime, some research outcomes can provide a guideline for other </w:t>
      </w:r>
      <w:r w:rsidRPr="005E491A">
        <w:t xml:space="preserve">emerging </w:t>
      </w:r>
      <w:r w:rsidRPr="005E491A">
        <w:lastRenderedPageBreak/>
        <w:t>market</w:t>
      </w:r>
      <w:r w:rsidR="008E158C">
        <w:t>s</w:t>
      </w:r>
      <w:r w:rsidRPr="005E491A">
        <w:t xml:space="preserve"> companies to improve </w:t>
      </w:r>
      <w:r>
        <w:t xml:space="preserve">corporate </w:t>
      </w:r>
      <w:r w:rsidRPr="005E491A">
        <w:t xml:space="preserve">governance, effectively restrict on earnings management, and </w:t>
      </w:r>
      <w:r>
        <w:t xml:space="preserve">enhance </w:t>
      </w:r>
      <w:r w:rsidRPr="005E491A">
        <w:t>transparency of accounting information.</w:t>
      </w:r>
    </w:p>
    <w:p w:rsidR="00E02AB1" w:rsidRDefault="00E02AB1" w:rsidP="00252752">
      <w:pPr>
        <w:pStyle w:val="Heading2"/>
      </w:pPr>
      <w:bookmarkStart w:id="8" w:name="_Toc400916034"/>
      <w:r w:rsidRPr="00590EA7">
        <w:t>Limitation</w:t>
      </w:r>
      <w:bookmarkEnd w:id="8"/>
    </w:p>
    <w:p w:rsidR="00E02AB1" w:rsidRDefault="006302C5" w:rsidP="00914C78">
      <w:pPr>
        <w:rPr>
          <w:lang w:eastAsia="en-US"/>
        </w:rPr>
      </w:pPr>
      <w:r>
        <w:rPr>
          <w:lang w:eastAsia="en-US"/>
        </w:rPr>
        <w:t xml:space="preserve">This research thesis has some drawbacks. Firstly, whether the </w:t>
      </w:r>
      <w:r>
        <w:t>Performance-Matched</w:t>
      </w:r>
      <w:r w:rsidRPr="003113AA">
        <w:t xml:space="preserve"> Discretionary Accruals Model</w:t>
      </w:r>
      <w:r>
        <w:t xml:space="preserve"> could fully detect earnings management or not is still in the debate</w:t>
      </w:r>
      <w:r w:rsidR="00D5344B">
        <w:t>s</w:t>
      </w:r>
      <w:r>
        <w:t xml:space="preserve">. </w:t>
      </w:r>
      <w:r w:rsidR="00F71C2F">
        <w:t>Secondly, t</w:t>
      </w:r>
      <w:r w:rsidR="00E02AB1" w:rsidRPr="00444238">
        <w:t xml:space="preserve">his research </w:t>
      </w:r>
      <w:r w:rsidR="00E02AB1">
        <w:t xml:space="preserve">thesis will focus </w:t>
      </w:r>
      <w:r w:rsidR="00E02AB1" w:rsidRPr="00444238">
        <w:t>on the connection between corporate governance and earning</w:t>
      </w:r>
      <w:r w:rsidR="008E158C">
        <w:t>s</w:t>
      </w:r>
      <w:r w:rsidR="00E02AB1" w:rsidRPr="00444238">
        <w:t xml:space="preserve"> management relating to emerging market of China</w:t>
      </w:r>
      <w:r w:rsidR="00E02AB1">
        <w:t xml:space="preserve"> and U.S</w:t>
      </w:r>
      <w:r w:rsidR="00E02AB1" w:rsidRPr="00444238">
        <w:t>.</w:t>
      </w:r>
      <w:r w:rsidR="00E02AB1">
        <w:t xml:space="preserve"> </w:t>
      </w:r>
      <w:r w:rsidR="00E02AB1">
        <w:rPr>
          <w:rFonts w:eastAsia="Calibri"/>
        </w:rPr>
        <w:t>Therefore,</w:t>
      </w:r>
      <w:r w:rsidR="00E02AB1" w:rsidRPr="00444238">
        <w:rPr>
          <w:rFonts w:eastAsia="Calibri"/>
        </w:rPr>
        <w:t xml:space="preserve"> </w:t>
      </w:r>
      <w:r w:rsidR="00E02AB1">
        <w:rPr>
          <w:rFonts w:eastAsia="Calibri"/>
        </w:rPr>
        <w:t xml:space="preserve">this </w:t>
      </w:r>
      <w:r w:rsidR="00E02AB1" w:rsidRPr="00444238">
        <w:t>study cannot be used to generalize concerning all emerging markets</w:t>
      </w:r>
      <w:r w:rsidR="00E02AB1">
        <w:t xml:space="preserve"> countries and all developed countries.</w:t>
      </w:r>
      <w:r w:rsidR="00F71C2F">
        <w:t xml:space="preserve"> Lastly, this thesis may omit some variables when measures corporate governance. </w:t>
      </w:r>
    </w:p>
    <w:p w:rsidR="00E02AB1" w:rsidRPr="00D65BB6" w:rsidRDefault="00E02AB1" w:rsidP="00252752">
      <w:pPr>
        <w:pStyle w:val="Heading2"/>
      </w:pPr>
      <w:bookmarkStart w:id="9" w:name="_Toc400916035"/>
      <w:r w:rsidRPr="0005567A">
        <w:t>Structure of the research</w:t>
      </w:r>
      <w:bookmarkEnd w:id="9"/>
    </w:p>
    <w:p w:rsidR="002A4443" w:rsidRDefault="00E02AB1" w:rsidP="002A4443">
      <w:r w:rsidRPr="00444238">
        <w:t xml:space="preserve">The </w:t>
      </w:r>
      <w:r>
        <w:t xml:space="preserve">remaining of the </w:t>
      </w:r>
      <w:r w:rsidRPr="00444238">
        <w:t xml:space="preserve">thesis will be structured as follow: Chapter 2 will </w:t>
      </w:r>
      <w:r>
        <w:t>describe the definition</w:t>
      </w:r>
      <w:r w:rsidR="008E158C">
        <w:t>s</w:t>
      </w:r>
      <w:r w:rsidRPr="00444238">
        <w:t xml:space="preserve"> of earning</w:t>
      </w:r>
      <w:r w:rsidR="008E158C">
        <w:t>s</w:t>
      </w:r>
      <w:r w:rsidRPr="00444238">
        <w:t xml:space="preserve"> management and</w:t>
      </w:r>
      <w:r>
        <w:t xml:space="preserve"> corporate governance. </w:t>
      </w:r>
      <w:r w:rsidRPr="00444238">
        <w:t xml:space="preserve">In the meanwhile, it </w:t>
      </w:r>
      <w:r>
        <w:t>will indicate the measurements of earning</w:t>
      </w:r>
      <w:r w:rsidR="008E158C">
        <w:t>s</w:t>
      </w:r>
      <w:r>
        <w:t xml:space="preserve"> management a</w:t>
      </w:r>
      <w:r w:rsidRPr="00444238">
        <w:t>nd the relevant elements of corporate governance.</w:t>
      </w:r>
      <w:r w:rsidR="00093037">
        <w:t xml:space="preserve"> After that, </w:t>
      </w:r>
      <w:r>
        <w:t xml:space="preserve">the </w:t>
      </w:r>
      <w:r w:rsidRPr="00444238">
        <w:t>underlying theories relating to corporate governance and earning</w:t>
      </w:r>
      <w:r w:rsidR="008E158C">
        <w:t>s</w:t>
      </w:r>
      <w:r w:rsidRPr="00444238">
        <w:t xml:space="preserve"> management</w:t>
      </w:r>
      <w:r>
        <w:t xml:space="preserve"> will be introduced</w:t>
      </w:r>
      <w:r w:rsidRPr="00444238">
        <w:t xml:space="preserve">. </w:t>
      </w:r>
      <w:r>
        <w:t>T</w:t>
      </w:r>
      <w:r w:rsidRPr="00444238">
        <w:t>he prior empirical research outcomes and findings</w:t>
      </w:r>
      <w:r>
        <w:t xml:space="preserve"> will be presented in Chapter 3</w:t>
      </w:r>
      <w:r w:rsidRPr="00444238">
        <w:t>. In addition, a summary will be provided for concluding those research results.</w:t>
      </w:r>
      <w:r>
        <w:t xml:space="preserve"> Furthermore, Chapter 4</w:t>
      </w:r>
      <w:r w:rsidRPr="00444238">
        <w:t xml:space="preserve"> will show the process of hypotheses development. After that, in </w:t>
      </w:r>
      <w:r>
        <w:t>C</w:t>
      </w:r>
      <w:r w:rsidRPr="00444238">
        <w:t>hapter</w:t>
      </w:r>
      <w:r>
        <w:t xml:space="preserve"> 5</w:t>
      </w:r>
      <w:r w:rsidRPr="00444238">
        <w:t xml:space="preserve">, the research design will be </w:t>
      </w:r>
      <w:r>
        <w:t>demonstrated.</w:t>
      </w:r>
      <w:r w:rsidRPr="00444238">
        <w:t xml:space="preserve"> </w:t>
      </w:r>
      <w:r>
        <w:t>Chapter 6</w:t>
      </w:r>
      <w:r w:rsidRPr="00444238">
        <w:t xml:space="preserve"> will p</w:t>
      </w:r>
      <w:r>
        <w:t>rovide the</w:t>
      </w:r>
      <w:r w:rsidR="00093037">
        <w:t xml:space="preserve"> results of</w:t>
      </w:r>
      <w:r>
        <w:t xml:space="preserve"> statistical</w:t>
      </w:r>
      <w:r w:rsidR="00093037">
        <w:t xml:space="preserve"> test and</w:t>
      </w:r>
      <w:r>
        <w:t xml:space="preserve"> analysis</w:t>
      </w:r>
      <w:r w:rsidRPr="00444238">
        <w:t>.</w:t>
      </w:r>
      <w:r>
        <w:t xml:space="preserve"> Chapter 7</w:t>
      </w:r>
      <w:r w:rsidRPr="00444238">
        <w:t xml:space="preserve"> will </w:t>
      </w:r>
      <w:r w:rsidR="00093037">
        <w:t>draw conclusion</w:t>
      </w:r>
      <w:r w:rsidR="00AD5B94">
        <w:t>s</w:t>
      </w:r>
      <w:r w:rsidR="00093037">
        <w:t xml:space="preserve"> and limitation</w:t>
      </w:r>
      <w:r w:rsidR="00AD5B94">
        <w:t>s</w:t>
      </w:r>
      <w:r w:rsidRPr="00444238">
        <w:t xml:space="preserve"> and provide suggestions for the future empirical research</w:t>
      </w:r>
      <w:r w:rsidR="008E158C">
        <w:t>es</w:t>
      </w:r>
      <w:r w:rsidRPr="00444238">
        <w:t>.</w:t>
      </w:r>
      <w:r w:rsidR="002A4443">
        <w:br w:type="page"/>
      </w:r>
    </w:p>
    <w:p w:rsidR="00E02AB1" w:rsidRPr="00C825E6" w:rsidRDefault="00E02AB1" w:rsidP="00252752">
      <w:pPr>
        <w:pStyle w:val="Heading1"/>
      </w:pPr>
      <w:bookmarkStart w:id="10" w:name="_Toc400916036"/>
      <w:r w:rsidRPr="00C825E6">
        <w:lastRenderedPageBreak/>
        <w:t>Theoretical Background</w:t>
      </w:r>
      <w:bookmarkEnd w:id="10"/>
      <w:r w:rsidRPr="00C825E6">
        <w:t xml:space="preserve"> </w:t>
      </w:r>
    </w:p>
    <w:p w:rsidR="00E02AB1" w:rsidRPr="004018DD" w:rsidRDefault="00E02AB1" w:rsidP="00914C78">
      <w:r w:rsidRPr="004018DD">
        <w:t>This chapter introduces the theoretical background of this research thesis, which includes the definitions of earnings management, the measurements of earnings management, the definitions of corporate governance and its relevant elements. Then, two important theories related to this thesis will be discussed. In the end, the background of China relating to earnings management and corporate governance will be illustrated.</w:t>
      </w:r>
    </w:p>
    <w:p w:rsidR="002A4443" w:rsidRDefault="00E02AB1" w:rsidP="00252752">
      <w:pPr>
        <w:pStyle w:val="Heading2"/>
      </w:pPr>
      <w:bookmarkStart w:id="11" w:name="_Toc400916037"/>
      <w:r w:rsidRPr="004018DD">
        <w:t>Earnings management</w:t>
      </w:r>
      <w:bookmarkEnd w:id="11"/>
    </w:p>
    <w:p w:rsidR="00E02AB1" w:rsidRPr="004E7B96" w:rsidRDefault="00E02AB1" w:rsidP="00252752">
      <w:pPr>
        <w:pStyle w:val="Heading3"/>
      </w:pPr>
      <w:bookmarkStart w:id="12" w:name="_Toc400916038"/>
      <w:r w:rsidRPr="004E7B96">
        <w:t>Definitions of earnings management</w:t>
      </w:r>
      <w:bookmarkEnd w:id="12"/>
    </w:p>
    <w:p w:rsidR="00E02AB1" w:rsidRPr="004018DD" w:rsidRDefault="00E02AB1" w:rsidP="00914C78">
      <w:r w:rsidRPr="004018DD">
        <w:t>Earning(s) is also known as “net income”, which is an important item in the financial reports. It not only reveals the performance of a company relating to</w:t>
      </w:r>
      <w:r>
        <w:t xml:space="preserve"> profit-</w:t>
      </w:r>
      <w:r w:rsidRPr="00C66789">
        <w:t>generating</w:t>
      </w:r>
      <w:r w:rsidRPr="004018DD">
        <w:t xml:space="preserve"> activities, but also shows the efficiency of management of this company. The earnings information presented in financial reports has effect on the company’s value. For instance, positive earnings information may stimulate the stock price to increase while negative earnings information may lead to the decrease of stock price. Likewise, the increase or decrease of stock price will influence the value of the firm. Therefore, these motivate management to consider how to report the earnings information of their companies, in other word, how to manage earnings. </w:t>
      </w:r>
    </w:p>
    <w:p w:rsidR="00E02AB1" w:rsidRPr="004018DD" w:rsidRDefault="00E02AB1" w:rsidP="00914C78">
      <w:r w:rsidRPr="004018DD">
        <w:t xml:space="preserve">Since earnings management is widely research topic in the current society, a large body of researchers and analysts provided several definitions in their research articles. Davidson </w:t>
      </w:r>
      <w:r w:rsidRPr="004018DD">
        <w:rPr>
          <w:i/>
          <w:iCs/>
        </w:rPr>
        <w:t>et al</w:t>
      </w:r>
      <w:r w:rsidRPr="004018DD">
        <w:t>.</w:t>
      </w:r>
      <w:r w:rsidR="00D5344B">
        <w:t xml:space="preserve"> </w:t>
      </w:r>
      <w:r w:rsidR="000A6C06">
        <w:t>(</w:t>
      </w:r>
      <w:r w:rsidR="00DC22F2">
        <w:t xml:space="preserve">1987, </w:t>
      </w:r>
      <w:r w:rsidRPr="004018DD">
        <w:t xml:space="preserve">cited in </w:t>
      </w:r>
      <w:proofErr w:type="spellStart"/>
      <w:r w:rsidRPr="004018DD">
        <w:t>Schipper</w:t>
      </w:r>
      <w:proofErr w:type="spellEnd"/>
      <w:r w:rsidRPr="004018DD">
        <w:t xml:space="preserve"> 1989) gave a definition of earnings management as:</w:t>
      </w:r>
    </w:p>
    <w:p w:rsidR="00E02AB1" w:rsidRPr="004018DD" w:rsidRDefault="00E02AB1" w:rsidP="00F46EC8">
      <w:pPr>
        <w:spacing w:before="100" w:beforeAutospacing="1" w:after="100" w:afterAutospacing="1"/>
        <w:rPr>
          <w:rFonts w:cs="Times New Roman"/>
        </w:rPr>
      </w:pPr>
      <w:r w:rsidRPr="004018DD">
        <w:rPr>
          <w:rFonts w:cs="Times New Roman"/>
        </w:rPr>
        <w:t>“</w:t>
      </w:r>
      <w:proofErr w:type="gramStart"/>
      <w:r w:rsidRPr="004018DD">
        <w:rPr>
          <w:rFonts w:cs="Times New Roman"/>
          <w:i/>
        </w:rPr>
        <w:t>the</w:t>
      </w:r>
      <w:proofErr w:type="gramEnd"/>
      <w:r w:rsidRPr="004018DD">
        <w:rPr>
          <w:rFonts w:cs="Times New Roman"/>
          <w:i/>
        </w:rPr>
        <w:t xml:space="preserve"> process of taking deliberate steps within the constraints o</w:t>
      </w:r>
      <w:r w:rsidR="001814DE">
        <w:rPr>
          <w:rFonts w:cs="Times New Roman"/>
          <w:i/>
        </w:rPr>
        <w:t xml:space="preserve">f generally accepted accounting </w:t>
      </w:r>
      <w:r w:rsidRPr="004018DD">
        <w:rPr>
          <w:rFonts w:cs="Times New Roman"/>
          <w:i/>
        </w:rPr>
        <w:t>principles to bring about a desired level of reported earnings</w:t>
      </w:r>
      <w:r w:rsidRPr="004018DD">
        <w:rPr>
          <w:rFonts w:cs="Times New Roman"/>
        </w:rPr>
        <w:t>.”</w:t>
      </w:r>
    </w:p>
    <w:p w:rsidR="00E02AB1" w:rsidRPr="004018DD" w:rsidRDefault="00E02AB1" w:rsidP="00914C78">
      <w:r w:rsidRPr="004018DD">
        <w:t xml:space="preserve"> One of the definitions of earnings management demonstrated by </w:t>
      </w:r>
      <w:proofErr w:type="spellStart"/>
      <w:r w:rsidRPr="004018DD">
        <w:t>Schipper</w:t>
      </w:r>
      <w:proofErr w:type="spellEnd"/>
      <w:r w:rsidRPr="004018DD">
        <w:t xml:space="preserve"> (1989) is:</w:t>
      </w:r>
    </w:p>
    <w:p w:rsidR="00E02AB1" w:rsidRPr="004018DD" w:rsidRDefault="00E02AB1" w:rsidP="00914C78">
      <w:pPr>
        <w:spacing w:before="100" w:beforeAutospacing="1" w:after="100" w:afterAutospacing="1"/>
        <w:rPr>
          <w:rFonts w:cs="Times New Roman"/>
        </w:rPr>
      </w:pPr>
      <w:r w:rsidRPr="004018DD">
        <w:rPr>
          <w:rFonts w:cs="Times New Roman"/>
          <w:i/>
        </w:rPr>
        <w:t>“…a purposeful intervention in the external financial reporting process with the intent of obtaining some private gains (as opposed to, say, merely facilitating the neutral operation of the process)</w:t>
      </w:r>
      <w:r w:rsidRPr="004018DD">
        <w:rPr>
          <w:rFonts w:cs="Times New Roman"/>
        </w:rPr>
        <w:t>.”</w:t>
      </w:r>
    </w:p>
    <w:p w:rsidR="00E02AB1" w:rsidRPr="004018DD" w:rsidRDefault="00E02AB1" w:rsidP="00666575">
      <w:r w:rsidRPr="004018DD">
        <w:lastRenderedPageBreak/>
        <w:t xml:space="preserve">Healy and </w:t>
      </w:r>
      <w:proofErr w:type="spellStart"/>
      <w:r w:rsidRPr="004018DD">
        <w:t>Wahlen</w:t>
      </w:r>
      <w:proofErr w:type="spellEnd"/>
      <w:r w:rsidRPr="004018DD">
        <w:t xml:space="preserve"> (1999) defined that:</w:t>
      </w:r>
    </w:p>
    <w:p w:rsidR="00E02AB1" w:rsidRPr="004018DD" w:rsidRDefault="00E02AB1" w:rsidP="00E02AB1">
      <w:pPr>
        <w:spacing w:before="100" w:beforeAutospacing="1" w:after="100" w:afterAutospacing="1"/>
        <w:rPr>
          <w:rFonts w:cs="Times New Roman"/>
        </w:rPr>
      </w:pPr>
      <w:r w:rsidRPr="004018DD">
        <w:rPr>
          <w:rFonts w:cs="Times New Roman"/>
        </w:rPr>
        <w:t>“</w:t>
      </w:r>
      <w:r w:rsidRPr="004018DD">
        <w:rPr>
          <w:rFonts w:cs="Times New Roman"/>
          <w:i/>
        </w:rPr>
        <w:t>Earnings management occurs when managers use judgment in financial reporting and in structuring transactions to alter financial reports to either mislead some stakeholders about the underlying economic performance of the company, or to influence contractual outcomes that depend on reported accounting numbers</w:t>
      </w:r>
      <w:r w:rsidRPr="004018DD">
        <w:rPr>
          <w:rFonts w:cs="Times New Roman"/>
        </w:rPr>
        <w:t>.”</w:t>
      </w:r>
    </w:p>
    <w:p w:rsidR="00E02AB1" w:rsidRPr="004018DD" w:rsidRDefault="00E02AB1" w:rsidP="00666575">
      <w:r w:rsidRPr="004018DD">
        <w:t xml:space="preserve">Furthermore, </w:t>
      </w:r>
      <w:proofErr w:type="spellStart"/>
      <w:r w:rsidRPr="004018DD">
        <w:t>Dechow</w:t>
      </w:r>
      <w:proofErr w:type="spellEnd"/>
      <w:r w:rsidRPr="004018DD">
        <w:t xml:space="preserve"> and Skinner (2000) indicated in their article that earnings management is: </w:t>
      </w:r>
    </w:p>
    <w:p w:rsidR="00E02AB1" w:rsidRPr="004018DD" w:rsidRDefault="00E02AB1" w:rsidP="00E02AB1">
      <w:pPr>
        <w:spacing w:before="100" w:beforeAutospacing="1" w:after="100" w:afterAutospacing="1"/>
        <w:rPr>
          <w:rFonts w:cs="Times New Roman"/>
        </w:rPr>
      </w:pPr>
      <w:r w:rsidRPr="004018DD">
        <w:rPr>
          <w:rFonts w:cs="Times New Roman"/>
        </w:rPr>
        <w:t>“</w:t>
      </w:r>
      <w:r w:rsidRPr="004018DD">
        <w:rPr>
          <w:rFonts w:cs="Times New Roman"/>
          <w:i/>
        </w:rPr>
        <w:t>The intentional, deliberate, misstatement or omission of material facts, or accounting data, which is misleading and, when considered with all the information made available, would cause the reader to change or alter his or her judgment or decision</w:t>
      </w:r>
      <w:r w:rsidRPr="004018DD">
        <w:rPr>
          <w:rFonts w:cs="Times New Roman"/>
        </w:rPr>
        <w:t>.”</w:t>
      </w:r>
    </w:p>
    <w:p w:rsidR="00E02AB1" w:rsidRPr="004018DD" w:rsidRDefault="00E02AB1" w:rsidP="00666575">
      <w:r w:rsidRPr="004018DD">
        <w:t>Basing on the above-mentioned four definitions, earnings management can be con</w:t>
      </w:r>
      <w:r>
        <w:t>sidered as intentional behavior</w:t>
      </w:r>
      <w:r w:rsidRPr="004018DD">
        <w:t xml:space="preserve"> by management in the financial reporting process. Moreover, there have some self-interest</w:t>
      </w:r>
      <w:r w:rsidR="00565016">
        <w:t>ed</w:t>
      </w:r>
      <w:r w:rsidRPr="004018DD">
        <w:t xml:space="preserve"> purposes to drive management to distort the earnings information. </w:t>
      </w:r>
      <w:r w:rsidRPr="00C66789">
        <w:t>This</w:t>
      </w:r>
      <w:r w:rsidRPr="004018DD">
        <w:t xml:space="preserve"> intentiona</w:t>
      </w:r>
      <w:r>
        <w:t>l behavior</w:t>
      </w:r>
      <w:r w:rsidRPr="004018DD">
        <w:t xml:space="preserve"> will influence the users’ decisions and judgments, and</w:t>
      </w:r>
      <w:r>
        <w:t xml:space="preserve"> </w:t>
      </w:r>
      <w:r w:rsidRPr="00C66789">
        <w:t>sometimes</w:t>
      </w:r>
      <w:r w:rsidRPr="004018DD">
        <w:t xml:space="preserve"> harm their benefits. </w:t>
      </w:r>
    </w:p>
    <w:p w:rsidR="00E02AB1" w:rsidRPr="004018DD" w:rsidRDefault="00E02AB1" w:rsidP="00666575">
      <w:r w:rsidRPr="004018DD">
        <w:t xml:space="preserve">Although earnings management is </w:t>
      </w:r>
      <w:r w:rsidRPr="00C66789">
        <w:t>often considered</w:t>
      </w:r>
      <w:r w:rsidRPr="004018DD">
        <w:t xml:space="preserve"> as a </w:t>
      </w:r>
      <w:r w:rsidRPr="00C66789">
        <w:t>negative effect</w:t>
      </w:r>
      <w:r w:rsidRPr="004018DD">
        <w:t xml:space="preserve"> </w:t>
      </w:r>
      <w:r w:rsidRPr="00C66789">
        <w:t>in</w:t>
      </w:r>
      <w:r>
        <w:t xml:space="preserve"> </w:t>
      </w:r>
      <w:r w:rsidRPr="004018DD">
        <w:t>the previous literature, not all researchers ag</w:t>
      </w:r>
      <w:r>
        <w:t xml:space="preserve">ree that earnings management </w:t>
      </w:r>
      <w:r w:rsidRPr="00C66789">
        <w:t>is always negative</w:t>
      </w:r>
      <w:r w:rsidR="003C1822">
        <w:t xml:space="preserve">. </w:t>
      </w:r>
      <w:proofErr w:type="spellStart"/>
      <w:r w:rsidRPr="004018DD">
        <w:t>Subramanyam</w:t>
      </w:r>
      <w:proofErr w:type="spellEnd"/>
      <w:r w:rsidRPr="004018DD">
        <w:t xml:space="preserve"> (1996) presented that discretionary accruals increase the information content and help to predict the future of cash flow and earnings of a firm. </w:t>
      </w:r>
      <w:proofErr w:type="spellStart"/>
      <w:r w:rsidRPr="004018DD">
        <w:t>Jiraporn</w:t>
      </w:r>
      <w:proofErr w:type="spellEnd"/>
      <w:r w:rsidRPr="004018DD">
        <w:t xml:space="preserve"> </w:t>
      </w:r>
      <w:r w:rsidRPr="004018DD">
        <w:rPr>
          <w:i/>
          <w:iCs/>
        </w:rPr>
        <w:t>et al</w:t>
      </w:r>
      <w:r w:rsidRPr="004018DD">
        <w:t>. (2008) took earnings management as something positive. They</w:t>
      </w:r>
      <w:r>
        <w:t xml:space="preserve"> adopted Agency T</w:t>
      </w:r>
      <w:r w:rsidRPr="004018DD">
        <w:t>heory as a research tool and found that there is a positive relationship between earnings management and firm value. They also argued that earnings management is beneficial to investors because it provides more information, and the company has benefit</w:t>
      </w:r>
      <w:r w:rsidR="00565016">
        <w:t>s</w:t>
      </w:r>
      <w:r w:rsidRPr="004018DD">
        <w:t xml:space="preserve"> from that.</w:t>
      </w:r>
    </w:p>
    <w:p w:rsidR="00E02AB1" w:rsidRPr="00697B9E" w:rsidRDefault="00E02AB1" w:rsidP="00666575">
      <w:pPr>
        <w:rPr>
          <w:color w:val="FF0000"/>
        </w:rPr>
      </w:pPr>
      <w:r w:rsidRPr="00C66789">
        <w:t xml:space="preserve">According to those arguments above, there is still no consensus on the definition of earnings management in previous academic field. As indicated by Ronen and </w:t>
      </w:r>
      <w:proofErr w:type="spellStart"/>
      <w:r w:rsidRPr="00C66789">
        <w:t>Yaari</w:t>
      </w:r>
      <w:proofErr w:type="spellEnd"/>
      <w:r w:rsidRPr="00C66789">
        <w:t xml:space="preserve"> (2008), earnings management can be categorized into three types: white, grey and black. White earnings management means that managers can choose accounting treatment</w:t>
      </w:r>
      <w:r w:rsidR="00756494">
        <w:t>s</w:t>
      </w:r>
      <w:r w:rsidRPr="00C66789">
        <w:t xml:space="preserve"> flexibly and </w:t>
      </w:r>
      <w:r w:rsidR="00AB710F">
        <w:t xml:space="preserve">show </w:t>
      </w:r>
      <w:r w:rsidRPr="00C66789">
        <w:t xml:space="preserve">their private information related to future cash flows. </w:t>
      </w:r>
      <w:r w:rsidRPr="00C66789">
        <w:lastRenderedPageBreak/>
        <w:t>This statement emphasizes that earnings management could improve the transparency and quality of financial reports. Grey earnings management is defined as that the chosen accounting treatment</w:t>
      </w:r>
      <w:r w:rsidR="001C6A36">
        <w:t>s</w:t>
      </w:r>
      <w:r w:rsidRPr="00C66789">
        <w:t xml:space="preserve"> maximizes either the managers’ </w:t>
      </w:r>
      <w:r w:rsidR="00AB710F">
        <w:t xml:space="preserve">interests </w:t>
      </w:r>
      <w:r w:rsidRPr="00C66789">
        <w:t>or</w:t>
      </w:r>
      <w:r w:rsidR="00AD79C4">
        <w:t xml:space="preserve"> firms’ interests. </w:t>
      </w:r>
      <w:r w:rsidRPr="00C66789">
        <w:t>It emphasizes that earnings management can be opportunistic or economically efficient. Black earnings management reflects that tricks are used by management to misrepresent or decrease transparency of financial reports.</w:t>
      </w:r>
    </w:p>
    <w:p w:rsidR="00E02AB1" w:rsidRDefault="00E02AB1" w:rsidP="00666575">
      <w:r w:rsidRPr="00C66789">
        <w:t xml:space="preserve">In addition, </w:t>
      </w:r>
      <w:proofErr w:type="spellStart"/>
      <w:r w:rsidRPr="00C66789">
        <w:t>Beneish</w:t>
      </w:r>
      <w:proofErr w:type="spellEnd"/>
      <w:r w:rsidRPr="00C66789">
        <w:t xml:space="preserve"> (2001) described that the information perspective of earnings management and the presented discretionary management are used by management to reflect the priv</w:t>
      </w:r>
      <w:r w:rsidR="00370892">
        <w:t xml:space="preserve">ate expectation to investors. </w:t>
      </w:r>
      <w:proofErr w:type="spellStart"/>
      <w:r w:rsidR="00370892">
        <w:t>Ji</w:t>
      </w:r>
      <w:r w:rsidRPr="00C66789">
        <w:t>raporn</w:t>
      </w:r>
      <w:proofErr w:type="spellEnd"/>
      <w:r w:rsidRPr="00C66789">
        <w:t xml:space="preserve"> </w:t>
      </w:r>
      <w:r w:rsidRPr="00C66789">
        <w:rPr>
          <w:i/>
        </w:rPr>
        <w:t>et al</w:t>
      </w:r>
      <w:r w:rsidR="00AB710F">
        <w:t>.</w:t>
      </w:r>
      <w:r w:rsidRPr="00C66789">
        <w:t xml:space="preserve"> (2008) even indicated that on the average earnings management is not opportunistic but beneficial to a company. These statements are similar to the definition of white earnings management. Othe</w:t>
      </w:r>
      <w:r w:rsidRPr="004018DD">
        <w:t xml:space="preserve">r researchers argued that managers discretionarily manipulate the earnings </w:t>
      </w:r>
      <w:r>
        <w:t xml:space="preserve">information </w:t>
      </w:r>
      <w:r w:rsidRPr="00F06D74">
        <w:t>so u</w:t>
      </w:r>
      <w:r w:rsidRPr="004018DD">
        <w:t>sers cannot see the truth of the company due to the biased earnings information (</w:t>
      </w:r>
      <w:proofErr w:type="spellStart"/>
      <w:r w:rsidRPr="004018DD">
        <w:t>Dechow</w:t>
      </w:r>
      <w:proofErr w:type="spellEnd"/>
      <w:r w:rsidRPr="004018DD">
        <w:t xml:space="preserve"> and Skinner 2000; Healy and </w:t>
      </w:r>
      <w:proofErr w:type="spellStart"/>
      <w:r w:rsidRPr="004018DD">
        <w:t>Wahlen</w:t>
      </w:r>
      <w:proofErr w:type="spellEnd"/>
      <w:r w:rsidRPr="004018DD">
        <w:t xml:space="preserve"> 1999; </w:t>
      </w:r>
      <w:proofErr w:type="spellStart"/>
      <w:r w:rsidRPr="004018DD">
        <w:t>Schipper</w:t>
      </w:r>
      <w:proofErr w:type="spellEnd"/>
      <w:r w:rsidRPr="004018DD">
        <w:t xml:space="preserve"> 1989).</w:t>
      </w:r>
    </w:p>
    <w:p w:rsidR="00E02AB1" w:rsidRDefault="00E02AB1" w:rsidP="00666575">
      <w:r w:rsidRPr="00C66789">
        <w:t>In this research thesis, the relationship between corporate governance and earnings management</w:t>
      </w:r>
      <w:r w:rsidR="008304FE">
        <w:t xml:space="preserve"> is one of the research subjects</w:t>
      </w:r>
      <w:r w:rsidRPr="00C66789">
        <w:t>. It has been argued that corporate governance could reduce activities of manipulating earnings (</w:t>
      </w:r>
      <w:proofErr w:type="spellStart"/>
      <w:r w:rsidRPr="00C66789">
        <w:t>Shen</w:t>
      </w:r>
      <w:proofErr w:type="spellEnd"/>
      <w:r w:rsidRPr="00C66789">
        <w:t xml:space="preserve"> and </w:t>
      </w:r>
      <w:proofErr w:type="spellStart"/>
      <w:r w:rsidRPr="00C66789">
        <w:t>Chih</w:t>
      </w:r>
      <w:proofErr w:type="spellEnd"/>
      <w:r w:rsidRPr="00C66789">
        <w:t xml:space="preserve"> 2007; Cornett </w:t>
      </w:r>
      <w:r w:rsidRPr="00C66789">
        <w:rPr>
          <w:i/>
        </w:rPr>
        <w:t>et al</w:t>
      </w:r>
      <w:r w:rsidR="00AB710F">
        <w:t>.</w:t>
      </w:r>
      <w:r w:rsidRPr="00C66789">
        <w:t xml:space="preserve"> 2009). Therefore, in this study earnings management is viewed as discretionary behavior by management which may distort financial reporting and mislead some users.</w:t>
      </w:r>
    </w:p>
    <w:p w:rsidR="00E02AB1" w:rsidRPr="004018DD" w:rsidRDefault="00E02AB1" w:rsidP="00666575">
      <w:r w:rsidRPr="004018DD">
        <w:t>After introducing definition</w:t>
      </w:r>
      <w:r>
        <w:t>s</w:t>
      </w:r>
      <w:r w:rsidRPr="004018DD">
        <w:t xml:space="preserve"> and the relevant arguments of the earnings management, a question which needs to be answered is that what are the motivations of earnings management by managers? The following are some explanations from Healy (1999):</w:t>
      </w:r>
    </w:p>
    <w:p w:rsidR="00E02AB1" w:rsidRPr="009F4122" w:rsidRDefault="00E02AB1" w:rsidP="002E1543">
      <w:pPr>
        <w:pStyle w:val="ListParagraph"/>
        <w:numPr>
          <w:ilvl w:val="0"/>
          <w:numId w:val="1"/>
        </w:numPr>
        <w:spacing w:before="100" w:beforeAutospacing="1" w:after="100" w:afterAutospacing="1" w:line="360" w:lineRule="auto"/>
        <w:jc w:val="both"/>
        <w:rPr>
          <w:rFonts w:ascii="Times New Roman" w:hAnsi="Times New Roman" w:cs="Times New Roman"/>
          <w:sz w:val="24"/>
          <w:szCs w:val="24"/>
        </w:rPr>
      </w:pPr>
      <w:r w:rsidRPr="009F4122">
        <w:rPr>
          <w:rFonts w:ascii="Times New Roman" w:hAnsi="Times New Roman" w:cs="Times New Roman"/>
          <w:sz w:val="24"/>
          <w:szCs w:val="24"/>
        </w:rPr>
        <w:t xml:space="preserve">Capital market motivation  </w:t>
      </w:r>
    </w:p>
    <w:p w:rsidR="00E02AB1" w:rsidRPr="004018DD" w:rsidRDefault="00E02AB1" w:rsidP="00666575">
      <w:proofErr w:type="spellStart"/>
      <w:r w:rsidRPr="004018DD">
        <w:t>Trueman</w:t>
      </w:r>
      <w:proofErr w:type="spellEnd"/>
      <w:r w:rsidRPr="004018DD">
        <w:t xml:space="preserve"> and Titman (1988) claimed that corporate managers have incentives to smooth the companies’ income. The purpose of this action is to keep the company like stable and to avoid the stock price decline. It is well known that financial analysts use the information of financial reports to perform prospective analysis and determine the future performance of a company. Analysts usually set standards to some key figures in the coming years such as future Sales, future Earnings, and etc. If a company fails to meet the standards provided by analysts, the stock price of that </w:t>
      </w:r>
      <w:r w:rsidRPr="004018DD">
        <w:lastRenderedPageBreak/>
        <w:t xml:space="preserve">company will decrease significantly. Therefore, managers have strong incentives to achieve those earnings standards by using earnings management. </w:t>
      </w:r>
      <w:proofErr w:type="spellStart"/>
      <w:r w:rsidRPr="004018DD">
        <w:t>Teoh</w:t>
      </w:r>
      <w:proofErr w:type="spellEnd"/>
      <w:r w:rsidRPr="004018DD">
        <w:t xml:space="preserve"> </w:t>
      </w:r>
      <w:r w:rsidRPr="004018DD">
        <w:rPr>
          <w:i/>
        </w:rPr>
        <w:t>et al</w:t>
      </w:r>
      <w:r w:rsidRPr="004018DD">
        <w:t>. (1998) found that managers would adopt income-increasing depreciation policies during the periods prior to initial public offerings (IPO). This means that managers would overstate earnings before the company IPO and try to attract the attention of investors.</w:t>
      </w:r>
    </w:p>
    <w:p w:rsidR="00E02AB1" w:rsidRPr="009F4122" w:rsidRDefault="00E02AB1" w:rsidP="002E1543">
      <w:pPr>
        <w:pStyle w:val="ListParagraph"/>
        <w:numPr>
          <w:ilvl w:val="0"/>
          <w:numId w:val="1"/>
        </w:numPr>
        <w:spacing w:after="0" w:line="360" w:lineRule="auto"/>
        <w:jc w:val="both"/>
        <w:rPr>
          <w:rFonts w:ascii="Times New Roman" w:hAnsi="Times New Roman" w:cs="Times New Roman"/>
          <w:sz w:val="24"/>
          <w:szCs w:val="24"/>
        </w:rPr>
      </w:pPr>
      <w:r w:rsidRPr="009F4122">
        <w:rPr>
          <w:rFonts w:ascii="Times New Roman" w:hAnsi="Times New Roman" w:cs="Times New Roman"/>
          <w:sz w:val="24"/>
          <w:szCs w:val="24"/>
        </w:rPr>
        <w:t xml:space="preserve">Contracting motivation </w:t>
      </w:r>
    </w:p>
    <w:p w:rsidR="00E02AB1" w:rsidRPr="004018DD" w:rsidRDefault="00E02AB1" w:rsidP="00666575">
      <w:r w:rsidRPr="004018DD">
        <w:t xml:space="preserve">According to Healy and </w:t>
      </w:r>
      <w:proofErr w:type="spellStart"/>
      <w:r w:rsidRPr="004018DD">
        <w:t>Wahlen</w:t>
      </w:r>
      <w:proofErr w:type="spellEnd"/>
      <w:r w:rsidRPr="004018DD">
        <w:t xml:space="preserve"> (1999), there are two types of contracts. The first one is management compensation contract. Accounting income is a key figure to evaluate the performance of a firm. Meanwhile, it is also a key benchmark to assess the performance of managers. Furthermore, the compensation which includes salary, bonus and stock options depends on the evaluation of the performance of the managers. Therefore, managers have incentives to manipulate earnings because poor performance will affect the compensation and bonus. Even more, managers will lose the jobs. </w:t>
      </w:r>
      <w:proofErr w:type="spellStart"/>
      <w:r w:rsidRPr="004018DD">
        <w:t>Matsunaga</w:t>
      </w:r>
      <w:proofErr w:type="spellEnd"/>
      <w:r w:rsidRPr="004018DD">
        <w:t xml:space="preserve"> and Park (2001) found that CEOs’ bonus will be lower when the earnings information misses the analysts’ forecasts. The second one is lending contract which relates to debt covenant hypothesis. The basic idea of this hypothesis is that firm with a lot of debts has motivation to manage earnings. The root of this motivation is that they do not want to breach the debt covenant. This hypothesis will discuss deeper in Section 2.3.2 (positive accounting theory). </w:t>
      </w:r>
    </w:p>
    <w:p w:rsidR="00E02AB1" w:rsidRPr="009F4122" w:rsidRDefault="00E02AB1" w:rsidP="002E1543">
      <w:pPr>
        <w:pStyle w:val="ListParagraph"/>
        <w:numPr>
          <w:ilvl w:val="0"/>
          <w:numId w:val="1"/>
        </w:numPr>
        <w:spacing w:before="100" w:beforeAutospacing="1" w:after="100" w:afterAutospacing="1" w:line="360" w:lineRule="auto"/>
        <w:jc w:val="both"/>
        <w:rPr>
          <w:rFonts w:ascii="Times New Roman" w:hAnsi="Times New Roman" w:cs="Times New Roman"/>
          <w:sz w:val="24"/>
          <w:szCs w:val="24"/>
        </w:rPr>
      </w:pPr>
      <w:r w:rsidRPr="009F4122">
        <w:rPr>
          <w:rFonts w:ascii="Times New Roman" w:hAnsi="Times New Roman" w:cs="Times New Roman"/>
          <w:sz w:val="24"/>
          <w:szCs w:val="24"/>
        </w:rPr>
        <w:t>Regulatory incentives</w:t>
      </w:r>
    </w:p>
    <w:p w:rsidR="00E02AB1" w:rsidRPr="004018DD" w:rsidRDefault="00E02AB1" w:rsidP="00666575">
      <w:r w:rsidRPr="004018DD">
        <w:t>Political cost hypothesis was stated by Watts and Zimmerman (1986). According to this hypothesis, managers of big firms have motivations to reduce the earnings because the high earnings information will draw the attention of the regulators and the government and the labor unions. Jones (1991) found that the company uses earnings management to reduce the reported earnings during import relief investigations performed by the United States International Trade Commission.</w:t>
      </w:r>
    </w:p>
    <w:p w:rsidR="00E02AB1" w:rsidRPr="004018DD" w:rsidRDefault="00E02AB1" w:rsidP="00252752">
      <w:pPr>
        <w:pStyle w:val="Heading3"/>
      </w:pPr>
      <w:bookmarkStart w:id="13" w:name="_Toc400916039"/>
      <w:r w:rsidRPr="004018DD">
        <w:t>Measurements of earnings management</w:t>
      </w:r>
      <w:bookmarkEnd w:id="13"/>
    </w:p>
    <w:p w:rsidR="00E02AB1" w:rsidRPr="004018DD" w:rsidRDefault="00E02AB1" w:rsidP="00666575">
      <w:r w:rsidRPr="004018DD">
        <w:t xml:space="preserve">Before introducing the measurements of earnings management, it is necessary to know two main patterns of earnings management (Gunny, 2010). The first one is real activities earnings management. According to </w:t>
      </w:r>
      <w:proofErr w:type="spellStart"/>
      <w:r w:rsidRPr="004018DD">
        <w:t>Roychowdhury</w:t>
      </w:r>
      <w:proofErr w:type="spellEnd"/>
      <w:r w:rsidRPr="004018DD">
        <w:t xml:space="preserve"> (2006), the definition of real activities manipulation is “</w:t>
      </w:r>
      <w:r w:rsidRPr="004018DD">
        <w:rPr>
          <w:i/>
        </w:rPr>
        <w:t xml:space="preserve">departures from normal operational practices, </w:t>
      </w:r>
      <w:r w:rsidR="008C5399">
        <w:rPr>
          <w:i/>
        </w:rPr>
        <w:lastRenderedPageBreak/>
        <w:t>motivated by managers’</w:t>
      </w:r>
      <w:r w:rsidRPr="004018DD">
        <w:rPr>
          <w:i/>
        </w:rPr>
        <w:t xml:space="preserve"> desire to mislead at least some stakeholders into believing certain financial reporting goals have been met in the normal course of operations</w:t>
      </w:r>
      <w:r w:rsidRPr="004018DD">
        <w:t>.” Generally speaking, real activities earnings management means that the operation ac</w:t>
      </w:r>
      <w:r w:rsidR="00EF09FA">
        <w:t xml:space="preserve">tions chosen by management in order to </w:t>
      </w:r>
      <w:r w:rsidRPr="004018DD">
        <w:t xml:space="preserve">affect the users of financial reporting. </w:t>
      </w:r>
    </w:p>
    <w:p w:rsidR="00E02AB1" w:rsidRDefault="00E02AB1" w:rsidP="00666575">
      <w:r w:rsidRPr="004018DD">
        <w:t>Another pattern of earnings management is discretionary accruals</w:t>
      </w:r>
      <w:r>
        <w:t xml:space="preserve"> </w:t>
      </w:r>
      <w:r w:rsidRPr="00C66789">
        <w:t>management</w:t>
      </w:r>
      <w:r>
        <w:t xml:space="preserve"> which is</w:t>
      </w:r>
      <w:r w:rsidRPr="004018DD">
        <w:t xml:space="preserve"> widely used in previous and current years. Under Generally Accepted Accounting Principles </w:t>
      </w:r>
      <w:r w:rsidRPr="00C66789">
        <w:t>(GAAP), managers are required to use accruals to reduce timing and matching problems. However, accruals can be applied to manipulate earnings in order to meet or just beat the analysts’ forecast or other self-interested incentives (Hsu, 2013). This discretionary behavior by management distorts the true face of the company. The biased financial information provided by management will influence the users’ judgment of the company.</w:t>
      </w:r>
      <w:r w:rsidRPr="004018DD">
        <w:t xml:space="preserve"> </w:t>
      </w:r>
    </w:p>
    <w:p w:rsidR="00E02AB1" w:rsidRPr="00C66789" w:rsidRDefault="00E02AB1" w:rsidP="00666575">
      <w:r w:rsidRPr="00C66789">
        <w:t>In this research thesis, discretionary accruals will be employed to proxy earnings management. In the prior empirical evidence, lots of literature use discretionary accrual</w:t>
      </w:r>
      <w:r w:rsidR="00E46797">
        <w:t>s</w:t>
      </w:r>
      <w:r w:rsidRPr="00C66789">
        <w:t xml:space="preserve"> to proxy earnings management, specifically in China evidence (Liu and Lu, 2007; </w:t>
      </w:r>
      <w:proofErr w:type="spellStart"/>
      <w:r w:rsidRPr="00C66789">
        <w:t>Gulzar</w:t>
      </w:r>
      <w:proofErr w:type="spellEnd"/>
      <w:r w:rsidRPr="00C66789">
        <w:rPr>
          <w:i/>
        </w:rPr>
        <w:t xml:space="preserve"> et al</w:t>
      </w:r>
      <w:r w:rsidRPr="00550701">
        <w:t>.</w:t>
      </w:r>
      <w:r w:rsidR="008C5399">
        <w:t>,</w:t>
      </w:r>
      <w:r w:rsidRPr="00C66789">
        <w:rPr>
          <w:i/>
        </w:rPr>
        <w:t xml:space="preserve"> </w:t>
      </w:r>
      <w:r w:rsidRPr="00C66789">
        <w:t xml:space="preserve">2011). Moreover, it is more appropriate to compare the research outcomes based on the same measurement of earnings management. </w:t>
      </w:r>
    </w:p>
    <w:p w:rsidR="00E02AB1" w:rsidRPr="00E568D8" w:rsidRDefault="00E02AB1" w:rsidP="00666575">
      <w:pPr>
        <w:rPr>
          <w:color w:val="FF0000"/>
        </w:rPr>
      </w:pPr>
      <w:r w:rsidRPr="004018DD">
        <w:t xml:space="preserve">There are various accrual-based models in research articles, such as the Healy Model, the </w:t>
      </w:r>
      <w:proofErr w:type="spellStart"/>
      <w:r w:rsidRPr="004018DD">
        <w:t>DeAngelo</w:t>
      </w:r>
      <w:proofErr w:type="spellEnd"/>
      <w:r w:rsidRPr="004018DD">
        <w:t xml:space="preserve"> Model, the Jones Model and the Modified Jones Model, etc. (Healy, 1985; </w:t>
      </w:r>
      <w:proofErr w:type="spellStart"/>
      <w:r w:rsidRPr="004018DD">
        <w:t>DeAngelo</w:t>
      </w:r>
      <w:proofErr w:type="spellEnd"/>
      <w:r w:rsidRPr="004018DD">
        <w:t xml:space="preserve">, 1986; Jones, 1991; </w:t>
      </w:r>
      <w:proofErr w:type="spellStart"/>
      <w:r w:rsidRPr="004018DD">
        <w:t>Dechow</w:t>
      </w:r>
      <w:proofErr w:type="spellEnd"/>
      <w:r w:rsidRPr="004018DD">
        <w:t xml:space="preserve"> </w:t>
      </w:r>
      <w:r w:rsidRPr="004018DD">
        <w:rPr>
          <w:i/>
        </w:rPr>
        <w:t>et al</w:t>
      </w:r>
      <w:r w:rsidRPr="004018DD">
        <w:t xml:space="preserve">., 1995). Before introducing these models, it is necessary to understand total </w:t>
      </w:r>
      <w:r w:rsidR="00E46797" w:rsidRPr="004018DD">
        <w:t>accrual</w:t>
      </w:r>
      <w:r w:rsidR="00E46797">
        <w:t>s, which is</w:t>
      </w:r>
      <w:r w:rsidRPr="004018DD">
        <w:t xml:space="preserve"> the starting point of measuring discretionary accruals. </w:t>
      </w:r>
    </w:p>
    <w:p w:rsidR="00E02AB1" w:rsidRPr="004018DD" w:rsidRDefault="00370892" w:rsidP="00666575">
      <w:r>
        <w:t xml:space="preserve">Earnings </w:t>
      </w:r>
      <w:r w:rsidR="00E02AB1" w:rsidRPr="004018DD">
        <w:t>management occurs when managers use discretion in accounting informat</w:t>
      </w:r>
      <w:r>
        <w:t xml:space="preserve">ion </w:t>
      </w:r>
      <w:r w:rsidR="00E02AB1" w:rsidRPr="004018DD">
        <w:t>producing process. According to accrual-based method, total accrual</w:t>
      </w:r>
      <w:r w:rsidR="00E46797">
        <w:t>s</w:t>
      </w:r>
      <w:r w:rsidR="00E02AB1" w:rsidRPr="004018DD">
        <w:t xml:space="preserve"> should be categorized into discretionary accrual</w:t>
      </w:r>
      <w:r w:rsidR="00E46797">
        <w:t>s</w:t>
      </w:r>
      <w:r w:rsidR="00E02AB1" w:rsidRPr="004018DD">
        <w:t xml:space="preserve"> and non-discretionary accrual</w:t>
      </w:r>
      <w:r w:rsidR="00E46797">
        <w:t>s</w:t>
      </w:r>
      <w:r w:rsidR="00E02AB1" w:rsidRPr="004018DD">
        <w:t xml:space="preserve"> (see </w:t>
      </w:r>
      <w:r w:rsidR="00A33CB4">
        <w:t>equation</w:t>
      </w:r>
      <w:r w:rsidR="00E02AB1" w:rsidRPr="004018DD">
        <w:t xml:space="preserve"> </w:t>
      </w:r>
      <w:r w:rsidR="00A33CB4">
        <w:t>2.</w:t>
      </w:r>
      <w:r w:rsidR="00E02AB1" w:rsidRPr="004018DD">
        <w:t xml:space="preserve">1). Discretionary accruals are often adopted as a proxy for earnings management. However, it is difficult to </w:t>
      </w:r>
      <w:r w:rsidR="00E02AB1" w:rsidRPr="00971045">
        <w:t>directly</w:t>
      </w:r>
      <w:r w:rsidR="00E02AB1">
        <w:t xml:space="preserve"> </w:t>
      </w:r>
      <w:r w:rsidR="00E02AB1" w:rsidRPr="004018DD">
        <w:t xml:space="preserve">identify which part of total </w:t>
      </w:r>
      <w:r w:rsidR="00E02AB1" w:rsidRPr="00C66789">
        <w:t>accruals are non-discretionary accruals and which part are discretionary accruals. Since management may use discretionary room differently at different time, it is hard to evaluate the discretionary behavior by managers exactly.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3"/>
        <w:gridCol w:w="6818"/>
        <w:gridCol w:w="852"/>
      </w:tblGrid>
      <w:tr w:rsidR="00E02AB1" w:rsidRPr="004018DD" w:rsidTr="00E02AB1">
        <w:tc>
          <w:tcPr>
            <w:tcW w:w="500" w:type="pct"/>
            <w:shd w:val="clear" w:color="auto" w:fill="auto"/>
            <w:vAlign w:val="center"/>
          </w:tcPr>
          <w:p w:rsidR="00E02AB1" w:rsidRPr="004018DD" w:rsidRDefault="00E02AB1" w:rsidP="00E02AB1">
            <w:pPr>
              <w:spacing w:before="100" w:beforeAutospacing="1" w:after="100" w:afterAutospacing="1"/>
              <w:jc w:val="center"/>
              <w:rPr>
                <w:rFonts w:cs="Times New Roman"/>
                <w:szCs w:val="24"/>
              </w:rPr>
            </w:pPr>
          </w:p>
        </w:tc>
        <w:tc>
          <w:tcPr>
            <w:tcW w:w="4000" w:type="pct"/>
            <w:shd w:val="clear" w:color="auto" w:fill="auto"/>
            <w:vAlign w:val="center"/>
          </w:tcPr>
          <w:p w:rsidR="00E02AB1" w:rsidRPr="007157D6" w:rsidRDefault="00E02AB1" w:rsidP="00E02AB1">
            <w:pPr>
              <w:spacing w:before="100" w:beforeAutospacing="1" w:after="100" w:afterAutospacing="1"/>
              <w:jc w:val="center"/>
              <w:rPr>
                <w:rFonts w:cs="Times New Roman"/>
                <w:szCs w:val="24"/>
              </w:rPr>
            </w:pPr>
            <m:oMathPara>
              <m:oMath>
                <m:r>
                  <m:rPr>
                    <m:sty m:val="p"/>
                  </m:rPr>
                  <w:rPr>
                    <w:rFonts w:ascii="Cambria Math" w:hAnsi="Cambria Math" w:cs="Times New Roman"/>
                    <w:szCs w:val="24"/>
                  </w:rPr>
                  <m:t>T</m:t>
                </m:r>
                <m:sSub>
                  <m:sSubPr>
                    <m:ctrlPr>
                      <w:rPr>
                        <w:rFonts w:ascii="Cambria Math" w:hAnsi="Cambria Math" w:cs="Times New Roman"/>
                        <w:szCs w:val="24"/>
                      </w:rPr>
                    </m:ctrlPr>
                  </m:sSubPr>
                  <m:e>
                    <m:r>
                      <m:rPr>
                        <m:sty m:val="p"/>
                      </m:rPr>
                      <w:rPr>
                        <w:rFonts w:ascii="Cambria Math" w:hAnsi="Cambria Math" w:cs="Times New Roman"/>
                        <w:szCs w:val="24"/>
                      </w:rPr>
                      <m:t>A</m:t>
                    </m:r>
                  </m:e>
                  <m:sub>
                    <m:r>
                      <m:rPr>
                        <m:sty m:val="p"/>
                      </m:rPr>
                      <w:rPr>
                        <w:rFonts w:ascii="Cambria Math" w:hAnsi="Cambria Math" w:cs="Times New Roman"/>
                        <w:szCs w:val="24"/>
                      </w:rPr>
                      <m:t>t</m:t>
                    </m:r>
                  </m:sub>
                </m:sSub>
                <m:r>
                  <m:rPr>
                    <m:sty m:val="p"/>
                  </m:rPr>
                  <w:rPr>
                    <w:rFonts w:ascii="Cambria Math" w:cs="Times New Roman"/>
                    <w:szCs w:val="24"/>
                  </w:rPr>
                  <m:t>=</m:t>
                </m:r>
                <m:r>
                  <m:rPr>
                    <m:sty m:val="p"/>
                  </m:rPr>
                  <w:rPr>
                    <w:rFonts w:ascii="Cambria Math" w:hAnsi="Cambria Math" w:cs="Times New Roman"/>
                    <w:szCs w:val="24"/>
                  </w:rPr>
                  <m:t>ND</m:t>
                </m:r>
                <m:sSub>
                  <m:sSubPr>
                    <m:ctrlPr>
                      <w:rPr>
                        <w:rFonts w:ascii="Cambria Math" w:hAnsi="Cambria Math" w:cs="Times New Roman"/>
                        <w:szCs w:val="24"/>
                      </w:rPr>
                    </m:ctrlPr>
                  </m:sSubPr>
                  <m:e>
                    <m:r>
                      <m:rPr>
                        <m:sty m:val="p"/>
                      </m:rPr>
                      <w:rPr>
                        <w:rFonts w:ascii="Cambria Math" w:hAnsi="Cambria Math" w:cs="Times New Roman"/>
                        <w:szCs w:val="24"/>
                      </w:rPr>
                      <m:t>A</m:t>
                    </m:r>
                  </m:e>
                  <m:sub>
                    <m:r>
                      <m:rPr>
                        <m:sty m:val="p"/>
                      </m:rPr>
                      <w:rPr>
                        <w:rFonts w:ascii="Cambria Math" w:hAnsi="Cambria Math" w:cs="Times New Roman"/>
                        <w:szCs w:val="24"/>
                      </w:rPr>
                      <m:t>t</m:t>
                    </m:r>
                  </m:sub>
                </m:sSub>
                <m:r>
                  <m:rPr>
                    <m:sty m:val="p"/>
                  </m:rPr>
                  <w:rPr>
                    <w:rFonts w:ascii="Cambria Math" w:cs="Times New Roman"/>
                    <w:szCs w:val="24"/>
                  </w:rPr>
                  <m:t>+</m:t>
                </m:r>
                <m:r>
                  <m:rPr>
                    <m:sty m:val="p"/>
                  </m:rPr>
                  <w:rPr>
                    <w:rFonts w:ascii="Cambria Math" w:hAnsi="Cambria Math" w:cs="Times New Roman"/>
                    <w:szCs w:val="24"/>
                  </w:rPr>
                  <m:t>D</m:t>
                </m:r>
                <m:sSub>
                  <m:sSubPr>
                    <m:ctrlPr>
                      <w:rPr>
                        <w:rFonts w:ascii="Cambria Math" w:hAnsi="Cambria Math" w:cs="Times New Roman"/>
                        <w:szCs w:val="24"/>
                      </w:rPr>
                    </m:ctrlPr>
                  </m:sSubPr>
                  <m:e>
                    <m:r>
                      <m:rPr>
                        <m:sty m:val="p"/>
                      </m:rPr>
                      <w:rPr>
                        <w:rFonts w:ascii="Cambria Math" w:hAnsi="Cambria Math" w:cs="Times New Roman"/>
                        <w:szCs w:val="24"/>
                      </w:rPr>
                      <m:t>A</m:t>
                    </m:r>
                  </m:e>
                  <m:sub>
                    <m:r>
                      <m:rPr>
                        <m:sty m:val="p"/>
                      </m:rPr>
                      <w:rPr>
                        <w:rFonts w:ascii="Cambria Math" w:hAnsi="Cambria Math" w:cs="Times New Roman"/>
                        <w:szCs w:val="24"/>
                      </w:rPr>
                      <m:t>t</m:t>
                    </m:r>
                  </m:sub>
                </m:sSub>
              </m:oMath>
            </m:oMathPara>
          </w:p>
        </w:tc>
        <w:tc>
          <w:tcPr>
            <w:tcW w:w="500" w:type="pct"/>
            <w:shd w:val="clear" w:color="auto" w:fill="auto"/>
            <w:vAlign w:val="center"/>
          </w:tcPr>
          <w:p w:rsidR="00E02AB1" w:rsidRPr="004018DD" w:rsidRDefault="00E02AB1" w:rsidP="00E02AB1">
            <w:pPr>
              <w:spacing w:before="100" w:beforeAutospacing="1" w:after="100" w:afterAutospacing="1"/>
              <w:jc w:val="center"/>
              <w:rPr>
                <w:rFonts w:cs="Times New Roman"/>
                <w:szCs w:val="24"/>
              </w:rPr>
            </w:pPr>
            <w:r w:rsidRPr="004018DD">
              <w:rPr>
                <w:rFonts w:cs="Times New Roman"/>
                <w:szCs w:val="24"/>
              </w:rPr>
              <w:t>(</w:t>
            </w:r>
            <w:r w:rsidR="00A33CB4">
              <w:rPr>
                <w:rFonts w:cs="Times New Roman"/>
                <w:szCs w:val="24"/>
              </w:rPr>
              <w:t>2.</w:t>
            </w:r>
            <w:r w:rsidRPr="004018DD">
              <w:rPr>
                <w:rFonts w:cs="Times New Roman"/>
                <w:szCs w:val="24"/>
              </w:rPr>
              <w:t>1)</w:t>
            </w:r>
          </w:p>
        </w:tc>
      </w:tr>
    </w:tbl>
    <w:p w:rsidR="00E02AB1" w:rsidRPr="004018DD" w:rsidRDefault="00E02AB1" w:rsidP="00E02AB1">
      <w:pPr>
        <w:rPr>
          <w:rFonts w:cs="Times New Roman"/>
        </w:rPr>
      </w:pPr>
      <w:r w:rsidRPr="004018DD">
        <w:rPr>
          <w:rFonts w:cs="Times New Roman"/>
        </w:rPr>
        <w:t>Where:</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32"/>
        <w:gridCol w:w="2772"/>
      </w:tblGrid>
      <w:tr w:rsidR="00E02AB1" w:rsidRPr="00512173" w:rsidTr="001814DE">
        <w:trPr>
          <w:trHeight w:val="576"/>
          <w:jc w:val="center"/>
        </w:trPr>
        <w:tc>
          <w:tcPr>
            <w:tcW w:w="0" w:type="auto"/>
            <w:vAlign w:val="center"/>
          </w:tcPr>
          <w:p w:rsidR="00E02AB1" w:rsidRPr="004018DD" w:rsidRDefault="00E02AB1" w:rsidP="00E02AB1">
            <w:pPr>
              <w:spacing w:before="60"/>
              <w:rPr>
                <w:rFonts w:cs="Times New Roman"/>
                <w:szCs w:val="24"/>
              </w:rPr>
            </w:pPr>
            <w:proofErr w:type="spellStart"/>
            <w:r w:rsidRPr="004018DD">
              <w:rPr>
                <w:rFonts w:cs="Times New Roman"/>
                <w:szCs w:val="24"/>
              </w:rPr>
              <w:lastRenderedPageBreak/>
              <w:t>TA</w:t>
            </w:r>
            <w:r w:rsidRPr="004018DD">
              <w:rPr>
                <w:rFonts w:cs="Times New Roman"/>
                <w:vertAlign w:val="subscript"/>
              </w:rPr>
              <w:t>t</w:t>
            </w:r>
            <w:proofErr w:type="spellEnd"/>
          </w:p>
        </w:tc>
        <w:tc>
          <w:tcPr>
            <w:tcW w:w="0" w:type="auto"/>
            <w:vAlign w:val="center"/>
          </w:tcPr>
          <w:p w:rsidR="00E02AB1" w:rsidRPr="004018DD" w:rsidRDefault="00E02AB1" w:rsidP="00E02AB1">
            <w:pPr>
              <w:spacing w:before="60"/>
              <w:rPr>
                <w:rFonts w:cs="Times New Roman"/>
                <w:szCs w:val="24"/>
              </w:rPr>
            </w:pPr>
            <w:r w:rsidRPr="004018DD">
              <w:rPr>
                <w:rFonts w:cs="Times New Roman"/>
              </w:rPr>
              <w:t>= Total accruals</w:t>
            </w:r>
            <w:r w:rsidRPr="004018DD">
              <w:rPr>
                <w:rFonts w:cs="Times New Roman"/>
                <w:szCs w:val="24"/>
              </w:rPr>
              <w:t xml:space="preserve"> </w:t>
            </w:r>
            <w:r w:rsidRPr="004018DD">
              <w:rPr>
                <w:rFonts w:cs="Times New Roman"/>
              </w:rPr>
              <w:t>in year t</w:t>
            </w:r>
          </w:p>
        </w:tc>
      </w:tr>
      <w:tr w:rsidR="00E02AB1" w:rsidRPr="004018DD" w:rsidTr="001814DE">
        <w:trPr>
          <w:trHeight w:val="576"/>
          <w:jc w:val="center"/>
        </w:trPr>
        <w:tc>
          <w:tcPr>
            <w:tcW w:w="0" w:type="auto"/>
            <w:vAlign w:val="center"/>
          </w:tcPr>
          <w:p w:rsidR="00E02AB1" w:rsidRPr="004018DD" w:rsidRDefault="00E02AB1" w:rsidP="00E02AB1">
            <w:pPr>
              <w:spacing w:before="60"/>
              <w:rPr>
                <w:rFonts w:cs="Times New Roman"/>
                <w:szCs w:val="24"/>
              </w:rPr>
            </w:pPr>
            <w:proofErr w:type="spellStart"/>
            <w:r w:rsidRPr="004018DD">
              <w:rPr>
                <w:rFonts w:cs="Times New Roman"/>
                <w:szCs w:val="24"/>
              </w:rPr>
              <w:t>NDA</w:t>
            </w:r>
            <w:r w:rsidRPr="004018DD">
              <w:rPr>
                <w:rFonts w:cs="Times New Roman"/>
                <w:vertAlign w:val="subscript"/>
              </w:rPr>
              <w:t>t</w:t>
            </w:r>
            <w:proofErr w:type="spellEnd"/>
          </w:p>
        </w:tc>
        <w:tc>
          <w:tcPr>
            <w:tcW w:w="0" w:type="auto"/>
            <w:vAlign w:val="center"/>
          </w:tcPr>
          <w:p w:rsidR="00E02AB1" w:rsidRPr="004018DD" w:rsidRDefault="00E02AB1" w:rsidP="00E02AB1">
            <w:pPr>
              <w:spacing w:before="60"/>
              <w:rPr>
                <w:rFonts w:cs="Times New Roman"/>
                <w:szCs w:val="24"/>
              </w:rPr>
            </w:pPr>
            <w:r w:rsidRPr="004018DD">
              <w:rPr>
                <w:rFonts w:cs="Times New Roman"/>
              </w:rPr>
              <w:t>= Non-discretionary accruals</w:t>
            </w:r>
          </w:p>
        </w:tc>
      </w:tr>
      <w:tr w:rsidR="00E02AB1" w:rsidRPr="004018DD" w:rsidTr="001814DE">
        <w:trPr>
          <w:trHeight w:val="576"/>
          <w:jc w:val="center"/>
        </w:trPr>
        <w:tc>
          <w:tcPr>
            <w:tcW w:w="0" w:type="auto"/>
            <w:vAlign w:val="center"/>
          </w:tcPr>
          <w:p w:rsidR="00E02AB1" w:rsidRPr="004018DD" w:rsidRDefault="00E02AB1" w:rsidP="001814DE">
            <w:pPr>
              <w:spacing w:before="60"/>
              <w:rPr>
                <w:rFonts w:cs="Times New Roman"/>
                <w:szCs w:val="24"/>
              </w:rPr>
            </w:pPr>
            <w:proofErr w:type="spellStart"/>
            <w:r w:rsidRPr="004018DD">
              <w:rPr>
                <w:rFonts w:cs="Times New Roman"/>
                <w:szCs w:val="24"/>
              </w:rPr>
              <w:t>DA</w:t>
            </w:r>
            <w:r w:rsidRPr="004018DD">
              <w:rPr>
                <w:rFonts w:cs="Times New Roman"/>
                <w:szCs w:val="24"/>
                <w:vertAlign w:val="subscript"/>
              </w:rPr>
              <w:t>t</w:t>
            </w:r>
            <w:proofErr w:type="spellEnd"/>
          </w:p>
        </w:tc>
        <w:tc>
          <w:tcPr>
            <w:tcW w:w="0" w:type="auto"/>
            <w:vAlign w:val="center"/>
          </w:tcPr>
          <w:p w:rsidR="00E02AB1" w:rsidRPr="004018DD" w:rsidRDefault="00E02AB1" w:rsidP="00E02AB1">
            <w:pPr>
              <w:spacing w:before="60"/>
              <w:rPr>
                <w:rFonts w:cs="Times New Roman"/>
                <w:szCs w:val="24"/>
              </w:rPr>
            </w:pPr>
            <w:r w:rsidRPr="004018DD">
              <w:rPr>
                <w:rFonts w:cs="Times New Roman"/>
              </w:rPr>
              <w:t>= Discretionary accruals</w:t>
            </w:r>
          </w:p>
        </w:tc>
      </w:tr>
    </w:tbl>
    <w:p w:rsidR="00E02AB1" w:rsidRPr="004018DD" w:rsidRDefault="00E02AB1" w:rsidP="00666575">
      <w:r w:rsidRPr="00E0785E">
        <w:t>I</w:t>
      </w:r>
      <w:r w:rsidRPr="004018DD">
        <w:t xml:space="preserve">n the past years, researchers and analysts attempted to investigate and find out an effective </w:t>
      </w:r>
      <w:r w:rsidRPr="00C66789">
        <w:t xml:space="preserve">model to proxy earnings management. Before introducing these models, the calculation of the total accruals in prior research studies will be shown (Healy, 1985; </w:t>
      </w:r>
      <w:proofErr w:type="spellStart"/>
      <w:r w:rsidRPr="00C66789">
        <w:t>DeAngelo</w:t>
      </w:r>
      <w:proofErr w:type="spellEnd"/>
      <w:r w:rsidRPr="00C66789">
        <w:t xml:space="preserve"> 1986; Jones, 1991; </w:t>
      </w:r>
      <w:proofErr w:type="spellStart"/>
      <w:r w:rsidRPr="00C66789">
        <w:t>Dechow</w:t>
      </w:r>
      <w:proofErr w:type="spellEnd"/>
      <w:r w:rsidRPr="00C66789">
        <w:t xml:space="preserve"> </w:t>
      </w:r>
      <w:r w:rsidRPr="00C66789">
        <w:rPr>
          <w:i/>
        </w:rPr>
        <w:t>et al</w:t>
      </w:r>
      <w:r w:rsidRPr="00550701">
        <w:t>.</w:t>
      </w:r>
      <w:r w:rsidRPr="00C66789">
        <w:t>, 1995 etc.).</w:t>
      </w:r>
    </w:p>
    <w:tbl>
      <w:tblPr>
        <w:tblW w:w="5000" w:type="pct"/>
        <w:tblLook w:val="04A0"/>
      </w:tblPr>
      <w:tblGrid>
        <w:gridCol w:w="853"/>
        <w:gridCol w:w="6818"/>
        <w:gridCol w:w="852"/>
      </w:tblGrid>
      <w:tr w:rsidR="00E02AB1" w:rsidRPr="009F5360" w:rsidTr="00E02AB1">
        <w:tc>
          <w:tcPr>
            <w:tcW w:w="500" w:type="pct"/>
            <w:vAlign w:val="center"/>
          </w:tcPr>
          <w:p w:rsidR="00E02AB1" w:rsidRPr="00E0785E" w:rsidRDefault="00E02AB1" w:rsidP="00E02AB1">
            <w:pPr>
              <w:spacing w:before="60"/>
              <w:jc w:val="center"/>
              <w:rPr>
                <w:rFonts w:cs="Times New Roman"/>
              </w:rPr>
            </w:pPr>
          </w:p>
        </w:tc>
        <w:tc>
          <w:tcPr>
            <w:tcW w:w="4000" w:type="pct"/>
            <w:vAlign w:val="center"/>
          </w:tcPr>
          <w:p w:rsidR="00E02AB1" w:rsidRPr="009F5360" w:rsidRDefault="00EF1EDC" w:rsidP="00E02AB1">
            <w:pPr>
              <w:spacing w:before="60"/>
              <w:jc w:val="center"/>
              <w:rPr>
                <w:rFonts w:cs="Times New Roman"/>
              </w:rPr>
            </w:pPr>
            <m:oMathPara>
              <m:oMath>
                <m:f>
                  <m:fPr>
                    <m:ctrlPr>
                      <w:rPr>
                        <w:rFonts w:ascii="Cambria Math" w:hAnsi="Cambria Math" w:cs="Times New Roman"/>
                      </w:rPr>
                    </m:ctrlPr>
                  </m:fPr>
                  <m:num>
                    <m:r>
                      <m:rPr>
                        <m:sty m:val="p"/>
                      </m:rPr>
                      <w:rPr>
                        <w:rFonts w:ascii="Cambria Math" w:cs="Times New Roman"/>
                      </w:rPr>
                      <m:t>T</m:t>
                    </m:r>
                    <m:sSub>
                      <m:sSubPr>
                        <m:ctrlPr>
                          <w:rPr>
                            <w:rFonts w:ascii="Cambria Math" w:hAnsi="Cambria Math" w:cs="Times New Roman"/>
                            <w:lang w:val="nl-NL"/>
                          </w:rPr>
                        </m:ctrlPr>
                      </m:sSubPr>
                      <m:e>
                        <m:r>
                          <m:rPr>
                            <m:sty m:val="p"/>
                          </m:rPr>
                          <w:rPr>
                            <w:rFonts w:ascii="Cambria Math" w:cs="Times New Roman"/>
                          </w:rPr>
                          <m:t>A</m:t>
                        </m:r>
                      </m:e>
                      <m:sub>
                        <m:r>
                          <w:rPr>
                            <w:rFonts w:ascii="Cambria Math" w:cs="Times New Roman"/>
                          </w:rPr>
                          <m:t>t</m:t>
                        </m:r>
                      </m:sub>
                    </m:sSub>
                  </m:num>
                  <m:den>
                    <m:sSub>
                      <m:sSubPr>
                        <m:ctrlPr>
                          <w:rPr>
                            <w:rFonts w:ascii="Cambria Math" w:hAnsi="Cambria Math" w:cs="Times New Roman"/>
                            <w:vertAlign w:val="subscript"/>
                            <w:lang w:val="nl-NL"/>
                          </w:rPr>
                        </m:ctrlPr>
                      </m:sSubPr>
                      <m:e>
                        <m:r>
                          <m:rPr>
                            <m:sty m:val="p"/>
                          </m:rPr>
                          <w:rPr>
                            <w:rFonts w:ascii="Cambria Math" w:cs="Times New Roman"/>
                          </w:rPr>
                          <m:t>A</m:t>
                        </m:r>
                      </m:e>
                      <m:sub>
                        <m:r>
                          <m:rPr>
                            <m:sty m:val="p"/>
                          </m:rPr>
                          <w:rPr>
                            <w:rFonts w:ascii="Cambria Math" w:cs="Times New Roman"/>
                            <w:vertAlign w:val="subscript"/>
                          </w:rPr>
                          <m:t>t</m:t>
                        </m:r>
                        <m:r>
                          <m:rPr>
                            <m:sty m:val="p"/>
                          </m:rPr>
                          <w:rPr>
                            <w:rFonts w:ascii="Cambria Math" w:cs="Times New Roman"/>
                            <w:vertAlign w:val="subscript"/>
                          </w:rPr>
                          <m:t>-</m:t>
                        </m:r>
                        <m:r>
                          <m:rPr>
                            <m:sty m:val="p"/>
                          </m:rPr>
                          <w:rPr>
                            <w:rFonts w:ascii="Cambria Math" w:cs="Times New Roman"/>
                            <w:vertAlign w:val="subscript"/>
                          </w:rPr>
                          <m:t>1</m:t>
                        </m:r>
                      </m:sub>
                    </m:sSub>
                  </m:den>
                </m:f>
                <m:r>
                  <m:rPr>
                    <m:sty m:val="p"/>
                  </m:rPr>
                  <w:rPr>
                    <w:rFonts w:ascii="Cambria Math" w:cs="Times New Roman"/>
                  </w:rPr>
                  <m:t>=</m:t>
                </m:r>
                <m:f>
                  <m:fPr>
                    <m:ctrlPr>
                      <w:rPr>
                        <w:rFonts w:ascii="Cambria Math" w:hAnsi="Cambria Math" w:cs="Times New Roman"/>
                      </w:rPr>
                    </m:ctrlPr>
                  </m:fPr>
                  <m:num>
                    <m:d>
                      <m:dPr>
                        <m:ctrlPr>
                          <w:rPr>
                            <w:rFonts w:ascii="Cambria Math" w:hAnsi="Cambria Math" w:cs="Times New Roman"/>
                          </w:rPr>
                        </m:ctrlPr>
                      </m:dPr>
                      <m:e>
                        <m:r>
                          <m:rPr>
                            <m:sty m:val="p"/>
                          </m:rPr>
                          <w:rPr>
                            <w:rFonts w:ascii="Cambria Math" w:hAnsi="Cambria Math" w:cs="Times New Roman"/>
                          </w:rPr>
                          <m:t>∆</m:t>
                        </m:r>
                        <m:r>
                          <m:rPr>
                            <m:sty m:val="p"/>
                          </m:rPr>
                          <w:rPr>
                            <w:rFonts w:ascii="Cambria Math" w:cs="Times New Roman"/>
                          </w:rPr>
                          <m:t>C</m:t>
                        </m:r>
                        <m:sSub>
                          <m:sSubPr>
                            <m:ctrlPr>
                              <w:rPr>
                                <w:rFonts w:ascii="Cambria Math" w:hAnsi="Cambria Math" w:cs="Times New Roman"/>
                              </w:rPr>
                            </m:ctrlPr>
                          </m:sSubPr>
                          <m:e>
                            <m:r>
                              <m:rPr>
                                <m:sty m:val="p"/>
                              </m:rPr>
                              <w:rPr>
                                <w:rFonts w:ascii="Cambria Math" w:cs="Times New Roman"/>
                              </w:rPr>
                              <m:t>A</m:t>
                            </m:r>
                          </m:e>
                          <m:sub>
                            <m:r>
                              <m:rPr>
                                <m:sty m:val="p"/>
                              </m:rPr>
                              <w:rPr>
                                <w:rFonts w:ascii="Cambria Math" w:cs="Times New Roman"/>
                              </w:rPr>
                              <m:t>t</m:t>
                            </m:r>
                          </m:sub>
                        </m:sSub>
                        <m:r>
                          <m:rPr>
                            <m:sty m:val="p"/>
                          </m:rPr>
                          <w:rPr>
                            <w:rFonts w:ascii="Cambria Math" w:hAnsi="Cambria Math" w:cs="Times New Roman"/>
                          </w:rPr>
                          <m:t>-∆</m:t>
                        </m:r>
                        <m:r>
                          <m:rPr>
                            <m:sty m:val="p"/>
                          </m:rPr>
                          <w:rPr>
                            <w:rFonts w:ascii="Cambria Math" w:cs="Times New Roman"/>
                          </w:rPr>
                          <m:t>C</m:t>
                        </m:r>
                        <m:sSub>
                          <m:sSubPr>
                            <m:ctrlPr>
                              <w:rPr>
                                <w:rFonts w:ascii="Cambria Math" w:hAnsi="Cambria Math" w:cs="Times New Roman"/>
                              </w:rPr>
                            </m:ctrlPr>
                          </m:sSubPr>
                          <m:e>
                            <m:r>
                              <m:rPr>
                                <m:sty m:val="p"/>
                              </m:rPr>
                              <w:rPr>
                                <w:rFonts w:ascii="Cambria Math" w:cs="Times New Roman"/>
                              </w:rPr>
                              <m:t>L</m:t>
                            </m:r>
                          </m:e>
                          <m:sub>
                            <m:r>
                              <m:rPr>
                                <m:sty m:val="p"/>
                              </m:rPr>
                              <w:rPr>
                                <w:rFonts w:ascii="Cambria Math" w:cs="Times New Roman"/>
                              </w:rPr>
                              <m:t>t</m:t>
                            </m:r>
                          </m:sub>
                        </m:sSub>
                        <m:r>
                          <m:rPr>
                            <m:sty m:val="p"/>
                          </m:rPr>
                          <w:rPr>
                            <w:rFonts w:ascii="Cambria Math" w:hAnsi="Cambria Math" w:cs="Times New Roman"/>
                          </w:rPr>
                          <m:t>-∆</m:t>
                        </m:r>
                        <m:r>
                          <m:rPr>
                            <m:sty m:val="p"/>
                          </m:rPr>
                          <w:rPr>
                            <w:rFonts w:ascii="Cambria Math" w:cs="Times New Roman"/>
                          </w:rPr>
                          <m:t>CAS</m:t>
                        </m:r>
                        <m:sSub>
                          <m:sSubPr>
                            <m:ctrlPr>
                              <w:rPr>
                                <w:rFonts w:ascii="Cambria Math" w:hAnsi="Cambria Math" w:cs="Times New Roman"/>
                              </w:rPr>
                            </m:ctrlPr>
                          </m:sSubPr>
                          <m:e>
                            <m:r>
                              <m:rPr>
                                <m:sty m:val="p"/>
                              </m:rPr>
                              <w:rPr>
                                <w:rFonts w:ascii="Cambria Math" w:cs="Times New Roman"/>
                              </w:rPr>
                              <m:t>H</m:t>
                            </m:r>
                          </m:e>
                          <m:sub>
                            <m:r>
                              <m:rPr>
                                <m:sty m:val="p"/>
                              </m:rPr>
                              <w:rPr>
                                <w:rFonts w:ascii="Cambria Math" w:cs="Times New Roman"/>
                              </w:rPr>
                              <m:t>t</m:t>
                            </m:r>
                          </m:sub>
                        </m:sSub>
                        <m:r>
                          <m:rPr>
                            <m:sty m:val="p"/>
                          </m:rPr>
                          <w:rPr>
                            <w:rFonts w:ascii="Cambria Math" w:cs="Times New Roman"/>
                          </w:rPr>
                          <m:t xml:space="preserve">+ </m:t>
                        </m:r>
                        <m:r>
                          <m:rPr>
                            <m:sty m:val="p"/>
                          </m:rPr>
                          <w:rPr>
                            <w:rFonts w:ascii="Cambria Math" w:cs="Times New Roman"/>
                          </w:rPr>
                          <m:t>∆</m:t>
                        </m:r>
                        <m:r>
                          <m:rPr>
                            <m:sty m:val="p"/>
                          </m:rPr>
                          <w:rPr>
                            <w:rFonts w:ascii="Cambria Math" w:cs="Times New Roman"/>
                          </w:rPr>
                          <m:t>DEB</m:t>
                        </m:r>
                        <m:sSub>
                          <m:sSubPr>
                            <m:ctrlPr>
                              <w:rPr>
                                <w:rFonts w:ascii="Cambria Math" w:hAnsi="Cambria Math" w:cs="Times New Roman"/>
                              </w:rPr>
                            </m:ctrlPr>
                          </m:sSubPr>
                          <m:e>
                            <m:r>
                              <m:rPr>
                                <m:sty m:val="p"/>
                              </m:rPr>
                              <w:rPr>
                                <w:rFonts w:ascii="Cambria Math" w:cs="Times New Roman"/>
                              </w:rPr>
                              <m:t>T</m:t>
                            </m:r>
                          </m:e>
                          <m:sub>
                            <m:r>
                              <m:rPr>
                                <m:sty m:val="p"/>
                              </m:rPr>
                              <w:rPr>
                                <w:rFonts w:ascii="Cambria Math" w:cs="Times New Roman"/>
                              </w:rPr>
                              <m:t>t</m:t>
                            </m:r>
                          </m:sub>
                        </m:sSub>
                        <m:r>
                          <m:rPr>
                            <m:sty m:val="p"/>
                          </m:rPr>
                          <w:rPr>
                            <w:rFonts w:ascii="Cambria Math" w:hAnsi="Cambria Math" w:cs="Times New Roman"/>
                          </w:rPr>
                          <m:t>-</m:t>
                        </m:r>
                        <m:sSub>
                          <m:sSubPr>
                            <m:ctrlPr>
                              <w:rPr>
                                <w:rFonts w:ascii="Cambria Math" w:hAnsi="Cambria Math" w:cs="Times New Roman"/>
                              </w:rPr>
                            </m:ctrlPr>
                          </m:sSubPr>
                          <m:e>
                            <m:r>
                              <m:rPr>
                                <m:sty m:val="p"/>
                              </m:rPr>
                              <w:rPr>
                                <w:rFonts w:ascii="Cambria Math" w:cs="Times New Roman"/>
                              </w:rPr>
                              <m:t>DEP</m:t>
                            </m:r>
                          </m:e>
                          <m:sub>
                            <m:r>
                              <m:rPr>
                                <m:sty m:val="p"/>
                              </m:rPr>
                              <w:rPr>
                                <w:rFonts w:ascii="Cambria Math" w:cs="Times New Roman"/>
                              </w:rPr>
                              <m:t>t</m:t>
                            </m:r>
                          </m:sub>
                        </m:sSub>
                      </m:e>
                    </m:d>
                  </m:num>
                  <m:den>
                    <m:sSub>
                      <m:sSubPr>
                        <m:ctrlPr>
                          <w:rPr>
                            <w:rFonts w:ascii="Cambria Math" w:hAnsi="Cambria Math" w:cs="Times New Roman"/>
                            <w:vertAlign w:val="subscript"/>
                          </w:rPr>
                        </m:ctrlPr>
                      </m:sSubPr>
                      <m:e>
                        <m:r>
                          <m:rPr>
                            <m:sty m:val="p"/>
                          </m:rPr>
                          <w:rPr>
                            <w:rFonts w:ascii="Cambria Math" w:cs="Times New Roman"/>
                          </w:rPr>
                          <m:t>A</m:t>
                        </m:r>
                      </m:e>
                      <m:sub>
                        <m:r>
                          <m:rPr>
                            <m:sty m:val="p"/>
                          </m:rPr>
                          <w:rPr>
                            <w:rFonts w:ascii="Cambria Math" w:hAnsi="Cambria Math" w:cs="Times New Roman"/>
                            <w:vertAlign w:val="subscript"/>
                          </w:rPr>
                          <m:t>t-1</m:t>
                        </m:r>
                      </m:sub>
                    </m:sSub>
                  </m:den>
                </m:f>
              </m:oMath>
            </m:oMathPara>
          </w:p>
        </w:tc>
        <w:tc>
          <w:tcPr>
            <w:tcW w:w="500" w:type="pct"/>
            <w:vAlign w:val="center"/>
          </w:tcPr>
          <w:p w:rsidR="00E02AB1" w:rsidRPr="009F5360" w:rsidRDefault="00E02AB1" w:rsidP="00E02AB1">
            <w:pPr>
              <w:spacing w:before="60"/>
              <w:jc w:val="right"/>
              <w:rPr>
                <w:rFonts w:cs="Times New Roman"/>
              </w:rPr>
            </w:pPr>
            <w:r w:rsidRPr="009F5360">
              <w:rPr>
                <w:rFonts w:cs="Times New Roman"/>
              </w:rPr>
              <w:t>(</w:t>
            </w:r>
            <w:r w:rsidR="00A33CB4">
              <w:rPr>
                <w:rFonts w:cs="Times New Roman"/>
              </w:rPr>
              <w:t>2.</w:t>
            </w:r>
            <w:r w:rsidRPr="009F5360">
              <w:rPr>
                <w:rFonts w:cs="Times New Roman"/>
              </w:rPr>
              <w:t>2)</w:t>
            </w:r>
          </w:p>
        </w:tc>
      </w:tr>
    </w:tbl>
    <w:p w:rsidR="00E02AB1" w:rsidRPr="004018DD" w:rsidRDefault="00E02AB1" w:rsidP="00E02AB1">
      <w:pPr>
        <w:spacing w:before="100" w:beforeAutospacing="1" w:after="100" w:afterAutospacing="1"/>
        <w:rPr>
          <w:rFonts w:cs="Times New Roman"/>
        </w:rPr>
      </w:pPr>
      <w:r w:rsidRPr="004018DD">
        <w:rPr>
          <w:rFonts w:cs="Times New Roman"/>
          <w:szCs w:val="24"/>
        </w:rPr>
        <w:t>Where</w:t>
      </w:r>
      <w:r w:rsidRPr="004018DD">
        <w:rPr>
          <w:rFonts w:cs="Times New Roman"/>
        </w:rPr>
        <w:t>:</w:t>
      </w:r>
    </w:p>
    <w:tbl>
      <w:tblPr>
        <w:tblW w:w="0" w:type="auto"/>
        <w:jc w:val="center"/>
        <w:tblLook w:val="04A0"/>
      </w:tblPr>
      <w:tblGrid>
        <w:gridCol w:w="1001"/>
        <w:gridCol w:w="5537"/>
      </w:tblGrid>
      <w:tr w:rsidR="00E02AB1" w:rsidRPr="00512173" w:rsidTr="001814DE">
        <w:trPr>
          <w:jc w:val="center"/>
        </w:trPr>
        <w:tc>
          <w:tcPr>
            <w:tcW w:w="0" w:type="auto"/>
          </w:tcPr>
          <w:p w:rsidR="00E02AB1" w:rsidRPr="004018DD" w:rsidRDefault="00E02AB1" w:rsidP="00E02AB1">
            <w:pPr>
              <w:spacing w:before="100" w:beforeAutospacing="1" w:after="100" w:afterAutospacing="1"/>
              <w:rPr>
                <w:rFonts w:cs="Times New Roman"/>
              </w:rPr>
            </w:pPr>
            <m:oMathPara>
              <m:oMath>
                <m:r>
                  <m:rPr>
                    <m:sty m:val="p"/>
                  </m:rPr>
                  <w:rPr>
                    <w:rFonts w:ascii="Cambria Math" w:cs="Times New Roman"/>
                  </w:rPr>
                  <m:t>T</m:t>
                </m:r>
                <m:sSub>
                  <m:sSubPr>
                    <m:ctrlPr>
                      <w:rPr>
                        <w:rFonts w:ascii="Cambria Math" w:hAnsi="Cambria Math" w:cs="Times New Roman"/>
                      </w:rPr>
                    </m:ctrlPr>
                  </m:sSubPr>
                  <m:e>
                    <m:r>
                      <m:rPr>
                        <m:sty m:val="p"/>
                      </m:rPr>
                      <w:rPr>
                        <w:rFonts w:ascii="Cambria Math" w:cs="Times New Roman"/>
                      </w:rPr>
                      <m:t>A</m:t>
                    </m:r>
                  </m:e>
                  <m:sub>
                    <m:r>
                      <m:rPr>
                        <m:sty m:val="p"/>
                      </m:rPr>
                      <w:rPr>
                        <w:rFonts w:ascii="Cambria Math" w:cs="Times New Roman"/>
                      </w:rPr>
                      <m:t>t</m:t>
                    </m:r>
                  </m:sub>
                </m:sSub>
              </m:oMath>
            </m:oMathPara>
          </w:p>
        </w:tc>
        <w:tc>
          <w:tcPr>
            <w:tcW w:w="0" w:type="auto"/>
          </w:tcPr>
          <w:p w:rsidR="00E02AB1" w:rsidRPr="004018DD" w:rsidRDefault="00E02AB1" w:rsidP="00E02AB1">
            <w:pPr>
              <w:spacing w:before="100" w:beforeAutospacing="1" w:after="100" w:afterAutospacing="1"/>
              <w:rPr>
                <w:rFonts w:cs="Times New Roman"/>
              </w:rPr>
            </w:pPr>
            <w:r w:rsidRPr="004018DD">
              <w:rPr>
                <w:rFonts w:cs="Times New Roman"/>
              </w:rPr>
              <w:t>= Total accruals in year t</w:t>
            </w:r>
          </w:p>
        </w:tc>
      </w:tr>
      <w:tr w:rsidR="00E02AB1" w:rsidRPr="00512173" w:rsidTr="001814DE">
        <w:trPr>
          <w:jc w:val="center"/>
        </w:trPr>
        <w:tc>
          <w:tcPr>
            <w:tcW w:w="0" w:type="auto"/>
          </w:tcPr>
          <w:p w:rsidR="00E02AB1" w:rsidRPr="004018DD" w:rsidRDefault="00E02AB1" w:rsidP="00E02AB1">
            <w:pPr>
              <w:spacing w:before="100" w:beforeAutospacing="1" w:after="100" w:afterAutospacing="1"/>
              <w:rPr>
                <w:rFonts w:cs="Times New Roman"/>
              </w:rPr>
            </w:pPr>
            <m:oMathPara>
              <m:oMath>
                <m:r>
                  <m:rPr>
                    <m:sty m:val="p"/>
                  </m:rPr>
                  <w:rPr>
                    <w:rFonts w:ascii="Cambria Math" w:hAnsi="Cambria Math" w:cs="Times New Roman"/>
                  </w:rPr>
                  <m:t>∆</m:t>
                </m:r>
                <m:r>
                  <m:rPr>
                    <m:sty m:val="p"/>
                  </m:rPr>
                  <w:rPr>
                    <w:rFonts w:ascii="Cambria Math" w:cs="Times New Roman"/>
                  </w:rPr>
                  <m:t>C</m:t>
                </m:r>
                <m:sSub>
                  <m:sSubPr>
                    <m:ctrlPr>
                      <w:rPr>
                        <w:rFonts w:ascii="Cambria Math" w:hAnsi="Cambria Math" w:cs="Times New Roman"/>
                      </w:rPr>
                    </m:ctrlPr>
                  </m:sSubPr>
                  <m:e>
                    <m:r>
                      <m:rPr>
                        <m:sty m:val="p"/>
                      </m:rPr>
                      <w:rPr>
                        <w:rFonts w:ascii="Cambria Math" w:cs="Times New Roman"/>
                      </w:rPr>
                      <m:t>A</m:t>
                    </m:r>
                  </m:e>
                  <m:sub>
                    <m:r>
                      <m:rPr>
                        <m:sty m:val="p"/>
                      </m:rPr>
                      <w:rPr>
                        <w:rFonts w:ascii="Cambria Math" w:cs="Times New Roman"/>
                      </w:rPr>
                      <m:t>t</m:t>
                    </m:r>
                  </m:sub>
                </m:sSub>
              </m:oMath>
            </m:oMathPara>
          </w:p>
        </w:tc>
        <w:tc>
          <w:tcPr>
            <w:tcW w:w="0" w:type="auto"/>
          </w:tcPr>
          <w:p w:rsidR="00E02AB1" w:rsidRPr="004018DD" w:rsidRDefault="00E02AB1" w:rsidP="00E02AB1">
            <w:pPr>
              <w:spacing w:before="100" w:beforeAutospacing="1" w:after="100" w:afterAutospacing="1"/>
              <w:rPr>
                <w:rFonts w:cs="Times New Roman"/>
              </w:rPr>
            </w:pPr>
            <w:r w:rsidRPr="004018DD">
              <w:rPr>
                <w:rFonts w:cs="Times New Roman"/>
              </w:rPr>
              <w:t>= Change in current assets in year t</w:t>
            </w:r>
          </w:p>
        </w:tc>
      </w:tr>
      <w:tr w:rsidR="00E02AB1" w:rsidRPr="00512173" w:rsidTr="001814DE">
        <w:trPr>
          <w:jc w:val="center"/>
        </w:trPr>
        <w:tc>
          <w:tcPr>
            <w:tcW w:w="0" w:type="auto"/>
          </w:tcPr>
          <w:p w:rsidR="00E02AB1" w:rsidRPr="004018DD" w:rsidRDefault="00E02AB1" w:rsidP="00E02AB1">
            <w:pPr>
              <w:spacing w:before="100" w:beforeAutospacing="1" w:after="100" w:afterAutospacing="1"/>
              <w:rPr>
                <w:rFonts w:cs="Times New Roman"/>
              </w:rPr>
            </w:pPr>
            <m:oMathPara>
              <m:oMath>
                <m:r>
                  <m:rPr>
                    <m:sty m:val="p"/>
                  </m:rPr>
                  <w:rPr>
                    <w:rFonts w:ascii="Cambria Math" w:hAnsi="Cambria Math" w:cs="Times New Roman"/>
                  </w:rPr>
                  <m:t>∆</m:t>
                </m:r>
                <m:r>
                  <m:rPr>
                    <m:sty m:val="p"/>
                  </m:rPr>
                  <w:rPr>
                    <w:rFonts w:ascii="Cambria Math" w:cs="Times New Roman"/>
                  </w:rPr>
                  <m:t>C</m:t>
                </m:r>
                <m:sSub>
                  <m:sSubPr>
                    <m:ctrlPr>
                      <w:rPr>
                        <w:rFonts w:ascii="Cambria Math" w:hAnsi="Cambria Math" w:cs="Times New Roman"/>
                      </w:rPr>
                    </m:ctrlPr>
                  </m:sSubPr>
                  <m:e>
                    <m:r>
                      <m:rPr>
                        <m:sty m:val="p"/>
                      </m:rPr>
                      <w:rPr>
                        <w:rFonts w:ascii="Cambria Math" w:cs="Times New Roman"/>
                      </w:rPr>
                      <m:t>L</m:t>
                    </m:r>
                  </m:e>
                  <m:sub>
                    <m:r>
                      <m:rPr>
                        <m:sty m:val="p"/>
                      </m:rPr>
                      <w:rPr>
                        <w:rFonts w:ascii="Cambria Math" w:cs="Times New Roman"/>
                      </w:rPr>
                      <m:t>t</m:t>
                    </m:r>
                  </m:sub>
                </m:sSub>
              </m:oMath>
            </m:oMathPara>
          </w:p>
        </w:tc>
        <w:tc>
          <w:tcPr>
            <w:tcW w:w="0" w:type="auto"/>
          </w:tcPr>
          <w:p w:rsidR="00E02AB1" w:rsidRPr="004018DD" w:rsidRDefault="00E02AB1" w:rsidP="00E02AB1">
            <w:pPr>
              <w:spacing w:before="100" w:beforeAutospacing="1" w:after="100" w:afterAutospacing="1"/>
              <w:rPr>
                <w:rFonts w:cs="Times New Roman"/>
              </w:rPr>
            </w:pPr>
            <w:r w:rsidRPr="004018DD">
              <w:rPr>
                <w:rFonts w:cs="Times New Roman"/>
              </w:rPr>
              <w:t>= Change in current liabilities in year t</w:t>
            </w:r>
          </w:p>
        </w:tc>
      </w:tr>
      <w:tr w:rsidR="00E02AB1" w:rsidRPr="00512173" w:rsidTr="001814DE">
        <w:trPr>
          <w:jc w:val="center"/>
        </w:trPr>
        <w:tc>
          <w:tcPr>
            <w:tcW w:w="0" w:type="auto"/>
          </w:tcPr>
          <w:p w:rsidR="00E02AB1" w:rsidRPr="004018DD" w:rsidRDefault="00E02AB1" w:rsidP="00E02AB1">
            <w:pPr>
              <w:spacing w:before="100" w:beforeAutospacing="1" w:after="100" w:afterAutospacing="1"/>
              <w:rPr>
                <w:rFonts w:cs="Times New Roman"/>
              </w:rPr>
            </w:pPr>
            <m:oMathPara>
              <m:oMath>
                <m:r>
                  <m:rPr>
                    <m:sty m:val="p"/>
                  </m:rPr>
                  <w:rPr>
                    <w:rFonts w:ascii="Cambria Math" w:hAnsi="Cambria Math" w:cs="Times New Roman"/>
                  </w:rPr>
                  <m:t>∆</m:t>
                </m:r>
                <m:r>
                  <m:rPr>
                    <m:sty m:val="p"/>
                  </m:rPr>
                  <w:rPr>
                    <w:rFonts w:ascii="Cambria Math" w:cs="Times New Roman"/>
                  </w:rPr>
                  <m:t>CAS</m:t>
                </m:r>
                <m:sSub>
                  <m:sSubPr>
                    <m:ctrlPr>
                      <w:rPr>
                        <w:rFonts w:ascii="Cambria Math" w:hAnsi="Cambria Math" w:cs="Times New Roman"/>
                      </w:rPr>
                    </m:ctrlPr>
                  </m:sSubPr>
                  <m:e>
                    <m:r>
                      <m:rPr>
                        <m:sty m:val="p"/>
                      </m:rPr>
                      <w:rPr>
                        <w:rFonts w:ascii="Cambria Math" w:cs="Times New Roman"/>
                      </w:rPr>
                      <m:t>H</m:t>
                    </m:r>
                  </m:e>
                  <m:sub>
                    <m:r>
                      <m:rPr>
                        <m:sty m:val="p"/>
                      </m:rPr>
                      <w:rPr>
                        <w:rFonts w:ascii="Cambria Math" w:cs="Times New Roman"/>
                      </w:rPr>
                      <m:t>t</m:t>
                    </m:r>
                  </m:sub>
                </m:sSub>
              </m:oMath>
            </m:oMathPara>
          </w:p>
        </w:tc>
        <w:tc>
          <w:tcPr>
            <w:tcW w:w="0" w:type="auto"/>
          </w:tcPr>
          <w:p w:rsidR="00E02AB1" w:rsidRPr="004018DD" w:rsidRDefault="00E02AB1" w:rsidP="00E02AB1">
            <w:pPr>
              <w:spacing w:before="100" w:beforeAutospacing="1" w:after="100" w:afterAutospacing="1"/>
              <w:rPr>
                <w:rFonts w:cs="Times New Roman"/>
              </w:rPr>
            </w:pPr>
            <w:r w:rsidRPr="004018DD">
              <w:rPr>
                <w:rFonts w:cs="Times New Roman"/>
              </w:rPr>
              <w:t>= Change in cash and cash equivalents in year t</w:t>
            </w:r>
          </w:p>
        </w:tc>
      </w:tr>
      <w:tr w:rsidR="00E02AB1" w:rsidRPr="00512173" w:rsidTr="001814DE">
        <w:trPr>
          <w:jc w:val="center"/>
        </w:trPr>
        <w:tc>
          <w:tcPr>
            <w:tcW w:w="0" w:type="auto"/>
          </w:tcPr>
          <w:p w:rsidR="00E02AB1" w:rsidRPr="004018DD" w:rsidRDefault="00E02AB1" w:rsidP="00E02AB1">
            <w:pPr>
              <w:spacing w:before="100" w:beforeAutospacing="1" w:after="100" w:afterAutospacing="1"/>
              <w:rPr>
                <w:rFonts w:cs="Times New Roman"/>
              </w:rPr>
            </w:pPr>
            <m:oMathPara>
              <m:oMath>
                <m:r>
                  <m:rPr>
                    <m:sty m:val="p"/>
                  </m:rPr>
                  <w:rPr>
                    <w:rFonts w:ascii="Cambria Math" w:hAnsi="Cambria Math" w:cs="Times New Roman"/>
                  </w:rPr>
                  <m:t>∆</m:t>
                </m:r>
                <m:r>
                  <m:rPr>
                    <m:sty m:val="p"/>
                  </m:rPr>
                  <w:rPr>
                    <w:rFonts w:ascii="Cambria Math" w:cs="Times New Roman"/>
                  </w:rPr>
                  <m:t>DEB</m:t>
                </m:r>
                <m:sSub>
                  <m:sSubPr>
                    <m:ctrlPr>
                      <w:rPr>
                        <w:rFonts w:ascii="Cambria Math" w:hAnsi="Cambria Math" w:cs="Times New Roman"/>
                      </w:rPr>
                    </m:ctrlPr>
                  </m:sSubPr>
                  <m:e>
                    <m:r>
                      <m:rPr>
                        <m:sty m:val="p"/>
                      </m:rPr>
                      <w:rPr>
                        <w:rFonts w:ascii="Cambria Math" w:cs="Times New Roman"/>
                      </w:rPr>
                      <m:t>T</m:t>
                    </m:r>
                  </m:e>
                  <m:sub>
                    <m:r>
                      <m:rPr>
                        <m:sty m:val="p"/>
                      </m:rPr>
                      <w:rPr>
                        <w:rFonts w:ascii="Cambria Math" w:cs="Times New Roman"/>
                      </w:rPr>
                      <m:t>t</m:t>
                    </m:r>
                  </m:sub>
                </m:sSub>
              </m:oMath>
            </m:oMathPara>
          </w:p>
        </w:tc>
        <w:tc>
          <w:tcPr>
            <w:tcW w:w="0" w:type="auto"/>
          </w:tcPr>
          <w:p w:rsidR="00E02AB1" w:rsidRPr="004018DD" w:rsidRDefault="00E02AB1" w:rsidP="00E02AB1">
            <w:pPr>
              <w:spacing w:before="100" w:beforeAutospacing="1" w:after="100" w:afterAutospacing="1"/>
              <w:rPr>
                <w:rFonts w:cs="Times New Roman"/>
              </w:rPr>
            </w:pPr>
            <w:r w:rsidRPr="004018DD">
              <w:rPr>
                <w:rFonts w:cs="Times New Roman"/>
              </w:rPr>
              <w:t>= Change in debt included in current liabilities in year t</w:t>
            </w:r>
          </w:p>
        </w:tc>
      </w:tr>
      <w:tr w:rsidR="00E02AB1" w:rsidRPr="00512173" w:rsidTr="001814DE">
        <w:trPr>
          <w:jc w:val="center"/>
        </w:trPr>
        <w:tc>
          <w:tcPr>
            <w:tcW w:w="0" w:type="auto"/>
          </w:tcPr>
          <w:p w:rsidR="00E02AB1" w:rsidRPr="004018DD" w:rsidRDefault="00EF1EDC" w:rsidP="00E02AB1">
            <w:pPr>
              <w:spacing w:before="100" w:beforeAutospacing="1" w:after="100" w:afterAutospacing="1"/>
              <w:rPr>
                <w:rFonts w:cs="Times New Roman"/>
              </w:rPr>
            </w:pPr>
            <m:oMathPara>
              <m:oMath>
                <m:sSub>
                  <m:sSubPr>
                    <m:ctrlPr>
                      <w:rPr>
                        <w:rFonts w:ascii="Cambria Math" w:hAnsi="Cambria Math" w:cs="Times New Roman"/>
                      </w:rPr>
                    </m:ctrlPr>
                  </m:sSubPr>
                  <m:e>
                    <m:r>
                      <m:rPr>
                        <m:sty m:val="p"/>
                      </m:rPr>
                      <w:rPr>
                        <w:rFonts w:ascii="Cambria Math" w:cs="Times New Roman"/>
                      </w:rPr>
                      <m:t>DEP</m:t>
                    </m:r>
                  </m:e>
                  <m:sub>
                    <m:r>
                      <m:rPr>
                        <m:sty m:val="p"/>
                      </m:rPr>
                      <w:rPr>
                        <w:rFonts w:ascii="Cambria Math" w:cs="Times New Roman"/>
                      </w:rPr>
                      <m:t>t</m:t>
                    </m:r>
                  </m:sub>
                </m:sSub>
              </m:oMath>
            </m:oMathPara>
          </w:p>
        </w:tc>
        <w:tc>
          <w:tcPr>
            <w:tcW w:w="0" w:type="auto"/>
          </w:tcPr>
          <w:p w:rsidR="00E02AB1" w:rsidRPr="004018DD" w:rsidRDefault="00E02AB1" w:rsidP="00E02AB1">
            <w:pPr>
              <w:spacing w:before="100" w:beforeAutospacing="1" w:after="100" w:afterAutospacing="1"/>
              <w:rPr>
                <w:rFonts w:cs="Times New Roman"/>
              </w:rPr>
            </w:pPr>
            <w:r w:rsidRPr="004018DD">
              <w:rPr>
                <w:rFonts w:cs="Times New Roman"/>
              </w:rPr>
              <w:t>= Depreciation and amortization in year t</w:t>
            </w:r>
          </w:p>
        </w:tc>
      </w:tr>
      <w:tr w:rsidR="00E02AB1" w:rsidRPr="00512173" w:rsidTr="001814DE">
        <w:trPr>
          <w:jc w:val="center"/>
        </w:trPr>
        <w:tc>
          <w:tcPr>
            <w:tcW w:w="0" w:type="auto"/>
          </w:tcPr>
          <w:p w:rsidR="00E02AB1" w:rsidRPr="004018DD" w:rsidRDefault="00EF1EDC" w:rsidP="00E02AB1">
            <w:pPr>
              <w:spacing w:before="100" w:beforeAutospacing="1" w:after="100" w:afterAutospacing="1"/>
              <w:rPr>
                <w:rFonts w:cs="Times New Roman"/>
              </w:rPr>
            </w:pPr>
            <m:oMathPara>
              <m:oMath>
                <m:sSub>
                  <m:sSubPr>
                    <m:ctrlPr>
                      <w:rPr>
                        <w:rFonts w:ascii="Cambria Math" w:hAnsi="Cambria Math" w:cs="Times New Roman"/>
                        <w:vertAlign w:val="subscript"/>
                      </w:rPr>
                    </m:ctrlPr>
                  </m:sSubPr>
                  <m:e>
                    <m:r>
                      <m:rPr>
                        <m:sty m:val="p"/>
                      </m:rPr>
                      <w:rPr>
                        <w:rFonts w:ascii="Cambria Math" w:cs="Times New Roman"/>
                      </w:rPr>
                      <m:t>A</m:t>
                    </m:r>
                  </m:e>
                  <m:sub>
                    <m:r>
                      <m:rPr>
                        <m:sty m:val="p"/>
                      </m:rPr>
                      <w:rPr>
                        <w:rFonts w:ascii="Cambria Math" w:hAnsi="Cambria Math" w:cs="Times New Roman"/>
                        <w:vertAlign w:val="subscript"/>
                      </w:rPr>
                      <m:t>t-1</m:t>
                    </m:r>
                  </m:sub>
                </m:sSub>
              </m:oMath>
            </m:oMathPara>
          </w:p>
        </w:tc>
        <w:tc>
          <w:tcPr>
            <w:tcW w:w="0" w:type="auto"/>
          </w:tcPr>
          <w:p w:rsidR="00E02AB1" w:rsidRPr="004018DD" w:rsidRDefault="00E02AB1" w:rsidP="00E02AB1">
            <w:pPr>
              <w:spacing w:before="100" w:beforeAutospacing="1" w:after="100" w:afterAutospacing="1"/>
              <w:rPr>
                <w:rFonts w:cs="Times New Roman"/>
              </w:rPr>
            </w:pPr>
            <w:r w:rsidRPr="004018DD">
              <w:rPr>
                <w:rFonts w:cs="Times New Roman"/>
              </w:rPr>
              <w:t>= Total assets in t-1 year</w:t>
            </w:r>
          </w:p>
        </w:tc>
      </w:tr>
    </w:tbl>
    <w:p w:rsidR="00E02AB1" w:rsidRPr="00C66789" w:rsidRDefault="00E02AB1" w:rsidP="00666575">
      <w:r w:rsidRPr="00C66789">
        <w:t>In this thesis, the same method for determining the total accruals will be used.</w:t>
      </w:r>
    </w:p>
    <w:p w:rsidR="00E02AB1" w:rsidRPr="004018DD" w:rsidRDefault="00E02AB1" w:rsidP="00252752">
      <w:pPr>
        <w:pStyle w:val="Heading4"/>
      </w:pPr>
      <w:r w:rsidRPr="004018DD">
        <w:t>The Healy Model (1985)</w:t>
      </w:r>
    </w:p>
    <w:p w:rsidR="00E02AB1" w:rsidRPr="008B3267" w:rsidRDefault="00E02AB1" w:rsidP="00666575">
      <w:pPr>
        <w:rPr>
          <w:color w:val="FF0000"/>
        </w:rPr>
      </w:pPr>
      <w:r w:rsidRPr="00673FA6">
        <w:t>The Healy Model is the starting point of detecting earnings management.</w:t>
      </w:r>
      <w:r w:rsidRPr="00EE11A8">
        <w:rPr>
          <w:color w:val="FF0000"/>
        </w:rPr>
        <w:t xml:space="preserve"> </w:t>
      </w:r>
      <w:r w:rsidRPr="00C66789">
        <w:t xml:space="preserve">Based on the assumption of on the average no earnings management during the estimation period, this model adopts the mean of total accruals (by lagged total assets) in the estimation period as the measurement of non-discretionary accruals in event period. The difference between non-discretionary accruals and total accruals in the event period is the discretionary accruals which proxy for earnings management. This model requires data collected over a long period of time for analyzing, e.g., more than 5 years stated by Ronen and </w:t>
      </w:r>
      <w:proofErr w:type="spellStart"/>
      <w:r w:rsidRPr="00C66789">
        <w:t>Yaari</w:t>
      </w:r>
      <w:proofErr w:type="spellEnd"/>
      <w:r w:rsidRPr="00C66789">
        <w:t xml:space="preserve"> (2008).</w:t>
      </w:r>
      <w:r>
        <w:rPr>
          <w:color w:val="FF0000"/>
        </w:rPr>
        <w:t xml:space="preserve"> </w:t>
      </w:r>
      <w:r w:rsidRPr="004018DD">
        <w:t>The following model was provided:</w:t>
      </w:r>
    </w:p>
    <w:tbl>
      <w:tblPr>
        <w:tblW w:w="5000" w:type="pct"/>
        <w:tblLook w:val="04A0"/>
      </w:tblPr>
      <w:tblGrid>
        <w:gridCol w:w="853"/>
        <w:gridCol w:w="6818"/>
        <w:gridCol w:w="852"/>
      </w:tblGrid>
      <w:tr w:rsidR="00E02AB1" w:rsidRPr="004018DD" w:rsidTr="00E02AB1">
        <w:tc>
          <w:tcPr>
            <w:tcW w:w="500" w:type="pct"/>
            <w:vAlign w:val="center"/>
          </w:tcPr>
          <w:p w:rsidR="00E02AB1" w:rsidRPr="00E0785E" w:rsidRDefault="00E02AB1" w:rsidP="00E02AB1">
            <w:pPr>
              <w:jc w:val="center"/>
              <w:rPr>
                <w:rFonts w:cs="Times New Roman"/>
              </w:rPr>
            </w:pPr>
          </w:p>
        </w:tc>
        <w:tc>
          <w:tcPr>
            <w:tcW w:w="4000" w:type="pct"/>
            <w:vAlign w:val="center"/>
          </w:tcPr>
          <w:p w:rsidR="00E02AB1" w:rsidRPr="004018DD" w:rsidRDefault="00E02AB1" w:rsidP="00E02AB1">
            <w:pPr>
              <w:jc w:val="center"/>
              <w:rPr>
                <w:rFonts w:cs="Times New Roman"/>
              </w:rPr>
            </w:pPr>
            <m:oMathPara>
              <m:oMath>
                <m:r>
                  <m:rPr>
                    <m:sty m:val="p"/>
                  </m:rPr>
                  <w:rPr>
                    <w:rFonts w:ascii="Cambria Math" w:cs="Times New Roman"/>
                  </w:rPr>
                  <m:t>ND</m:t>
                </m:r>
                <m:sSub>
                  <m:sSubPr>
                    <m:ctrlPr>
                      <w:rPr>
                        <w:rFonts w:ascii="Cambria Math" w:hAnsi="Cambria Math" w:cs="Times New Roman"/>
                      </w:rPr>
                    </m:ctrlPr>
                  </m:sSubPr>
                  <m:e>
                    <m:r>
                      <m:rPr>
                        <m:sty m:val="p"/>
                      </m:rPr>
                      <w:rPr>
                        <w:rFonts w:ascii="Cambria Math" w:cs="Times New Roman"/>
                      </w:rPr>
                      <m:t>A</m:t>
                    </m:r>
                  </m:e>
                  <m:sub>
                    <m:r>
                      <m:rPr>
                        <m:sty m:val="p"/>
                      </m:rPr>
                      <w:rPr>
                        <w:rFonts w:ascii="Cambria Math" w:cs="Times New Roman"/>
                      </w:rPr>
                      <m:t>τ</m:t>
                    </m:r>
                  </m:sub>
                </m:sSub>
                <m:r>
                  <w:rPr>
                    <w:rFonts w:ascii="Cambria Math" w:cs="Times New Roman"/>
                  </w:rPr>
                  <m:t>=</m:t>
                </m:r>
                <m:f>
                  <m:fPr>
                    <m:ctrlPr>
                      <w:rPr>
                        <w:rFonts w:ascii="Cambria Math" w:hAnsi="Cambria Math" w:cs="Times New Roman"/>
                      </w:rPr>
                    </m:ctrlPr>
                  </m:fPr>
                  <m:num>
                    <m:nary>
                      <m:naryPr>
                        <m:chr m:val="∑"/>
                        <m:limLoc m:val="undOvr"/>
                        <m:supHide m:val="on"/>
                        <m:ctrlPr>
                          <w:rPr>
                            <w:rFonts w:ascii="Cambria Math" w:hAnsi="Cambria Math" w:cs="Times New Roman"/>
                          </w:rPr>
                        </m:ctrlPr>
                      </m:naryPr>
                      <m:sub>
                        <m:r>
                          <m:rPr>
                            <m:sty m:val="p"/>
                          </m:rPr>
                          <w:rPr>
                            <w:rFonts w:ascii="Cambria Math" w:cs="Times New Roman"/>
                          </w:rPr>
                          <m:t>t</m:t>
                        </m:r>
                      </m:sub>
                      <m:sup/>
                      <m:e>
                        <m:r>
                          <m:rPr>
                            <m:sty m:val="p"/>
                          </m:rPr>
                          <w:rPr>
                            <w:rFonts w:ascii="Cambria Math" w:cs="Times New Roman"/>
                          </w:rPr>
                          <m:t>T</m:t>
                        </m:r>
                        <m:sSub>
                          <m:sSubPr>
                            <m:ctrlPr>
                              <w:rPr>
                                <w:rFonts w:ascii="Cambria Math" w:hAnsi="Cambria Math" w:cs="Times New Roman"/>
                              </w:rPr>
                            </m:ctrlPr>
                          </m:sSubPr>
                          <m:e>
                            <m:r>
                              <m:rPr>
                                <m:sty m:val="p"/>
                              </m:rPr>
                              <w:rPr>
                                <w:rFonts w:ascii="Cambria Math" w:cs="Times New Roman"/>
                              </w:rPr>
                              <m:t>A</m:t>
                            </m:r>
                          </m:e>
                          <m:sub>
                            <m:r>
                              <m:rPr>
                                <m:sty m:val="p"/>
                              </m:rPr>
                              <w:rPr>
                                <w:rFonts w:ascii="Cambria Math" w:cs="Times New Roman"/>
                              </w:rPr>
                              <m:t>t</m:t>
                            </m:r>
                          </m:sub>
                        </m:sSub>
                      </m:e>
                    </m:nary>
                  </m:num>
                  <m:den>
                    <m:r>
                      <m:rPr>
                        <m:sty m:val="p"/>
                      </m:rPr>
                      <w:rPr>
                        <w:rFonts w:ascii="Cambria Math" w:cs="Times New Roman"/>
                      </w:rPr>
                      <m:t>T</m:t>
                    </m:r>
                  </m:den>
                </m:f>
              </m:oMath>
            </m:oMathPara>
          </w:p>
        </w:tc>
        <w:tc>
          <w:tcPr>
            <w:tcW w:w="500" w:type="pct"/>
            <w:vAlign w:val="center"/>
          </w:tcPr>
          <w:p w:rsidR="00E02AB1" w:rsidRPr="004018DD" w:rsidRDefault="00E02AB1" w:rsidP="00E02AB1">
            <w:pPr>
              <w:jc w:val="right"/>
              <w:rPr>
                <w:rFonts w:cs="Times New Roman"/>
              </w:rPr>
            </w:pPr>
            <w:r w:rsidRPr="004018DD">
              <w:rPr>
                <w:rFonts w:cs="Times New Roman"/>
              </w:rPr>
              <w:t>(</w:t>
            </w:r>
            <w:r w:rsidR="00A33CB4">
              <w:rPr>
                <w:rFonts w:cs="Times New Roman"/>
              </w:rPr>
              <w:t>2.</w:t>
            </w:r>
            <w:r w:rsidRPr="004018DD">
              <w:rPr>
                <w:rFonts w:cs="Times New Roman"/>
              </w:rPr>
              <w:t>3)</w:t>
            </w:r>
          </w:p>
        </w:tc>
      </w:tr>
    </w:tbl>
    <w:p w:rsidR="00E02AB1" w:rsidRPr="004018DD" w:rsidRDefault="00E02AB1" w:rsidP="00E02AB1">
      <w:pPr>
        <w:spacing w:before="100" w:beforeAutospacing="1" w:after="100" w:afterAutospacing="1"/>
        <w:rPr>
          <w:rFonts w:cs="Times New Roman"/>
          <w:szCs w:val="24"/>
        </w:rPr>
      </w:pPr>
      <w:r w:rsidRPr="004018DD">
        <w:rPr>
          <w:rFonts w:cs="Times New Roman"/>
          <w:szCs w:val="24"/>
        </w:rPr>
        <w:t>Where</w:t>
      </w:r>
    </w:p>
    <w:tbl>
      <w:tblPr>
        <w:tblW w:w="0" w:type="auto"/>
        <w:jc w:val="center"/>
        <w:tblLook w:val="04A0"/>
      </w:tblPr>
      <w:tblGrid>
        <w:gridCol w:w="801"/>
        <w:gridCol w:w="7190"/>
      </w:tblGrid>
      <w:tr w:rsidR="00E02AB1" w:rsidRPr="004018DD" w:rsidTr="001814DE">
        <w:trPr>
          <w:jc w:val="center"/>
        </w:trPr>
        <w:tc>
          <w:tcPr>
            <w:tcW w:w="0" w:type="auto"/>
            <w:vAlign w:val="center"/>
          </w:tcPr>
          <w:p w:rsidR="00E02AB1" w:rsidRPr="004018DD" w:rsidRDefault="00E02AB1" w:rsidP="00E02AB1">
            <w:pPr>
              <w:spacing w:before="100" w:beforeAutospacing="1" w:after="100" w:afterAutospacing="1"/>
              <w:rPr>
                <w:rFonts w:cs="Times New Roman"/>
                <w:vertAlign w:val="subscript"/>
              </w:rPr>
            </w:pPr>
            <w:proofErr w:type="spellStart"/>
            <w:r w:rsidRPr="004018DD">
              <w:rPr>
                <w:rFonts w:cs="Times New Roman"/>
              </w:rPr>
              <w:t>NDA</w:t>
            </w:r>
            <w:r w:rsidRPr="004018DD">
              <w:rPr>
                <w:rFonts w:cs="Times New Roman"/>
                <w:vertAlign w:val="subscript"/>
              </w:rPr>
              <w:t>τ</w:t>
            </w:r>
            <w:proofErr w:type="spellEnd"/>
          </w:p>
        </w:tc>
        <w:tc>
          <w:tcPr>
            <w:tcW w:w="0" w:type="auto"/>
            <w:vAlign w:val="center"/>
          </w:tcPr>
          <w:p w:rsidR="00E02AB1" w:rsidRPr="004018DD" w:rsidRDefault="00E02AB1" w:rsidP="00E02AB1">
            <w:pPr>
              <w:spacing w:before="100" w:beforeAutospacing="1" w:after="100" w:afterAutospacing="1"/>
              <w:rPr>
                <w:rFonts w:cs="Times New Roman"/>
              </w:rPr>
            </w:pPr>
            <w:r w:rsidRPr="004018DD">
              <w:rPr>
                <w:rFonts w:cs="Times New Roman"/>
              </w:rPr>
              <w:t>= estimated nondiscretionary accruals</w:t>
            </w:r>
          </w:p>
        </w:tc>
      </w:tr>
      <w:tr w:rsidR="00E02AB1" w:rsidRPr="00512173" w:rsidTr="001814DE">
        <w:trPr>
          <w:jc w:val="center"/>
        </w:trPr>
        <w:tc>
          <w:tcPr>
            <w:tcW w:w="0" w:type="auto"/>
            <w:vAlign w:val="center"/>
          </w:tcPr>
          <w:p w:rsidR="00E02AB1" w:rsidRPr="004018DD" w:rsidRDefault="00E02AB1" w:rsidP="00E02AB1">
            <w:pPr>
              <w:spacing w:before="100" w:beforeAutospacing="1" w:after="100" w:afterAutospacing="1"/>
              <w:rPr>
                <w:rFonts w:cs="Times New Roman"/>
              </w:rPr>
            </w:pPr>
            <w:r w:rsidRPr="004018DD">
              <w:rPr>
                <w:rFonts w:cs="Times New Roman"/>
              </w:rPr>
              <w:t>TA</w:t>
            </w:r>
          </w:p>
        </w:tc>
        <w:tc>
          <w:tcPr>
            <w:tcW w:w="0" w:type="auto"/>
            <w:vAlign w:val="center"/>
          </w:tcPr>
          <w:p w:rsidR="00E02AB1" w:rsidRPr="004018DD" w:rsidRDefault="00E02AB1" w:rsidP="00E02AB1">
            <w:pPr>
              <w:spacing w:before="100" w:beforeAutospacing="1" w:after="100" w:afterAutospacing="1"/>
              <w:rPr>
                <w:rFonts w:cs="Times New Roman"/>
              </w:rPr>
            </w:pPr>
            <w:r w:rsidRPr="004018DD">
              <w:rPr>
                <w:rFonts w:cs="Times New Roman"/>
              </w:rPr>
              <w:t>= total accruals scaled by lagged total assets</w:t>
            </w:r>
          </w:p>
        </w:tc>
      </w:tr>
      <w:tr w:rsidR="00E02AB1" w:rsidRPr="00512173" w:rsidTr="001814DE">
        <w:trPr>
          <w:jc w:val="center"/>
        </w:trPr>
        <w:tc>
          <w:tcPr>
            <w:tcW w:w="0" w:type="auto"/>
            <w:vAlign w:val="center"/>
          </w:tcPr>
          <w:p w:rsidR="00E02AB1" w:rsidRPr="004018DD" w:rsidRDefault="00E02AB1" w:rsidP="00E02AB1">
            <w:pPr>
              <w:spacing w:before="100" w:beforeAutospacing="1" w:after="100" w:afterAutospacing="1"/>
              <w:rPr>
                <w:rFonts w:cs="Times New Roman"/>
              </w:rPr>
            </w:pPr>
            <w:r w:rsidRPr="004018DD">
              <w:rPr>
                <w:rFonts w:cs="Times New Roman"/>
              </w:rPr>
              <w:t>t</w:t>
            </w:r>
          </w:p>
        </w:tc>
        <w:tc>
          <w:tcPr>
            <w:tcW w:w="0" w:type="auto"/>
            <w:vAlign w:val="center"/>
          </w:tcPr>
          <w:p w:rsidR="00E02AB1" w:rsidRPr="004018DD" w:rsidRDefault="00E02AB1" w:rsidP="00E02AB1">
            <w:pPr>
              <w:spacing w:before="100" w:beforeAutospacing="1" w:after="100" w:afterAutospacing="1"/>
              <w:rPr>
                <w:rFonts w:cs="Times New Roman"/>
              </w:rPr>
            </w:pPr>
            <w:r w:rsidRPr="004018DD">
              <w:rPr>
                <w:rFonts w:cs="Times New Roman"/>
              </w:rPr>
              <w:t>= 1,2, … T is a year subscript for years included in the estimation period</w:t>
            </w:r>
          </w:p>
        </w:tc>
      </w:tr>
      <w:tr w:rsidR="00E02AB1" w:rsidRPr="00512173" w:rsidTr="001814DE">
        <w:trPr>
          <w:jc w:val="center"/>
        </w:trPr>
        <w:tc>
          <w:tcPr>
            <w:tcW w:w="0" w:type="auto"/>
            <w:vAlign w:val="center"/>
          </w:tcPr>
          <w:p w:rsidR="00E02AB1" w:rsidRPr="004018DD" w:rsidRDefault="00E02AB1" w:rsidP="00E02AB1">
            <w:pPr>
              <w:spacing w:before="100" w:beforeAutospacing="1" w:after="100" w:afterAutospacing="1"/>
              <w:rPr>
                <w:rFonts w:cs="Times New Roman"/>
              </w:rPr>
            </w:pPr>
            <w:r w:rsidRPr="004018DD">
              <w:rPr>
                <w:rFonts w:cs="Times New Roman"/>
              </w:rPr>
              <w:t>τ</w:t>
            </w:r>
          </w:p>
        </w:tc>
        <w:tc>
          <w:tcPr>
            <w:tcW w:w="0" w:type="auto"/>
            <w:vAlign w:val="center"/>
          </w:tcPr>
          <w:p w:rsidR="00E02AB1" w:rsidRPr="004018DD" w:rsidRDefault="00E02AB1" w:rsidP="00E02AB1">
            <w:pPr>
              <w:spacing w:before="100" w:beforeAutospacing="1" w:after="100" w:afterAutospacing="1"/>
              <w:rPr>
                <w:rFonts w:cs="Times New Roman"/>
              </w:rPr>
            </w:pPr>
            <w:r w:rsidRPr="004018DD">
              <w:rPr>
                <w:rFonts w:cs="Times New Roman"/>
              </w:rPr>
              <w:t>= a year subscript indicating a year in the event period</w:t>
            </w:r>
          </w:p>
        </w:tc>
      </w:tr>
    </w:tbl>
    <w:p w:rsidR="00E02AB1" w:rsidRPr="004018DD" w:rsidRDefault="00E02AB1" w:rsidP="00252752">
      <w:pPr>
        <w:pStyle w:val="Heading4"/>
      </w:pPr>
      <w:r w:rsidRPr="004018DD">
        <w:t xml:space="preserve">The </w:t>
      </w:r>
      <w:proofErr w:type="spellStart"/>
      <w:r w:rsidRPr="004018DD">
        <w:t>DeAngelo</w:t>
      </w:r>
      <w:proofErr w:type="spellEnd"/>
      <w:r w:rsidRPr="004018DD">
        <w:t xml:space="preserve"> Model</w:t>
      </w:r>
      <w:r w:rsidR="00550701">
        <w:t xml:space="preserve"> </w:t>
      </w:r>
      <w:r w:rsidRPr="004018DD">
        <w:t>(1986)</w:t>
      </w:r>
    </w:p>
    <w:p w:rsidR="00E02AB1" w:rsidRPr="00EA1F9B" w:rsidRDefault="00E02AB1" w:rsidP="00666575">
      <w:r w:rsidRPr="004018DD">
        <w:t xml:space="preserve">The </w:t>
      </w:r>
      <w:proofErr w:type="spellStart"/>
      <w:r w:rsidRPr="004018DD">
        <w:t>DeAngelo</w:t>
      </w:r>
      <w:proofErr w:type="spellEnd"/>
      <w:r w:rsidRPr="004018DD">
        <w:t xml:space="preserve"> Model actually is an adjusted version of the Healy Model</w:t>
      </w:r>
      <w:r w:rsidRPr="00C66789">
        <w:t>. This model claims that the non-discretionary accruals of current period can be represented by lagged total accruals, suggesting non-discretionary accruals equal to total accruals of last year. Therefore, discretionary accruals can be calculated by the difference between the two successive years.</w:t>
      </w:r>
      <w:r>
        <w:t xml:space="preserve"> T</w:t>
      </w:r>
      <w:r w:rsidRPr="004018DD">
        <w:rPr>
          <w:lang w:val="en-GB"/>
        </w:rPr>
        <w:t xml:space="preserve">he formula for non-discretionary accruals </w:t>
      </w:r>
      <w:r>
        <w:rPr>
          <w:lang w:val="en-GB"/>
        </w:rPr>
        <w:t>is defined as:</w:t>
      </w:r>
    </w:p>
    <w:tbl>
      <w:tblPr>
        <w:tblW w:w="5000" w:type="pct"/>
        <w:tblLook w:val="04A0"/>
      </w:tblPr>
      <w:tblGrid>
        <w:gridCol w:w="853"/>
        <w:gridCol w:w="6818"/>
        <w:gridCol w:w="852"/>
      </w:tblGrid>
      <w:tr w:rsidR="00E02AB1" w:rsidRPr="004018DD" w:rsidTr="00E02AB1">
        <w:tc>
          <w:tcPr>
            <w:tcW w:w="500" w:type="pct"/>
            <w:vAlign w:val="center"/>
          </w:tcPr>
          <w:p w:rsidR="00E02AB1" w:rsidRPr="00E0785E" w:rsidRDefault="00E02AB1" w:rsidP="00E02AB1">
            <w:pPr>
              <w:jc w:val="center"/>
              <w:rPr>
                <w:rFonts w:cs="Times New Roman"/>
              </w:rPr>
            </w:pPr>
          </w:p>
        </w:tc>
        <w:tc>
          <w:tcPr>
            <w:tcW w:w="4000" w:type="pct"/>
            <w:vAlign w:val="center"/>
          </w:tcPr>
          <w:p w:rsidR="00E02AB1" w:rsidRPr="004018DD" w:rsidRDefault="00EF1EDC" w:rsidP="00E02AB1">
            <w:pPr>
              <w:jc w:val="center"/>
              <w:rPr>
                <w:rFonts w:cs="Times New Roman"/>
              </w:rPr>
            </w:pPr>
            <m:oMathPara>
              <m:oMath>
                <m:sSub>
                  <m:sSubPr>
                    <m:ctrlPr>
                      <w:rPr>
                        <w:rFonts w:ascii="Cambria Math" w:hAnsi="Cambria Math" w:cs="Times New Roman"/>
                        <w:vertAlign w:val="subscript"/>
                      </w:rPr>
                    </m:ctrlPr>
                  </m:sSubPr>
                  <m:e>
                    <m:r>
                      <m:rPr>
                        <m:sty m:val="p"/>
                      </m:rPr>
                      <w:rPr>
                        <w:rFonts w:ascii="Cambria Math" w:cs="Times New Roman"/>
                      </w:rPr>
                      <m:t>NDA</m:t>
                    </m:r>
                  </m:e>
                  <m:sub>
                    <m:r>
                      <m:rPr>
                        <m:sty m:val="p"/>
                      </m:rPr>
                      <w:rPr>
                        <w:rFonts w:ascii="Cambria Math" w:cs="Times New Roman"/>
                        <w:vertAlign w:val="subscript"/>
                      </w:rPr>
                      <m:t>t</m:t>
                    </m:r>
                  </m:sub>
                </m:sSub>
                <m:r>
                  <m:rPr>
                    <m:sty m:val="p"/>
                  </m:rPr>
                  <w:rPr>
                    <w:rFonts w:ascii="Cambria Math" w:cs="Times New Roman"/>
                  </w:rPr>
                  <m:t>=T</m:t>
                </m:r>
                <m:sSub>
                  <m:sSubPr>
                    <m:ctrlPr>
                      <w:rPr>
                        <w:rFonts w:ascii="Cambria Math" w:hAnsi="Cambria Math" w:cs="Times New Roman"/>
                      </w:rPr>
                    </m:ctrlPr>
                  </m:sSubPr>
                  <m:e>
                    <m:r>
                      <m:rPr>
                        <m:sty m:val="p"/>
                      </m:rPr>
                      <w:rPr>
                        <w:rFonts w:ascii="Cambria Math" w:cs="Times New Roman"/>
                      </w:rPr>
                      <m:t>A</m:t>
                    </m:r>
                  </m:e>
                  <m:sub>
                    <m:r>
                      <m:rPr>
                        <m:sty m:val="p"/>
                      </m:rPr>
                      <w:rPr>
                        <w:rFonts w:ascii="Cambria Math" w:cs="Times New Roman"/>
                      </w:rPr>
                      <m:t>t</m:t>
                    </m:r>
                    <m:r>
                      <m:rPr>
                        <m:sty m:val="p"/>
                      </m:rPr>
                      <w:rPr>
                        <w:rFonts w:ascii="Cambria Math" w:cs="Times New Roman"/>
                      </w:rPr>
                      <m:t>-</m:t>
                    </m:r>
                    <m:r>
                      <m:rPr>
                        <m:sty m:val="p"/>
                      </m:rPr>
                      <w:rPr>
                        <w:rFonts w:ascii="Cambria Math" w:cs="Times New Roman"/>
                      </w:rPr>
                      <m:t>1</m:t>
                    </m:r>
                  </m:sub>
                </m:sSub>
              </m:oMath>
            </m:oMathPara>
          </w:p>
        </w:tc>
        <w:tc>
          <w:tcPr>
            <w:tcW w:w="500" w:type="pct"/>
            <w:vAlign w:val="center"/>
          </w:tcPr>
          <w:p w:rsidR="00E02AB1" w:rsidRPr="004018DD" w:rsidRDefault="00E02AB1" w:rsidP="00E02AB1">
            <w:pPr>
              <w:jc w:val="right"/>
              <w:rPr>
                <w:rFonts w:cs="Times New Roman"/>
              </w:rPr>
            </w:pPr>
            <w:r w:rsidRPr="004018DD">
              <w:rPr>
                <w:rFonts w:cs="Times New Roman"/>
              </w:rPr>
              <w:t>(</w:t>
            </w:r>
            <w:r w:rsidR="00A33CB4">
              <w:rPr>
                <w:rFonts w:cs="Times New Roman"/>
              </w:rPr>
              <w:t>2.</w:t>
            </w:r>
            <w:r w:rsidRPr="004018DD">
              <w:rPr>
                <w:rFonts w:cs="Times New Roman"/>
              </w:rPr>
              <w:t>4)</w:t>
            </w:r>
          </w:p>
        </w:tc>
      </w:tr>
    </w:tbl>
    <w:p w:rsidR="00E02AB1" w:rsidRPr="004018DD" w:rsidRDefault="00E02AB1" w:rsidP="00666575">
      <w:r w:rsidRPr="004018DD">
        <w:t xml:space="preserve">A common feature of the </w:t>
      </w:r>
      <w:proofErr w:type="spellStart"/>
      <w:r w:rsidRPr="004018DD">
        <w:t>DeAngelo</w:t>
      </w:r>
      <w:proofErr w:type="spellEnd"/>
      <w:r w:rsidRPr="004018DD">
        <w:t xml:space="preserve"> Model and the Healy Model is that they are all tested under the same assumption: the non-discretionary accruals are constant over time and the discretionary accruals have a mean of zero during the estimation period. However, </w:t>
      </w:r>
      <w:r w:rsidRPr="004018DD">
        <w:rPr>
          <w:lang w:val="en-GB"/>
        </w:rPr>
        <w:t>Kaplan (1985) found that the non-discretionary accruals are not constant over time and respond on the changes in economic circumstances</w:t>
      </w:r>
      <w:r w:rsidRPr="004018DD">
        <w:t>.</w:t>
      </w:r>
    </w:p>
    <w:p w:rsidR="00E02AB1" w:rsidRPr="004018DD" w:rsidRDefault="00E02AB1" w:rsidP="00252752">
      <w:pPr>
        <w:pStyle w:val="Heading4"/>
      </w:pPr>
      <w:bookmarkStart w:id="14" w:name="_Toc313473572"/>
      <w:r w:rsidRPr="004018DD">
        <w:t xml:space="preserve">The Jones </w:t>
      </w:r>
      <w:bookmarkEnd w:id="14"/>
      <w:r w:rsidRPr="004018DD">
        <w:t>Model (1991)</w:t>
      </w:r>
    </w:p>
    <w:p w:rsidR="00E02AB1" w:rsidRPr="004018DD" w:rsidRDefault="00E02AB1" w:rsidP="00666575">
      <w:pPr>
        <w:rPr>
          <w:lang w:val="en-GB"/>
        </w:rPr>
      </w:pPr>
      <w:r w:rsidRPr="004018DD">
        <w:t xml:space="preserve">The Jones Model is one of the most widely used models in measuring accrual- based earnings management. It is a response to the weakness of the </w:t>
      </w:r>
      <w:proofErr w:type="spellStart"/>
      <w:r w:rsidRPr="004018DD">
        <w:t>DeAngelo</w:t>
      </w:r>
      <w:proofErr w:type="spellEnd"/>
      <w:r w:rsidRPr="004018DD">
        <w:t xml:space="preserve"> Model and the Healy model. It does not keep the non-discretionary accruals constant over time like the previous two models did.</w:t>
      </w:r>
      <w:r w:rsidRPr="004018DD">
        <w:rPr>
          <w:rFonts w:eastAsia="Times New Roman"/>
          <w:szCs w:val="20"/>
          <w:lang w:val="en-GB"/>
        </w:rPr>
        <w:t xml:space="preserve"> </w:t>
      </w:r>
      <w:r w:rsidRPr="004018DD">
        <w:rPr>
          <w:lang w:val="en-GB"/>
        </w:rPr>
        <w:t>The Jones Model tries to control the effect of changes in economic circumstance</w:t>
      </w:r>
      <w:r>
        <w:rPr>
          <w:lang w:val="en-GB"/>
        </w:rPr>
        <w:t xml:space="preserve">s on non-discretionary accruals, </w:t>
      </w:r>
      <w:r w:rsidRPr="00C66789">
        <w:t>for instance, by adding lagged total assets to show the size of the company, REV (changes in revenue) to reveal the companies’ business activities, PPE (gross property, plant and equipment) to capture the long-term accruals.</w:t>
      </w:r>
      <w:r w:rsidRPr="00BC43B3">
        <w:rPr>
          <w:color w:val="FF0000"/>
          <w:lang w:val="en-GB"/>
        </w:rPr>
        <w:t xml:space="preserve"> </w:t>
      </w:r>
      <w:r w:rsidRPr="009A7637">
        <w:t>This model can be formulated like this:</w:t>
      </w:r>
      <w:r w:rsidRPr="004018DD">
        <w:rPr>
          <w:lang w:val="en-GB"/>
        </w:rPr>
        <w:t xml:space="preserve">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3"/>
        <w:gridCol w:w="6818"/>
        <w:gridCol w:w="852"/>
      </w:tblGrid>
      <w:tr w:rsidR="00E02AB1" w:rsidRPr="004018DD" w:rsidTr="00E02AB1">
        <w:tc>
          <w:tcPr>
            <w:tcW w:w="500" w:type="pct"/>
            <w:vAlign w:val="center"/>
          </w:tcPr>
          <w:p w:rsidR="00E02AB1" w:rsidRPr="004018DD" w:rsidRDefault="00E02AB1" w:rsidP="00E02AB1">
            <w:pPr>
              <w:spacing w:before="100" w:beforeAutospacing="1" w:after="100" w:afterAutospacing="1"/>
              <w:jc w:val="center"/>
              <w:rPr>
                <w:rFonts w:cs="Times New Roman"/>
                <w:szCs w:val="24"/>
                <w:lang w:val="en-GB"/>
              </w:rPr>
            </w:pPr>
          </w:p>
        </w:tc>
        <w:tc>
          <w:tcPr>
            <w:tcW w:w="4000" w:type="pct"/>
            <w:vAlign w:val="center"/>
          </w:tcPr>
          <w:p w:rsidR="00E02AB1" w:rsidRPr="004018DD" w:rsidRDefault="00EF1EDC" w:rsidP="00AF0746">
            <w:pPr>
              <w:spacing w:before="100" w:beforeAutospacing="1" w:after="100" w:afterAutospacing="1"/>
              <w:jc w:val="center"/>
              <w:rPr>
                <w:rFonts w:cs="Times New Roman"/>
                <w:lang w:val="en-GB"/>
              </w:rPr>
            </w:pPr>
            <m:oMathPara>
              <m:oMath>
                <m:f>
                  <m:fPr>
                    <m:ctrlPr>
                      <w:rPr>
                        <w:rFonts w:ascii="Cambria Math" w:hAnsi="Cambria Math" w:cs="Times New Roman"/>
                        <w:i/>
                        <w:vertAlign w:val="subscript"/>
                      </w:rPr>
                    </m:ctrlPr>
                  </m:fPr>
                  <m:num>
                    <m:sSub>
                      <m:sSubPr>
                        <m:ctrlPr>
                          <w:rPr>
                            <w:rFonts w:ascii="Cambria Math" w:hAnsi="Cambria Math" w:cs="Times New Roman"/>
                            <w:vertAlign w:val="subscript"/>
                          </w:rPr>
                        </m:ctrlPr>
                      </m:sSubPr>
                      <m:e>
                        <m:r>
                          <m:rPr>
                            <m:sty m:val="p"/>
                          </m:rPr>
                          <w:rPr>
                            <w:rFonts w:ascii="Cambria Math" w:cs="Times New Roman"/>
                          </w:rPr>
                          <m:t>NDA</m:t>
                        </m:r>
                      </m:e>
                      <m:sub>
                        <m:r>
                          <m:rPr>
                            <m:sty m:val="p"/>
                          </m:rPr>
                          <w:rPr>
                            <w:rFonts w:ascii="Cambria Math" w:cs="Times New Roman"/>
                            <w:vertAlign w:val="subscript"/>
                          </w:rPr>
                          <m:t>t</m:t>
                        </m:r>
                      </m:sub>
                    </m:sSub>
                  </m:num>
                  <m:den>
                    <m:sSub>
                      <m:sSubPr>
                        <m:ctrlPr>
                          <w:rPr>
                            <w:rFonts w:ascii="Cambria Math" w:hAnsi="Cambria Math" w:cs="Times New Roman"/>
                            <w:vertAlign w:val="subscript"/>
                          </w:rPr>
                        </m:ctrlPr>
                      </m:sSubPr>
                      <m:e>
                        <m:r>
                          <m:rPr>
                            <m:sty m:val="p"/>
                          </m:rPr>
                          <w:rPr>
                            <w:rFonts w:ascii="Cambria Math" w:cs="Times New Roman"/>
                          </w:rPr>
                          <m:t>A</m:t>
                        </m:r>
                      </m:e>
                      <m:sub>
                        <m:r>
                          <m:rPr>
                            <m:sty m:val="p"/>
                          </m:rPr>
                          <w:rPr>
                            <w:rFonts w:ascii="Cambria Math" w:hAnsi="Cambria Math" w:cs="Times New Roman"/>
                            <w:vertAlign w:val="subscript"/>
                          </w:rPr>
                          <m:t>t-1</m:t>
                        </m:r>
                      </m:sub>
                    </m:sSub>
                  </m:den>
                </m:f>
                <m:r>
                  <w:rPr>
                    <w:rFonts w:ascii="Cambria Math" w:cs="Times New Roman"/>
                    <w:vertAlign w:val="subscript"/>
                  </w:rPr>
                  <m:t>=</m:t>
                </m:r>
                <m:sSub>
                  <m:sSubPr>
                    <m:ctrlPr>
                      <w:rPr>
                        <w:rFonts w:ascii="Cambria Math" w:hAnsi="Cambria Math" w:cs="Times New Roman"/>
                        <w:vertAlign w:val="subscript"/>
                      </w:rPr>
                    </m:ctrlPr>
                  </m:sSubPr>
                  <m:e>
                    <m:r>
                      <m:rPr>
                        <m:sty m:val="p"/>
                      </m:rPr>
                      <w:rPr>
                        <w:rFonts w:ascii="Cambria Math" w:cs="Times New Roman"/>
                        <w:vertAlign w:val="subscript"/>
                      </w:rPr>
                      <m:t>a</m:t>
                    </m:r>
                  </m:e>
                  <m:sub>
                    <m:r>
                      <m:rPr>
                        <m:sty m:val="p"/>
                      </m:rPr>
                      <w:rPr>
                        <w:rFonts w:ascii="Cambria Math" w:cs="Times New Roman"/>
                        <w:vertAlign w:val="subscript"/>
                      </w:rPr>
                      <m:t>1</m:t>
                    </m:r>
                  </m:sub>
                </m:sSub>
                <m:d>
                  <m:dPr>
                    <m:ctrlPr>
                      <w:rPr>
                        <w:rFonts w:ascii="Cambria Math" w:hAnsi="Cambria Math" w:cs="Times New Roman"/>
                      </w:rPr>
                    </m:ctrlPr>
                  </m:dPr>
                  <m:e>
                    <m:f>
                      <m:fPr>
                        <m:ctrlPr>
                          <w:rPr>
                            <w:rFonts w:ascii="Cambria Math" w:hAnsi="Cambria Math" w:cs="Times New Roman"/>
                            <w:i/>
                          </w:rPr>
                        </m:ctrlPr>
                      </m:fPr>
                      <m:num>
                        <m:r>
                          <w:rPr>
                            <w:rFonts w:ascii="Cambria Math" w:cs="Times New Roman"/>
                          </w:rPr>
                          <m:t>1</m:t>
                        </m:r>
                      </m:num>
                      <m:den>
                        <m:sSub>
                          <m:sSubPr>
                            <m:ctrlPr>
                              <w:rPr>
                                <w:rFonts w:ascii="Cambria Math" w:hAnsi="Cambria Math" w:cs="Times New Roman"/>
                                <w:vertAlign w:val="subscript"/>
                              </w:rPr>
                            </m:ctrlPr>
                          </m:sSubPr>
                          <m:e>
                            <m:r>
                              <m:rPr>
                                <m:sty m:val="p"/>
                              </m:rPr>
                              <w:rPr>
                                <w:rFonts w:ascii="Cambria Math" w:cs="Times New Roman"/>
                              </w:rPr>
                              <m:t>A</m:t>
                            </m:r>
                          </m:e>
                          <m:sub>
                            <m:r>
                              <m:rPr>
                                <m:sty m:val="p"/>
                              </m:rPr>
                              <w:rPr>
                                <w:rFonts w:ascii="Cambria Math" w:hAnsi="Cambria Math" w:cs="Times New Roman"/>
                                <w:vertAlign w:val="subscript"/>
                              </w:rPr>
                              <m:t>t-1</m:t>
                            </m:r>
                          </m:sub>
                        </m:sSub>
                      </m:den>
                    </m:f>
                  </m:e>
                </m:d>
                <m:r>
                  <m:rPr>
                    <m:sty m:val="p"/>
                  </m:rPr>
                  <w:rPr>
                    <w:rFonts w:ascii="Cambria Math" w:cs="Times New Roman"/>
                  </w:rPr>
                  <m:t>+</m:t>
                </m:r>
                <m:sSub>
                  <m:sSubPr>
                    <m:ctrlPr>
                      <w:rPr>
                        <w:rFonts w:ascii="Cambria Math" w:hAnsi="Cambria Math" w:cs="Times New Roman"/>
                        <w:vertAlign w:val="subscript"/>
                      </w:rPr>
                    </m:ctrlPr>
                  </m:sSubPr>
                  <m:e>
                    <m:r>
                      <m:rPr>
                        <m:sty m:val="p"/>
                      </m:rPr>
                      <w:rPr>
                        <w:rFonts w:ascii="Cambria Math" w:cs="Times New Roman"/>
                        <w:vertAlign w:val="subscript"/>
                      </w:rPr>
                      <m:t>a</m:t>
                    </m:r>
                  </m:e>
                  <m:sub>
                    <m:r>
                      <m:rPr>
                        <m:sty m:val="p"/>
                      </m:rPr>
                      <w:rPr>
                        <w:rFonts w:ascii="Cambria Math" w:cs="Times New Roman"/>
                        <w:vertAlign w:val="subscript"/>
                      </w:rPr>
                      <m:t>2</m:t>
                    </m:r>
                  </m:sub>
                </m:sSub>
                <m:d>
                  <m:dPr>
                    <m:ctrlPr>
                      <w:rPr>
                        <w:rFonts w:ascii="Cambria Math" w:hAnsi="Cambria Math" w:cs="Times New Roman"/>
                      </w:rPr>
                    </m:ctrlPr>
                  </m:dPr>
                  <m:e>
                    <m:f>
                      <m:fPr>
                        <m:ctrlPr>
                          <w:rPr>
                            <w:rFonts w:ascii="Cambria Math" w:hAnsi="Cambria Math" w:cs="Times New Roman"/>
                            <w:i/>
                          </w:rPr>
                        </m:ctrlPr>
                      </m:fPr>
                      <m:num>
                        <m:sSub>
                          <m:sSubPr>
                            <m:ctrlPr>
                              <w:rPr>
                                <w:rFonts w:ascii="Cambria Math" w:hAnsi="Cambria Math" w:cs="Times New Roman"/>
                                <w:vertAlign w:val="subscript"/>
                              </w:rPr>
                            </m:ctrlPr>
                          </m:sSubPr>
                          <m:e>
                            <m:r>
                              <m:rPr>
                                <m:sty m:val="p"/>
                              </m:rPr>
                              <w:rPr>
                                <w:rFonts w:ascii="Cambria Math" w:cs="Times New Roman"/>
                              </w:rPr>
                              <m:t>Δ</m:t>
                            </m:r>
                            <m:r>
                              <m:rPr>
                                <m:sty m:val="p"/>
                              </m:rPr>
                              <w:rPr>
                                <w:rFonts w:ascii="Cambria Math" w:cs="Times New Roman"/>
                              </w:rPr>
                              <m:t>REV</m:t>
                            </m:r>
                          </m:e>
                          <m:sub>
                            <m:r>
                              <m:rPr>
                                <m:sty m:val="p"/>
                              </m:rPr>
                              <w:rPr>
                                <w:rFonts w:ascii="Cambria Math" w:cs="Times New Roman"/>
                                <w:vertAlign w:val="subscript"/>
                              </w:rPr>
                              <m:t>t</m:t>
                            </m:r>
                          </m:sub>
                        </m:sSub>
                      </m:num>
                      <m:den>
                        <m:sSub>
                          <m:sSubPr>
                            <m:ctrlPr>
                              <w:rPr>
                                <w:rFonts w:ascii="Cambria Math" w:hAnsi="Cambria Math" w:cs="Times New Roman"/>
                                <w:vertAlign w:val="subscript"/>
                              </w:rPr>
                            </m:ctrlPr>
                          </m:sSubPr>
                          <m:e>
                            <m:r>
                              <m:rPr>
                                <m:sty m:val="p"/>
                              </m:rPr>
                              <w:rPr>
                                <w:rFonts w:ascii="Cambria Math" w:cs="Times New Roman"/>
                              </w:rPr>
                              <m:t>A</m:t>
                            </m:r>
                          </m:e>
                          <m:sub>
                            <m:r>
                              <m:rPr>
                                <m:sty m:val="p"/>
                              </m:rPr>
                              <w:rPr>
                                <w:rFonts w:ascii="Cambria Math" w:hAnsi="Cambria Math" w:cs="Times New Roman"/>
                                <w:vertAlign w:val="subscript"/>
                              </w:rPr>
                              <m:t>t-1</m:t>
                            </m:r>
                          </m:sub>
                        </m:sSub>
                      </m:den>
                    </m:f>
                  </m:e>
                </m:d>
                <m:r>
                  <w:rPr>
                    <w:rFonts w:ascii="Cambria Math" w:cs="Times New Roman"/>
                  </w:rPr>
                  <m:t>+</m:t>
                </m:r>
                <m:sSub>
                  <m:sSubPr>
                    <m:ctrlPr>
                      <w:rPr>
                        <w:rFonts w:ascii="Cambria Math" w:hAnsi="Cambria Math" w:cs="Times New Roman"/>
                        <w:vertAlign w:val="subscript"/>
                      </w:rPr>
                    </m:ctrlPr>
                  </m:sSubPr>
                  <m:e>
                    <m:r>
                      <m:rPr>
                        <m:sty m:val="p"/>
                      </m:rPr>
                      <w:rPr>
                        <w:rFonts w:ascii="Cambria Math" w:cs="Times New Roman"/>
                        <w:vertAlign w:val="subscript"/>
                      </w:rPr>
                      <m:t>a</m:t>
                    </m:r>
                  </m:e>
                  <m:sub>
                    <m:r>
                      <m:rPr>
                        <m:sty m:val="p"/>
                      </m:rPr>
                      <w:rPr>
                        <w:rFonts w:ascii="Cambria Math" w:cs="Times New Roman"/>
                        <w:vertAlign w:val="subscript"/>
                      </w:rPr>
                      <m:t>3</m:t>
                    </m:r>
                  </m:sub>
                </m:sSub>
                <m:r>
                  <m:rPr>
                    <m:sty m:val="p"/>
                  </m:rPr>
                  <w:rPr>
                    <w:rFonts w:ascii="Cambria Math" w:cs="Times New Roman"/>
                  </w:rPr>
                  <m:t xml:space="preserve">( </m:t>
                </m:r>
                <m:f>
                  <m:fPr>
                    <m:ctrlPr>
                      <w:rPr>
                        <w:rFonts w:ascii="Cambria Math" w:hAnsi="Cambria Math" w:cs="Times New Roman"/>
                        <w:i/>
                      </w:rPr>
                    </m:ctrlPr>
                  </m:fPr>
                  <m:num>
                    <m:sSub>
                      <m:sSubPr>
                        <m:ctrlPr>
                          <w:rPr>
                            <w:rFonts w:ascii="Cambria Math" w:hAnsi="Cambria Math" w:cs="Times New Roman"/>
                            <w:vertAlign w:val="subscript"/>
                          </w:rPr>
                        </m:ctrlPr>
                      </m:sSubPr>
                      <m:e>
                        <m:r>
                          <m:rPr>
                            <m:sty m:val="p"/>
                          </m:rPr>
                          <w:rPr>
                            <w:rFonts w:ascii="Cambria Math" w:cs="Times New Roman"/>
                          </w:rPr>
                          <m:t>PPE</m:t>
                        </m:r>
                      </m:e>
                      <m:sub>
                        <m:r>
                          <m:rPr>
                            <m:sty m:val="p"/>
                          </m:rPr>
                          <w:rPr>
                            <w:rFonts w:ascii="Cambria Math" w:cs="Times New Roman"/>
                            <w:vertAlign w:val="subscript"/>
                          </w:rPr>
                          <m:t>t</m:t>
                        </m:r>
                      </m:sub>
                    </m:sSub>
                    <m:r>
                      <m:rPr>
                        <m:sty m:val="p"/>
                      </m:rPr>
                      <w:rPr>
                        <w:rFonts w:ascii="Cambria Math" w:cs="Times New Roman"/>
                        <w:vertAlign w:val="subscript"/>
                      </w:rPr>
                      <m:t xml:space="preserve"> </m:t>
                    </m:r>
                  </m:num>
                  <m:den>
                    <m:sSub>
                      <m:sSubPr>
                        <m:ctrlPr>
                          <w:rPr>
                            <w:rFonts w:ascii="Cambria Math" w:hAnsi="Cambria Math" w:cs="Times New Roman"/>
                            <w:vertAlign w:val="subscript"/>
                          </w:rPr>
                        </m:ctrlPr>
                      </m:sSubPr>
                      <m:e>
                        <m:r>
                          <m:rPr>
                            <m:sty m:val="p"/>
                          </m:rPr>
                          <w:rPr>
                            <w:rFonts w:ascii="Cambria Math" w:cs="Times New Roman"/>
                          </w:rPr>
                          <m:t>A</m:t>
                        </m:r>
                      </m:e>
                      <m:sub>
                        <m:r>
                          <m:rPr>
                            <m:sty m:val="p"/>
                          </m:rPr>
                          <w:rPr>
                            <w:rFonts w:ascii="Cambria Math" w:hAnsi="Cambria Math" w:cs="Times New Roman"/>
                            <w:vertAlign w:val="subscript"/>
                          </w:rPr>
                          <m:t>t-1</m:t>
                        </m:r>
                      </m:sub>
                    </m:sSub>
                  </m:den>
                </m:f>
                <m:r>
                  <m:rPr>
                    <m:sty m:val="p"/>
                  </m:rPr>
                  <w:rPr>
                    <w:rFonts w:ascii="Cambria Math" w:cs="Times New Roman"/>
                  </w:rPr>
                  <m:t>)</m:t>
                </m:r>
              </m:oMath>
            </m:oMathPara>
          </w:p>
        </w:tc>
        <w:tc>
          <w:tcPr>
            <w:tcW w:w="500" w:type="pct"/>
            <w:vAlign w:val="center"/>
          </w:tcPr>
          <w:p w:rsidR="00E02AB1" w:rsidRPr="004018DD" w:rsidRDefault="00E02AB1" w:rsidP="00E02AB1">
            <w:pPr>
              <w:spacing w:before="100" w:beforeAutospacing="1" w:after="100" w:afterAutospacing="1"/>
              <w:jc w:val="right"/>
              <w:rPr>
                <w:rFonts w:cs="Times New Roman"/>
                <w:lang w:val="en-GB"/>
              </w:rPr>
            </w:pPr>
            <w:r w:rsidRPr="004018DD">
              <w:rPr>
                <w:rFonts w:cs="Times New Roman"/>
                <w:lang w:val="en-GB"/>
              </w:rPr>
              <w:t>(</w:t>
            </w:r>
            <w:r w:rsidR="00A33CB4">
              <w:rPr>
                <w:rFonts w:cs="Times New Roman"/>
                <w:lang w:val="en-GB"/>
              </w:rPr>
              <w:t>2.</w:t>
            </w:r>
            <w:r w:rsidRPr="004018DD">
              <w:rPr>
                <w:rFonts w:cs="Times New Roman"/>
                <w:lang w:val="en-GB"/>
              </w:rPr>
              <w:t>5)</w:t>
            </w:r>
          </w:p>
        </w:tc>
      </w:tr>
    </w:tbl>
    <w:p w:rsidR="00E02AB1" w:rsidRPr="004018DD" w:rsidRDefault="00E02AB1" w:rsidP="00E02AB1">
      <w:pPr>
        <w:spacing w:before="60"/>
        <w:rPr>
          <w:rFonts w:cs="Times New Roman"/>
          <w:szCs w:val="24"/>
        </w:rPr>
      </w:pPr>
      <w:r w:rsidRPr="004018DD">
        <w:rPr>
          <w:rFonts w:cs="Times New Roman"/>
          <w:szCs w:val="24"/>
        </w:rPr>
        <w:t>Where:</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9"/>
        <w:gridCol w:w="6694"/>
      </w:tblGrid>
      <w:tr w:rsidR="00E02AB1" w:rsidRPr="00512173" w:rsidTr="001814DE">
        <w:trPr>
          <w:trHeight w:val="576"/>
          <w:jc w:val="center"/>
        </w:trPr>
        <w:tc>
          <w:tcPr>
            <w:tcW w:w="0" w:type="auto"/>
            <w:vAlign w:val="center"/>
          </w:tcPr>
          <w:p w:rsidR="00E02AB1" w:rsidRPr="004018DD" w:rsidRDefault="00E02AB1" w:rsidP="00E02AB1">
            <w:pPr>
              <w:spacing w:before="60"/>
              <w:rPr>
                <w:rFonts w:cs="Times New Roman"/>
              </w:rPr>
            </w:pPr>
            <w:proofErr w:type="spellStart"/>
            <w:r w:rsidRPr="004018DD">
              <w:rPr>
                <w:rFonts w:cs="Times New Roman"/>
              </w:rPr>
              <w:t>NDA</w:t>
            </w:r>
            <w:r w:rsidRPr="004018DD">
              <w:rPr>
                <w:rFonts w:cs="Times New Roman"/>
                <w:vertAlign w:val="subscript"/>
              </w:rPr>
              <w:t>t</w:t>
            </w:r>
            <w:proofErr w:type="spellEnd"/>
          </w:p>
        </w:tc>
        <w:tc>
          <w:tcPr>
            <w:tcW w:w="0" w:type="auto"/>
            <w:vAlign w:val="center"/>
          </w:tcPr>
          <w:p w:rsidR="00E02AB1" w:rsidRPr="004018DD" w:rsidRDefault="00E02AB1" w:rsidP="00E02AB1">
            <w:pPr>
              <w:spacing w:before="60"/>
              <w:rPr>
                <w:rFonts w:cs="Times New Roman"/>
                <w:szCs w:val="24"/>
              </w:rPr>
            </w:pPr>
            <w:r w:rsidRPr="00E0785E">
              <w:rPr>
                <w:rFonts w:cs="Times New Roman"/>
                <w:szCs w:val="24"/>
              </w:rPr>
              <w:t>= non-discretionary accruals in year t scaled by total assets in t-1 year</w:t>
            </w:r>
          </w:p>
        </w:tc>
      </w:tr>
      <w:tr w:rsidR="00E02AB1" w:rsidRPr="00512173" w:rsidTr="001814DE">
        <w:trPr>
          <w:trHeight w:val="576"/>
          <w:jc w:val="center"/>
        </w:trPr>
        <w:tc>
          <w:tcPr>
            <w:tcW w:w="0" w:type="auto"/>
            <w:vAlign w:val="center"/>
          </w:tcPr>
          <w:p w:rsidR="00E02AB1" w:rsidRPr="004018DD" w:rsidRDefault="00E02AB1" w:rsidP="00E02AB1">
            <w:pPr>
              <w:spacing w:before="60"/>
              <w:rPr>
                <w:rFonts w:cs="Times New Roman"/>
              </w:rPr>
            </w:pPr>
            <w:proofErr w:type="spellStart"/>
            <w:r w:rsidRPr="004018DD">
              <w:rPr>
                <w:rFonts w:cs="Times New Roman"/>
              </w:rPr>
              <w:t>ΔREV</w:t>
            </w:r>
            <w:r w:rsidRPr="004018DD">
              <w:rPr>
                <w:rFonts w:cs="Times New Roman"/>
                <w:vertAlign w:val="subscript"/>
              </w:rPr>
              <w:t>t</w:t>
            </w:r>
            <w:proofErr w:type="spellEnd"/>
          </w:p>
        </w:tc>
        <w:tc>
          <w:tcPr>
            <w:tcW w:w="0" w:type="auto"/>
            <w:vAlign w:val="center"/>
          </w:tcPr>
          <w:p w:rsidR="00E02AB1" w:rsidRPr="004018DD" w:rsidRDefault="00E02AB1" w:rsidP="00E02AB1">
            <w:pPr>
              <w:spacing w:before="60"/>
              <w:rPr>
                <w:rFonts w:cs="Times New Roman"/>
                <w:szCs w:val="24"/>
              </w:rPr>
            </w:pPr>
            <w:r w:rsidRPr="00E0785E">
              <w:rPr>
                <w:rFonts w:cs="Times New Roman"/>
                <w:szCs w:val="24"/>
              </w:rPr>
              <w:t>= revenues in year t less revenues in year t-1 scaled by total assets at t-1</w:t>
            </w:r>
          </w:p>
        </w:tc>
      </w:tr>
      <w:tr w:rsidR="00E02AB1" w:rsidRPr="00512173" w:rsidTr="001814DE">
        <w:trPr>
          <w:trHeight w:val="576"/>
          <w:jc w:val="center"/>
        </w:trPr>
        <w:tc>
          <w:tcPr>
            <w:tcW w:w="0" w:type="auto"/>
            <w:vAlign w:val="center"/>
          </w:tcPr>
          <w:p w:rsidR="00E02AB1" w:rsidRPr="004018DD" w:rsidRDefault="00E02AB1" w:rsidP="00E02AB1">
            <w:pPr>
              <w:spacing w:before="60"/>
              <w:rPr>
                <w:rFonts w:cs="Times New Roman"/>
              </w:rPr>
            </w:pPr>
            <w:proofErr w:type="spellStart"/>
            <w:r w:rsidRPr="004018DD">
              <w:rPr>
                <w:rFonts w:cs="Times New Roman"/>
              </w:rPr>
              <w:t>PPE</w:t>
            </w:r>
            <w:r w:rsidRPr="004018DD">
              <w:rPr>
                <w:rFonts w:cs="Times New Roman"/>
                <w:vertAlign w:val="subscript"/>
              </w:rPr>
              <w:t>t</w:t>
            </w:r>
            <w:proofErr w:type="spellEnd"/>
          </w:p>
        </w:tc>
        <w:tc>
          <w:tcPr>
            <w:tcW w:w="0" w:type="auto"/>
            <w:vAlign w:val="center"/>
          </w:tcPr>
          <w:p w:rsidR="00E02AB1" w:rsidRPr="004018DD" w:rsidRDefault="00E02AB1" w:rsidP="00E02AB1">
            <w:pPr>
              <w:spacing w:before="60"/>
              <w:rPr>
                <w:rFonts w:cs="Times New Roman"/>
                <w:szCs w:val="24"/>
              </w:rPr>
            </w:pPr>
            <w:r w:rsidRPr="00E0785E">
              <w:rPr>
                <w:rFonts w:cs="Times New Roman"/>
                <w:szCs w:val="24"/>
              </w:rPr>
              <w:t>= gross property plant and equipment in year t scaled by total assets at t-1</w:t>
            </w:r>
          </w:p>
        </w:tc>
      </w:tr>
      <w:tr w:rsidR="00E02AB1" w:rsidRPr="00512173" w:rsidTr="001814DE">
        <w:trPr>
          <w:trHeight w:val="576"/>
          <w:jc w:val="center"/>
        </w:trPr>
        <w:tc>
          <w:tcPr>
            <w:tcW w:w="0" w:type="auto"/>
            <w:vAlign w:val="center"/>
          </w:tcPr>
          <w:p w:rsidR="00E02AB1" w:rsidRPr="004018DD" w:rsidRDefault="00E02AB1" w:rsidP="00E02AB1">
            <w:pPr>
              <w:spacing w:before="60"/>
              <w:rPr>
                <w:rFonts w:cs="Times New Roman"/>
              </w:rPr>
            </w:pPr>
            <w:r w:rsidRPr="004018DD">
              <w:rPr>
                <w:rFonts w:cs="Times New Roman"/>
              </w:rPr>
              <w:t>A</w:t>
            </w:r>
            <w:r w:rsidRPr="004018DD">
              <w:rPr>
                <w:rFonts w:cs="Times New Roman"/>
                <w:vertAlign w:val="subscript"/>
              </w:rPr>
              <w:t>t-1</w:t>
            </w:r>
          </w:p>
        </w:tc>
        <w:tc>
          <w:tcPr>
            <w:tcW w:w="0" w:type="auto"/>
            <w:vAlign w:val="center"/>
          </w:tcPr>
          <w:p w:rsidR="00E02AB1" w:rsidRPr="004018DD" w:rsidRDefault="00E02AB1" w:rsidP="00E02AB1">
            <w:pPr>
              <w:spacing w:before="60"/>
              <w:rPr>
                <w:rFonts w:cs="Times New Roman"/>
                <w:szCs w:val="24"/>
              </w:rPr>
            </w:pPr>
            <w:r w:rsidRPr="00E0785E">
              <w:rPr>
                <w:rFonts w:cs="Times New Roman"/>
                <w:szCs w:val="24"/>
              </w:rPr>
              <w:t>= total assets in t-1 year</w:t>
            </w:r>
          </w:p>
        </w:tc>
      </w:tr>
      <w:tr w:rsidR="00E02AB1" w:rsidRPr="004018DD" w:rsidTr="001814DE">
        <w:trPr>
          <w:trHeight w:val="576"/>
          <w:jc w:val="center"/>
        </w:trPr>
        <w:tc>
          <w:tcPr>
            <w:tcW w:w="0" w:type="auto"/>
            <w:vAlign w:val="center"/>
          </w:tcPr>
          <w:p w:rsidR="00E02AB1" w:rsidRPr="004018DD" w:rsidRDefault="00E02AB1" w:rsidP="00E02AB1">
            <w:pPr>
              <w:spacing w:before="60"/>
              <w:rPr>
                <w:rFonts w:cs="Times New Roman"/>
              </w:rPr>
            </w:pPr>
            <w:r w:rsidRPr="004018DD">
              <w:rPr>
                <w:rFonts w:cs="Times New Roman"/>
              </w:rPr>
              <w:t>a</w:t>
            </w:r>
            <w:r w:rsidRPr="004018DD">
              <w:rPr>
                <w:rFonts w:cs="Times New Roman"/>
                <w:vertAlign w:val="subscript"/>
              </w:rPr>
              <w:t>1,</w:t>
            </w:r>
            <w:r w:rsidRPr="004018DD">
              <w:rPr>
                <w:rFonts w:cs="Times New Roman"/>
              </w:rPr>
              <w:t xml:space="preserve"> a</w:t>
            </w:r>
            <w:r w:rsidRPr="004018DD">
              <w:rPr>
                <w:rFonts w:cs="Times New Roman"/>
                <w:vertAlign w:val="subscript"/>
              </w:rPr>
              <w:t>2,</w:t>
            </w:r>
            <w:r w:rsidRPr="004018DD">
              <w:rPr>
                <w:rFonts w:cs="Times New Roman"/>
              </w:rPr>
              <w:t xml:space="preserve"> a</w:t>
            </w:r>
            <w:r w:rsidRPr="004018DD">
              <w:rPr>
                <w:rFonts w:cs="Times New Roman"/>
                <w:vertAlign w:val="subscript"/>
              </w:rPr>
              <w:t>3</w:t>
            </w:r>
          </w:p>
        </w:tc>
        <w:tc>
          <w:tcPr>
            <w:tcW w:w="0" w:type="auto"/>
            <w:vAlign w:val="center"/>
          </w:tcPr>
          <w:p w:rsidR="00E02AB1" w:rsidRPr="004018DD" w:rsidRDefault="00E02AB1" w:rsidP="00E02AB1">
            <w:pPr>
              <w:spacing w:before="60"/>
              <w:rPr>
                <w:rFonts w:cs="Times New Roman"/>
                <w:szCs w:val="24"/>
              </w:rPr>
            </w:pPr>
            <w:r w:rsidRPr="004018DD">
              <w:rPr>
                <w:rFonts w:cs="Times New Roman"/>
                <w:szCs w:val="24"/>
              </w:rPr>
              <w:t>= firm-specific parameters</w:t>
            </w:r>
          </w:p>
        </w:tc>
      </w:tr>
    </w:tbl>
    <w:p w:rsidR="00E02AB1" w:rsidRPr="00991EC4" w:rsidRDefault="00E02AB1" w:rsidP="00666575">
      <w:pPr>
        <w:rPr>
          <w:color w:val="FF0000"/>
        </w:rPr>
      </w:pPr>
      <w:r w:rsidRPr="004018DD">
        <w:rPr>
          <w:lang w:val="en-GB"/>
        </w:rPr>
        <w:t xml:space="preserve">In order to calculate the firm-specific parameters, the </w:t>
      </w:r>
      <w:r w:rsidRPr="00C66789">
        <w:t>equation (</w:t>
      </w:r>
      <w:r w:rsidR="00BE4284">
        <w:t>2.</w:t>
      </w:r>
      <w:r w:rsidRPr="00C66789">
        <w:t>6)</w:t>
      </w:r>
      <w:r w:rsidRPr="00C66789">
        <w:rPr>
          <w:lang w:val="en-GB"/>
        </w:rPr>
        <w:t xml:space="preserve"> is adopted in the estimation period, which assumes that on the average earnings management is zero in the estimation period. The data of changes in revenue, gross </w:t>
      </w:r>
      <w:r w:rsidRPr="00C66789">
        <w:t>property, plant and equipment and lagged total asset from estimation period are applied in (</w:t>
      </w:r>
      <w:r w:rsidR="00BE4284">
        <w:t>2.</w:t>
      </w:r>
      <w:r w:rsidRPr="00C66789">
        <w:t>6). In the meanwhile, total accruals calculated by equation (</w:t>
      </w:r>
      <w:r w:rsidR="00BE4284">
        <w:t>2.</w:t>
      </w:r>
      <w:r w:rsidRPr="00C66789">
        <w:t>2) are an input of (</w:t>
      </w:r>
      <w:r w:rsidR="00BE4284">
        <w:t>2.</w:t>
      </w:r>
      <w:r w:rsidRPr="00C66789">
        <w:t>6). The estimation of firm-specific parameters a</w:t>
      </w:r>
      <w:r w:rsidRPr="00C66789">
        <w:rPr>
          <w:vertAlign w:val="subscript"/>
        </w:rPr>
        <w:t>1</w:t>
      </w:r>
      <w:r w:rsidRPr="00C66789">
        <w:t>, a</w:t>
      </w:r>
      <w:r w:rsidRPr="00C66789">
        <w:rPr>
          <w:vertAlign w:val="subscript"/>
        </w:rPr>
        <w:t>2</w:t>
      </w:r>
      <w:r w:rsidRPr="00C66789">
        <w:t>,</w:t>
      </w:r>
      <w:r w:rsidRPr="00C66789">
        <w:rPr>
          <w:vertAlign w:val="subscript"/>
        </w:rPr>
        <w:t xml:space="preserve"> </w:t>
      </w:r>
      <w:r w:rsidRPr="00C66789">
        <w:t>a</w:t>
      </w:r>
      <w:r w:rsidRPr="00C66789">
        <w:rPr>
          <w:vertAlign w:val="subscript"/>
        </w:rPr>
        <w:t>3</w:t>
      </w:r>
      <w:r w:rsidRPr="00C66789">
        <w:t xml:space="preserve"> can be obtained by running an ordinary least square</w:t>
      </w:r>
      <w:r w:rsidR="00C644CB">
        <w:t>s</w:t>
      </w:r>
      <w:r w:rsidRPr="00C66789">
        <w:t xml:space="preserve"> regression.</w:t>
      </w:r>
      <w:r>
        <w:rPr>
          <w:color w:val="FF0000"/>
        </w:rPr>
        <w:t xml:space="preserve">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3"/>
        <w:gridCol w:w="6818"/>
        <w:gridCol w:w="852"/>
      </w:tblGrid>
      <w:tr w:rsidR="00E02AB1" w:rsidRPr="004018DD" w:rsidTr="00E02AB1">
        <w:tc>
          <w:tcPr>
            <w:tcW w:w="500" w:type="pct"/>
            <w:vAlign w:val="center"/>
          </w:tcPr>
          <w:p w:rsidR="00E02AB1" w:rsidRPr="004018DD" w:rsidRDefault="00E02AB1" w:rsidP="00F82EEB">
            <w:pPr>
              <w:spacing w:before="100" w:beforeAutospacing="1" w:after="100" w:afterAutospacing="1" w:line="240" w:lineRule="auto"/>
              <w:jc w:val="center"/>
              <w:rPr>
                <w:rFonts w:cs="Times New Roman"/>
                <w:szCs w:val="24"/>
                <w:lang w:val="en-GB"/>
              </w:rPr>
            </w:pPr>
          </w:p>
        </w:tc>
        <w:tc>
          <w:tcPr>
            <w:tcW w:w="4000" w:type="pct"/>
            <w:vAlign w:val="center"/>
          </w:tcPr>
          <w:p w:rsidR="00E02AB1" w:rsidRPr="00E0785E" w:rsidRDefault="00EF1EDC" w:rsidP="00F419A2">
            <w:pPr>
              <w:spacing w:before="100" w:beforeAutospacing="1" w:after="100" w:afterAutospacing="1" w:line="240" w:lineRule="auto"/>
              <w:jc w:val="center"/>
              <w:rPr>
                <w:rFonts w:asciiTheme="majorHAnsi" w:hAnsiTheme="majorHAnsi" w:cs="Times New Roman"/>
                <w:lang w:val="en-GB"/>
              </w:rPr>
            </w:pPr>
            <m:oMathPara>
              <m:oMath>
                <m:f>
                  <m:fPr>
                    <m:ctrlPr>
                      <w:rPr>
                        <w:rFonts w:ascii="Cambria Math" w:hAnsi="Cambria Math" w:cs="Times New Roman"/>
                        <w:i/>
                        <w:vertAlign w:val="subscript"/>
                        <w:lang w:val="fr-FR"/>
                      </w:rPr>
                    </m:ctrlPr>
                  </m:fPr>
                  <m:num>
                    <m:r>
                      <m:rPr>
                        <m:sty m:val="p"/>
                      </m:rPr>
                      <w:rPr>
                        <w:rFonts w:ascii="Cambria Math" w:hAnsi="Cambria Math" w:cs="Times New Roman"/>
                      </w:rPr>
                      <m:t xml:space="preserve"> </m:t>
                    </m:r>
                    <m:sSub>
                      <m:sSubPr>
                        <m:ctrlPr>
                          <w:rPr>
                            <w:rFonts w:ascii="Cambria Math" w:hAnsi="Cambria Math" w:cs="Times New Roman"/>
                            <w:vertAlign w:val="subscript"/>
                          </w:rPr>
                        </m:ctrlPr>
                      </m:sSubPr>
                      <m:e>
                        <m:r>
                          <m:rPr>
                            <m:sty m:val="p"/>
                          </m:rPr>
                          <w:rPr>
                            <w:rFonts w:ascii="Cambria Math" w:hAnsi="Cambria Math" w:cs="Times New Roman"/>
                          </w:rPr>
                          <m:t>TA</m:t>
                        </m:r>
                      </m:e>
                      <m:sub>
                        <m:r>
                          <m:rPr>
                            <m:sty m:val="p"/>
                          </m:rPr>
                          <w:rPr>
                            <w:rFonts w:ascii="Cambria Math" w:hAnsi="Cambria Math" w:cs="Times New Roman"/>
                            <w:vertAlign w:val="subscript"/>
                          </w:rPr>
                          <m:t>t</m:t>
                        </m:r>
                      </m:sub>
                    </m:sSub>
                  </m:num>
                  <m:den>
                    <m:sSub>
                      <m:sSubPr>
                        <m:ctrlPr>
                          <w:rPr>
                            <w:rFonts w:ascii="Cambria Math" w:hAnsi="Cambria Math" w:cs="Times New Roman"/>
                            <w:vertAlign w:val="subscript"/>
                          </w:rPr>
                        </m:ctrlPr>
                      </m:sSubPr>
                      <m:e>
                        <m:r>
                          <m:rPr>
                            <m:sty m:val="p"/>
                          </m:rPr>
                          <w:rPr>
                            <w:rFonts w:ascii="Cambria Math" w:cs="Times New Roman"/>
                          </w:rPr>
                          <m:t>A</m:t>
                        </m:r>
                      </m:e>
                      <m:sub>
                        <m:r>
                          <m:rPr>
                            <m:sty m:val="p"/>
                          </m:rPr>
                          <w:rPr>
                            <w:rFonts w:ascii="Cambria Math" w:hAnsi="Cambria Math" w:cs="Times New Roman"/>
                            <w:vertAlign w:val="subscript"/>
                          </w:rPr>
                          <m:t>t-1</m:t>
                        </m:r>
                      </m:sub>
                    </m:sSub>
                  </m:den>
                </m:f>
                <m:r>
                  <w:rPr>
                    <w:rFonts w:ascii="Cambria Math" w:hAnsi="Cambria Math" w:cs="Times New Roman"/>
                    <w:vertAlign w:val="subscript"/>
                  </w:rPr>
                  <m:t>=</m:t>
                </m:r>
                <m:sSub>
                  <m:sSubPr>
                    <m:ctrlPr>
                      <w:rPr>
                        <w:rFonts w:ascii="Cambria Math" w:hAnsi="Cambria Math" w:cs="Times New Roman"/>
                        <w:vertAlign w:val="subscript"/>
                      </w:rPr>
                    </m:ctrlPr>
                  </m:sSubPr>
                  <m:e>
                    <m:r>
                      <m:rPr>
                        <m:sty m:val="p"/>
                      </m:rPr>
                      <w:rPr>
                        <w:rFonts w:ascii="Cambria Math" w:hAnsi="Cambria Math" w:cs="Times New Roman"/>
                        <w:vertAlign w:val="subscript"/>
                      </w:rPr>
                      <m:t>a</m:t>
                    </m:r>
                  </m:e>
                  <m:sub>
                    <m:r>
                      <m:rPr>
                        <m:sty m:val="p"/>
                      </m:rPr>
                      <w:rPr>
                        <w:rFonts w:ascii="Cambria Math" w:hAnsi="Cambria Math" w:cs="Times New Roman"/>
                        <w:vertAlign w:val="subscript"/>
                      </w:rPr>
                      <m:t>1</m:t>
                    </m:r>
                  </m:sub>
                </m:sSub>
                <m:d>
                  <m:dPr>
                    <m:ctrlPr>
                      <w:rPr>
                        <w:rFonts w:ascii="Cambria Math" w:hAnsi="Cambria Math" w:cs="Times New Roman"/>
                      </w:rPr>
                    </m:ctrlPr>
                  </m:dPr>
                  <m:e>
                    <m:f>
                      <m:fPr>
                        <m:ctrlPr>
                          <w:rPr>
                            <w:rFonts w:ascii="Cambria Math" w:hAnsi="Cambria Math" w:cs="Times New Roman"/>
                            <w:i/>
                          </w:rPr>
                        </m:ctrlPr>
                      </m:fPr>
                      <m:num>
                        <m:r>
                          <w:rPr>
                            <w:rFonts w:ascii="Cambria Math" w:hAnsi="Cambria Math" w:cs="Times New Roman"/>
                          </w:rPr>
                          <m:t>1</m:t>
                        </m:r>
                      </m:num>
                      <m:den>
                        <m:sSub>
                          <m:sSubPr>
                            <m:ctrlPr>
                              <w:rPr>
                                <w:rFonts w:ascii="Cambria Math" w:hAnsi="Cambria Math" w:cs="Times New Roman"/>
                                <w:vertAlign w:val="subscript"/>
                              </w:rPr>
                            </m:ctrlPr>
                          </m:sSubPr>
                          <m:e>
                            <m:r>
                              <m:rPr>
                                <m:sty m:val="p"/>
                              </m:rPr>
                              <w:rPr>
                                <w:rFonts w:ascii="Cambria Math" w:cs="Times New Roman"/>
                              </w:rPr>
                              <m:t>A</m:t>
                            </m:r>
                          </m:e>
                          <m:sub>
                            <m:r>
                              <m:rPr>
                                <m:sty m:val="p"/>
                              </m:rPr>
                              <w:rPr>
                                <w:rFonts w:ascii="Cambria Math" w:hAnsi="Cambria Math" w:cs="Times New Roman"/>
                                <w:vertAlign w:val="subscript"/>
                              </w:rPr>
                              <m:t>t-1</m:t>
                            </m:r>
                          </m:sub>
                        </m:sSub>
                      </m:den>
                    </m:f>
                  </m:e>
                </m:d>
                <m:r>
                  <m:rPr>
                    <m:sty m:val="p"/>
                  </m:rPr>
                  <w:rPr>
                    <w:rFonts w:ascii="Cambria Math" w:hAnsi="Cambria Math" w:cs="Times New Roman"/>
                  </w:rPr>
                  <m:t>+</m:t>
                </m:r>
                <m:sSub>
                  <m:sSubPr>
                    <m:ctrlPr>
                      <w:rPr>
                        <w:rFonts w:ascii="Cambria Math" w:hAnsi="Cambria Math" w:cs="Times New Roman"/>
                        <w:vertAlign w:val="subscript"/>
                      </w:rPr>
                    </m:ctrlPr>
                  </m:sSubPr>
                  <m:e>
                    <m:r>
                      <m:rPr>
                        <m:sty m:val="p"/>
                      </m:rPr>
                      <w:rPr>
                        <w:rFonts w:ascii="Cambria Math" w:hAnsi="Cambria Math" w:cs="Times New Roman"/>
                      </w:rPr>
                      <m:t>a</m:t>
                    </m:r>
                  </m:e>
                  <m:sub>
                    <m:r>
                      <m:rPr>
                        <m:sty m:val="p"/>
                      </m:rPr>
                      <w:rPr>
                        <w:rFonts w:ascii="Cambria Math" w:hAnsi="Cambria Math" w:cs="Times New Roman"/>
                        <w:vertAlign w:val="subscript"/>
                      </w:rPr>
                      <m:t>2</m:t>
                    </m:r>
                  </m:sub>
                </m:sSub>
                <m:d>
                  <m:dPr>
                    <m:ctrlPr>
                      <w:rPr>
                        <w:rFonts w:ascii="Cambria Math" w:hAnsi="Cambria Math" w:cs="Times New Roman"/>
                      </w:rPr>
                    </m:ctrlPr>
                  </m:dPr>
                  <m:e>
                    <m:f>
                      <m:fPr>
                        <m:ctrlPr>
                          <w:rPr>
                            <w:rFonts w:ascii="Cambria Math" w:hAnsi="Cambria Math" w:cs="Times New Roman"/>
                            <w:i/>
                          </w:rPr>
                        </m:ctrlPr>
                      </m:fPr>
                      <m:num>
                        <m:sSub>
                          <m:sSubPr>
                            <m:ctrlPr>
                              <w:rPr>
                                <w:rFonts w:ascii="Cambria Math" w:hAnsi="Cambria Math" w:cs="Times New Roman"/>
                                <w:vertAlign w:val="subscript"/>
                              </w:rPr>
                            </m:ctrlPr>
                          </m:sSubPr>
                          <m:e>
                            <m:r>
                              <m:rPr>
                                <m:sty m:val="p"/>
                              </m:rPr>
                              <w:rPr>
                                <w:rFonts w:ascii="Cambria Math" w:hAnsi="Cambria Math" w:cs="Times New Roman"/>
                              </w:rPr>
                              <m:t>ΔREV</m:t>
                            </m:r>
                          </m:e>
                          <m:sub>
                            <m:r>
                              <m:rPr>
                                <m:sty m:val="p"/>
                              </m:rPr>
                              <w:rPr>
                                <w:rFonts w:ascii="Cambria Math" w:hAnsi="Cambria Math" w:cs="Times New Roman"/>
                                <w:vertAlign w:val="subscript"/>
                              </w:rPr>
                              <m:t>t</m:t>
                            </m:r>
                          </m:sub>
                        </m:sSub>
                      </m:num>
                      <m:den>
                        <m:sSub>
                          <m:sSubPr>
                            <m:ctrlPr>
                              <w:rPr>
                                <w:rFonts w:ascii="Cambria Math" w:hAnsi="Cambria Math" w:cs="Times New Roman"/>
                                <w:vertAlign w:val="subscript"/>
                              </w:rPr>
                            </m:ctrlPr>
                          </m:sSubPr>
                          <m:e>
                            <m:r>
                              <m:rPr>
                                <m:sty m:val="p"/>
                              </m:rPr>
                              <w:rPr>
                                <w:rFonts w:ascii="Cambria Math" w:cs="Times New Roman"/>
                              </w:rPr>
                              <m:t>A</m:t>
                            </m:r>
                          </m:e>
                          <m:sub>
                            <m:r>
                              <m:rPr>
                                <m:sty m:val="p"/>
                              </m:rPr>
                              <w:rPr>
                                <w:rFonts w:ascii="Cambria Math" w:hAnsi="Cambria Math" w:cs="Times New Roman"/>
                                <w:vertAlign w:val="subscript"/>
                              </w:rPr>
                              <m:t>t-1</m:t>
                            </m:r>
                          </m:sub>
                        </m:sSub>
                      </m:den>
                    </m:f>
                  </m:e>
                </m:d>
                <m:r>
                  <w:rPr>
                    <w:rFonts w:ascii="Cambria Math" w:hAnsi="Cambria Math" w:cs="Times New Roman"/>
                  </w:rPr>
                  <m:t>+</m:t>
                </m:r>
                <m:sSub>
                  <m:sSubPr>
                    <m:ctrlPr>
                      <w:rPr>
                        <w:rFonts w:ascii="Cambria Math" w:hAnsi="Cambria Math" w:cs="Times New Roman"/>
                        <w:vertAlign w:val="subscript"/>
                      </w:rPr>
                    </m:ctrlPr>
                  </m:sSubPr>
                  <m:e>
                    <m:r>
                      <m:rPr>
                        <m:sty m:val="p"/>
                      </m:rPr>
                      <w:rPr>
                        <w:rFonts w:ascii="Cambria Math" w:hAnsi="Cambria Math" w:cs="Times New Roman"/>
                      </w:rPr>
                      <m:t>a</m:t>
                    </m:r>
                  </m:e>
                  <m:sub>
                    <m:r>
                      <m:rPr>
                        <m:sty m:val="p"/>
                      </m:rPr>
                      <w:rPr>
                        <w:rFonts w:ascii="Cambria Math" w:hAnsi="Cambria Math" w:cs="Times New Roman"/>
                        <w:vertAlign w:val="subscript"/>
                      </w:rPr>
                      <m:t>3</m:t>
                    </m:r>
                  </m:sub>
                </m:sSub>
                <m:d>
                  <m:dPr>
                    <m:ctrlPr>
                      <w:rPr>
                        <w:rFonts w:ascii="Cambria Math" w:hAnsi="Cambria Math" w:cs="Times New Roman"/>
                      </w:rPr>
                    </m:ctrlPr>
                  </m:dPr>
                  <m:e>
                    <m:f>
                      <m:fPr>
                        <m:ctrlPr>
                          <w:rPr>
                            <w:rFonts w:ascii="Cambria Math" w:hAnsi="Cambria Math" w:cs="Times New Roman"/>
                            <w:i/>
                          </w:rPr>
                        </m:ctrlPr>
                      </m:fPr>
                      <m:num>
                        <m:sSub>
                          <m:sSubPr>
                            <m:ctrlPr>
                              <w:rPr>
                                <w:rFonts w:ascii="Cambria Math" w:hAnsi="Cambria Math" w:cs="Times New Roman"/>
                                <w:vertAlign w:val="subscript"/>
                              </w:rPr>
                            </m:ctrlPr>
                          </m:sSubPr>
                          <m:e>
                            <m:r>
                              <m:rPr>
                                <m:sty m:val="p"/>
                              </m:rPr>
                              <w:rPr>
                                <w:rFonts w:ascii="Cambria Math" w:hAnsi="Cambria Math" w:cs="Times New Roman"/>
                              </w:rPr>
                              <m:t>PPE</m:t>
                            </m:r>
                          </m:e>
                          <m:sub>
                            <m:r>
                              <m:rPr>
                                <m:sty m:val="p"/>
                              </m:rPr>
                              <w:rPr>
                                <w:rFonts w:ascii="Cambria Math" w:hAnsi="Cambria Math" w:cs="Times New Roman"/>
                                <w:vertAlign w:val="subscript"/>
                              </w:rPr>
                              <m:t>t</m:t>
                            </m:r>
                          </m:sub>
                        </m:sSub>
                        <m:r>
                          <m:rPr>
                            <m:sty m:val="p"/>
                          </m:rPr>
                          <w:rPr>
                            <w:rFonts w:ascii="Cambria Math" w:hAnsi="Cambria Math" w:cs="Times New Roman"/>
                            <w:vertAlign w:val="subscript"/>
                          </w:rPr>
                          <m:t xml:space="preserve"> </m:t>
                        </m:r>
                      </m:num>
                      <m:den>
                        <m:sSub>
                          <m:sSubPr>
                            <m:ctrlPr>
                              <w:rPr>
                                <w:rFonts w:ascii="Cambria Math" w:hAnsi="Cambria Math" w:cs="Times New Roman"/>
                                <w:vertAlign w:val="subscript"/>
                              </w:rPr>
                            </m:ctrlPr>
                          </m:sSubPr>
                          <m:e>
                            <m:r>
                              <m:rPr>
                                <m:sty m:val="p"/>
                              </m:rPr>
                              <w:rPr>
                                <w:rFonts w:ascii="Cambria Math" w:cs="Times New Roman"/>
                              </w:rPr>
                              <m:t>A</m:t>
                            </m:r>
                          </m:e>
                          <m:sub>
                            <m:r>
                              <m:rPr>
                                <m:sty m:val="p"/>
                              </m:rPr>
                              <w:rPr>
                                <w:rFonts w:ascii="Cambria Math" w:hAnsi="Cambria Math" w:cs="Times New Roman"/>
                                <w:vertAlign w:val="subscript"/>
                              </w:rPr>
                              <m:t>t-1</m:t>
                            </m:r>
                          </m:sub>
                        </m:sSub>
                      </m:den>
                    </m:f>
                  </m:e>
                </m:d>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ε</m:t>
                    </m:r>
                  </m:e>
                  <m:sub>
                    <m:r>
                      <w:rPr>
                        <w:rFonts w:ascii="Cambria Math" w:hAnsi="Cambria Math" w:cs="Times New Roman"/>
                      </w:rPr>
                      <m:t>t</m:t>
                    </m:r>
                  </m:sub>
                </m:sSub>
              </m:oMath>
            </m:oMathPara>
          </w:p>
        </w:tc>
        <w:tc>
          <w:tcPr>
            <w:tcW w:w="500" w:type="pct"/>
            <w:vAlign w:val="center"/>
          </w:tcPr>
          <w:p w:rsidR="00E02AB1" w:rsidRPr="004018DD" w:rsidRDefault="00E02AB1" w:rsidP="00F82EEB">
            <w:pPr>
              <w:spacing w:before="100" w:beforeAutospacing="1" w:after="100" w:afterAutospacing="1" w:line="240" w:lineRule="auto"/>
              <w:jc w:val="right"/>
              <w:rPr>
                <w:rFonts w:cs="Times New Roman"/>
                <w:lang w:val="en-GB"/>
              </w:rPr>
            </w:pPr>
            <w:r w:rsidRPr="004018DD">
              <w:rPr>
                <w:rFonts w:cs="Times New Roman"/>
                <w:lang w:val="en-GB"/>
              </w:rPr>
              <w:t>(</w:t>
            </w:r>
            <w:r w:rsidR="00A33CB4">
              <w:rPr>
                <w:rFonts w:cs="Times New Roman"/>
                <w:lang w:val="en-GB"/>
              </w:rPr>
              <w:t>2.</w:t>
            </w:r>
            <w:r w:rsidRPr="004018DD">
              <w:rPr>
                <w:rFonts w:cs="Times New Roman"/>
                <w:lang w:val="en-GB"/>
              </w:rPr>
              <w:t>6)</w:t>
            </w:r>
          </w:p>
        </w:tc>
      </w:tr>
    </w:tbl>
    <w:p w:rsidR="00E02AB1" w:rsidRPr="004018DD" w:rsidRDefault="00E02AB1" w:rsidP="00E02AB1">
      <w:pPr>
        <w:spacing w:before="60" w:after="60"/>
        <w:rPr>
          <w:rFonts w:cs="Times New Roman"/>
          <w:szCs w:val="24"/>
        </w:rPr>
      </w:pPr>
      <w:r w:rsidRPr="004018DD">
        <w:rPr>
          <w:rFonts w:cs="Times New Roman"/>
          <w:szCs w:val="24"/>
        </w:rPr>
        <w:t>Where:</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9"/>
        <w:gridCol w:w="5924"/>
      </w:tblGrid>
      <w:tr w:rsidR="00E02AB1" w:rsidRPr="00512173" w:rsidTr="001814DE">
        <w:trPr>
          <w:trHeight w:val="576"/>
          <w:jc w:val="center"/>
        </w:trPr>
        <w:tc>
          <w:tcPr>
            <w:tcW w:w="0" w:type="auto"/>
            <w:vAlign w:val="center"/>
          </w:tcPr>
          <w:p w:rsidR="00E02AB1" w:rsidRPr="004018DD" w:rsidRDefault="00E02AB1" w:rsidP="00E02AB1">
            <w:pPr>
              <w:spacing w:before="60"/>
              <w:rPr>
                <w:rFonts w:cs="Times New Roman"/>
              </w:rPr>
            </w:pPr>
            <w:r w:rsidRPr="004018DD">
              <w:rPr>
                <w:rFonts w:cs="Times New Roman"/>
              </w:rPr>
              <w:t>TA</w:t>
            </w:r>
            <m:oMath>
              <m:r>
                <w:rPr>
                  <w:rFonts w:ascii="Cambria Math" w:cs="Times New Roman"/>
                </w:rPr>
                <m:t xml:space="preserve"> </m:t>
              </m:r>
            </m:oMath>
            <w:r w:rsidRPr="004018DD">
              <w:rPr>
                <w:rFonts w:cs="Times New Roman"/>
                <w:vertAlign w:val="subscript"/>
              </w:rPr>
              <w:t>t</w:t>
            </w:r>
          </w:p>
        </w:tc>
        <w:tc>
          <w:tcPr>
            <w:tcW w:w="0" w:type="auto"/>
            <w:vAlign w:val="center"/>
          </w:tcPr>
          <w:p w:rsidR="00E02AB1" w:rsidRPr="00E0785E" w:rsidRDefault="00E02AB1" w:rsidP="00E02AB1">
            <w:pPr>
              <w:spacing w:before="60"/>
              <w:rPr>
                <w:rFonts w:cs="Times New Roman"/>
                <w:szCs w:val="24"/>
              </w:rPr>
            </w:pPr>
            <w:r w:rsidRPr="00E0785E">
              <w:rPr>
                <w:rFonts w:cs="Times New Roman"/>
                <w:szCs w:val="24"/>
              </w:rPr>
              <w:t>= total accruals scales by lagged total assets</w:t>
            </w:r>
          </w:p>
        </w:tc>
      </w:tr>
      <w:tr w:rsidR="00E02AB1" w:rsidRPr="00512173" w:rsidTr="001814DE">
        <w:trPr>
          <w:trHeight w:val="576"/>
          <w:jc w:val="center"/>
        </w:trPr>
        <w:tc>
          <w:tcPr>
            <w:tcW w:w="0" w:type="auto"/>
            <w:vAlign w:val="center"/>
          </w:tcPr>
          <w:p w:rsidR="00E02AB1" w:rsidRPr="004018DD" w:rsidRDefault="00E02AB1" w:rsidP="00E02AB1">
            <w:pPr>
              <w:spacing w:before="60"/>
              <w:rPr>
                <w:rFonts w:cs="Times New Roman"/>
              </w:rPr>
            </w:pPr>
            <w:r w:rsidRPr="004018DD">
              <w:rPr>
                <w:rFonts w:cs="Times New Roman"/>
              </w:rPr>
              <w:t>a</w:t>
            </w:r>
            <w:r w:rsidRPr="004018DD">
              <w:rPr>
                <w:rFonts w:cs="Times New Roman"/>
                <w:vertAlign w:val="subscript"/>
              </w:rPr>
              <w:t>1,</w:t>
            </w:r>
            <w:r w:rsidRPr="004018DD">
              <w:rPr>
                <w:rFonts w:cs="Times New Roman"/>
              </w:rPr>
              <w:t xml:space="preserve"> a</w:t>
            </w:r>
            <w:r w:rsidRPr="004018DD">
              <w:rPr>
                <w:rFonts w:cs="Times New Roman"/>
                <w:vertAlign w:val="subscript"/>
              </w:rPr>
              <w:t>2,</w:t>
            </w:r>
            <w:r w:rsidRPr="004018DD">
              <w:rPr>
                <w:rFonts w:cs="Times New Roman"/>
              </w:rPr>
              <w:t xml:space="preserve"> a</w:t>
            </w:r>
            <w:r w:rsidRPr="004018DD">
              <w:rPr>
                <w:rFonts w:cs="Times New Roman"/>
                <w:vertAlign w:val="subscript"/>
              </w:rPr>
              <w:t>3</w:t>
            </w:r>
          </w:p>
        </w:tc>
        <w:tc>
          <w:tcPr>
            <w:tcW w:w="0" w:type="auto"/>
            <w:vAlign w:val="center"/>
          </w:tcPr>
          <w:p w:rsidR="00E02AB1" w:rsidRPr="00E0785E" w:rsidRDefault="00E02AB1" w:rsidP="00E02AB1">
            <w:pPr>
              <w:spacing w:before="60"/>
              <w:rPr>
                <w:rFonts w:cs="Times New Roman"/>
                <w:szCs w:val="24"/>
              </w:rPr>
            </w:pPr>
            <w:r w:rsidRPr="00E0785E">
              <w:rPr>
                <w:rFonts w:cs="Times New Roman"/>
                <w:szCs w:val="24"/>
              </w:rPr>
              <w:t>= the estimates of a</w:t>
            </w:r>
            <w:r w:rsidRPr="00E0785E">
              <w:rPr>
                <w:rFonts w:cs="Times New Roman"/>
                <w:szCs w:val="24"/>
                <w:vertAlign w:val="subscript"/>
              </w:rPr>
              <w:t>1,</w:t>
            </w:r>
            <w:r w:rsidRPr="00E0785E">
              <w:rPr>
                <w:rFonts w:cs="Times New Roman"/>
                <w:szCs w:val="24"/>
              </w:rPr>
              <w:t xml:space="preserve"> a</w:t>
            </w:r>
            <w:r w:rsidRPr="00E0785E">
              <w:rPr>
                <w:rFonts w:cs="Times New Roman"/>
                <w:szCs w:val="24"/>
                <w:vertAlign w:val="subscript"/>
              </w:rPr>
              <w:t>2,</w:t>
            </w:r>
            <w:r w:rsidRPr="00E0785E">
              <w:rPr>
                <w:rFonts w:cs="Times New Roman"/>
                <w:szCs w:val="24"/>
              </w:rPr>
              <w:t xml:space="preserve"> a</w:t>
            </w:r>
            <w:r w:rsidRPr="00E0785E">
              <w:rPr>
                <w:rFonts w:cs="Times New Roman"/>
                <w:szCs w:val="24"/>
                <w:vertAlign w:val="subscript"/>
              </w:rPr>
              <w:t xml:space="preserve">3   </w:t>
            </w:r>
            <w:r w:rsidRPr="00E0785E">
              <w:rPr>
                <w:rFonts w:cs="Times New Roman"/>
                <w:szCs w:val="24"/>
              </w:rPr>
              <w:t>that are calculated by OLS regression</w:t>
            </w:r>
          </w:p>
        </w:tc>
      </w:tr>
      <w:tr w:rsidR="00E02AB1" w:rsidRPr="00512173" w:rsidTr="001814DE">
        <w:trPr>
          <w:trHeight w:val="576"/>
          <w:jc w:val="center"/>
        </w:trPr>
        <w:tc>
          <w:tcPr>
            <w:tcW w:w="0" w:type="auto"/>
            <w:vAlign w:val="center"/>
          </w:tcPr>
          <w:p w:rsidR="00E02AB1" w:rsidRPr="004018DD" w:rsidRDefault="00E02AB1" w:rsidP="00E02AB1">
            <w:pPr>
              <w:spacing w:before="60"/>
              <w:rPr>
                <w:rFonts w:cs="Times New Roman"/>
              </w:rPr>
            </w:pPr>
            <w:proofErr w:type="spellStart"/>
            <w:r w:rsidRPr="004018DD">
              <w:rPr>
                <w:rFonts w:cs="Times New Roman"/>
              </w:rPr>
              <w:t>Ɛ</w:t>
            </w:r>
            <w:r w:rsidRPr="004018DD">
              <w:rPr>
                <w:rFonts w:cs="Times New Roman"/>
                <w:vertAlign w:val="subscript"/>
              </w:rPr>
              <w:t>t</w:t>
            </w:r>
            <w:proofErr w:type="spellEnd"/>
          </w:p>
        </w:tc>
        <w:tc>
          <w:tcPr>
            <w:tcW w:w="0" w:type="auto"/>
            <w:vAlign w:val="center"/>
          </w:tcPr>
          <w:p w:rsidR="00E02AB1" w:rsidRPr="00E0785E" w:rsidRDefault="00E02AB1" w:rsidP="00E02AB1">
            <w:pPr>
              <w:spacing w:before="60"/>
              <w:rPr>
                <w:rFonts w:cs="Times New Roman"/>
              </w:rPr>
            </w:pPr>
            <w:r w:rsidRPr="00E0785E">
              <w:rPr>
                <w:rFonts w:cs="Times New Roman"/>
              </w:rPr>
              <w:t>= the measurement error in the year t</w:t>
            </w:r>
          </w:p>
        </w:tc>
      </w:tr>
    </w:tbl>
    <w:p w:rsidR="00E02AB1" w:rsidRPr="00C66789" w:rsidRDefault="00E02AB1" w:rsidP="00666575">
      <w:r w:rsidRPr="00C66789">
        <w:t xml:space="preserve">Then, </w:t>
      </w:r>
      <w:r w:rsidRPr="00C66789">
        <w:rPr>
          <w:lang w:bidi="en-US"/>
        </w:rPr>
        <w:t xml:space="preserve">these parameters </w:t>
      </w:r>
      <w:r w:rsidRPr="00C66789">
        <w:t>a</w:t>
      </w:r>
      <w:r w:rsidRPr="00C66789">
        <w:rPr>
          <w:vertAlign w:val="subscript"/>
        </w:rPr>
        <w:t>1</w:t>
      </w:r>
      <w:r w:rsidRPr="00C66789">
        <w:t>, a</w:t>
      </w:r>
      <w:r w:rsidRPr="00C66789">
        <w:rPr>
          <w:vertAlign w:val="subscript"/>
        </w:rPr>
        <w:t>2</w:t>
      </w:r>
      <w:r w:rsidRPr="00C66789">
        <w:t>,</w:t>
      </w:r>
      <w:r w:rsidRPr="00C66789">
        <w:rPr>
          <w:vertAlign w:val="subscript"/>
        </w:rPr>
        <w:t xml:space="preserve"> </w:t>
      </w:r>
      <w:r w:rsidRPr="00C66789">
        <w:t>a</w:t>
      </w:r>
      <w:r w:rsidRPr="00C66789">
        <w:rPr>
          <w:vertAlign w:val="subscript"/>
        </w:rPr>
        <w:t xml:space="preserve">3 </w:t>
      </w:r>
      <w:r w:rsidRPr="00C66789">
        <w:rPr>
          <w:lang w:bidi="en-US"/>
        </w:rPr>
        <w:t>estimated from equation (</w:t>
      </w:r>
      <w:r w:rsidR="00BE4284">
        <w:rPr>
          <w:lang w:bidi="en-US"/>
        </w:rPr>
        <w:t>2.</w:t>
      </w:r>
      <w:r w:rsidRPr="00C66789">
        <w:rPr>
          <w:lang w:bidi="en-US"/>
        </w:rPr>
        <w:t>6) can be substituted into equation (</w:t>
      </w:r>
      <w:r w:rsidR="00BE4284">
        <w:rPr>
          <w:lang w:bidi="en-US"/>
        </w:rPr>
        <w:t>2.</w:t>
      </w:r>
      <w:r w:rsidRPr="00C66789">
        <w:rPr>
          <w:lang w:bidi="en-US"/>
        </w:rPr>
        <w:t>5) to calculate the non-discretionary accruals in the event period. The difference between total accruals calculated by equation (</w:t>
      </w:r>
      <w:r w:rsidR="00BE4284">
        <w:rPr>
          <w:lang w:bidi="en-US"/>
        </w:rPr>
        <w:t>2.</w:t>
      </w:r>
      <w:r w:rsidRPr="00C66789">
        <w:rPr>
          <w:lang w:bidi="en-US"/>
        </w:rPr>
        <w:t>2) and non-discretionary accruals obtained from equation (</w:t>
      </w:r>
      <w:r w:rsidR="00BE4284">
        <w:rPr>
          <w:lang w:bidi="en-US"/>
        </w:rPr>
        <w:t>2.</w:t>
      </w:r>
      <w:r w:rsidRPr="00C66789">
        <w:rPr>
          <w:lang w:bidi="en-US"/>
        </w:rPr>
        <w:t>5) is discretionary accruals.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3"/>
        <w:gridCol w:w="6818"/>
        <w:gridCol w:w="852"/>
      </w:tblGrid>
      <w:tr w:rsidR="00E02AB1" w:rsidRPr="004018DD" w:rsidTr="00E02AB1">
        <w:tc>
          <w:tcPr>
            <w:tcW w:w="500" w:type="pct"/>
            <w:vAlign w:val="center"/>
          </w:tcPr>
          <w:p w:rsidR="00E02AB1" w:rsidRPr="004018DD" w:rsidRDefault="00E02AB1" w:rsidP="00461282">
            <w:pPr>
              <w:spacing w:before="100" w:beforeAutospacing="1" w:after="100" w:afterAutospacing="1" w:line="240" w:lineRule="auto"/>
              <w:jc w:val="center"/>
              <w:rPr>
                <w:rFonts w:cs="Times New Roman"/>
                <w:szCs w:val="24"/>
                <w:lang w:val="en-GB"/>
              </w:rPr>
            </w:pPr>
          </w:p>
        </w:tc>
        <w:tc>
          <w:tcPr>
            <w:tcW w:w="4000" w:type="pct"/>
            <w:vAlign w:val="center"/>
          </w:tcPr>
          <w:p w:rsidR="00E02AB1" w:rsidRPr="004018DD" w:rsidRDefault="00EF1EDC" w:rsidP="00461282">
            <w:pPr>
              <w:spacing w:before="100" w:beforeAutospacing="1" w:after="100" w:afterAutospacing="1" w:line="240" w:lineRule="auto"/>
              <w:jc w:val="center"/>
              <w:rPr>
                <w:rFonts w:cs="Times New Roman"/>
                <w:lang w:val="en-GB"/>
              </w:rPr>
            </w:pPr>
            <m:oMathPara>
              <m:oMath>
                <m:f>
                  <m:fPr>
                    <m:ctrlPr>
                      <w:rPr>
                        <w:rFonts w:ascii="Cambria Math" w:hAnsi="Cambria Math" w:cs="Times New Roman"/>
                        <w:i/>
                        <w:vertAlign w:val="subscript"/>
                      </w:rPr>
                    </m:ctrlPr>
                  </m:fPr>
                  <m:num>
                    <m:r>
                      <m:rPr>
                        <m:sty m:val="p"/>
                      </m:rPr>
                      <w:rPr>
                        <w:rFonts w:ascii="Cambria Math" w:cs="Times New Roman"/>
                      </w:rPr>
                      <m:t>D</m:t>
                    </m:r>
                    <m:sSub>
                      <m:sSubPr>
                        <m:ctrlPr>
                          <w:rPr>
                            <w:rFonts w:ascii="Cambria Math" w:hAnsi="Cambria Math" w:cs="Times New Roman"/>
                            <w:vertAlign w:val="subscript"/>
                          </w:rPr>
                        </m:ctrlPr>
                      </m:sSubPr>
                      <m:e>
                        <m:r>
                          <m:rPr>
                            <m:sty m:val="p"/>
                          </m:rPr>
                          <w:rPr>
                            <w:rFonts w:ascii="Cambria Math" w:cs="Times New Roman"/>
                          </w:rPr>
                          <m:t>A</m:t>
                        </m:r>
                      </m:e>
                      <m:sub>
                        <m:r>
                          <m:rPr>
                            <m:sty m:val="p"/>
                          </m:rPr>
                          <w:rPr>
                            <w:rFonts w:ascii="Cambria Math" w:cs="Times New Roman"/>
                            <w:vertAlign w:val="subscript"/>
                          </w:rPr>
                          <m:t>t</m:t>
                        </m:r>
                      </m:sub>
                    </m:sSub>
                  </m:num>
                  <m:den>
                    <m:sSub>
                      <m:sSubPr>
                        <m:ctrlPr>
                          <w:rPr>
                            <w:rFonts w:ascii="Cambria Math" w:hAnsi="Cambria Math" w:cs="Times New Roman"/>
                            <w:vertAlign w:val="subscript"/>
                          </w:rPr>
                        </m:ctrlPr>
                      </m:sSubPr>
                      <m:e>
                        <m:r>
                          <m:rPr>
                            <m:sty m:val="p"/>
                          </m:rPr>
                          <w:rPr>
                            <w:rFonts w:ascii="Cambria Math" w:cs="Times New Roman"/>
                          </w:rPr>
                          <m:t>A</m:t>
                        </m:r>
                      </m:e>
                      <m:sub>
                        <m:r>
                          <m:rPr>
                            <m:sty m:val="p"/>
                          </m:rPr>
                          <w:rPr>
                            <w:rFonts w:ascii="Cambria Math" w:hAnsi="Cambria Math" w:cs="Times New Roman"/>
                            <w:vertAlign w:val="subscript"/>
                          </w:rPr>
                          <m:t>t-1</m:t>
                        </m:r>
                      </m:sub>
                    </m:sSub>
                  </m:den>
                </m:f>
                <m:r>
                  <w:rPr>
                    <w:rFonts w:ascii="Cambria Math" w:cs="Times New Roman"/>
                    <w:vertAlign w:val="subscript"/>
                  </w:rPr>
                  <m:t>=</m:t>
                </m:r>
                <m:f>
                  <m:fPr>
                    <m:ctrlPr>
                      <w:rPr>
                        <w:rFonts w:ascii="Cambria Math" w:hAnsi="Cambria Math" w:cs="Times New Roman"/>
                        <w:i/>
                      </w:rPr>
                    </m:ctrlPr>
                  </m:fPr>
                  <m:num>
                    <m:r>
                      <m:rPr>
                        <m:sty m:val="p"/>
                      </m:rPr>
                      <w:rPr>
                        <w:rFonts w:ascii="Cambria Math" w:cs="Times New Roman"/>
                      </w:rPr>
                      <m:t>T</m:t>
                    </m:r>
                    <m:sSub>
                      <m:sSubPr>
                        <m:ctrlPr>
                          <w:rPr>
                            <w:rFonts w:ascii="Cambria Math" w:hAnsi="Cambria Math" w:cs="Times New Roman"/>
                            <w:vertAlign w:val="subscript"/>
                          </w:rPr>
                        </m:ctrlPr>
                      </m:sSubPr>
                      <m:e>
                        <m:r>
                          <m:rPr>
                            <m:sty m:val="p"/>
                          </m:rPr>
                          <w:rPr>
                            <w:rFonts w:ascii="Cambria Math" w:cs="Times New Roman"/>
                          </w:rPr>
                          <m:t>A</m:t>
                        </m:r>
                      </m:e>
                      <m:sub>
                        <m:r>
                          <m:rPr>
                            <m:sty m:val="p"/>
                          </m:rPr>
                          <w:rPr>
                            <w:rFonts w:ascii="Cambria Math" w:cs="Times New Roman"/>
                            <w:vertAlign w:val="subscript"/>
                          </w:rPr>
                          <m:t>t</m:t>
                        </m:r>
                      </m:sub>
                    </m:sSub>
                  </m:num>
                  <m:den>
                    <m:sSub>
                      <m:sSubPr>
                        <m:ctrlPr>
                          <w:rPr>
                            <w:rFonts w:ascii="Cambria Math" w:hAnsi="Cambria Math" w:cs="Times New Roman"/>
                            <w:vertAlign w:val="subscript"/>
                          </w:rPr>
                        </m:ctrlPr>
                      </m:sSubPr>
                      <m:e>
                        <m:r>
                          <m:rPr>
                            <m:sty m:val="p"/>
                          </m:rPr>
                          <w:rPr>
                            <w:rFonts w:ascii="Cambria Math" w:cs="Times New Roman"/>
                          </w:rPr>
                          <m:t>A</m:t>
                        </m:r>
                      </m:e>
                      <m:sub>
                        <m:r>
                          <m:rPr>
                            <m:sty m:val="p"/>
                          </m:rPr>
                          <w:rPr>
                            <w:rFonts w:ascii="Cambria Math" w:hAnsi="Cambria Math" w:cs="Times New Roman"/>
                            <w:vertAlign w:val="subscript"/>
                          </w:rPr>
                          <m:t>t-1</m:t>
                        </m:r>
                      </m:sub>
                    </m:sSub>
                  </m:den>
                </m:f>
                <m:r>
                  <m:rPr>
                    <m:sty m:val="p"/>
                  </m:rPr>
                  <w:rPr>
                    <w:rFonts w:ascii="Cambria Math" w:hAnsi="Cambria Math" w:cs="Times New Roman"/>
                  </w:rPr>
                  <m:t>-</m:t>
                </m:r>
                <m:f>
                  <m:fPr>
                    <m:ctrlPr>
                      <w:rPr>
                        <w:rFonts w:ascii="Cambria Math" w:hAnsi="Cambria Math" w:cs="Times New Roman"/>
                        <w:i/>
                      </w:rPr>
                    </m:ctrlPr>
                  </m:fPr>
                  <m:num>
                    <m:r>
                      <m:rPr>
                        <m:sty m:val="p"/>
                      </m:rPr>
                      <w:rPr>
                        <w:rFonts w:ascii="Cambria Math" w:cs="Times New Roman"/>
                      </w:rPr>
                      <m:t>ND</m:t>
                    </m:r>
                    <m:sSub>
                      <m:sSubPr>
                        <m:ctrlPr>
                          <w:rPr>
                            <w:rFonts w:ascii="Cambria Math" w:hAnsi="Cambria Math" w:cs="Times New Roman"/>
                            <w:vertAlign w:val="subscript"/>
                          </w:rPr>
                        </m:ctrlPr>
                      </m:sSubPr>
                      <m:e>
                        <m:r>
                          <m:rPr>
                            <m:sty m:val="p"/>
                          </m:rPr>
                          <w:rPr>
                            <w:rFonts w:ascii="Cambria Math" w:cs="Times New Roman"/>
                          </w:rPr>
                          <m:t>A</m:t>
                        </m:r>
                      </m:e>
                      <m:sub>
                        <m:r>
                          <m:rPr>
                            <m:sty m:val="p"/>
                          </m:rPr>
                          <w:rPr>
                            <w:rFonts w:ascii="Cambria Math" w:cs="Times New Roman"/>
                            <w:vertAlign w:val="subscript"/>
                          </w:rPr>
                          <m:t>t</m:t>
                        </m:r>
                      </m:sub>
                    </m:sSub>
                    <m:r>
                      <m:rPr>
                        <m:sty m:val="p"/>
                      </m:rPr>
                      <w:rPr>
                        <w:rFonts w:ascii="Cambria Math" w:cs="Times New Roman"/>
                      </w:rPr>
                      <m:t xml:space="preserve">  </m:t>
                    </m:r>
                  </m:num>
                  <m:den>
                    <m:sSub>
                      <m:sSubPr>
                        <m:ctrlPr>
                          <w:rPr>
                            <w:rFonts w:ascii="Cambria Math" w:hAnsi="Cambria Math" w:cs="Times New Roman"/>
                            <w:vertAlign w:val="subscript"/>
                          </w:rPr>
                        </m:ctrlPr>
                      </m:sSubPr>
                      <m:e>
                        <m:r>
                          <m:rPr>
                            <m:sty m:val="p"/>
                          </m:rPr>
                          <w:rPr>
                            <w:rFonts w:ascii="Cambria Math" w:cs="Times New Roman"/>
                          </w:rPr>
                          <m:t>A</m:t>
                        </m:r>
                      </m:e>
                      <m:sub>
                        <m:r>
                          <m:rPr>
                            <m:sty m:val="p"/>
                          </m:rPr>
                          <w:rPr>
                            <w:rFonts w:ascii="Cambria Math" w:hAnsi="Cambria Math" w:cs="Times New Roman"/>
                            <w:vertAlign w:val="subscript"/>
                          </w:rPr>
                          <m:t>t-1</m:t>
                        </m:r>
                      </m:sub>
                    </m:sSub>
                  </m:den>
                </m:f>
              </m:oMath>
            </m:oMathPara>
          </w:p>
        </w:tc>
        <w:tc>
          <w:tcPr>
            <w:tcW w:w="500" w:type="pct"/>
            <w:vAlign w:val="center"/>
          </w:tcPr>
          <w:p w:rsidR="00E02AB1" w:rsidRPr="004018DD" w:rsidRDefault="00E02AB1" w:rsidP="00461282">
            <w:pPr>
              <w:spacing w:before="100" w:beforeAutospacing="1" w:after="100" w:afterAutospacing="1" w:line="240" w:lineRule="auto"/>
              <w:jc w:val="right"/>
              <w:rPr>
                <w:rFonts w:cs="Times New Roman"/>
                <w:lang w:val="en-GB"/>
              </w:rPr>
            </w:pPr>
            <w:r w:rsidRPr="004018DD">
              <w:rPr>
                <w:rFonts w:cs="Times New Roman"/>
                <w:lang w:val="en-GB"/>
              </w:rPr>
              <w:t>(</w:t>
            </w:r>
            <w:r w:rsidR="00A33CB4">
              <w:rPr>
                <w:rFonts w:cs="Times New Roman"/>
                <w:lang w:val="en-GB"/>
              </w:rPr>
              <w:t>2.</w:t>
            </w:r>
            <w:r w:rsidRPr="004018DD">
              <w:rPr>
                <w:rFonts w:cs="Times New Roman"/>
                <w:lang w:val="en-GB"/>
              </w:rPr>
              <w:t>7)</w:t>
            </w:r>
          </w:p>
        </w:tc>
      </w:tr>
    </w:tbl>
    <w:p w:rsidR="00E02AB1" w:rsidRPr="004018DD" w:rsidRDefault="00E02AB1" w:rsidP="00252752">
      <w:pPr>
        <w:pStyle w:val="Heading4"/>
      </w:pPr>
      <w:bookmarkStart w:id="15" w:name="_Toc313473573"/>
      <w:r w:rsidRPr="004018DD">
        <w:t>The Modified Jones Model</w:t>
      </w:r>
      <w:bookmarkEnd w:id="15"/>
      <w:r w:rsidRPr="004018DD">
        <w:t xml:space="preserve"> (1995)</w:t>
      </w:r>
    </w:p>
    <w:p w:rsidR="00E02AB1" w:rsidRPr="004018DD" w:rsidRDefault="00E02AB1" w:rsidP="00666575">
      <w:r w:rsidRPr="004018DD">
        <w:t xml:space="preserve">This model is a modified version of the Jones Model (1991). The difference between those two models is the changes in net account receivables subtracted from the </w:t>
      </w:r>
      <w:r w:rsidRPr="004018DD">
        <w:lastRenderedPageBreak/>
        <w:t>changes in revenue.</w:t>
      </w:r>
      <w:r>
        <w:t xml:space="preserve"> </w:t>
      </w:r>
      <w:r w:rsidRPr="00C66789">
        <w:t>This is because the changes in net account receivables can be seen as a discretionary item which is easier to manipulate by management than revenue.</w:t>
      </w:r>
      <w:r w:rsidRPr="004018DD">
        <w:t xml:space="preserve"> This adjustment is applied to decrease the measurement error of discretionary accruals when the discretion is over sales. </w:t>
      </w:r>
      <w:proofErr w:type="spellStart"/>
      <w:r w:rsidRPr="004018DD">
        <w:t>Dechow</w:t>
      </w:r>
      <w:proofErr w:type="spellEnd"/>
      <w:r w:rsidR="00F42AE0">
        <w:t xml:space="preserve"> </w:t>
      </w:r>
      <w:r w:rsidRPr="004018DD">
        <w:t xml:space="preserve">(1995) found that the Modified Jones Model has more test power than previous model like original Jones Model, the Healy Model and the </w:t>
      </w:r>
      <w:proofErr w:type="spellStart"/>
      <w:r w:rsidRPr="004018DD">
        <w:t>DeAngelo</w:t>
      </w:r>
      <w:proofErr w:type="spellEnd"/>
      <w:r w:rsidRPr="004018DD">
        <w:t xml:space="preserve"> Model. This model is presented below as: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3"/>
        <w:gridCol w:w="6818"/>
        <w:gridCol w:w="852"/>
      </w:tblGrid>
      <w:tr w:rsidR="00E02AB1" w:rsidRPr="004018DD" w:rsidTr="00E02AB1">
        <w:tc>
          <w:tcPr>
            <w:tcW w:w="500" w:type="pct"/>
            <w:vAlign w:val="center"/>
          </w:tcPr>
          <w:p w:rsidR="00E02AB1" w:rsidRPr="004018DD" w:rsidRDefault="00E02AB1" w:rsidP="00461282">
            <w:pPr>
              <w:spacing w:before="100" w:beforeAutospacing="1" w:after="100" w:afterAutospacing="1" w:line="240" w:lineRule="auto"/>
              <w:jc w:val="center"/>
              <w:rPr>
                <w:rFonts w:cs="Times New Roman"/>
                <w:szCs w:val="24"/>
                <w:lang w:val="en-GB"/>
              </w:rPr>
            </w:pPr>
          </w:p>
        </w:tc>
        <w:tc>
          <w:tcPr>
            <w:tcW w:w="4000" w:type="pct"/>
            <w:vAlign w:val="center"/>
          </w:tcPr>
          <w:p w:rsidR="00E02AB1" w:rsidRPr="004018DD" w:rsidRDefault="00EF1EDC" w:rsidP="00461282">
            <w:pPr>
              <w:spacing w:before="100" w:beforeAutospacing="1" w:after="100" w:afterAutospacing="1" w:line="240" w:lineRule="auto"/>
              <w:jc w:val="center"/>
              <w:rPr>
                <w:rFonts w:cs="Times New Roman"/>
                <w:lang w:val="en-GB"/>
              </w:rPr>
            </w:pPr>
            <m:oMathPara>
              <m:oMath>
                <m:f>
                  <m:fPr>
                    <m:ctrlPr>
                      <w:rPr>
                        <w:rFonts w:ascii="Cambria Math" w:hAnsi="Cambria Math" w:cs="Times New Roman"/>
                        <w:i/>
                        <w:vertAlign w:val="subscript"/>
                      </w:rPr>
                    </m:ctrlPr>
                  </m:fPr>
                  <m:num>
                    <m:sSub>
                      <m:sSubPr>
                        <m:ctrlPr>
                          <w:rPr>
                            <w:rFonts w:ascii="Cambria Math" w:hAnsi="Cambria Math" w:cs="Times New Roman"/>
                            <w:vertAlign w:val="subscript"/>
                          </w:rPr>
                        </m:ctrlPr>
                      </m:sSubPr>
                      <m:e>
                        <m:r>
                          <m:rPr>
                            <m:sty m:val="p"/>
                          </m:rPr>
                          <w:rPr>
                            <w:rFonts w:ascii="Cambria Math" w:cs="Times New Roman"/>
                          </w:rPr>
                          <m:t>NDA</m:t>
                        </m:r>
                      </m:e>
                      <m:sub>
                        <m:r>
                          <m:rPr>
                            <m:sty m:val="p"/>
                          </m:rPr>
                          <w:rPr>
                            <w:rFonts w:ascii="Cambria Math" w:cs="Times New Roman"/>
                            <w:vertAlign w:val="subscript"/>
                          </w:rPr>
                          <m:t>t</m:t>
                        </m:r>
                      </m:sub>
                    </m:sSub>
                  </m:num>
                  <m:den>
                    <m:sSub>
                      <m:sSubPr>
                        <m:ctrlPr>
                          <w:rPr>
                            <w:rFonts w:ascii="Cambria Math" w:hAnsi="Cambria Math" w:cs="Times New Roman"/>
                            <w:vertAlign w:val="subscript"/>
                          </w:rPr>
                        </m:ctrlPr>
                      </m:sSubPr>
                      <m:e>
                        <m:r>
                          <m:rPr>
                            <m:sty m:val="p"/>
                          </m:rPr>
                          <w:rPr>
                            <w:rFonts w:ascii="Cambria Math" w:cs="Times New Roman"/>
                          </w:rPr>
                          <m:t>A</m:t>
                        </m:r>
                      </m:e>
                      <m:sub>
                        <m:r>
                          <m:rPr>
                            <m:sty m:val="p"/>
                          </m:rPr>
                          <w:rPr>
                            <w:rFonts w:ascii="Cambria Math" w:hAnsi="Cambria Math" w:cs="Times New Roman"/>
                            <w:vertAlign w:val="subscript"/>
                          </w:rPr>
                          <m:t>t-1</m:t>
                        </m:r>
                      </m:sub>
                    </m:sSub>
                  </m:den>
                </m:f>
                <m:r>
                  <w:rPr>
                    <w:rFonts w:ascii="Cambria Math" w:cs="Times New Roman"/>
                    <w:vertAlign w:val="subscript"/>
                  </w:rPr>
                  <m:t>=</m:t>
                </m:r>
                <m:sSub>
                  <m:sSubPr>
                    <m:ctrlPr>
                      <w:rPr>
                        <w:rFonts w:ascii="Cambria Math" w:hAnsi="Cambria Math" w:cs="Times New Roman"/>
                        <w:vertAlign w:val="subscript"/>
                      </w:rPr>
                    </m:ctrlPr>
                  </m:sSubPr>
                  <m:e>
                    <m:r>
                      <m:rPr>
                        <m:sty m:val="p"/>
                      </m:rPr>
                      <w:rPr>
                        <w:rFonts w:ascii="Cambria Math" w:cs="Times New Roman"/>
                        <w:vertAlign w:val="subscript"/>
                      </w:rPr>
                      <m:t>a</m:t>
                    </m:r>
                  </m:e>
                  <m:sub>
                    <m:r>
                      <m:rPr>
                        <m:sty m:val="p"/>
                      </m:rPr>
                      <w:rPr>
                        <w:rFonts w:ascii="Cambria Math" w:cs="Times New Roman"/>
                        <w:vertAlign w:val="subscript"/>
                      </w:rPr>
                      <m:t>1</m:t>
                    </m:r>
                  </m:sub>
                </m:sSub>
                <m:d>
                  <m:dPr>
                    <m:ctrlPr>
                      <w:rPr>
                        <w:rFonts w:ascii="Cambria Math" w:hAnsi="Cambria Math" w:cs="Times New Roman"/>
                        <w:vertAlign w:val="subscript"/>
                      </w:rPr>
                    </m:ctrlPr>
                  </m:dPr>
                  <m:e>
                    <m:f>
                      <m:fPr>
                        <m:ctrlPr>
                          <w:rPr>
                            <w:rFonts w:ascii="Cambria Math" w:hAnsi="Cambria Math" w:cs="Times New Roman"/>
                            <w:i/>
                          </w:rPr>
                        </m:ctrlPr>
                      </m:fPr>
                      <m:num>
                        <m:r>
                          <w:rPr>
                            <w:rFonts w:ascii="Cambria Math" w:cs="Times New Roman"/>
                          </w:rPr>
                          <m:t>1</m:t>
                        </m:r>
                      </m:num>
                      <m:den>
                        <m:sSub>
                          <m:sSubPr>
                            <m:ctrlPr>
                              <w:rPr>
                                <w:rFonts w:ascii="Cambria Math" w:hAnsi="Cambria Math" w:cs="Times New Roman"/>
                                <w:vertAlign w:val="subscript"/>
                              </w:rPr>
                            </m:ctrlPr>
                          </m:sSubPr>
                          <m:e>
                            <m:r>
                              <m:rPr>
                                <m:sty m:val="p"/>
                              </m:rPr>
                              <w:rPr>
                                <w:rFonts w:ascii="Cambria Math" w:cs="Times New Roman"/>
                              </w:rPr>
                              <m:t>A</m:t>
                            </m:r>
                          </m:e>
                          <m:sub>
                            <m:r>
                              <m:rPr>
                                <m:sty m:val="p"/>
                              </m:rPr>
                              <w:rPr>
                                <w:rFonts w:ascii="Cambria Math" w:hAnsi="Cambria Math" w:cs="Times New Roman"/>
                                <w:vertAlign w:val="subscript"/>
                              </w:rPr>
                              <m:t>t-1</m:t>
                            </m:r>
                          </m:sub>
                        </m:sSub>
                      </m:den>
                    </m:f>
                  </m:e>
                </m:d>
                <m:r>
                  <m:rPr>
                    <m:sty m:val="p"/>
                  </m:rPr>
                  <w:rPr>
                    <w:rFonts w:ascii="Cambria Math" w:cs="Times New Roman"/>
                    <w:vertAlign w:val="subscript"/>
                  </w:rPr>
                  <m:t>+</m:t>
                </m:r>
                <m:sSub>
                  <m:sSubPr>
                    <m:ctrlPr>
                      <w:rPr>
                        <w:rFonts w:ascii="Cambria Math" w:hAnsi="Cambria Math" w:cs="Times New Roman"/>
                        <w:vertAlign w:val="subscript"/>
                      </w:rPr>
                    </m:ctrlPr>
                  </m:sSubPr>
                  <m:e>
                    <m:r>
                      <m:rPr>
                        <m:sty m:val="p"/>
                      </m:rPr>
                      <w:rPr>
                        <w:rFonts w:ascii="Cambria Math" w:cs="Times New Roman"/>
                      </w:rPr>
                      <m:t>a</m:t>
                    </m:r>
                  </m:e>
                  <m:sub>
                    <m:r>
                      <m:rPr>
                        <m:sty m:val="p"/>
                      </m:rPr>
                      <w:rPr>
                        <w:rFonts w:ascii="Cambria Math" w:cs="Times New Roman"/>
                        <w:vertAlign w:val="subscript"/>
                      </w:rPr>
                      <m:t>2</m:t>
                    </m:r>
                  </m:sub>
                </m:sSub>
                <m:d>
                  <m:dPr>
                    <m:ctrlPr>
                      <w:rPr>
                        <w:rFonts w:ascii="Cambria Math" w:hAnsi="Cambria Math" w:cs="Times New Roman"/>
                        <w:vertAlign w:val="subscript"/>
                      </w:rPr>
                    </m:ctrlPr>
                  </m:dPr>
                  <m:e>
                    <m:f>
                      <m:fPr>
                        <m:ctrlPr>
                          <w:rPr>
                            <w:rFonts w:ascii="Cambria Math" w:hAnsi="Cambria Math" w:cs="Times New Roman"/>
                            <w:i/>
                            <w:vertAlign w:val="subscript"/>
                          </w:rPr>
                        </m:ctrlPr>
                      </m:fPr>
                      <m:num>
                        <m:sSub>
                          <m:sSubPr>
                            <m:ctrlPr>
                              <w:rPr>
                                <w:rFonts w:ascii="Cambria Math" w:hAnsi="Cambria Math" w:cs="Times New Roman"/>
                                <w:vertAlign w:val="subscript"/>
                              </w:rPr>
                            </m:ctrlPr>
                          </m:sSubPr>
                          <m:e>
                            <m:r>
                              <m:rPr>
                                <m:sty m:val="p"/>
                              </m:rPr>
                              <w:rPr>
                                <w:rFonts w:ascii="Cambria Math" w:hAnsi="Cambria Math" w:cs="Times New Roman"/>
                              </w:rPr>
                              <m:t>Δ</m:t>
                            </m:r>
                            <m:r>
                              <m:rPr>
                                <m:sty m:val="p"/>
                              </m:rPr>
                              <w:rPr>
                                <w:rFonts w:ascii="Cambria Math" w:cs="Times New Roman"/>
                              </w:rPr>
                              <m:t>REV</m:t>
                            </m:r>
                          </m:e>
                          <m:sub>
                            <m:r>
                              <m:rPr>
                                <m:sty m:val="p"/>
                              </m:rPr>
                              <w:rPr>
                                <w:rFonts w:ascii="Cambria Math" w:cs="Times New Roman"/>
                                <w:vertAlign w:val="subscript"/>
                              </w:rPr>
                              <m:t>t</m:t>
                            </m:r>
                          </m:sub>
                        </m:sSub>
                        <m:r>
                          <m:rPr>
                            <m:sty m:val="p"/>
                          </m:rPr>
                          <w:rPr>
                            <w:rFonts w:ascii="Cambria Math" w:cs="Times New Roman"/>
                          </w:rPr>
                          <m:t xml:space="preserve">  </m:t>
                        </m:r>
                        <m:r>
                          <m:rPr>
                            <m:sty m:val="p"/>
                          </m:rPr>
                          <w:rPr>
                            <w:rFonts w:ascii="Cambria Math" w:hAnsi="Cambria Math" w:cs="Times New Roman"/>
                          </w:rPr>
                          <m:t>-</m:t>
                        </m:r>
                        <m:r>
                          <m:rPr>
                            <m:sty m:val="p"/>
                          </m:rPr>
                          <w:rPr>
                            <w:rFonts w:ascii="Cambria Math" w:cs="Times New Roman"/>
                          </w:rPr>
                          <m:t xml:space="preserve"> </m:t>
                        </m:r>
                        <m:sSub>
                          <m:sSubPr>
                            <m:ctrlPr>
                              <w:rPr>
                                <w:rFonts w:ascii="Cambria Math" w:hAnsi="Cambria Math" w:cs="Times New Roman"/>
                                <w:vertAlign w:val="subscript"/>
                              </w:rPr>
                            </m:ctrlPr>
                          </m:sSubPr>
                          <m:e>
                            <m:r>
                              <m:rPr>
                                <m:sty m:val="p"/>
                              </m:rPr>
                              <w:rPr>
                                <w:rFonts w:ascii="Cambria Math" w:hAnsi="Cambria Math" w:cs="Times New Roman"/>
                              </w:rPr>
                              <m:t>Δ</m:t>
                            </m:r>
                            <m:r>
                              <m:rPr>
                                <m:sty m:val="p"/>
                              </m:rPr>
                              <w:rPr>
                                <w:rFonts w:ascii="Cambria Math" w:cs="Times New Roman"/>
                              </w:rPr>
                              <m:t>REC</m:t>
                            </m:r>
                          </m:e>
                          <m:sub>
                            <m:r>
                              <m:rPr>
                                <m:sty m:val="p"/>
                              </m:rPr>
                              <w:rPr>
                                <w:rFonts w:ascii="Cambria Math" w:cs="Times New Roman"/>
                                <w:vertAlign w:val="subscript"/>
                              </w:rPr>
                              <m:t>t</m:t>
                            </m:r>
                          </m:sub>
                        </m:sSub>
                      </m:num>
                      <m:den>
                        <m:sSub>
                          <m:sSubPr>
                            <m:ctrlPr>
                              <w:rPr>
                                <w:rFonts w:ascii="Cambria Math" w:hAnsi="Cambria Math" w:cs="Times New Roman"/>
                                <w:vertAlign w:val="subscript"/>
                              </w:rPr>
                            </m:ctrlPr>
                          </m:sSubPr>
                          <m:e>
                            <m:r>
                              <m:rPr>
                                <m:sty m:val="p"/>
                              </m:rPr>
                              <w:rPr>
                                <w:rFonts w:ascii="Cambria Math" w:cs="Times New Roman"/>
                              </w:rPr>
                              <m:t>A</m:t>
                            </m:r>
                          </m:e>
                          <m:sub>
                            <m:r>
                              <m:rPr>
                                <m:sty m:val="p"/>
                              </m:rPr>
                              <w:rPr>
                                <w:rFonts w:ascii="Cambria Math" w:hAnsi="Cambria Math" w:cs="Times New Roman"/>
                                <w:vertAlign w:val="subscript"/>
                              </w:rPr>
                              <m:t>t-1</m:t>
                            </m:r>
                          </m:sub>
                        </m:sSub>
                      </m:den>
                    </m:f>
                    <m:ctrlPr>
                      <w:rPr>
                        <w:rFonts w:ascii="Cambria Math" w:hAnsi="Cambria Math" w:cs="Times New Roman"/>
                      </w:rPr>
                    </m:ctrlPr>
                  </m:e>
                </m:d>
                <m:r>
                  <m:rPr>
                    <m:sty m:val="p"/>
                  </m:rPr>
                  <w:rPr>
                    <w:rFonts w:ascii="Cambria Math" w:cs="Times New Roman"/>
                    <w:vertAlign w:val="subscript"/>
                  </w:rPr>
                  <m:t>+</m:t>
                </m:r>
                <m:sSub>
                  <m:sSubPr>
                    <m:ctrlPr>
                      <w:rPr>
                        <w:rFonts w:ascii="Cambria Math" w:hAnsi="Cambria Math" w:cs="Times New Roman"/>
                        <w:vertAlign w:val="subscript"/>
                      </w:rPr>
                    </m:ctrlPr>
                  </m:sSubPr>
                  <m:e>
                    <m:r>
                      <m:rPr>
                        <m:sty m:val="p"/>
                      </m:rPr>
                      <w:rPr>
                        <w:rFonts w:ascii="Cambria Math" w:cs="Times New Roman"/>
                      </w:rPr>
                      <m:t>a</m:t>
                    </m:r>
                  </m:e>
                  <m:sub>
                    <m:r>
                      <m:rPr>
                        <m:sty m:val="p"/>
                      </m:rPr>
                      <w:rPr>
                        <w:rFonts w:ascii="Cambria Math" w:cs="Times New Roman"/>
                        <w:vertAlign w:val="subscript"/>
                      </w:rPr>
                      <m:t>3</m:t>
                    </m:r>
                  </m:sub>
                </m:sSub>
                <m:r>
                  <w:rPr>
                    <w:rFonts w:ascii="Cambria Math" w:cs="Times New Roman"/>
                    <w:vertAlign w:val="subscript"/>
                  </w:rPr>
                  <m:t>(</m:t>
                </m:r>
                <m:f>
                  <m:fPr>
                    <m:ctrlPr>
                      <w:rPr>
                        <w:rFonts w:ascii="Cambria Math" w:hAnsi="Cambria Math" w:cs="Times New Roman"/>
                        <w:i/>
                      </w:rPr>
                    </m:ctrlPr>
                  </m:fPr>
                  <m:num>
                    <m:sSub>
                      <m:sSubPr>
                        <m:ctrlPr>
                          <w:rPr>
                            <w:rFonts w:ascii="Cambria Math" w:hAnsi="Cambria Math" w:cs="Times New Roman"/>
                            <w:vertAlign w:val="subscript"/>
                          </w:rPr>
                        </m:ctrlPr>
                      </m:sSubPr>
                      <m:e>
                        <m:r>
                          <m:rPr>
                            <m:sty m:val="p"/>
                          </m:rPr>
                          <w:rPr>
                            <w:rFonts w:ascii="Cambria Math" w:cs="Times New Roman"/>
                          </w:rPr>
                          <m:t>PPE</m:t>
                        </m:r>
                      </m:e>
                      <m:sub>
                        <m:r>
                          <m:rPr>
                            <m:sty m:val="p"/>
                          </m:rPr>
                          <w:rPr>
                            <w:rFonts w:ascii="Cambria Math" w:cs="Times New Roman"/>
                            <w:vertAlign w:val="subscript"/>
                          </w:rPr>
                          <m:t>t</m:t>
                        </m:r>
                      </m:sub>
                    </m:sSub>
                    <m:r>
                      <m:rPr>
                        <m:sty m:val="p"/>
                      </m:rPr>
                      <w:rPr>
                        <w:rFonts w:ascii="Cambria Math" w:cs="Times New Roman"/>
                        <w:vertAlign w:val="subscript"/>
                      </w:rPr>
                      <m:t xml:space="preserve"> </m:t>
                    </m:r>
                  </m:num>
                  <m:den>
                    <m:sSub>
                      <m:sSubPr>
                        <m:ctrlPr>
                          <w:rPr>
                            <w:rFonts w:ascii="Cambria Math" w:hAnsi="Cambria Math" w:cs="Times New Roman"/>
                            <w:vertAlign w:val="subscript"/>
                          </w:rPr>
                        </m:ctrlPr>
                      </m:sSubPr>
                      <m:e>
                        <m:r>
                          <m:rPr>
                            <m:sty m:val="p"/>
                          </m:rPr>
                          <w:rPr>
                            <w:rFonts w:ascii="Cambria Math" w:cs="Times New Roman"/>
                          </w:rPr>
                          <m:t>A</m:t>
                        </m:r>
                      </m:e>
                      <m:sub>
                        <m:r>
                          <m:rPr>
                            <m:sty m:val="p"/>
                          </m:rPr>
                          <w:rPr>
                            <w:rFonts w:ascii="Cambria Math" w:hAnsi="Cambria Math" w:cs="Times New Roman"/>
                            <w:vertAlign w:val="subscript"/>
                          </w:rPr>
                          <m:t>t-1</m:t>
                        </m:r>
                      </m:sub>
                    </m:sSub>
                  </m:den>
                </m:f>
                <m:r>
                  <w:rPr>
                    <w:rFonts w:ascii="Cambria Math" w:cs="Times New Roman"/>
                    <w:vertAlign w:val="subscript"/>
                  </w:rPr>
                  <m:t>)</m:t>
                </m:r>
              </m:oMath>
            </m:oMathPara>
          </w:p>
        </w:tc>
        <w:tc>
          <w:tcPr>
            <w:tcW w:w="500" w:type="pct"/>
            <w:vAlign w:val="center"/>
          </w:tcPr>
          <w:p w:rsidR="00E02AB1" w:rsidRPr="004018DD" w:rsidRDefault="00E02AB1" w:rsidP="00461282">
            <w:pPr>
              <w:spacing w:before="100" w:beforeAutospacing="1" w:after="100" w:afterAutospacing="1" w:line="240" w:lineRule="auto"/>
              <w:jc w:val="right"/>
              <w:rPr>
                <w:rFonts w:cs="Times New Roman"/>
                <w:lang w:val="en-GB"/>
              </w:rPr>
            </w:pPr>
            <w:r w:rsidRPr="004018DD">
              <w:rPr>
                <w:rFonts w:cs="Times New Roman"/>
                <w:lang w:val="en-GB"/>
              </w:rPr>
              <w:t>(</w:t>
            </w:r>
            <w:r w:rsidR="00A33CB4">
              <w:rPr>
                <w:rFonts w:cs="Times New Roman"/>
                <w:lang w:val="en-GB"/>
              </w:rPr>
              <w:t>2.</w:t>
            </w:r>
            <w:r w:rsidRPr="004018DD">
              <w:rPr>
                <w:rFonts w:cs="Times New Roman"/>
                <w:lang w:val="en-GB"/>
              </w:rPr>
              <w:t>8)</w:t>
            </w:r>
          </w:p>
        </w:tc>
      </w:tr>
    </w:tbl>
    <w:p w:rsidR="00E02AB1" w:rsidRPr="004018DD" w:rsidRDefault="00E02AB1" w:rsidP="00666575">
      <w:r w:rsidRPr="004018DD">
        <w:t>Where:</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25"/>
        <w:gridCol w:w="341"/>
        <w:gridCol w:w="7357"/>
      </w:tblGrid>
      <w:tr w:rsidR="00E02AB1" w:rsidRPr="00512173" w:rsidTr="001814DE">
        <w:trPr>
          <w:trHeight w:val="576"/>
          <w:jc w:val="center"/>
        </w:trPr>
        <w:tc>
          <w:tcPr>
            <w:tcW w:w="0" w:type="auto"/>
          </w:tcPr>
          <w:p w:rsidR="00E02AB1" w:rsidRPr="004018DD" w:rsidRDefault="00E02AB1" w:rsidP="00E02AB1">
            <w:pPr>
              <w:spacing w:before="60"/>
              <w:rPr>
                <w:rFonts w:cs="Times New Roman"/>
                <w:szCs w:val="24"/>
              </w:rPr>
            </w:pPr>
            <w:proofErr w:type="spellStart"/>
            <w:r w:rsidRPr="004018DD">
              <w:rPr>
                <w:rFonts w:cs="Times New Roman"/>
                <w:iCs/>
                <w:szCs w:val="24"/>
              </w:rPr>
              <w:t>ΔREC</w:t>
            </w:r>
            <w:r w:rsidRPr="004018DD">
              <w:rPr>
                <w:rFonts w:cs="Times New Roman"/>
                <w:iCs/>
                <w:szCs w:val="24"/>
                <w:vertAlign w:val="subscript"/>
              </w:rPr>
              <w:t>t</w:t>
            </w:r>
            <w:proofErr w:type="spellEnd"/>
          </w:p>
        </w:tc>
        <w:tc>
          <w:tcPr>
            <w:tcW w:w="0" w:type="auto"/>
          </w:tcPr>
          <w:p w:rsidR="00E02AB1" w:rsidRPr="004018DD" w:rsidRDefault="00E02AB1" w:rsidP="00E02AB1">
            <w:pPr>
              <w:autoSpaceDE w:val="0"/>
              <w:autoSpaceDN w:val="0"/>
              <w:adjustRightInd w:val="0"/>
              <w:spacing w:before="60"/>
              <w:rPr>
                <w:rFonts w:cs="Times New Roman"/>
                <w:szCs w:val="24"/>
              </w:rPr>
            </w:pPr>
            <w:r w:rsidRPr="004018DD">
              <w:rPr>
                <w:rFonts w:cs="Times New Roman"/>
                <w:szCs w:val="24"/>
              </w:rPr>
              <w:t>=</w:t>
            </w:r>
          </w:p>
        </w:tc>
        <w:tc>
          <w:tcPr>
            <w:tcW w:w="0" w:type="auto"/>
          </w:tcPr>
          <w:p w:rsidR="00E02AB1" w:rsidRPr="004018DD" w:rsidRDefault="00E02AB1" w:rsidP="00E02AB1">
            <w:pPr>
              <w:autoSpaceDE w:val="0"/>
              <w:autoSpaceDN w:val="0"/>
              <w:adjustRightInd w:val="0"/>
              <w:spacing w:before="60"/>
              <w:rPr>
                <w:rFonts w:cs="Times New Roman"/>
                <w:szCs w:val="24"/>
              </w:rPr>
            </w:pPr>
            <w:r w:rsidRPr="00E0785E">
              <w:rPr>
                <w:rFonts w:cs="Times New Roman"/>
                <w:szCs w:val="24"/>
              </w:rPr>
              <w:t>net receivables in year t less net receivables in year t-1 scaled by total                     assets at t-1</w:t>
            </w:r>
          </w:p>
        </w:tc>
      </w:tr>
    </w:tbl>
    <w:p w:rsidR="00E02AB1" w:rsidRPr="004018DD" w:rsidRDefault="00E02AB1" w:rsidP="00666575">
      <w:r w:rsidRPr="004018DD">
        <w:t xml:space="preserve">As can </w:t>
      </w:r>
      <w:r w:rsidR="00D54BE5">
        <w:t xml:space="preserve">be </w:t>
      </w:r>
      <w:r w:rsidRPr="004018DD">
        <w:t>see</w:t>
      </w:r>
      <w:r w:rsidR="00D54BE5">
        <w:t>n</w:t>
      </w:r>
      <w:r w:rsidRPr="004018DD">
        <w:t xml:space="preserve"> from equation (</w:t>
      </w:r>
      <w:r w:rsidR="00BE4284">
        <w:t>2.</w:t>
      </w:r>
      <w:r w:rsidRPr="004018DD">
        <w:t xml:space="preserve">8), </w:t>
      </w:r>
      <w:r w:rsidRPr="00C66789">
        <w:t xml:space="preserve">the changes in net account receivable are removed from the changes in revenue. </w:t>
      </w:r>
      <w:r w:rsidRPr="004018DD">
        <w:t>This demonstrat</w:t>
      </w:r>
      <w:r>
        <w:t>es</w:t>
      </w:r>
      <w:r w:rsidRPr="004018DD">
        <w:t xml:space="preserve"> that Modified Jones Model assorts all changes in credit sales as earnings manipulation. According to </w:t>
      </w:r>
      <w:proofErr w:type="spellStart"/>
      <w:r w:rsidRPr="004018DD">
        <w:t>Dechow</w:t>
      </w:r>
      <w:proofErr w:type="spellEnd"/>
      <w:r w:rsidRPr="004018DD">
        <w:t xml:space="preserve"> (1995), this adjustment is based on the belief that credit sales are easier to manipulate than sales revenue.</w:t>
      </w:r>
    </w:p>
    <w:p w:rsidR="00E02AB1" w:rsidRPr="004018DD" w:rsidRDefault="00E02AB1" w:rsidP="00252752">
      <w:pPr>
        <w:pStyle w:val="Heading4"/>
      </w:pPr>
      <w:bookmarkStart w:id="16" w:name="_Toc313473575"/>
      <w:r w:rsidRPr="004018DD">
        <w:t>The Industry Model</w:t>
      </w:r>
      <w:bookmarkEnd w:id="16"/>
    </w:p>
    <w:p w:rsidR="00E02AB1" w:rsidRPr="004018DD" w:rsidRDefault="00E02AB1" w:rsidP="00666575">
      <w:r w:rsidRPr="004018DD">
        <w:t>This model relaxes the assumption that the non-discretionary accruals stay constant just like the Jones Model (1991). The unique feature of this model is a median value of this relation to derive non-discretionary accruals (</w:t>
      </w:r>
      <w:proofErr w:type="spellStart"/>
      <w:r w:rsidRPr="004018DD">
        <w:t>Dechow</w:t>
      </w:r>
      <w:proofErr w:type="spellEnd"/>
      <w:r w:rsidRPr="004018DD">
        <w:t xml:space="preserve"> </w:t>
      </w:r>
      <w:r w:rsidRPr="00BE4284">
        <w:rPr>
          <w:i/>
        </w:rPr>
        <w:t>et al</w:t>
      </w:r>
      <w:r w:rsidRPr="00550701">
        <w:t>.</w:t>
      </w:r>
      <w:r w:rsidR="00550701">
        <w:t>,</w:t>
      </w:r>
      <w:r w:rsidR="00AE4930">
        <w:t xml:space="preserve"> </w:t>
      </w:r>
      <w:r w:rsidRPr="004018DD">
        <w:t>1995).</w:t>
      </w:r>
      <w:r w:rsidRPr="004018DD">
        <w:rPr>
          <w:sz w:val="28"/>
          <w:szCs w:val="28"/>
        </w:rPr>
        <w:t xml:space="preserve">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3"/>
        <w:gridCol w:w="6818"/>
        <w:gridCol w:w="852"/>
      </w:tblGrid>
      <w:tr w:rsidR="00E02AB1" w:rsidRPr="004018DD" w:rsidTr="00E02AB1">
        <w:tc>
          <w:tcPr>
            <w:tcW w:w="500" w:type="pct"/>
            <w:vAlign w:val="center"/>
          </w:tcPr>
          <w:p w:rsidR="00E02AB1" w:rsidRPr="004018DD" w:rsidRDefault="00E02AB1" w:rsidP="00E02AB1">
            <w:pPr>
              <w:spacing w:before="100" w:beforeAutospacing="1" w:after="100" w:afterAutospacing="1"/>
              <w:jc w:val="center"/>
              <w:rPr>
                <w:rFonts w:cs="Times New Roman"/>
                <w:szCs w:val="24"/>
                <w:lang w:val="en-GB"/>
              </w:rPr>
            </w:pPr>
          </w:p>
        </w:tc>
        <w:tc>
          <w:tcPr>
            <w:tcW w:w="4000" w:type="pct"/>
            <w:vAlign w:val="center"/>
          </w:tcPr>
          <w:p w:rsidR="00E02AB1" w:rsidRPr="004018DD" w:rsidRDefault="00EF1EDC" w:rsidP="001814DE">
            <w:pPr>
              <w:spacing w:before="100" w:beforeAutospacing="1" w:after="100" w:afterAutospacing="1"/>
              <w:jc w:val="center"/>
              <w:rPr>
                <w:rFonts w:cs="Times New Roman"/>
                <w:szCs w:val="24"/>
                <w:lang w:val="en-GB"/>
              </w:rPr>
            </w:pPr>
            <m:oMathPara>
              <m:oMath>
                <m:sSub>
                  <m:sSubPr>
                    <m:ctrlPr>
                      <w:rPr>
                        <w:rFonts w:ascii="Cambria Math" w:hAnsi="Cambria Math" w:cs="Times New Roman"/>
                        <w:vertAlign w:val="subscript"/>
                      </w:rPr>
                    </m:ctrlPr>
                  </m:sSubPr>
                  <m:e>
                    <m:r>
                      <m:rPr>
                        <m:sty m:val="p"/>
                      </m:rPr>
                      <w:rPr>
                        <w:rFonts w:ascii="Cambria Math" w:cs="Times New Roman"/>
                      </w:rPr>
                      <m:t>NDA</m:t>
                    </m:r>
                  </m:e>
                  <m:sub>
                    <m:r>
                      <m:rPr>
                        <m:sty m:val="p"/>
                      </m:rPr>
                      <w:rPr>
                        <w:rFonts w:ascii="Cambria Math" w:cs="Times New Roman"/>
                        <w:vertAlign w:val="subscript"/>
                      </w:rPr>
                      <m:t>t</m:t>
                    </m:r>
                  </m:sub>
                </m:sSub>
                <m:r>
                  <m:rPr>
                    <m:sty m:val="p"/>
                  </m:rPr>
                  <w:rPr>
                    <w:rFonts w:ascii="Cambria Math" w:cs="Times New Roman"/>
                  </w:rPr>
                  <m:t xml:space="preserve">= </m:t>
                </m:r>
                <m:sSub>
                  <m:sSubPr>
                    <m:ctrlPr>
                      <w:rPr>
                        <w:rFonts w:ascii="Cambria Math" w:hAnsi="Cambria Math" w:cs="Times New Roman"/>
                        <w:vertAlign w:val="subscript"/>
                      </w:rPr>
                    </m:ctrlPr>
                  </m:sSubPr>
                  <m:e>
                    <m:r>
                      <m:rPr>
                        <m:sty m:val="p"/>
                      </m:rPr>
                      <w:rPr>
                        <w:rFonts w:ascii="Cambria Math" w:cs="Times New Roman"/>
                        <w:vertAlign w:val="subscript"/>
                      </w:rPr>
                      <m:t>a</m:t>
                    </m:r>
                  </m:e>
                  <m:sub>
                    <m:r>
                      <m:rPr>
                        <m:sty m:val="p"/>
                      </m:rPr>
                      <w:rPr>
                        <w:rFonts w:ascii="Cambria Math" w:cs="Times New Roman"/>
                        <w:vertAlign w:val="subscript"/>
                      </w:rPr>
                      <m:t>1</m:t>
                    </m:r>
                  </m:sub>
                </m:sSub>
                <m:r>
                  <m:rPr>
                    <m:sty m:val="p"/>
                  </m:rPr>
                  <w:rPr>
                    <w:rFonts w:ascii="Cambria Math" w:cs="Times New Roman"/>
                  </w:rPr>
                  <m:t xml:space="preserve"> +</m:t>
                </m:r>
                <m:sSub>
                  <m:sSubPr>
                    <m:ctrlPr>
                      <w:rPr>
                        <w:rFonts w:ascii="Cambria Math" w:hAnsi="Cambria Math" w:cs="Times New Roman"/>
                        <w:vertAlign w:val="subscript"/>
                      </w:rPr>
                    </m:ctrlPr>
                  </m:sSubPr>
                  <m:e>
                    <m:r>
                      <m:rPr>
                        <m:sty m:val="p"/>
                      </m:rPr>
                      <w:rPr>
                        <w:rFonts w:ascii="Cambria Math" w:cs="Times New Roman"/>
                      </w:rPr>
                      <m:t>a</m:t>
                    </m:r>
                  </m:e>
                  <m:sub>
                    <m:r>
                      <m:rPr>
                        <m:sty m:val="p"/>
                      </m:rPr>
                      <w:rPr>
                        <w:rFonts w:ascii="Cambria Math" w:cs="Times New Roman"/>
                        <w:vertAlign w:val="subscript"/>
                      </w:rPr>
                      <m:t>2</m:t>
                    </m:r>
                  </m:sub>
                </m:sSub>
                <m:r>
                  <m:rPr>
                    <m:sty m:val="p"/>
                  </m:rPr>
                  <w:rPr>
                    <w:rFonts w:ascii="Cambria Math" w:cs="Times New Roman"/>
                    <w:vertAlign w:val="subscript"/>
                  </w:rPr>
                  <m:t xml:space="preserve"> </m:t>
                </m:r>
                <m:sSub>
                  <m:sSubPr>
                    <m:ctrlPr>
                      <w:rPr>
                        <w:rFonts w:ascii="Cambria Math" w:hAnsi="Cambria Math" w:cs="Times New Roman"/>
                        <w:vertAlign w:val="subscript"/>
                      </w:rPr>
                    </m:ctrlPr>
                  </m:sSubPr>
                  <m:e>
                    <m:r>
                      <m:rPr>
                        <m:sty m:val="p"/>
                      </m:rPr>
                      <w:rPr>
                        <w:rFonts w:ascii="Cambria Math" w:cs="Times New Roman"/>
                      </w:rPr>
                      <m:t>median</m:t>
                    </m:r>
                  </m:e>
                  <m:sub>
                    <m:r>
                      <m:rPr>
                        <m:sty m:val="p"/>
                      </m:rPr>
                      <w:rPr>
                        <w:rFonts w:ascii="Cambria Math" w:cs="Times New Roman"/>
                        <w:vertAlign w:val="subscript"/>
                      </w:rPr>
                      <m:t>I</m:t>
                    </m:r>
                  </m:sub>
                </m:sSub>
                <m:r>
                  <m:rPr>
                    <m:sty m:val="p"/>
                  </m:rPr>
                  <w:rPr>
                    <w:rFonts w:ascii="Cambria Math" w:cs="Times New Roman"/>
                  </w:rPr>
                  <m:t xml:space="preserve">( </m:t>
                </m:r>
                <m:sSub>
                  <m:sSubPr>
                    <m:ctrlPr>
                      <w:rPr>
                        <w:rFonts w:ascii="Cambria Math" w:hAnsi="Cambria Math" w:cs="Times New Roman"/>
                        <w:vertAlign w:val="subscript"/>
                      </w:rPr>
                    </m:ctrlPr>
                  </m:sSubPr>
                  <m:e>
                    <m:r>
                      <m:rPr>
                        <m:sty m:val="p"/>
                      </m:rPr>
                      <w:rPr>
                        <w:rFonts w:ascii="Cambria Math" w:cs="Times New Roman"/>
                      </w:rPr>
                      <m:t>TA</m:t>
                    </m:r>
                  </m:e>
                  <m:sub>
                    <m:r>
                      <m:rPr>
                        <m:sty m:val="p"/>
                      </m:rPr>
                      <w:rPr>
                        <w:rFonts w:ascii="Cambria Math" w:cs="Times New Roman"/>
                        <w:vertAlign w:val="subscript"/>
                      </w:rPr>
                      <m:t>t</m:t>
                    </m:r>
                  </m:sub>
                </m:sSub>
                <m:r>
                  <m:rPr>
                    <m:sty m:val="p"/>
                  </m:rPr>
                  <w:rPr>
                    <w:rFonts w:ascii="Cambria Math" w:cs="Times New Roman"/>
                  </w:rPr>
                  <m:t>)</m:t>
                </m:r>
              </m:oMath>
            </m:oMathPara>
          </w:p>
        </w:tc>
        <w:tc>
          <w:tcPr>
            <w:tcW w:w="500" w:type="pct"/>
            <w:vAlign w:val="center"/>
          </w:tcPr>
          <w:p w:rsidR="00E02AB1" w:rsidRPr="004018DD" w:rsidRDefault="00E02AB1" w:rsidP="00E02AB1">
            <w:pPr>
              <w:spacing w:before="100" w:beforeAutospacing="1" w:after="100" w:afterAutospacing="1"/>
              <w:jc w:val="right"/>
              <w:rPr>
                <w:rFonts w:cs="Times New Roman"/>
                <w:lang w:val="en-GB"/>
              </w:rPr>
            </w:pPr>
            <w:r w:rsidRPr="004018DD">
              <w:rPr>
                <w:rFonts w:cs="Times New Roman"/>
                <w:lang w:val="en-GB"/>
              </w:rPr>
              <w:t>(</w:t>
            </w:r>
            <w:r w:rsidR="00A33CB4">
              <w:rPr>
                <w:rFonts w:cs="Times New Roman"/>
                <w:lang w:val="en-GB"/>
              </w:rPr>
              <w:t>2.</w:t>
            </w:r>
            <w:r w:rsidRPr="004018DD">
              <w:rPr>
                <w:rFonts w:cs="Times New Roman"/>
                <w:lang w:val="en-GB"/>
              </w:rPr>
              <w:t>9)</w:t>
            </w:r>
          </w:p>
        </w:tc>
      </w:tr>
    </w:tbl>
    <w:p w:rsidR="00E02AB1" w:rsidRPr="004018DD" w:rsidRDefault="00E02AB1" w:rsidP="00E02AB1">
      <w:pPr>
        <w:rPr>
          <w:rFonts w:cs="Times New Roman"/>
          <w:iCs/>
          <w:szCs w:val="24"/>
        </w:rPr>
      </w:pPr>
      <w:r w:rsidRPr="004018DD">
        <w:rPr>
          <w:rFonts w:cs="Times New Roman"/>
          <w:iCs/>
          <w:szCs w:val="24"/>
        </w:rPr>
        <w:t>Where</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383"/>
        <w:gridCol w:w="341"/>
        <w:gridCol w:w="6799"/>
      </w:tblGrid>
      <w:tr w:rsidR="00E02AB1" w:rsidRPr="00512173" w:rsidTr="00E02AB1">
        <w:trPr>
          <w:trHeight w:val="576"/>
        </w:trPr>
        <w:tc>
          <w:tcPr>
            <w:tcW w:w="500" w:type="pct"/>
          </w:tcPr>
          <w:p w:rsidR="00E02AB1" w:rsidRPr="004018DD" w:rsidRDefault="00E02AB1" w:rsidP="00E02AB1">
            <w:pPr>
              <w:spacing w:before="60"/>
              <w:rPr>
                <w:rFonts w:cs="Times New Roman"/>
              </w:rPr>
            </w:pPr>
            <w:proofErr w:type="spellStart"/>
            <w:r w:rsidRPr="004018DD">
              <w:rPr>
                <w:rFonts w:cs="Times New Roman"/>
                <w:iCs/>
              </w:rPr>
              <w:t>median</w:t>
            </w:r>
            <w:r w:rsidRPr="004018DD">
              <w:rPr>
                <w:rFonts w:cs="Times New Roman"/>
                <w:iCs/>
                <w:vertAlign w:val="subscript"/>
              </w:rPr>
              <w:t>I</w:t>
            </w:r>
            <w:proofErr w:type="spellEnd"/>
            <w:r w:rsidRPr="004018DD">
              <w:rPr>
                <w:rFonts w:cs="Times New Roman"/>
                <w:iCs/>
              </w:rPr>
              <w:t>(</w:t>
            </w:r>
            <m:oMath>
              <m:sSub>
                <m:sSubPr>
                  <m:ctrlPr>
                    <w:rPr>
                      <w:rFonts w:ascii="Cambria Math" w:hAnsi="Cambria Math" w:cs="Times New Roman"/>
                      <w:vertAlign w:val="subscript"/>
                    </w:rPr>
                  </m:ctrlPr>
                </m:sSubPr>
                <m:e>
                  <m:r>
                    <m:rPr>
                      <m:sty m:val="p"/>
                    </m:rPr>
                    <w:rPr>
                      <w:rFonts w:ascii="Cambria Math" w:cs="Times New Roman"/>
                    </w:rPr>
                    <m:t>TA</m:t>
                  </m:r>
                </m:e>
                <m:sub>
                  <m:r>
                    <m:rPr>
                      <m:sty m:val="p"/>
                    </m:rPr>
                    <w:rPr>
                      <w:rFonts w:ascii="Cambria Math" w:cs="Times New Roman"/>
                      <w:vertAlign w:val="subscript"/>
                    </w:rPr>
                    <m:t>t</m:t>
                  </m:r>
                </m:sub>
              </m:sSub>
            </m:oMath>
            <w:r w:rsidRPr="004018DD">
              <w:rPr>
                <w:rFonts w:cs="Times New Roman"/>
                <w:iCs/>
              </w:rPr>
              <w:t>)</w:t>
            </w:r>
          </w:p>
        </w:tc>
        <w:tc>
          <w:tcPr>
            <w:tcW w:w="100" w:type="pct"/>
          </w:tcPr>
          <w:p w:rsidR="00E02AB1" w:rsidRPr="004018DD" w:rsidRDefault="00E02AB1" w:rsidP="00E02AB1">
            <w:pPr>
              <w:autoSpaceDE w:val="0"/>
              <w:autoSpaceDN w:val="0"/>
              <w:adjustRightInd w:val="0"/>
              <w:spacing w:before="60"/>
              <w:rPr>
                <w:rFonts w:cs="Times New Roman"/>
              </w:rPr>
            </w:pPr>
            <w:r w:rsidRPr="004018DD">
              <w:rPr>
                <w:rFonts w:cs="Times New Roman"/>
              </w:rPr>
              <w:t>=</w:t>
            </w:r>
          </w:p>
        </w:tc>
        <w:tc>
          <w:tcPr>
            <w:tcW w:w="4400" w:type="pct"/>
          </w:tcPr>
          <w:p w:rsidR="00E02AB1" w:rsidRPr="004018DD" w:rsidRDefault="00E02AB1" w:rsidP="00E02AB1">
            <w:pPr>
              <w:autoSpaceDE w:val="0"/>
              <w:autoSpaceDN w:val="0"/>
              <w:adjustRightInd w:val="0"/>
              <w:spacing w:before="60"/>
              <w:rPr>
                <w:rFonts w:cs="Times New Roman"/>
              </w:rPr>
            </w:pPr>
            <w:r w:rsidRPr="00E0785E">
              <w:rPr>
                <w:rFonts w:cs="Times New Roman"/>
                <w:iCs/>
              </w:rPr>
              <w:t>the median value of total accruals scaled by lagged assets for all non- sample firms in the same 2-digit SIC code</w:t>
            </w:r>
          </w:p>
        </w:tc>
      </w:tr>
    </w:tbl>
    <w:p w:rsidR="00E02AB1" w:rsidRPr="004018DD" w:rsidRDefault="00E02AB1" w:rsidP="00252752">
      <w:pPr>
        <w:pStyle w:val="Heading4"/>
      </w:pPr>
      <w:bookmarkStart w:id="17" w:name="_Toc313473574"/>
      <w:r w:rsidRPr="004018DD">
        <w:t xml:space="preserve">The Performance-Matched </w:t>
      </w:r>
      <w:bookmarkEnd w:id="17"/>
      <w:r w:rsidRPr="004018DD">
        <w:t>Discretionary Accrual</w:t>
      </w:r>
      <w:r w:rsidR="00305FE0">
        <w:t>s</w:t>
      </w:r>
      <w:r w:rsidRPr="004018DD">
        <w:t xml:space="preserve"> Model (2005)</w:t>
      </w:r>
    </w:p>
    <w:p w:rsidR="00E02AB1" w:rsidRPr="004018DD" w:rsidRDefault="00E02AB1" w:rsidP="00666575">
      <w:r w:rsidRPr="004018DD">
        <w:t>The previous empirica</w:t>
      </w:r>
      <w:r w:rsidR="00AE51B3">
        <w:t>l studies (</w:t>
      </w:r>
      <w:proofErr w:type="spellStart"/>
      <w:r w:rsidR="00AE51B3">
        <w:t>McNichols</w:t>
      </w:r>
      <w:proofErr w:type="spellEnd"/>
      <w:r w:rsidR="00AE51B3">
        <w:t xml:space="preserve">, </w:t>
      </w:r>
      <w:r w:rsidRPr="004018DD">
        <w:t xml:space="preserve">2000; Kothari </w:t>
      </w:r>
      <w:r w:rsidRPr="000B6EED">
        <w:rPr>
          <w:i/>
        </w:rPr>
        <w:t>et al</w:t>
      </w:r>
      <w:r w:rsidRPr="004018DD">
        <w:t xml:space="preserve">., 2005) show evidences </w:t>
      </w:r>
      <w:proofErr w:type="gramStart"/>
      <w:r w:rsidRPr="004018DD">
        <w:t>that</w:t>
      </w:r>
      <w:proofErr w:type="gramEnd"/>
      <w:r w:rsidRPr="004018DD">
        <w:t xml:space="preserve"> discretionary accruals which proxy for earnings management is connected to firm performance. This is obvious that some incentives are associated with the performance of the company. For instance, managers have motivation to manipulate earnings when the companies’ performance is poor which is related to their compensation and bonus. In addition, a company before IPO (initial public </w:t>
      </w:r>
      <w:r w:rsidRPr="004018DD">
        <w:lastRenderedPageBreak/>
        <w:t>offerings) has high incentive to manage earnings and to make the performance of the company looking well. Furthermore, in the situation of firm performance extreme, the prior earnings management model miss-specified because they do not consider the performance of the company.</w:t>
      </w:r>
    </w:p>
    <w:p w:rsidR="00E02AB1" w:rsidRPr="004018DD" w:rsidRDefault="00E02AB1" w:rsidP="00666575">
      <w:r w:rsidRPr="004018DD">
        <w:t>Kothari</w:t>
      </w:r>
      <w:r w:rsidR="000B6EED">
        <w:t xml:space="preserve"> </w:t>
      </w:r>
      <w:r w:rsidR="000B6EED" w:rsidRPr="000B6EED">
        <w:rPr>
          <w:i/>
        </w:rPr>
        <w:t>et al</w:t>
      </w:r>
      <w:r w:rsidR="00AE4930">
        <w:t>.</w:t>
      </w:r>
      <w:r w:rsidRPr="004018DD">
        <w:t xml:space="preserve"> (2005)</w:t>
      </w:r>
      <w:r w:rsidR="00727E0B">
        <w:t>,</w:t>
      </w:r>
      <w:r w:rsidRPr="004018DD">
        <w:t xml:space="preserve"> attempts to control this extreme performance situation. Basing on the Jones Model and the modified Jones Model, he presented a Performance-Matched Discretionary Accrual</w:t>
      </w:r>
      <w:r w:rsidR="00305FE0">
        <w:t>s</w:t>
      </w:r>
      <w:r w:rsidRPr="004018DD">
        <w:t xml:space="preserve"> Model to measure the accrual-based earnings management. There have two special features in this model. The first one is ROA</w:t>
      </w:r>
      <w:r w:rsidRPr="004018DD">
        <w:rPr>
          <w:vertAlign w:val="subscript"/>
        </w:rPr>
        <w:t>t-1</w:t>
      </w:r>
      <w:r w:rsidRPr="004018DD">
        <w:t xml:space="preserve"> </w:t>
      </w:r>
      <w:r w:rsidRPr="004018DD">
        <w:rPr>
          <w:vertAlign w:val="subscript"/>
        </w:rPr>
        <w:t>or</w:t>
      </w:r>
      <w:r w:rsidRPr="004018DD">
        <w:t xml:space="preserve"> </w:t>
      </w:r>
      <w:r w:rsidRPr="004018DD">
        <w:rPr>
          <w:vertAlign w:val="subscript"/>
        </w:rPr>
        <w:t xml:space="preserve">t </w:t>
      </w:r>
      <w:r w:rsidRPr="004018DD">
        <w:t xml:space="preserve">(return on asset) which represents the effect of the performance on discretionary accruals and is added into the model as control variable.  The second one is that a constant term is added in the regression to reduce </w:t>
      </w:r>
      <w:proofErr w:type="spellStart"/>
      <w:r w:rsidRPr="004018DD">
        <w:t>heteroskedasticity</w:t>
      </w:r>
      <w:proofErr w:type="spellEnd"/>
      <w:r w:rsidRPr="004018DD">
        <w:t xml:space="preserve">, which is the first step in the measurements of earnings management.  </w:t>
      </w:r>
    </w:p>
    <w:p w:rsidR="00E02AB1" w:rsidRPr="00BE4284" w:rsidRDefault="00E02AB1" w:rsidP="00E02AB1">
      <w:pPr>
        <w:spacing w:before="100" w:beforeAutospacing="1" w:after="100" w:afterAutospacing="1"/>
        <w:rPr>
          <w:rFonts w:cs="Times New Roman"/>
          <w:szCs w:val="24"/>
        </w:rPr>
      </w:pPr>
      <w:r w:rsidRPr="00BE4284">
        <w:rPr>
          <w:rFonts w:cs="Times New Roman"/>
          <w:szCs w:val="24"/>
        </w:rPr>
        <w:t>Due to the reduced miss-specified effect, this r</w:t>
      </w:r>
      <w:r w:rsidR="00305FE0">
        <w:rPr>
          <w:rFonts w:cs="Times New Roman"/>
          <w:szCs w:val="24"/>
        </w:rPr>
        <w:t>esearch thesis will employ the Performance-Matched Discretionary A</w:t>
      </w:r>
      <w:r w:rsidRPr="00BE4284">
        <w:rPr>
          <w:rFonts w:cs="Times New Roman"/>
          <w:szCs w:val="24"/>
        </w:rPr>
        <w:t>ccrual</w:t>
      </w:r>
      <w:r w:rsidR="00305FE0">
        <w:rPr>
          <w:rFonts w:cs="Times New Roman"/>
          <w:szCs w:val="24"/>
        </w:rPr>
        <w:t>s M</w:t>
      </w:r>
      <w:r w:rsidRPr="00BE4284">
        <w:rPr>
          <w:rFonts w:cs="Times New Roman"/>
          <w:szCs w:val="24"/>
        </w:rPr>
        <w:t>odel to calculate discretionary accrual</w:t>
      </w:r>
      <w:r w:rsidR="007C7B27">
        <w:rPr>
          <w:rFonts w:cs="Times New Roman"/>
          <w:szCs w:val="24"/>
        </w:rPr>
        <w:t>s</w:t>
      </w:r>
      <w:r w:rsidRPr="00BE4284">
        <w:rPr>
          <w:rFonts w:cs="Times New Roman"/>
          <w:szCs w:val="24"/>
        </w:rPr>
        <w:t xml:space="preserve"> which proxy for earnings management and explain the choice in Chapter 5.</w:t>
      </w:r>
    </w:p>
    <w:p w:rsidR="00E02AB1" w:rsidRPr="004018DD" w:rsidRDefault="00E02AB1" w:rsidP="00E02AB1">
      <w:pPr>
        <w:spacing w:before="100" w:beforeAutospacing="1" w:after="100" w:afterAutospacing="1"/>
        <w:rPr>
          <w:rFonts w:cs="Times New Roman"/>
          <w:szCs w:val="24"/>
        </w:rPr>
      </w:pPr>
      <w:r w:rsidRPr="004018DD">
        <w:rPr>
          <w:rFonts w:cs="Times New Roman"/>
          <w:szCs w:val="24"/>
        </w:rPr>
        <w:t>The model is proposed as follow:</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9"/>
        <w:gridCol w:w="7534"/>
        <w:gridCol w:w="700"/>
      </w:tblGrid>
      <w:tr w:rsidR="00E02AB1" w:rsidRPr="004018DD" w:rsidTr="00E02AB1">
        <w:trPr>
          <w:trHeight w:val="648"/>
        </w:trPr>
        <w:tc>
          <w:tcPr>
            <w:tcW w:w="250" w:type="pct"/>
            <w:vAlign w:val="center"/>
          </w:tcPr>
          <w:p w:rsidR="00E02AB1" w:rsidRPr="004018DD" w:rsidRDefault="00E02AB1" w:rsidP="00E02AB1">
            <w:pPr>
              <w:spacing w:before="100" w:beforeAutospacing="1" w:after="100" w:afterAutospacing="1"/>
              <w:jc w:val="center"/>
              <w:rPr>
                <w:rFonts w:cs="Times New Roman"/>
                <w:szCs w:val="24"/>
                <w:lang w:val="en-GB"/>
              </w:rPr>
            </w:pPr>
          </w:p>
        </w:tc>
        <w:tc>
          <w:tcPr>
            <w:tcW w:w="4500" w:type="pct"/>
            <w:vAlign w:val="center"/>
          </w:tcPr>
          <w:p w:rsidR="00E02AB1" w:rsidRPr="00461282" w:rsidRDefault="00EF1EDC" w:rsidP="00461282">
            <w:pPr>
              <w:spacing w:before="100" w:beforeAutospacing="1" w:after="100" w:afterAutospacing="1"/>
              <w:jc w:val="center"/>
              <w:rPr>
                <w:rFonts w:asciiTheme="majorHAnsi" w:hAnsiTheme="majorHAnsi" w:cs="Times New Roman"/>
                <w:sz w:val="18"/>
                <w:szCs w:val="20"/>
                <w:lang w:val="en-GB"/>
              </w:rPr>
            </w:pPr>
            <m:oMathPara>
              <m:oMath>
                <m:f>
                  <m:fPr>
                    <m:ctrlPr>
                      <w:rPr>
                        <w:rFonts w:ascii="Cambria Math" w:hAnsi="Cambria Math" w:cs="Times New Roman"/>
                        <w:i/>
                        <w:sz w:val="20"/>
                        <w:szCs w:val="20"/>
                        <w:vertAlign w:val="subscript"/>
                      </w:rPr>
                    </m:ctrlPr>
                  </m:fPr>
                  <m:num>
                    <m:sSub>
                      <m:sSubPr>
                        <m:ctrlPr>
                          <w:rPr>
                            <w:rFonts w:ascii="Cambria Math" w:hAnsi="Cambria Math" w:cs="Times New Roman"/>
                            <w:sz w:val="20"/>
                            <w:szCs w:val="20"/>
                            <w:vertAlign w:val="subscript"/>
                          </w:rPr>
                        </m:ctrlPr>
                      </m:sSubPr>
                      <m:e>
                        <m:r>
                          <m:rPr>
                            <m:sty m:val="p"/>
                          </m:rPr>
                          <w:rPr>
                            <w:rFonts w:ascii="Cambria Math" w:hAnsi="Cambria Math" w:cs="Times New Roman"/>
                            <w:sz w:val="20"/>
                            <w:szCs w:val="20"/>
                          </w:rPr>
                          <m:t>NDA</m:t>
                        </m:r>
                      </m:e>
                      <m:sub>
                        <m:r>
                          <m:rPr>
                            <m:sty m:val="p"/>
                          </m:rPr>
                          <w:rPr>
                            <w:rFonts w:ascii="Cambria Math" w:hAnsi="Cambria Math" w:cs="Times New Roman"/>
                            <w:sz w:val="20"/>
                            <w:szCs w:val="20"/>
                            <w:vertAlign w:val="subscript"/>
                          </w:rPr>
                          <m:t>t</m:t>
                        </m:r>
                      </m:sub>
                    </m:sSub>
                  </m:num>
                  <m:den>
                    <m:sSub>
                      <m:sSubPr>
                        <m:ctrlPr>
                          <w:rPr>
                            <w:rFonts w:ascii="Cambria Math" w:hAnsi="Cambria Math" w:cs="Times New Roman"/>
                            <w:sz w:val="20"/>
                            <w:szCs w:val="20"/>
                            <w:vertAlign w:val="subscript"/>
                          </w:rPr>
                        </m:ctrlPr>
                      </m:sSubPr>
                      <m:e>
                        <m:r>
                          <m:rPr>
                            <m:sty m:val="p"/>
                          </m:rPr>
                          <w:rPr>
                            <w:rFonts w:ascii="Cambria Math" w:hAnsi="Cambria Math" w:cs="Times New Roman"/>
                            <w:sz w:val="20"/>
                            <w:szCs w:val="20"/>
                          </w:rPr>
                          <m:t>A</m:t>
                        </m:r>
                      </m:e>
                      <m:sub>
                        <m:r>
                          <m:rPr>
                            <m:sty m:val="p"/>
                          </m:rPr>
                          <w:rPr>
                            <w:rFonts w:ascii="Cambria Math" w:hAnsi="Cambria Math" w:cs="Times New Roman"/>
                            <w:sz w:val="20"/>
                            <w:szCs w:val="20"/>
                            <w:vertAlign w:val="subscript"/>
                          </w:rPr>
                          <m:t>t-1</m:t>
                        </m:r>
                      </m:sub>
                    </m:sSub>
                  </m:den>
                </m:f>
                <m:r>
                  <m:rPr>
                    <m:sty m:val="p"/>
                  </m:rPr>
                  <w:rPr>
                    <w:rFonts w:ascii="Cambria Math" w:hAnsi="Cambria Math" w:cs="Times New Roman"/>
                    <w:sz w:val="20"/>
                    <w:szCs w:val="20"/>
                  </w:rPr>
                  <m:t xml:space="preserve">= </m:t>
                </m:r>
                <m:sSub>
                  <m:sSubPr>
                    <m:ctrlPr>
                      <w:rPr>
                        <w:rFonts w:ascii="Cambria Math" w:hAnsi="Cambria Math" w:cs="Times New Roman"/>
                        <w:sz w:val="20"/>
                        <w:szCs w:val="20"/>
                      </w:rPr>
                    </m:ctrlPr>
                  </m:sSubPr>
                  <m:e>
                    <m:r>
                      <w:rPr>
                        <w:rFonts w:ascii="Cambria Math" w:hAnsi="Cambria Math" w:cs="Times New Roman"/>
                        <w:sz w:val="20"/>
                        <w:szCs w:val="20"/>
                      </w:rPr>
                      <m:t>a</m:t>
                    </m:r>
                  </m:e>
                  <m:sub>
                    <m:r>
                      <w:rPr>
                        <w:rFonts w:ascii="Cambria Math" w:hAnsi="Cambria Math" w:cs="Times New Roman"/>
                        <w:sz w:val="20"/>
                        <w:szCs w:val="20"/>
                      </w:rPr>
                      <m:t>0</m:t>
                    </m:r>
                  </m:sub>
                </m:sSub>
                <m:r>
                  <m:rPr>
                    <m:sty m:val="p"/>
                  </m:rPr>
                  <w:rPr>
                    <w:rFonts w:ascii="Cambria Math" w:hAnsi="Cambria Math" w:cs="Times New Roman"/>
                    <w:sz w:val="20"/>
                    <w:szCs w:val="20"/>
                  </w:rPr>
                  <m:t xml:space="preserve">+ </m:t>
                </m:r>
                <m:sSub>
                  <m:sSubPr>
                    <m:ctrlPr>
                      <w:rPr>
                        <w:rFonts w:ascii="Cambria Math" w:hAnsi="Cambria Math" w:cs="Times New Roman"/>
                        <w:sz w:val="20"/>
                        <w:szCs w:val="20"/>
                        <w:vertAlign w:val="subscript"/>
                      </w:rPr>
                    </m:ctrlPr>
                  </m:sSubPr>
                  <m:e>
                    <m:r>
                      <m:rPr>
                        <m:sty m:val="p"/>
                      </m:rPr>
                      <w:rPr>
                        <w:rFonts w:ascii="Cambria Math" w:hAnsi="Cambria Math" w:cs="Times New Roman"/>
                        <w:sz w:val="20"/>
                        <w:szCs w:val="20"/>
                        <w:vertAlign w:val="subscript"/>
                      </w:rPr>
                      <m:t>a</m:t>
                    </m:r>
                  </m:e>
                  <m:sub>
                    <m:r>
                      <m:rPr>
                        <m:sty m:val="p"/>
                      </m:rPr>
                      <w:rPr>
                        <w:rFonts w:ascii="Cambria Math" w:hAnsi="Cambria Math" w:cs="Times New Roman"/>
                        <w:sz w:val="20"/>
                        <w:szCs w:val="20"/>
                        <w:vertAlign w:val="subscript"/>
                      </w:rPr>
                      <m:t>1</m:t>
                    </m:r>
                  </m:sub>
                </m:sSub>
                <m:d>
                  <m:dPr>
                    <m:ctrlPr>
                      <w:rPr>
                        <w:rFonts w:ascii="Cambria Math" w:hAnsi="Cambria Math" w:cs="Times New Roman"/>
                        <w:sz w:val="20"/>
                        <w:szCs w:val="20"/>
                      </w:rPr>
                    </m:ctrlPr>
                  </m:dPr>
                  <m:e>
                    <m:f>
                      <m:fPr>
                        <m:ctrlPr>
                          <w:rPr>
                            <w:rFonts w:ascii="Cambria Math" w:hAnsi="Cambria Math" w:cs="Times New Roman"/>
                            <w:i/>
                            <w:sz w:val="20"/>
                            <w:szCs w:val="20"/>
                          </w:rPr>
                        </m:ctrlPr>
                      </m:fPr>
                      <m:num>
                        <m:r>
                          <w:rPr>
                            <w:rFonts w:ascii="Cambria Math" w:hAnsi="Cambria Math" w:cs="Times New Roman"/>
                            <w:sz w:val="20"/>
                            <w:szCs w:val="20"/>
                          </w:rPr>
                          <m:t>1</m:t>
                        </m:r>
                      </m:num>
                      <m:den>
                        <m:sSub>
                          <m:sSubPr>
                            <m:ctrlPr>
                              <w:rPr>
                                <w:rFonts w:ascii="Cambria Math" w:hAnsi="Cambria Math" w:cs="Times New Roman"/>
                                <w:sz w:val="20"/>
                                <w:szCs w:val="20"/>
                                <w:vertAlign w:val="subscript"/>
                              </w:rPr>
                            </m:ctrlPr>
                          </m:sSubPr>
                          <m:e>
                            <m:r>
                              <m:rPr>
                                <m:sty m:val="p"/>
                              </m:rPr>
                              <w:rPr>
                                <w:rFonts w:ascii="Cambria Math" w:hAnsi="Cambria Math" w:cs="Times New Roman"/>
                                <w:sz w:val="20"/>
                                <w:szCs w:val="20"/>
                              </w:rPr>
                              <m:t>A</m:t>
                            </m:r>
                          </m:e>
                          <m:sub>
                            <m:r>
                              <m:rPr>
                                <m:sty m:val="p"/>
                              </m:rPr>
                              <w:rPr>
                                <w:rFonts w:ascii="Cambria Math" w:hAnsi="Cambria Math" w:cs="Times New Roman"/>
                                <w:sz w:val="20"/>
                                <w:szCs w:val="20"/>
                                <w:vertAlign w:val="subscript"/>
                              </w:rPr>
                              <m:t>t-1</m:t>
                            </m:r>
                          </m:sub>
                        </m:sSub>
                      </m:den>
                    </m:f>
                  </m:e>
                </m:d>
                <m:r>
                  <m:rPr>
                    <m:sty m:val="p"/>
                  </m:rPr>
                  <w:rPr>
                    <w:rFonts w:ascii="Cambria Math" w:hAnsi="Cambria Math" w:cs="Times New Roman"/>
                    <w:sz w:val="20"/>
                    <w:szCs w:val="20"/>
                  </w:rPr>
                  <m:t xml:space="preserve">+ </m:t>
                </m:r>
                <m:sSub>
                  <m:sSubPr>
                    <m:ctrlPr>
                      <w:rPr>
                        <w:rFonts w:ascii="Cambria Math" w:hAnsi="Cambria Math" w:cs="Times New Roman"/>
                        <w:sz w:val="20"/>
                        <w:szCs w:val="20"/>
                        <w:vertAlign w:val="subscript"/>
                      </w:rPr>
                    </m:ctrlPr>
                  </m:sSubPr>
                  <m:e>
                    <m:r>
                      <m:rPr>
                        <m:sty m:val="p"/>
                      </m:rPr>
                      <w:rPr>
                        <w:rFonts w:ascii="Cambria Math" w:hAnsi="Cambria Math" w:cs="Times New Roman"/>
                        <w:sz w:val="20"/>
                        <w:szCs w:val="20"/>
                      </w:rPr>
                      <m:t>a</m:t>
                    </m:r>
                  </m:e>
                  <m:sub>
                    <m:r>
                      <m:rPr>
                        <m:sty m:val="p"/>
                      </m:rPr>
                      <w:rPr>
                        <w:rFonts w:ascii="Cambria Math" w:hAnsi="Cambria Math" w:cs="Times New Roman"/>
                        <w:sz w:val="20"/>
                        <w:szCs w:val="20"/>
                        <w:vertAlign w:val="subscript"/>
                      </w:rPr>
                      <m:t>2</m:t>
                    </m:r>
                  </m:sub>
                </m:sSub>
                <m:r>
                  <m:rPr>
                    <m:sty m:val="p"/>
                  </m:rPr>
                  <w:rPr>
                    <w:rFonts w:ascii="Cambria Math" w:hAnsi="Cambria Math" w:cs="Times New Roman"/>
                    <w:sz w:val="20"/>
                    <w:szCs w:val="20"/>
                  </w:rPr>
                  <m:t>(</m:t>
                </m:r>
                <m:f>
                  <m:fPr>
                    <m:ctrlPr>
                      <w:rPr>
                        <w:rFonts w:ascii="Cambria Math" w:hAnsi="Cambria Math" w:cs="Times New Roman"/>
                        <w:i/>
                        <w:sz w:val="20"/>
                        <w:szCs w:val="20"/>
                        <w:vertAlign w:val="subscript"/>
                      </w:rPr>
                    </m:ctrlPr>
                  </m:fPr>
                  <m:num>
                    <m:sSub>
                      <m:sSubPr>
                        <m:ctrlPr>
                          <w:rPr>
                            <w:rFonts w:ascii="Cambria Math" w:hAnsi="Cambria Math" w:cs="Times New Roman"/>
                            <w:sz w:val="20"/>
                            <w:szCs w:val="20"/>
                            <w:vertAlign w:val="subscript"/>
                          </w:rPr>
                        </m:ctrlPr>
                      </m:sSubPr>
                      <m:e>
                        <m:r>
                          <m:rPr>
                            <m:sty m:val="p"/>
                          </m:rPr>
                          <w:rPr>
                            <w:rFonts w:ascii="Cambria Math" w:hAnsi="Cambria Math" w:cs="Times New Roman"/>
                            <w:sz w:val="20"/>
                            <w:szCs w:val="20"/>
                          </w:rPr>
                          <m:t>ΔREV</m:t>
                        </m:r>
                      </m:e>
                      <m:sub>
                        <m:r>
                          <m:rPr>
                            <m:sty m:val="p"/>
                          </m:rPr>
                          <w:rPr>
                            <w:rFonts w:ascii="Cambria Math" w:hAnsi="Cambria Math" w:cs="Times New Roman"/>
                            <w:sz w:val="20"/>
                            <w:szCs w:val="20"/>
                            <w:vertAlign w:val="subscript"/>
                          </w:rPr>
                          <m:t>t</m:t>
                        </m:r>
                      </m:sub>
                    </m:sSub>
                    <m:r>
                      <m:rPr>
                        <m:sty m:val="p"/>
                      </m:rPr>
                      <w:rPr>
                        <w:rFonts w:ascii="Cambria Math" w:hAnsi="Cambria Math" w:cs="Times New Roman"/>
                        <w:sz w:val="20"/>
                        <w:szCs w:val="20"/>
                      </w:rPr>
                      <m:t xml:space="preserve">  - </m:t>
                    </m:r>
                    <m:sSub>
                      <m:sSubPr>
                        <m:ctrlPr>
                          <w:rPr>
                            <w:rFonts w:ascii="Cambria Math" w:hAnsi="Cambria Math" w:cs="Times New Roman"/>
                            <w:sz w:val="20"/>
                            <w:szCs w:val="20"/>
                            <w:vertAlign w:val="subscript"/>
                          </w:rPr>
                        </m:ctrlPr>
                      </m:sSubPr>
                      <m:e>
                        <m:r>
                          <m:rPr>
                            <m:sty m:val="p"/>
                          </m:rPr>
                          <w:rPr>
                            <w:rFonts w:ascii="Cambria Math" w:hAnsi="Cambria Math" w:cs="Times New Roman"/>
                            <w:sz w:val="20"/>
                            <w:szCs w:val="20"/>
                          </w:rPr>
                          <m:t>ΔREC</m:t>
                        </m:r>
                      </m:e>
                      <m:sub>
                        <m:r>
                          <m:rPr>
                            <m:sty m:val="p"/>
                          </m:rPr>
                          <w:rPr>
                            <w:rFonts w:ascii="Cambria Math" w:hAnsi="Cambria Math" w:cs="Times New Roman"/>
                            <w:sz w:val="20"/>
                            <w:szCs w:val="20"/>
                            <w:vertAlign w:val="subscript"/>
                          </w:rPr>
                          <m:t>t</m:t>
                        </m:r>
                      </m:sub>
                    </m:sSub>
                  </m:num>
                  <m:den>
                    <m:sSub>
                      <m:sSubPr>
                        <m:ctrlPr>
                          <w:rPr>
                            <w:rFonts w:ascii="Cambria Math" w:hAnsi="Cambria Math" w:cs="Times New Roman"/>
                            <w:sz w:val="20"/>
                            <w:szCs w:val="20"/>
                            <w:vertAlign w:val="subscript"/>
                          </w:rPr>
                        </m:ctrlPr>
                      </m:sSubPr>
                      <m:e>
                        <m:r>
                          <m:rPr>
                            <m:sty m:val="p"/>
                          </m:rPr>
                          <w:rPr>
                            <w:rFonts w:ascii="Cambria Math" w:hAnsi="Cambria Math" w:cs="Times New Roman"/>
                            <w:sz w:val="20"/>
                            <w:szCs w:val="20"/>
                          </w:rPr>
                          <m:t>A</m:t>
                        </m:r>
                      </m:e>
                      <m:sub>
                        <m:r>
                          <m:rPr>
                            <m:sty m:val="p"/>
                          </m:rPr>
                          <w:rPr>
                            <w:rFonts w:ascii="Cambria Math" w:hAnsi="Cambria Math" w:cs="Times New Roman"/>
                            <w:sz w:val="20"/>
                            <w:szCs w:val="20"/>
                            <w:vertAlign w:val="subscript"/>
                          </w:rPr>
                          <m:t>t-1</m:t>
                        </m:r>
                      </m:sub>
                    </m:sSub>
                  </m:den>
                </m:f>
                <m:r>
                  <m:rPr>
                    <m:sty m:val="p"/>
                  </m:rPr>
                  <w:rPr>
                    <w:rFonts w:ascii="Cambria Math" w:hAnsi="Cambria Math" w:cs="Times New Roman"/>
                    <w:sz w:val="20"/>
                    <w:szCs w:val="20"/>
                  </w:rPr>
                  <m:t>) +</m:t>
                </m:r>
                <m:sSub>
                  <m:sSubPr>
                    <m:ctrlPr>
                      <w:rPr>
                        <w:rFonts w:ascii="Cambria Math" w:hAnsi="Cambria Math" w:cs="Times New Roman"/>
                        <w:sz w:val="20"/>
                        <w:szCs w:val="20"/>
                        <w:vertAlign w:val="subscript"/>
                      </w:rPr>
                    </m:ctrlPr>
                  </m:sSubPr>
                  <m:e>
                    <m:r>
                      <m:rPr>
                        <m:sty m:val="p"/>
                      </m:rPr>
                      <w:rPr>
                        <w:rFonts w:ascii="Cambria Math" w:hAnsi="Cambria Math" w:cs="Times New Roman"/>
                        <w:sz w:val="20"/>
                        <w:szCs w:val="20"/>
                      </w:rPr>
                      <m:t>a</m:t>
                    </m:r>
                  </m:e>
                  <m:sub>
                    <m:r>
                      <m:rPr>
                        <m:sty m:val="p"/>
                      </m:rPr>
                      <w:rPr>
                        <w:rFonts w:ascii="Cambria Math" w:hAnsi="Cambria Math" w:cs="Times New Roman"/>
                        <w:sz w:val="20"/>
                        <w:szCs w:val="20"/>
                        <w:vertAlign w:val="subscript"/>
                      </w:rPr>
                      <m:t>3</m:t>
                    </m:r>
                  </m:sub>
                </m:sSub>
                <m:r>
                  <m:rPr>
                    <m:sty m:val="p"/>
                  </m:rPr>
                  <w:rPr>
                    <w:rFonts w:ascii="Cambria Math" w:hAnsi="Cambria Math" w:cs="Times New Roman"/>
                    <w:sz w:val="20"/>
                    <w:szCs w:val="20"/>
                  </w:rPr>
                  <m:t xml:space="preserve">( </m:t>
                </m:r>
                <m:f>
                  <m:fPr>
                    <m:ctrlPr>
                      <w:rPr>
                        <w:rFonts w:ascii="Cambria Math" w:hAnsi="Cambria Math" w:cs="Times New Roman"/>
                        <w:i/>
                        <w:sz w:val="20"/>
                        <w:szCs w:val="20"/>
                      </w:rPr>
                    </m:ctrlPr>
                  </m:fPr>
                  <m:num>
                    <m:sSub>
                      <m:sSubPr>
                        <m:ctrlPr>
                          <w:rPr>
                            <w:rFonts w:ascii="Cambria Math" w:hAnsi="Cambria Math" w:cs="Times New Roman"/>
                            <w:sz w:val="20"/>
                            <w:szCs w:val="20"/>
                            <w:vertAlign w:val="subscript"/>
                          </w:rPr>
                        </m:ctrlPr>
                      </m:sSubPr>
                      <m:e>
                        <m:r>
                          <m:rPr>
                            <m:sty m:val="p"/>
                          </m:rPr>
                          <w:rPr>
                            <w:rFonts w:ascii="Cambria Math" w:hAnsi="Cambria Math" w:cs="Times New Roman"/>
                            <w:sz w:val="20"/>
                            <w:szCs w:val="20"/>
                          </w:rPr>
                          <m:t>PPE</m:t>
                        </m:r>
                      </m:e>
                      <m:sub>
                        <m:r>
                          <m:rPr>
                            <m:sty m:val="p"/>
                          </m:rPr>
                          <w:rPr>
                            <w:rFonts w:ascii="Cambria Math" w:hAnsi="Cambria Math" w:cs="Times New Roman"/>
                            <w:sz w:val="20"/>
                            <w:szCs w:val="20"/>
                            <w:vertAlign w:val="subscript"/>
                          </w:rPr>
                          <m:t>t</m:t>
                        </m:r>
                      </m:sub>
                    </m:sSub>
                    <m:r>
                      <m:rPr>
                        <m:sty m:val="p"/>
                      </m:rPr>
                      <w:rPr>
                        <w:rFonts w:ascii="Cambria Math" w:hAnsi="Cambria Math" w:cs="Times New Roman"/>
                        <w:sz w:val="20"/>
                        <w:szCs w:val="20"/>
                        <w:vertAlign w:val="subscript"/>
                      </w:rPr>
                      <m:t xml:space="preserve"> </m:t>
                    </m:r>
                  </m:num>
                  <m:den>
                    <m:sSub>
                      <m:sSubPr>
                        <m:ctrlPr>
                          <w:rPr>
                            <w:rFonts w:ascii="Cambria Math" w:hAnsi="Cambria Math" w:cs="Times New Roman"/>
                            <w:sz w:val="20"/>
                            <w:szCs w:val="20"/>
                          </w:rPr>
                        </m:ctrlPr>
                      </m:sSubPr>
                      <m:e>
                        <m:r>
                          <m:rPr>
                            <m:sty m:val="p"/>
                          </m:rPr>
                          <w:rPr>
                            <w:rFonts w:ascii="Cambria Math" w:hAnsi="Cambria Math" w:cs="Times New Roman"/>
                            <w:sz w:val="20"/>
                            <w:szCs w:val="20"/>
                          </w:rPr>
                          <m:t>A</m:t>
                        </m:r>
                      </m:e>
                      <m:sub>
                        <m:r>
                          <w:rPr>
                            <w:rFonts w:ascii="Cambria Math" w:hAnsi="Cambria Math" w:cs="Times New Roman"/>
                            <w:sz w:val="20"/>
                            <w:szCs w:val="20"/>
                          </w:rPr>
                          <m:t>t-1</m:t>
                        </m:r>
                      </m:sub>
                    </m:sSub>
                  </m:den>
                </m:f>
                <m:r>
                  <m:rPr>
                    <m:sty m:val="p"/>
                  </m:rPr>
                  <w:rPr>
                    <w:rFonts w:ascii="Cambria Math" w:hAnsi="Cambria Math" w:cs="Times New Roman"/>
                    <w:sz w:val="20"/>
                    <w:szCs w:val="20"/>
                  </w:rPr>
                  <m:t xml:space="preserve">)+ </m:t>
                </m:r>
                <m:sSub>
                  <m:sSubPr>
                    <m:ctrlPr>
                      <w:rPr>
                        <w:rFonts w:ascii="Cambria Math" w:hAnsi="Cambria Math" w:cs="Times New Roman"/>
                        <w:sz w:val="20"/>
                        <w:szCs w:val="20"/>
                      </w:rPr>
                    </m:ctrlPr>
                  </m:sSubPr>
                  <m:e>
                    <m:r>
                      <w:rPr>
                        <w:rFonts w:ascii="Cambria Math" w:hAnsi="Cambria Math" w:cs="Times New Roman"/>
                        <w:sz w:val="20"/>
                        <w:szCs w:val="20"/>
                      </w:rPr>
                      <m:t>a</m:t>
                    </m:r>
                  </m:e>
                  <m:sub>
                    <m:r>
                      <w:rPr>
                        <w:rFonts w:ascii="Cambria Math" w:hAnsi="Cambria Math" w:cs="Times New Roman"/>
                        <w:sz w:val="20"/>
                        <w:szCs w:val="20"/>
                      </w:rPr>
                      <m:t>4</m:t>
                    </m:r>
                  </m:sub>
                </m:sSub>
                <m:r>
                  <m:rPr>
                    <m:sty m:val="p"/>
                  </m:rPr>
                  <w:rPr>
                    <w:rFonts w:ascii="Cambria Math" w:hAnsi="Cambria Math" w:cs="Times New Roman"/>
                    <w:sz w:val="20"/>
                    <w:szCs w:val="20"/>
                  </w:rPr>
                  <m:t>(</m:t>
                </m:r>
                <m:sSub>
                  <m:sSubPr>
                    <m:ctrlPr>
                      <w:rPr>
                        <w:rFonts w:ascii="Cambria Math" w:hAnsi="Cambria Math" w:cs="Times New Roman"/>
                        <w:sz w:val="20"/>
                        <w:szCs w:val="20"/>
                      </w:rPr>
                    </m:ctrlPr>
                  </m:sSubPr>
                  <m:e>
                    <m:r>
                      <m:rPr>
                        <m:sty m:val="p"/>
                      </m:rPr>
                      <w:rPr>
                        <w:rFonts w:ascii="Cambria Math" w:hAnsi="Cambria Math" w:cs="Times New Roman"/>
                        <w:sz w:val="20"/>
                        <w:szCs w:val="20"/>
                      </w:rPr>
                      <m:t>ROA</m:t>
                    </m:r>
                  </m:e>
                  <m:sub>
                    <m:r>
                      <m:rPr>
                        <m:sty m:val="p"/>
                      </m:rPr>
                      <w:rPr>
                        <w:rFonts w:ascii="Cambria Math" w:hAnsi="Cambria Math" w:cs="Times New Roman"/>
                        <w:sz w:val="20"/>
                        <w:szCs w:val="20"/>
                        <w:vertAlign w:val="subscript"/>
                      </w:rPr>
                      <m:t>t</m:t>
                    </m:r>
                    <m:r>
                      <m:rPr>
                        <m:sty m:val="p"/>
                      </m:rPr>
                      <w:rPr>
                        <w:rFonts w:ascii="Cambria Math" w:hAnsi="Cambria Math" w:cs="Times New Roman"/>
                        <w:sz w:val="20"/>
                        <w:szCs w:val="20"/>
                      </w:rPr>
                      <m:t xml:space="preserve"> or </m:t>
                    </m:r>
                    <m:r>
                      <m:rPr>
                        <m:sty m:val="p"/>
                      </m:rPr>
                      <w:rPr>
                        <w:rFonts w:ascii="Cambria Math" w:hAnsi="Cambria Math" w:cs="Times New Roman"/>
                        <w:sz w:val="20"/>
                        <w:szCs w:val="20"/>
                        <w:vertAlign w:val="subscript"/>
                      </w:rPr>
                      <m:t>t-1</m:t>
                    </m:r>
                  </m:sub>
                </m:sSub>
                <m:r>
                  <m:rPr>
                    <m:sty m:val="p"/>
                  </m:rPr>
                  <w:rPr>
                    <w:rFonts w:ascii="Cambria Math" w:hAnsi="Cambria Math" w:cs="Times New Roman"/>
                    <w:sz w:val="20"/>
                    <w:szCs w:val="20"/>
                  </w:rPr>
                  <m:t xml:space="preserve">) </m:t>
                </m:r>
              </m:oMath>
            </m:oMathPara>
          </w:p>
        </w:tc>
        <w:tc>
          <w:tcPr>
            <w:tcW w:w="250" w:type="pct"/>
            <w:vAlign w:val="center"/>
          </w:tcPr>
          <w:p w:rsidR="00E02AB1" w:rsidRPr="004018DD" w:rsidRDefault="00E02AB1" w:rsidP="00E02AB1">
            <w:pPr>
              <w:spacing w:before="100" w:beforeAutospacing="1" w:after="100" w:afterAutospacing="1"/>
              <w:jc w:val="right"/>
              <w:rPr>
                <w:rFonts w:cs="Times New Roman"/>
                <w:sz w:val="20"/>
                <w:szCs w:val="20"/>
                <w:lang w:val="en-GB"/>
              </w:rPr>
            </w:pPr>
            <w:r w:rsidRPr="004018DD">
              <w:rPr>
                <w:rFonts w:cs="Times New Roman"/>
                <w:sz w:val="20"/>
                <w:szCs w:val="20"/>
                <w:lang w:val="en-GB"/>
              </w:rPr>
              <w:t>(</w:t>
            </w:r>
            <w:r w:rsidR="00A33CB4">
              <w:rPr>
                <w:rFonts w:cs="Times New Roman"/>
                <w:sz w:val="20"/>
                <w:szCs w:val="20"/>
                <w:lang w:val="en-GB"/>
              </w:rPr>
              <w:t>2.</w:t>
            </w:r>
            <w:r w:rsidRPr="004018DD">
              <w:rPr>
                <w:rFonts w:cs="Times New Roman"/>
                <w:sz w:val="20"/>
                <w:szCs w:val="20"/>
                <w:lang w:val="en-GB"/>
              </w:rPr>
              <w:t>10)</w:t>
            </w:r>
          </w:p>
        </w:tc>
      </w:tr>
    </w:tbl>
    <w:p w:rsidR="00E02AB1" w:rsidRPr="004018DD" w:rsidRDefault="00E02AB1" w:rsidP="00E02AB1">
      <w:pPr>
        <w:autoSpaceDE w:val="0"/>
        <w:autoSpaceDN w:val="0"/>
        <w:adjustRightInd w:val="0"/>
        <w:rPr>
          <w:rFonts w:cs="Times New Roman"/>
          <w:iCs/>
          <w:szCs w:val="24"/>
        </w:rPr>
      </w:pPr>
      <w:r w:rsidRPr="004018DD">
        <w:rPr>
          <w:rFonts w:cs="Times New Roman"/>
          <w:iCs/>
          <w:szCs w:val="24"/>
        </w:rPr>
        <w:t>Where</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62"/>
        <w:gridCol w:w="341"/>
        <w:gridCol w:w="3448"/>
      </w:tblGrid>
      <w:tr w:rsidR="00E02AB1" w:rsidRPr="004018DD" w:rsidTr="001814DE">
        <w:trPr>
          <w:trHeight w:val="576"/>
          <w:jc w:val="center"/>
        </w:trPr>
        <w:tc>
          <w:tcPr>
            <w:tcW w:w="0" w:type="auto"/>
          </w:tcPr>
          <w:p w:rsidR="00E02AB1" w:rsidRPr="004018DD" w:rsidRDefault="00E02AB1" w:rsidP="00E02AB1">
            <w:pPr>
              <w:spacing w:before="60"/>
              <w:rPr>
                <w:rFonts w:cs="Times New Roman"/>
              </w:rPr>
            </w:pPr>
            <w:r w:rsidRPr="004018DD">
              <w:rPr>
                <w:rFonts w:cs="Times New Roman"/>
                <w:iCs/>
              </w:rPr>
              <w:t>a</w:t>
            </w:r>
            <w:r w:rsidRPr="004018DD">
              <w:rPr>
                <w:rFonts w:cs="Times New Roman"/>
                <w:iCs/>
                <w:vertAlign w:val="subscript"/>
              </w:rPr>
              <w:t>0</w:t>
            </w:r>
          </w:p>
        </w:tc>
        <w:tc>
          <w:tcPr>
            <w:tcW w:w="0" w:type="auto"/>
          </w:tcPr>
          <w:p w:rsidR="00E02AB1" w:rsidRPr="004018DD" w:rsidRDefault="00E02AB1" w:rsidP="00E02AB1">
            <w:pPr>
              <w:autoSpaceDE w:val="0"/>
              <w:autoSpaceDN w:val="0"/>
              <w:adjustRightInd w:val="0"/>
              <w:spacing w:before="60"/>
              <w:rPr>
                <w:rFonts w:cs="Times New Roman"/>
              </w:rPr>
            </w:pPr>
            <w:r w:rsidRPr="004018DD">
              <w:rPr>
                <w:rFonts w:cs="Times New Roman"/>
              </w:rPr>
              <w:t>=</w:t>
            </w:r>
          </w:p>
        </w:tc>
        <w:tc>
          <w:tcPr>
            <w:tcW w:w="0" w:type="auto"/>
          </w:tcPr>
          <w:p w:rsidR="00E02AB1" w:rsidRPr="004018DD" w:rsidRDefault="00E02AB1" w:rsidP="00E02AB1">
            <w:pPr>
              <w:autoSpaceDE w:val="0"/>
              <w:autoSpaceDN w:val="0"/>
              <w:adjustRightInd w:val="0"/>
              <w:spacing w:before="60"/>
              <w:rPr>
                <w:rFonts w:cs="Times New Roman"/>
              </w:rPr>
            </w:pPr>
            <w:r w:rsidRPr="004018DD">
              <w:rPr>
                <w:rFonts w:cs="Times New Roman"/>
                <w:iCs/>
              </w:rPr>
              <w:t>a constant term</w:t>
            </w:r>
          </w:p>
        </w:tc>
      </w:tr>
      <w:tr w:rsidR="00E02AB1" w:rsidRPr="00512173" w:rsidTr="001814DE">
        <w:trPr>
          <w:trHeight w:val="576"/>
          <w:jc w:val="center"/>
        </w:trPr>
        <w:tc>
          <w:tcPr>
            <w:tcW w:w="0" w:type="auto"/>
          </w:tcPr>
          <w:p w:rsidR="00E02AB1" w:rsidRPr="004018DD" w:rsidRDefault="00E02AB1" w:rsidP="00E02AB1">
            <w:pPr>
              <w:spacing w:before="60"/>
              <w:rPr>
                <w:rFonts w:cs="Times New Roman"/>
                <w:iCs/>
              </w:rPr>
            </w:pPr>
            <w:proofErr w:type="spellStart"/>
            <w:r w:rsidRPr="004018DD">
              <w:rPr>
                <w:rFonts w:cs="Times New Roman"/>
                <w:iCs/>
              </w:rPr>
              <w:t>ROA</w:t>
            </w:r>
            <w:r w:rsidRPr="004018DD">
              <w:rPr>
                <w:rFonts w:cs="Times New Roman"/>
                <w:iCs/>
                <w:vertAlign w:val="subscript"/>
              </w:rPr>
              <w:t>t</w:t>
            </w:r>
            <w:proofErr w:type="spellEnd"/>
            <w:r w:rsidRPr="004018DD">
              <w:rPr>
                <w:rFonts w:cs="Times New Roman"/>
                <w:iCs/>
                <w:vertAlign w:val="subscript"/>
              </w:rPr>
              <w:t xml:space="preserve"> or t-1</w:t>
            </w:r>
          </w:p>
        </w:tc>
        <w:tc>
          <w:tcPr>
            <w:tcW w:w="0" w:type="auto"/>
          </w:tcPr>
          <w:p w:rsidR="00E02AB1" w:rsidRPr="004018DD" w:rsidRDefault="00E02AB1" w:rsidP="00E02AB1">
            <w:pPr>
              <w:autoSpaceDE w:val="0"/>
              <w:autoSpaceDN w:val="0"/>
              <w:adjustRightInd w:val="0"/>
              <w:spacing w:before="60"/>
              <w:rPr>
                <w:rFonts w:cs="Times New Roman"/>
              </w:rPr>
            </w:pPr>
            <w:r w:rsidRPr="004018DD">
              <w:rPr>
                <w:rFonts w:cs="Times New Roman"/>
              </w:rPr>
              <w:t>=</w:t>
            </w:r>
          </w:p>
        </w:tc>
        <w:tc>
          <w:tcPr>
            <w:tcW w:w="0" w:type="auto"/>
          </w:tcPr>
          <w:p w:rsidR="00E02AB1" w:rsidRPr="00E0785E" w:rsidRDefault="00E02AB1" w:rsidP="00E02AB1">
            <w:pPr>
              <w:autoSpaceDE w:val="0"/>
              <w:autoSpaceDN w:val="0"/>
              <w:adjustRightInd w:val="0"/>
              <w:spacing w:before="60"/>
              <w:rPr>
                <w:rFonts w:cs="Times New Roman"/>
                <w:iCs/>
              </w:rPr>
            </w:pPr>
            <w:proofErr w:type="gramStart"/>
            <w:r w:rsidRPr="00E0785E">
              <w:rPr>
                <w:rFonts w:cs="Times New Roman"/>
                <w:iCs/>
              </w:rPr>
              <w:t>the</w:t>
            </w:r>
            <w:proofErr w:type="gramEnd"/>
            <w:r w:rsidRPr="00E0785E">
              <w:rPr>
                <w:rFonts w:cs="Times New Roman"/>
                <w:iCs/>
              </w:rPr>
              <w:t xml:space="preserve"> return on assets at period t or t-1.</w:t>
            </w:r>
          </w:p>
        </w:tc>
      </w:tr>
    </w:tbl>
    <w:p w:rsidR="00E02AB1" w:rsidRPr="004018DD" w:rsidRDefault="00710415" w:rsidP="00252752">
      <w:pPr>
        <w:pStyle w:val="Heading2"/>
      </w:pPr>
      <w:bookmarkStart w:id="18" w:name="_Toc400916040"/>
      <w:r>
        <w:t>Corporate g</w:t>
      </w:r>
      <w:r w:rsidR="00E02AB1" w:rsidRPr="004018DD">
        <w:t>overnance</w:t>
      </w:r>
      <w:bookmarkEnd w:id="18"/>
    </w:p>
    <w:p w:rsidR="00E02AB1" w:rsidRPr="004018DD" w:rsidRDefault="00E02AB1" w:rsidP="00666575">
      <w:r w:rsidRPr="004018DD">
        <w:rPr>
          <w:shd w:val="clear" w:color="auto" w:fill="FFFFFF"/>
        </w:rPr>
        <w:t>Corporate governance has become increasingly important over the past few years</w:t>
      </w:r>
      <w:r w:rsidRPr="004018DD">
        <w:rPr>
          <w:rStyle w:val="apple-converted-space"/>
          <w:rFonts w:cs="Times New Roman"/>
          <w:szCs w:val="24"/>
          <w:shd w:val="clear" w:color="auto" w:fill="FFFFFF"/>
        </w:rPr>
        <w:t xml:space="preserve">. </w:t>
      </w:r>
      <w:r w:rsidRPr="004018DD">
        <w:t>One reason for this is that the huge influence of corporate sandals and financial crisis in the world aroused the concern from those researchers, regulators</w:t>
      </w:r>
      <w:r w:rsidR="006271E8">
        <w:t>,</w:t>
      </w:r>
      <w:r w:rsidRPr="004018DD">
        <w:t xml:space="preserve"> aca</w:t>
      </w:r>
      <w:r w:rsidR="009A0D0A">
        <w:t xml:space="preserve">demics </w:t>
      </w:r>
      <w:r w:rsidR="001814DE">
        <w:t xml:space="preserve">and other shareholders. </w:t>
      </w:r>
      <w:r w:rsidRPr="004018DD">
        <w:t>Another reason is that some researchers believe that good corporate governance related to higher return of investment, low cost of capital and efficien</w:t>
      </w:r>
      <w:r>
        <w:t xml:space="preserve">t resources-using </w:t>
      </w:r>
      <w:r w:rsidRPr="004018DD">
        <w:t>(</w:t>
      </w:r>
      <w:proofErr w:type="spellStart"/>
      <w:r w:rsidRPr="004018DD">
        <w:t>Shleifer</w:t>
      </w:r>
      <w:proofErr w:type="spellEnd"/>
      <w:r w:rsidRPr="004018DD">
        <w:t xml:space="preserve"> and </w:t>
      </w:r>
      <w:proofErr w:type="spellStart"/>
      <w:r w:rsidRPr="004018DD">
        <w:t>Vi</w:t>
      </w:r>
      <w:r>
        <w:t>shny</w:t>
      </w:r>
      <w:proofErr w:type="spellEnd"/>
      <w:r>
        <w:t xml:space="preserve">, </w:t>
      </w:r>
      <w:r w:rsidRPr="004018DD">
        <w:t>1997). Corporate governance is often cited in academic articles and economic magazines, however, there is no consensus regarding to its</w:t>
      </w:r>
      <w:r w:rsidR="009A60ED">
        <w:t xml:space="preserve"> d</w:t>
      </w:r>
      <w:r w:rsidR="002821AA">
        <w:t>e</w:t>
      </w:r>
      <w:r w:rsidR="009A60ED">
        <w:t>finition</w:t>
      </w:r>
      <w:r w:rsidRPr="004018DD">
        <w:t xml:space="preserve">. Lots of researchers attempt to give a systematic conceptual </w:t>
      </w:r>
      <w:r w:rsidRPr="004018DD">
        <w:lastRenderedPageBreak/>
        <w:t>framework for corporate governance. In 1992, Adrian Cadbury, who is the head of the committee on the Financial Aspect of Corporate Governance in the UK, giving a definition as:</w:t>
      </w:r>
    </w:p>
    <w:p w:rsidR="00E02AB1" w:rsidRPr="004018DD" w:rsidRDefault="00E02AB1" w:rsidP="00E02AB1">
      <w:pPr>
        <w:spacing w:before="100" w:beforeAutospacing="1" w:after="100" w:afterAutospacing="1"/>
        <w:rPr>
          <w:rFonts w:cs="Times New Roman"/>
          <w:i/>
        </w:rPr>
      </w:pPr>
      <w:r w:rsidRPr="004018DD">
        <w:rPr>
          <w:rFonts w:cs="Times New Roman"/>
          <w:i/>
        </w:rPr>
        <w:t xml:space="preserve">“Corporate Governance is the system by companies are directed and controlled.”(Cadbury Committee 1992). </w:t>
      </w:r>
    </w:p>
    <w:p w:rsidR="00E02AB1" w:rsidRPr="004018DD" w:rsidRDefault="00E02AB1" w:rsidP="00666575">
      <w:r w:rsidRPr="004018DD">
        <w:t>This definition highlights corporate governance as a set of mechanism</w:t>
      </w:r>
      <w:r w:rsidRPr="001814DE">
        <w:t>s</w:t>
      </w:r>
      <w:r w:rsidRPr="004018DD">
        <w:t xml:space="preserve"> which </w:t>
      </w:r>
      <w:r w:rsidR="001814DE">
        <w:t>are</w:t>
      </w:r>
      <w:r w:rsidRPr="004018DD">
        <w:t xml:space="preserve"> operated by the firm. Anot</w:t>
      </w:r>
      <w:r w:rsidR="00341D53">
        <w:t xml:space="preserve">her definition introduced by </w:t>
      </w:r>
      <w:proofErr w:type="spellStart"/>
      <w:r w:rsidR="00341D53">
        <w:t>Sh</w:t>
      </w:r>
      <w:r w:rsidRPr="004018DD">
        <w:t>leifer</w:t>
      </w:r>
      <w:proofErr w:type="spellEnd"/>
      <w:r w:rsidRPr="004018DD">
        <w:t xml:space="preserve"> and </w:t>
      </w:r>
      <w:proofErr w:type="spellStart"/>
      <w:r w:rsidRPr="004018DD">
        <w:t>Vishny</w:t>
      </w:r>
      <w:proofErr w:type="spellEnd"/>
      <w:r w:rsidRPr="004018DD">
        <w:t xml:space="preserve"> in 1997 is,  </w:t>
      </w:r>
    </w:p>
    <w:p w:rsidR="00E02AB1" w:rsidRPr="004018DD" w:rsidRDefault="00E02AB1" w:rsidP="00E02AB1">
      <w:pPr>
        <w:spacing w:before="100" w:beforeAutospacing="1" w:after="100" w:afterAutospacing="1"/>
        <w:rPr>
          <w:rFonts w:cs="Times New Roman"/>
          <w:i/>
        </w:rPr>
      </w:pPr>
      <w:r w:rsidRPr="004018DD">
        <w:rPr>
          <w:rFonts w:cs="Times New Roman"/>
          <w:i/>
        </w:rPr>
        <w:t>“Corporate governance deals with the ways in which suppliers of finance to corporations assure themselves of getting a return on their investment.”</w:t>
      </w:r>
    </w:p>
    <w:p w:rsidR="00E02AB1" w:rsidRPr="004018DD" w:rsidRDefault="00E02AB1" w:rsidP="00666575">
      <w:r w:rsidRPr="004018DD">
        <w:t xml:space="preserve">Moreover, </w:t>
      </w:r>
      <w:r w:rsidR="00892A60">
        <w:t xml:space="preserve">Allen </w:t>
      </w:r>
      <w:r w:rsidRPr="004018DD">
        <w:t>(2005) pointed out a group of comparing definitions of corporate governance.</w:t>
      </w:r>
    </w:p>
    <w:p w:rsidR="00E02AB1" w:rsidRPr="004018DD" w:rsidRDefault="00E02AB1" w:rsidP="00E02AB1">
      <w:pPr>
        <w:spacing w:before="100" w:beforeAutospacing="1" w:after="100" w:afterAutospacing="1"/>
        <w:rPr>
          <w:rFonts w:cs="Times New Roman"/>
          <w:szCs w:val="24"/>
        </w:rPr>
      </w:pPr>
      <w:r w:rsidRPr="004018DD">
        <w:rPr>
          <w:rFonts w:cs="Times New Roman"/>
          <w:i/>
        </w:rPr>
        <w:t>“Narrow view: corporate governance is concerned with ensuring the firm is run in the interests of shareholders</w:t>
      </w:r>
      <w:r w:rsidR="00644CA2">
        <w:rPr>
          <w:rFonts w:cs="Times New Roman"/>
          <w:i/>
        </w:rPr>
        <w:t>.</w:t>
      </w:r>
      <w:r w:rsidRPr="004018DD">
        <w:rPr>
          <w:rFonts w:cs="Times New Roman"/>
          <w:i/>
        </w:rPr>
        <w:t>”</w:t>
      </w:r>
    </w:p>
    <w:p w:rsidR="00E02AB1" w:rsidRPr="004018DD" w:rsidRDefault="00E02AB1" w:rsidP="00E02AB1">
      <w:pPr>
        <w:spacing w:before="100" w:beforeAutospacing="1" w:after="100" w:afterAutospacing="1"/>
        <w:rPr>
          <w:rFonts w:cs="Times New Roman"/>
          <w:i/>
        </w:rPr>
      </w:pPr>
      <w:r w:rsidRPr="004018DD">
        <w:rPr>
          <w:rFonts w:cs="Times New Roman"/>
          <w:i/>
        </w:rPr>
        <w:t>“Broad view: Corporate governance is concerned with ensuring that firms are run in such a way that society’s resources are used efficiently.”</w:t>
      </w:r>
    </w:p>
    <w:p w:rsidR="00E02AB1" w:rsidRPr="004018DD" w:rsidRDefault="00E02AB1" w:rsidP="00666575">
      <w:r w:rsidRPr="004018DD">
        <w:t xml:space="preserve">In his paper, the various stakeholders are involved in consideration, not only the shareholders. It takes the definition as </w:t>
      </w:r>
      <w:r w:rsidRPr="00523280">
        <w:t>a specific-version</w:t>
      </w:r>
      <w:r w:rsidRPr="004018DD">
        <w:t xml:space="preserve"> because it captures the accountability of company</w:t>
      </w:r>
      <w:r>
        <w:t xml:space="preserve"> to the whole of society.</w:t>
      </w:r>
    </w:p>
    <w:p w:rsidR="00550701" w:rsidRPr="00550701" w:rsidRDefault="00E02AB1" w:rsidP="00341D53">
      <w:r w:rsidRPr="004018DD">
        <w:t>Besides the definition of corporate governance, most researchers take corporate governance into two categories: internal control and external control. Denis and McConnel</w:t>
      </w:r>
      <w:r w:rsidR="00D21C5C">
        <w:t>l</w:t>
      </w:r>
      <w:r w:rsidRPr="004018DD">
        <w:t xml:space="preserve"> (2003) investigated the topic of corporate governance and present in their research that corporate governance mechanisms can be clas</w:t>
      </w:r>
      <w:r w:rsidR="00BE4284">
        <w:t xml:space="preserve">sified to internal or external. Figure </w:t>
      </w:r>
      <w:r w:rsidRPr="004018DD">
        <w:t xml:space="preserve">2.1 provides a general framework of corporate governance mechanism including internal and external control. This figure is adopted in the article from </w:t>
      </w:r>
      <w:proofErr w:type="spellStart"/>
      <w:r w:rsidRPr="004018DD">
        <w:t>Gillan</w:t>
      </w:r>
      <w:proofErr w:type="spellEnd"/>
      <w:r w:rsidRPr="004018DD">
        <w:t xml:space="preserve"> (2006), who cited this figure from ‘Corporate Finance’, a</w:t>
      </w:r>
      <w:r w:rsidR="00550701">
        <w:t xml:space="preserve"> </w:t>
      </w:r>
      <w:r w:rsidR="00D21C5C">
        <w:t xml:space="preserve">financial book written by Ross, </w:t>
      </w:r>
      <w:proofErr w:type="spellStart"/>
      <w:r w:rsidR="00550701" w:rsidRPr="00550701">
        <w:t>Westerfield</w:t>
      </w:r>
      <w:proofErr w:type="spellEnd"/>
      <w:r w:rsidR="00550701">
        <w:t xml:space="preserve"> and </w:t>
      </w:r>
      <w:r w:rsidR="00DD7143">
        <w:t>Jaffe.</w:t>
      </w:r>
    </w:p>
    <w:p w:rsidR="00E02AB1" w:rsidRPr="004018DD" w:rsidRDefault="00E02AB1" w:rsidP="00666575">
      <w:pPr>
        <w:rPr>
          <w:noProof/>
          <w:lang w:eastAsia="nl-NL"/>
        </w:rPr>
      </w:pPr>
    </w:p>
    <w:p w:rsidR="00666575" w:rsidRDefault="00DA1EBB" w:rsidP="00666575">
      <w:pPr>
        <w:keepNext/>
        <w:spacing w:before="100" w:beforeAutospacing="1" w:after="100" w:afterAutospacing="1"/>
        <w:jc w:val="center"/>
      </w:pPr>
      <w:r>
        <w:object w:dxaOrig="7075" w:dyaOrig="51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0.5pt;height:207pt" o:ole="">
            <v:imagedata r:id="rId10" o:title=""/>
          </v:shape>
          <o:OLEObject Type="Embed" ProgID="Visio.Drawing.11" ShapeID="_x0000_i1025" DrawAspect="Content" ObjectID="_1475659505" r:id="rId11"/>
        </w:object>
      </w:r>
    </w:p>
    <w:p w:rsidR="00E02AB1" w:rsidRPr="00666575" w:rsidRDefault="00666575" w:rsidP="00666575">
      <w:pPr>
        <w:pStyle w:val="Caption"/>
        <w:jc w:val="center"/>
        <w:rPr>
          <w:rFonts w:cs="Times New Roman"/>
          <w:sz w:val="22"/>
          <w:szCs w:val="24"/>
        </w:rPr>
      </w:pPr>
      <w:r w:rsidRPr="00666575">
        <w:rPr>
          <w:sz w:val="22"/>
        </w:rPr>
        <w:t xml:space="preserve">Fig. </w:t>
      </w:r>
      <w:r w:rsidR="00EF1EDC">
        <w:rPr>
          <w:sz w:val="22"/>
        </w:rPr>
        <w:fldChar w:fldCharType="begin"/>
      </w:r>
      <w:r w:rsidR="006D352E">
        <w:rPr>
          <w:sz w:val="22"/>
        </w:rPr>
        <w:instrText xml:space="preserve"> STYLEREF 1 \s </w:instrText>
      </w:r>
      <w:r w:rsidR="00EF1EDC">
        <w:rPr>
          <w:sz w:val="22"/>
        </w:rPr>
        <w:fldChar w:fldCharType="separate"/>
      </w:r>
      <w:r w:rsidR="006D352E">
        <w:rPr>
          <w:noProof/>
          <w:sz w:val="22"/>
        </w:rPr>
        <w:t>2</w:t>
      </w:r>
      <w:r w:rsidR="00EF1EDC">
        <w:rPr>
          <w:sz w:val="22"/>
        </w:rPr>
        <w:fldChar w:fldCharType="end"/>
      </w:r>
      <w:r w:rsidR="006D352E">
        <w:rPr>
          <w:sz w:val="22"/>
        </w:rPr>
        <w:t>.</w:t>
      </w:r>
      <w:r w:rsidR="00EF1EDC">
        <w:rPr>
          <w:sz w:val="22"/>
        </w:rPr>
        <w:fldChar w:fldCharType="begin"/>
      </w:r>
      <w:r w:rsidR="006D352E">
        <w:rPr>
          <w:sz w:val="22"/>
        </w:rPr>
        <w:instrText xml:space="preserve"> SEQ Fig. \* ARABIC \s 1 </w:instrText>
      </w:r>
      <w:r w:rsidR="00EF1EDC">
        <w:rPr>
          <w:sz w:val="22"/>
        </w:rPr>
        <w:fldChar w:fldCharType="separate"/>
      </w:r>
      <w:r w:rsidR="006D352E">
        <w:rPr>
          <w:noProof/>
          <w:sz w:val="22"/>
        </w:rPr>
        <w:t>1</w:t>
      </w:r>
      <w:r w:rsidR="00EF1EDC">
        <w:rPr>
          <w:sz w:val="22"/>
        </w:rPr>
        <w:fldChar w:fldCharType="end"/>
      </w:r>
      <w:r w:rsidRPr="00666575">
        <w:rPr>
          <w:sz w:val="22"/>
        </w:rPr>
        <w:t xml:space="preserve">. </w:t>
      </w:r>
      <w:r w:rsidRPr="00666575">
        <w:rPr>
          <w:rFonts w:cs="Times New Roman"/>
          <w:sz w:val="22"/>
          <w:szCs w:val="20"/>
        </w:rPr>
        <w:t xml:space="preserve">Corporate </w:t>
      </w:r>
      <w:r w:rsidR="006C442F">
        <w:rPr>
          <w:rFonts w:cs="Times New Roman"/>
          <w:sz w:val="22"/>
          <w:szCs w:val="20"/>
        </w:rPr>
        <w:t>g</w:t>
      </w:r>
      <w:r w:rsidRPr="00666575">
        <w:rPr>
          <w:rFonts w:cs="Times New Roman"/>
          <w:sz w:val="22"/>
          <w:szCs w:val="20"/>
        </w:rPr>
        <w:t>overnance mechanism from Gillan (2006)</w:t>
      </w:r>
    </w:p>
    <w:p w:rsidR="00E02AB1" w:rsidRPr="004018DD" w:rsidRDefault="00E02AB1" w:rsidP="006C442F">
      <w:r w:rsidRPr="004018DD">
        <w:t>The left side column provides a general framework of internal control.  The internal control concentrates on ensuring successful strategy implementation, appropriate management of risks and efficient reliable operations. The internal control includes the interaction between or among firm insiders, specifically, management and board of directors. Management works for the interests of shareholders, and ha</w:t>
      </w:r>
      <w:r>
        <w:t xml:space="preserve">s right to operate the company. </w:t>
      </w:r>
      <w:r w:rsidRPr="004018DD">
        <w:t>Jensen and Meckling (1976) introduced that managers (as agent) act on behalf of the sharehol</w:t>
      </w:r>
      <w:r w:rsidR="005221A1">
        <w:t>ders, who are the</w:t>
      </w:r>
      <w:r w:rsidRPr="004018DD">
        <w:t xml:space="preserve"> owners of the</w:t>
      </w:r>
      <w:r w:rsidR="005221A1">
        <w:t xml:space="preserve"> firms</w:t>
      </w:r>
      <w:r w:rsidRPr="004018DD">
        <w:t xml:space="preserve">. Board of directors is to act as the </w:t>
      </w:r>
      <w:r w:rsidRPr="004018DD">
        <w:rPr>
          <w:bCs/>
        </w:rPr>
        <w:t>shareholders</w:t>
      </w:r>
      <w:r w:rsidRPr="004018DD">
        <w:t xml:space="preserve">' representative in all matters. It has responsibility to monitor the actions of management, protect shareholders’ asset and </w:t>
      </w:r>
      <w:r w:rsidRPr="004018DD">
        <w:rPr>
          <w:bCs/>
        </w:rPr>
        <w:t>appoint</w:t>
      </w:r>
      <w:r w:rsidRPr="004018DD">
        <w:rPr>
          <w:b/>
          <w:bCs/>
        </w:rPr>
        <w:t xml:space="preserve"> </w:t>
      </w:r>
      <w:r w:rsidRPr="004018DD">
        <w:t>or fire senior management members. The right side column introduces the external control of the corporate gover</w:t>
      </w:r>
      <w:r w:rsidR="002821AA">
        <w:t>nance which focuses on the debt-</w:t>
      </w:r>
      <w:r w:rsidRPr="004018DD">
        <w:t>holders’ monitoring function.</w:t>
      </w:r>
      <w:r>
        <w:t xml:space="preserve"> </w:t>
      </w:r>
      <w:r w:rsidRPr="00523280">
        <w:t xml:space="preserve">However, the society resources which mentioned in </w:t>
      </w:r>
      <w:r w:rsidR="00892A60">
        <w:t>Allen</w:t>
      </w:r>
      <w:r w:rsidRPr="00523280">
        <w:t xml:space="preserve"> (2005) are mentioned in the description of external control. This</w:t>
      </w:r>
      <w:r>
        <w:t xml:space="preserve"> is not match the broad view of corporate governance from </w:t>
      </w:r>
      <w:r w:rsidR="00892A60">
        <w:t>Allen</w:t>
      </w:r>
      <w:r>
        <w:t xml:space="preserve"> (2005).</w:t>
      </w:r>
      <w:r w:rsidRPr="004018DD">
        <w:t xml:space="preserve"> Of course, this</w:t>
      </w:r>
      <w:r>
        <w:t xml:space="preserve"> still has other </w:t>
      </w:r>
      <w:r w:rsidRPr="004018DD">
        <w:t>elements of external control. In the paper, Gillan (2006) highlights the other external elements such as law committee, markets (capital markets, labor market and so on) and culture. Denis and McConnel</w:t>
      </w:r>
      <w:r w:rsidR="00D21C5C">
        <w:t>l</w:t>
      </w:r>
      <w:r w:rsidRPr="004018DD">
        <w:t xml:space="preserve"> (2003) also focused on external control and introduced the takeover force and the legal system.  The takeover force plays a vital role in the capital reallocation of the world. The underlying thought of this takeover is that the outsider parties are seeking to take over or control the target firm.  If the target firm has been taken over, the management would be replaced. This threat of takeover can stimulate </w:t>
      </w:r>
      <w:r w:rsidRPr="004018DD">
        <w:lastRenderedPageBreak/>
        <w:t>management to work hard for shareholders’ interests. Consequently, the firm value will be increased and the information bias will decline. Denis and McConnel</w:t>
      </w:r>
      <w:r w:rsidR="00D21C5C">
        <w:t>l</w:t>
      </w:r>
      <w:r w:rsidRPr="004018DD">
        <w:t xml:space="preserve"> (2003) also presented that legal system does not attract the attention from</w:t>
      </w:r>
      <w:r w:rsidR="00341D53">
        <w:t xml:space="preserve"> the researchers who concentrated</w:t>
      </w:r>
      <w:r w:rsidRPr="004018DD">
        <w:t xml:space="preserve"> on corporate governance analyzing firstly. </w:t>
      </w:r>
      <w:r w:rsidRPr="00DD7143">
        <w:t xml:space="preserve">Then, they highlighted the research outcomes from LaPorta, Lopez-de-Silanes, Shleifer, and Vishny (1998) </w:t>
      </w:r>
      <w:r w:rsidR="00BE4284" w:rsidRPr="00DD7143">
        <w:t>t</w:t>
      </w:r>
      <w:r w:rsidRPr="00DD7143">
        <w:t xml:space="preserve">hat </w:t>
      </w:r>
      <w:r w:rsidR="00BE4284" w:rsidRPr="00DD7143">
        <w:t xml:space="preserve">the </w:t>
      </w:r>
      <w:r w:rsidRPr="00DD7143">
        <w:t xml:space="preserve">legal system is important </w:t>
      </w:r>
      <w:r w:rsidR="00BE4284" w:rsidRPr="00DD7143">
        <w:t xml:space="preserve">for </w:t>
      </w:r>
      <w:r w:rsidRPr="00DD7143">
        <w:t>corporate governance mechanism.</w:t>
      </w:r>
    </w:p>
    <w:p w:rsidR="00E02AB1" w:rsidRDefault="00E02AB1" w:rsidP="00252752">
      <w:pPr>
        <w:pStyle w:val="Heading2"/>
      </w:pPr>
      <w:bookmarkStart w:id="19" w:name="_Toc400916041"/>
      <w:r w:rsidRPr="004018DD">
        <w:t>Relevan</w:t>
      </w:r>
      <w:r w:rsidR="009E65D5">
        <w:t>t</w:t>
      </w:r>
      <w:r w:rsidRPr="004018DD">
        <w:t xml:space="preserve"> theory</w:t>
      </w:r>
      <w:bookmarkEnd w:id="19"/>
    </w:p>
    <w:p w:rsidR="00E02AB1" w:rsidRPr="004018DD" w:rsidRDefault="00710415" w:rsidP="00252752">
      <w:pPr>
        <w:pStyle w:val="Heading3"/>
      </w:pPr>
      <w:bookmarkStart w:id="20" w:name="_Toc400916042"/>
      <w:r>
        <w:t>Agency t</w:t>
      </w:r>
      <w:r w:rsidR="00E02AB1" w:rsidRPr="004018DD">
        <w:t>heory</w:t>
      </w:r>
      <w:bookmarkEnd w:id="20"/>
    </w:p>
    <w:p w:rsidR="00987E34" w:rsidRDefault="00E02AB1" w:rsidP="00987E34">
      <w:pPr>
        <w:rPr>
          <w:szCs w:val="24"/>
        </w:rPr>
      </w:pPr>
      <w:r w:rsidRPr="004018DD">
        <w:rPr>
          <w:szCs w:val="24"/>
        </w:rPr>
        <w:t>One of famo</w:t>
      </w:r>
      <w:r>
        <w:rPr>
          <w:szCs w:val="24"/>
        </w:rPr>
        <w:t>us economic theories is Agency T</w:t>
      </w:r>
      <w:r w:rsidRPr="004018DD">
        <w:rPr>
          <w:szCs w:val="24"/>
        </w:rPr>
        <w:t xml:space="preserve">heory. Jensen and Meckling (1976) stated in their article that </w:t>
      </w:r>
      <w:r w:rsidRPr="004018DD">
        <w:t>“We define an agency relationship as a contract under which one or more persons (the principal(s)) engage another person (the agent) to perform some service on their behalf which involves delegating some decision making authority to the agent.”</w:t>
      </w:r>
      <w:r w:rsidR="00976CB5">
        <w:rPr>
          <w:szCs w:val="24"/>
        </w:rPr>
        <w:t xml:space="preserve"> Based on this statement, </w:t>
      </w:r>
      <w:r w:rsidRPr="004018DD">
        <w:rPr>
          <w:szCs w:val="24"/>
        </w:rPr>
        <w:t>shareholders can be seen as the principles and managers can be seen as agents. Furthermore, both sides have their own interests’ target. This leads to diverge in the relationship between</w:t>
      </w:r>
      <w:r w:rsidR="007A7A77">
        <w:rPr>
          <w:szCs w:val="24"/>
        </w:rPr>
        <w:t xml:space="preserve"> the two parties (Berle and Means, </w:t>
      </w:r>
      <w:r w:rsidRPr="004018DD">
        <w:rPr>
          <w:szCs w:val="24"/>
        </w:rPr>
        <w:t>1932). Moreover, due to the separation of this ownership and control, managers know more information regarding to the company than shareholders. Thus, managers could be inclined to act for self-interested motivation rather than shareholders’ interest. Meanwhile, managers could also use the unique information which is unavailable to shareholders engaging in earnings management. This behavior will mislead shareholder, and harm the best interest of shareholders. To solve this problem, monitoring can be applied to reduce the conflict of interests between managers and shareholders. “Monitoring” means the shareholders measure the performance of the managers (Fama and Jensen</w:t>
      </w:r>
      <w:r w:rsidR="007A7A77">
        <w:rPr>
          <w:szCs w:val="24"/>
        </w:rPr>
        <w:t>,</w:t>
      </w:r>
      <w:r w:rsidRPr="004018DD">
        <w:rPr>
          <w:szCs w:val="24"/>
        </w:rPr>
        <w:t xml:space="preserve"> 1983). The cost, which is generated by the shareholders monitoring the actions of management, is called “monitoring cost”.  </w:t>
      </w:r>
    </w:p>
    <w:p w:rsidR="00E02AB1" w:rsidRPr="00987E34" w:rsidRDefault="00E02AB1" w:rsidP="00252752">
      <w:pPr>
        <w:pStyle w:val="Heading3"/>
      </w:pPr>
      <w:bookmarkStart w:id="21" w:name="_Toc400916043"/>
      <w:r w:rsidRPr="004018DD">
        <w:t>Positive accounting theory</w:t>
      </w:r>
      <w:bookmarkEnd w:id="21"/>
    </w:p>
    <w:p w:rsidR="00E02AB1" w:rsidRDefault="00E02AB1" w:rsidP="006C442F">
      <w:pPr>
        <w:rPr>
          <w:i/>
          <w:iCs/>
        </w:rPr>
      </w:pPr>
      <w:r w:rsidRPr="004018DD">
        <w:t xml:space="preserve">Before introducing positive accounting theory, it is necessary to know two main streams of accounting theories: Normative and Positive. Normative means that the objective is to tell </w:t>
      </w:r>
      <w:r>
        <w:t>managers what ought or should</w:t>
      </w:r>
      <w:r w:rsidRPr="004018DD">
        <w:t xml:space="preserve"> do. Positive means that the objective is to predict and to </w:t>
      </w:r>
      <w:r>
        <w:t>understand what is or will be (</w:t>
      </w:r>
      <w:r w:rsidRPr="001163D9">
        <w:rPr>
          <w:noProof/>
        </w:rPr>
        <w:t>Vorster</w:t>
      </w:r>
      <w:r>
        <w:rPr>
          <w:noProof/>
        </w:rPr>
        <w:t xml:space="preserve">, 2007). </w:t>
      </w:r>
      <w:r w:rsidRPr="004018DD">
        <w:t xml:space="preserve">The Positive Accounting Theory (PAT) is one of the most important accounting theories </w:t>
      </w:r>
      <w:r w:rsidRPr="004018DD">
        <w:lastRenderedPageBreak/>
        <w:t>in the prior decades.</w:t>
      </w:r>
      <w:r>
        <w:t xml:space="preserve"> It</w:t>
      </w:r>
      <w:r w:rsidRPr="004018DD">
        <w:rPr>
          <w:iCs/>
        </w:rPr>
        <w:t xml:space="preserve"> is based on the assumptions that managers work for self-interest and exhibit opportunistic behavior.</w:t>
      </w:r>
      <w:r w:rsidRPr="004018DD">
        <w:t xml:space="preserve"> It seeks to predict and explain why managers choose to use specific accounting methods</w:t>
      </w:r>
      <w:r w:rsidRPr="004018DD">
        <w:rPr>
          <w:sz w:val="23"/>
          <w:szCs w:val="23"/>
        </w:rPr>
        <w:t xml:space="preserve"> (Watts and Zimmerman 1986)</w:t>
      </w:r>
      <w:r>
        <w:t xml:space="preserve">. </w:t>
      </w:r>
      <w:r w:rsidRPr="004018DD">
        <w:t>According to Scott (2</w:t>
      </w:r>
      <w:r w:rsidR="00AE4930">
        <w:t>009</w:t>
      </w:r>
      <w:r w:rsidRPr="004018DD">
        <w:t>) PAT is “</w:t>
      </w:r>
      <w:r w:rsidRPr="004018DD">
        <w:rPr>
          <w:i/>
          <w:iCs/>
        </w:rPr>
        <w:t>concerned with predicting such actions as the choices of accounting policies by firm managers and how managers will respond to pro</w:t>
      </w:r>
      <w:r w:rsidR="00AF4ED3">
        <w:rPr>
          <w:i/>
          <w:iCs/>
        </w:rPr>
        <w:t>posed new accounting standards.”</w:t>
      </w:r>
      <w:r w:rsidRPr="004018DD">
        <w:rPr>
          <w:i/>
          <w:iCs/>
        </w:rPr>
        <w:t xml:space="preserve"> </w:t>
      </w:r>
    </w:p>
    <w:p w:rsidR="00E02AB1" w:rsidRPr="00523280" w:rsidRDefault="00E02AB1" w:rsidP="006C442F">
      <w:r w:rsidRPr="00523280">
        <w:t>An important background theory that could explain why managers choose to use particular accounting methods is Agency Theory. Because of the separation of ownership and control, controllers know more information than owners, which leads to an information asymmetry problem. In this situation, management may select specific accounting methods to benefit themselves. With this statement, it can be said that Agency Theory is a theoretical cornerstone of PAT.</w:t>
      </w:r>
    </w:p>
    <w:p w:rsidR="00E02AB1" w:rsidRPr="00DB23A0" w:rsidRDefault="00E02AB1" w:rsidP="006C442F">
      <w:pPr>
        <w:rPr>
          <w:color w:val="FF0000"/>
        </w:rPr>
      </w:pPr>
      <w:r w:rsidRPr="004018DD">
        <w:t xml:space="preserve">The Positive Accounting Theory </w:t>
      </w:r>
      <w:r>
        <w:t xml:space="preserve">has </w:t>
      </w:r>
      <w:r w:rsidRPr="004018DD">
        <w:t>three hypotheses: the bonus plan hypothesis, the debt/equity hypothesis and the political cost hypothesis.</w:t>
      </w:r>
      <w:r w:rsidR="001C3B08">
        <w:t xml:space="preserve"> </w:t>
      </w:r>
      <w:r w:rsidRPr="004018DD">
        <w:t>These hypotheses will be shortly explained below</w:t>
      </w:r>
      <w:r w:rsidRPr="004018DD">
        <w:rPr>
          <w:sz w:val="23"/>
          <w:szCs w:val="23"/>
        </w:rPr>
        <w:t>.</w:t>
      </w:r>
    </w:p>
    <w:p w:rsidR="00E02AB1" w:rsidRPr="004018DD" w:rsidRDefault="00E02AB1" w:rsidP="006C442F">
      <w:pPr>
        <w:rPr>
          <w:sz w:val="23"/>
          <w:szCs w:val="23"/>
        </w:rPr>
      </w:pPr>
      <w:r w:rsidRPr="004018DD">
        <w:rPr>
          <w:sz w:val="23"/>
          <w:szCs w:val="23"/>
        </w:rPr>
        <w:t>The bonus plan hypothesis: as described before, managers work for the maximum self-interest. Therefore, managers who have bonus plan are more likely to use accounting policies to increase current period reported income. It predicts that if managers’ payments depend on the bonus which is related to the income on the financial report, they may attempts to increase the bonus by increasing the reported income</w:t>
      </w:r>
      <w:r w:rsidRPr="004018DD">
        <w:t xml:space="preserve"> </w:t>
      </w:r>
      <w:r w:rsidRPr="004018DD">
        <w:rPr>
          <w:sz w:val="23"/>
          <w:szCs w:val="23"/>
        </w:rPr>
        <w:t>(Watts and Zimmerman, 1986).</w:t>
      </w:r>
    </w:p>
    <w:p w:rsidR="00E02AB1" w:rsidRPr="004018DD" w:rsidRDefault="00E02AB1" w:rsidP="006C442F">
      <w:pPr>
        <w:rPr>
          <w:sz w:val="23"/>
          <w:szCs w:val="23"/>
        </w:rPr>
      </w:pPr>
      <w:r w:rsidRPr="004018DD">
        <w:rPr>
          <w:sz w:val="23"/>
          <w:szCs w:val="23"/>
        </w:rPr>
        <w:t xml:space="preserve">The debt/equity hypothesis: this hypothesis demonstrates that if a company has higher debt/equity ratio, managers are more likely to adopt accounting methods to shift the reported income from future periods to the current period.  It presents that if a company has covenant to have certain level of ratio, managers may use accounting policies to raise income as much as possible in fear of violation of covenant. Dichev &amp; Skinner (2002) in their research article drew a similar conclusion that managers choose accounting policies to maintain covenant </w:t>
      </w:r>
      <w:r w:rsidR="00727E0B" w:rsidRPr="004018DD">
        <w:rPr>
          <w:sz w:val="23"/>
          <w:szCs w:val="23"/>
        </w:rPr>
        <w:t>ratios and</w:t>
      </w:r>
      <w:r w:rsidRPr="004018DD">
        <w:rPr>
          <w:sz w:val="23"/>
          <w:szCs w:val="23"/>
        </w:rPr>
        <w:t xml:space="preserve"> work harder to avoid covenant violation.</w:t>
      </w:r>
    </w:p>
    <w:p w:rsidR="00E02AB1" w:rsidRDefault="00E02AB1" w:rsidP="006C442F">
      <w:r w:rsidRPr="004018DD">
        <w:t>The political cost hypothesis: it indicates that if a firm has a higher political cost, manager is more likely to reduce the current earnings. Just as presented in the previous section, high profit of a company may attract attention of both government and regulators. Management of the company may choose accounting policies to defer the current earnings to future (Watts and Zimmerman, 1986).</w:t>
      </w:r>
    </w:p>
    <w:p w:rsidR="00E02AB1" w:rsidRPr="00523280" w:rsidRDefault="00E02AB1" w:rsidP="006C442F">
      <w:r w:rsidRPr="00523280">
        <w:lastRenderedPageBreak/>
        <w:t xml:space="preserve">In this thesis, Agency Theory and Positive Accounting Theory </w:t>
      </w:r>
      <w:r w:rsidRPr="00523280">
        <w:rPr>
          <w:rFonts w:hint="eastAsia"/>
        </w:rPr>
        <w:t xml:space="preserve">(PAT) </w:t>
      </w:r>
      <w:r w:rsidRPr="00523280">
        <w:t xml:space="preserve">are applied as theoretical supporting for empirical researching. PAT may be helpful to evaluate and explain the motivations of observed activities of accounting activities. In the meanwhile, </w:t>
      </w:r>
      <w:r w:rsidRPr="00523280">
        <w:rPr>
          <w:rFonts w:hint="eastAsia"/>
        </w:rPr>
        <w:t xml:space="preserve">PAT </w:t>
      </w:r>
      <w:r w:rsidRPr="00523280">
        <w:t xml:space="preserve">can be adopted to forecast the unobserved accounting activities. Agency Theory may provide a foundation for understanding the issue of corporate governance in greater depth. Specially, the corporate governance mechanism can be discussed by Agency Theory in relation to reduce agency cost, protect shareholders’ interest and align the agent-principal relationship (Davis </w:t>
      </w:r>
      <w:r w:rsidRPr="00523280">
        <w:rPr>
          <w:i/>
        </w:rPr>
        <w:t>et al</w:t>
      </w:r>
      <w:r w:rsidRPr="00DD7143">
        <w:rPr>
          <w:rFonts w:hint="eastAsia"/>
        </w:rPr>
        <w:t>.</w:t>
      </w:r>
      <w:r w:rsidR="00DD7143">
        <w:t>,</w:t>
      </w:r>
      <w:r w:rsidRPr="00DD7143">
        <w:t xml:space="preserve"> </w:t>
      </w:r>
      <w:r w:rsidRPr="00523280">
        <w:t>1997).</w:t>
      </w:r>
    </w:p>
    <w:p w:rsidR="00E02AB1" w:rsidRPr="004018DD" w:rsidRDefault="00E02AB1" w:rsidP="00252752">
      <w:pPr>
        <w:pStyle w:val="Heading2"/>
      </w:pPr>
      <w:bookmarkStart w:id="22" w:name="_Toc400916044"/>
      <w:r>
        <w:t>B</w:t>
      </w:r>
      <w:r w:rsidRPr="004018DD">
        <w:t>ackground of China</w:t>
      </w:r>
      <w:bookmarkEnd w:id="22"/>
      <w:r w:rsidRPr="004018DD">
        <w:t xml:space="preserve"> </w:t>
      </w:r>
    </w:p>
    <w:p w:rsidR="00E02AB1" w:rsidRPr="004018DD" w:rsidRDefault="00E02AB1" w:rsidP="006C442F">
      <w:r w:rsidRPr="004018DD">
        <w:t>In this research thesis, China will be taken as an example of the emerging markets for analysis of the relationship between corporate governance and earnings management. In this section, some background information about China will be introduced and two special features of China will be highlighted.</w:t>
      </w:r>
    </w:p>
    <w:p w:rsidR="00E02AB1" w:rsidRPr="004018DD" w:rsidRDefault="00E02AB1" w:rsidP="00252752">
      <w:pPr>
        <w:pStyle w:val="Heading3"/>
      </w:pPr>
      <w:bookmarkStart w:id="23" w:name="_Toc400916045"/>
      <w:r w:rsidRPr="004018DD">
        <w:t>Ownership structure</w:t>
      </w:r>
      <w:bookmarkEnd w:id="23"/>
    </w:p>
    <w:p w:rsidR="00E02AB1" w:rsidRPr="004018DD" w:rsidRDefault="00E02AB1" w:rsidP="006C442F">
      <w:r w:rsidRPr="004018DD">
        <w:t>Although China’s Economy has dramatically growing in the two decades, corporate governance framework is still developing. The first unique feature of China’s ownership structure is highly concentrated ownership</w:t>
      </w:r>
      <w:r w:rsidR="00C16DF9">
        <w:t>. In UK, European countries, U.S.</w:t>
      </w:r>
      <w:r w:rsidRPr="004018DD">
        <w:t xml:space="preserve">, and </w:t>
      </w:r>
      <w:r w:rsidR="0063217D">
        <w:t xml:space="preserve">other developed markets, </w:t>
      </w:r>
      <w:r w:rsidRPr="004018DD">
        <w:t>firms normally belong to private people, families or organizations. However, the situation in Ch</w:t>
      </w:r>
      <w:r w:rsidR="0063217D">
        <w:t xml:space="preserve">ina is different. Most of </w:t>
      </w:r>
      <w:r w:rsidRPr="004018DD">
        <w:t>firms of China are state-owned enterprises (SOE</w:t>
      </w:r>
      <w:r w:rsidR="004F1986">
        <w:t>s</w:t>
      </w:r>
      <w:r w:rsidRPr="004018DD">
        <w:t>). The term “state-owned enterprises” refers to companies or business entities established by central and local governments, or governments have control power of the company. Moreover, according to a report from Gao Xu, an economist from The World Bank</w:t>
      </w:r>
      <w:r w:rsidR="00FB3652">
        <w:rPr>
          <w:rStyle w:val="FootnoteReference"/>
        </w:rPr>
        <w:footnoteReference w:id="1"/>
      </w:r>
      <w:r w:rsidRPr="004018DD">
        <w:t>, there were 154,000 SOEs in the end of 2008. Meanwhile, the average assets of SOEs equal to 13.4 times of non-SOEs.</w:t>
      </w:r>
      <w:r w:rsidR="00FB3652" w:rsidRPr="00FB3652">
        <w:t xml:space="preserve"> </w:t>
      </w:r>
      <w:r w:rsidR="00845076">
        <w:t xml:space="preserve">In addition, The CFA institution (2007) shows that </w:t>
      </w:r>
      <w:r w:rsidR="00FB3652" w:rsidRPr="004018DD">
        <w:t>the state holds the majority of shares of listed firms in China. It is estimated that 60% shareholding held by state in the end of 2001</w:t>
      </w:r>
      <w:r w:rsidR="00845076">
        <w:t>.</w:t>
      </w:r>
    </w:p>
    <w:p w:rsidR="007934D3" w:rsidRPr="004018DD" w:rsidRDefault="00E02AB1" w:rsidP="006C442F">
      <w:r w:rsidRPr="004018DD">
        <w:t>According to OECD (Organization for Economic Co-operation and Development) working group</w:t>
      </w:r>
      <w:r w:rsidR="0010066B">
        <w:t xml:space="preserve"> (2009)</w:t>
      </w:r>
      <w:r w:rsidRPr="004018DD">
        <w:t xml:space="preserve">, in the end of 2004, the total number of listed firms is 1342 which consists of 400 Non-SOE listed firms (around 30% of total number of listed </w:t>
      </w:r>
      <w:r w:rsidRPr="004018DD">
        <w:lastRenderedPageBreak/>
        <w:t>firms) and 942 SOE listed firms (around 70% of total number of listed firms). Table 2.1 introduces the size of Non-SOE listed firms and SOE listed firms from 1998 to 2004 in China. As described in the table, Non-SOE listed firms account for small size of total listed firms constantly. However, SOE listed firms keep account for large size for the total size of listed firms.</w:t>
      </w:r>
    </w:p>
    <w:p w:rsidR="006C442F" w:rsidRDefault="006C442F" w:rsidP="006C442F">
      <w:pPr>
        <w:pStyle w:val="Caption"/>
        <w:keepNext/>
        <w:jc w:val="center"/>
      </w:pPr>
      <w:r>
        <w:t xml:space="preserve">Table </w:t>
      </w:r>
      <w:r w:rsidR="00EF1EDC">
        <w:fldChar w:fldCharType="begin"/>
      </w:r>
      <w:r w:rsidR="00C60813">
        <w:instrText xml:space="preserve"> STYLEREF 1 \s </w:instrText>
      </w:r>
      <w:r w:rsidR="00EF1EDC">
        <w:fldChar w:fldCharType="separate"/>
      </w:r>
      <w:r w:rsidR="00280DE8">
        <w:rPr>
          <w:noProof/>
        </w:rPr>
        <w:t>2</w:t>
      </w:r>
      <w:r w:rsidR="00EF1EDC">
        <w:rPr>
          <w:noProof/>
        </w:rPr>
        <w:fldChar w:fldCharType="end"/>
      </w:r>
      <w:r w:rsidR="00280DE8">
        <w:t>.</w:t>
      </w:r>
      <w:r w:rsidR="00EF1EDC">
        <w:fldChar w:fldCharType="begin"/>
      </w:r>
      <w:r w:rsidR="00F22E67">
        <w:instrText xml:space="preserve"> SEQ Table \* ARABIC \s 1 </w:instrText>
      </w:r>
      <w:r w:rsidR="00EF1EDC">
        <w:fldChar w:fldCharType="separate"/>
      </w:r>
      <w:r w:rsidR="00280DE8">
        <w:rPr>
          <w:noProof/>
        </w:rPr>
        <w:t>1</w:t>
      </w:r>
      <w:r w:rsidR="00EF1EDC">
        <w:fldChar w:fldCharType="end"/>
      </w:r>
      <w:r>
        <w:t xml:space="preserve">. </w:t>
      </w:r>
      <w:r w:rsidR="00BE4284">
        <w:rPr>
          <w:rFonts w:cs="Times New Roman"/>
        </w:rPr>
        <w:t>Number of listed companies of China f</w:t>
      </w:r>
      <w:r w:rsidRPr="004018DD">
        <w:rPr>
          <w:rFonts w:cs="Times New Roman"/>
        </w:rPr>
        <w:t>rom1998 to2004</w:t>
      </w:r>
    </w:p>
    <w:tbl>
      <w:tblPr>
        <w:tblStyle w:val="TableGrid"/>
        <w:tblW w:w="0" w:type="auto"/>
        <w:jc w:val="center"/>
        <w:tblLook w:val="04A0"/>
      </w:tblPr>
      <w:tblGrid>
        <w:gridCol w:w="2148"/>
        <w:gridCol w:w="656"/>
        <w:gridCol w:w="656"/>
        <w:gridCol w:w="656"/>
        <w:gridCol w:w="656"/>
        <w:gridCol w:w="656"/>
        <w:gridCol w:w="656"/>
        <w:gridCol w:w="656"/>
      </w:tblGrid>
      <w:tr w:rsidR="00E02AB1" w:rsidRPr="004018DD" w:rsidTr="00E02AB1">
        <w:trPr>
          <w:jc w:val="center"/>
        </w:trPr>
        <w:tc>
          <w:tcPr>
            <w:tcW w:w="0" w:type="auto"/>
            <w:vAlign w:val="center"/>
          </w:tcPr>
          <w:p w:rsidR="00E02AB1" w:rsidRPr="004018DD" w:rsidRDefault="00E02AB1" w:rsidP="00E02AB1">
            <w:pPr>
              <w:spacing w:before="100" w:beforeAutospacing="1" w:after="100" w:afterAutospacing="1"/>
              <w:jc w:val="center"/>
              <w:rPr>
                <w:rFonts w:cs="Times New Roman"/>
                <w:szCs w:val="24"/>
                <w:highlight w:val="black"/>
              </w:rPr>
            </w:pPr>
          </w:p>
        </w:tc>
        <w:tc>
          <w:tcPr>
            <w:tcW w:w="0" w:type="auto"/>
            <w:vAlign w:val="center"/>
          </w:tcPr>
          <w:p w:rsidR="00E02AB1" w:rsidRPr="004018DD" w:rsidRDefault="00E02AB1" w:rsidP="00E02AB1">
            <w:pPr>
              <w:spacing w:before="100" w:beforeAutospacing="1" w:after="100" w:afterAutospacing="1"/>
              <w:jc w:val="center"/>
              <w:rPr>
                <w:rFonts w:cs="Times New Roman"/>
                <w:b/>
                <w:szCs w:val="24"/>
              </w:rPr>
            </w:pPr>
            <w:r w:rsidRPr="004018DD">
              <w:rPr>
                <w:rFonts w:cs="Times New Roman"/>
                <w:b/>
                <w:szCs w:val="24"/>
              </w:rPr>
              <w:t>1998</w:t>
            </w:r>
          </w:p>
        </w:tc>
        <w:tc>
          <w:tcPr>
            <w:tcW w:w="0" w:type="auto"/>
            <w:vAlign w:val="center"/>
          </w:tcPr>
          <w:p w:rsidR="00E02AB1" w:rsidRPr="004018DD" w:rsidRDefault="00E02AB1" w:rsidP="00E02AB1">
            <w:pPr>
              <w:spacing w:before="100" w:beforeAutospacing="1" w:after="100" w:afterAutospacing="1"/>
              <w:jc w:val="center"/>
              <w:rPr>
                <w:rFonts w:cs="Times New Roman"/>
                <w:b/>
                <w:szCs w:val="24"/>
              </w:rPr>
            </w:pPr>
            <w:r w:rsidRPr="004018DD">
              <w:rPr>
                <w:rFonts w:cs="Times New Roman"/>
                <w:b/>
                <w:szCs w:val="24"/>
              </w:rPr>
              <w:t>1999</w:t>
            </w:r>
          </w:p>
        </w:tc>
        <w:tc>
          <w:tcPr>
            <w:tcW w:w="0" w:type="auto"/>
            <w:vAlign w:val="center"/>
          </w:tcPr>
          <w:p w:rsidR="00E02AB1" w:rsidRPr="004018DD" w:rsidRDefault="00E02AB1" w:rsidP="00E02AB1">
            <w:pPr>
              <w:spacing w:before="100" w:beforeAutospacing="1" w:after="100" w:afterAutospacing="1"/>
              <w:jc w:val="center"/>
              <w:rPr>
                <w:rFonts w:cs="Times New Roman"/>
                <w:b/>
                <w:szCs w:val="24"/>
              </w:rPr>
            </w:pPr>
            <w:r w:rsidRPr="004018DD">
              <w:rPr>
                <w:rFonts w:cs="Times New Roman"/>
                <w:b/>
                <w:szCs w:val="24"/>
              </w:rPr>
              <w:t>2000</w:t>
            </w:r>
          </w:p>
        </w:tc>
        <w:tc>
          <w:tcPr>
            <w:tcW w:w="0" w:type="auto"/>
            <w:vAlign w:val="center"/>
          </w:tcPr>
          <w:p w:rsidR="00E02AB1" w:rsidRPr="004018DD" w:rsidRDefault="00E02AB1" w:rsidP="00E02AB1">
            <w:pPr>
              <w:spacing w:before="100" w:beforeAutospacing="1" w:after="100" w:afterAutospacing="1"/>
              <w:jc w:val="center"/>
              <w:rPr>
                <w:rFonts w:cs="Times New Roman"/>
                <w:b/>
                <w:szCs w:val="24"/>
              </w:rPr>
            </w:pPr>
            <w:r w:rsidRPr="004018DD">
              <w:rPr>
                <w:rFonts w:cs="Times New Roman"/>
                <w:b/>
                <w:szCs w:val="24"/>
              </w:rPr>
              <w:t>2001</w:t>
            </w:r>
          </w:p>
        </w:tc>
        <w:tc>
          <w:tcPr>
            <w:tcW w:w="0" w:type="auto"/>
            <w:vAlign w:val="center"/>
          </w:tcPr>
          <w:p w:rsidR="00E02AB1" w:rsidRPr="004018DD" w:rsidRDefault="00E02AB1" w:rsidP="00E02AB1">
            <w:pPr>
              <w:spacing w:before="100" w:beforeAutospacing="1" w:after="100" w:afterAutospacing="1"/>
              <w:jc w:val="center"/>
              <w:rPr>
                <w:rFonts w:cs="Times New Roman"/>
                <w:b/>
                <w:szCs w:val="24"/>
              </w:rPr>
            </w:pPr>
            <w:r w:rsidRPr="004018DD">
              <w:rPr>
                <w:rFonts w:cs="Times New Roman"/>
                <w:b/>
                <w:szCs w:val="24"/>
              </w:rPr>
              <w:t>2002</w:t>
            </w:r>
          </w:p>
        </w:tc>
        <w:tc>
          <w:tcPr>
            <w:tcW w:w="0" w:type="auto"/>
            <w:vAlign w:val="center"/>
          </w:tcPr>
          <w:p w:rsidR="00E02AB1" w:rsidRPr="004018DD" w:rsidRDefault="00E02AB1" w:rsidP="00E02AB1">
            <w:pPr>
              <w:spacing w:before="100" w:beforeAutospacing="1" w:after="100" w:afterAutospacing="1"/>
              <w:jc w:val="center"/>
              <w:rPr>
                <w:rFonts w:cs="Times New Roman"/>
                <w:b/>
                <w:szCs w:val="24"/>
              </w:rPr>
            </w:pPr>
            <w:r w:rsidRPr="004018DD">
              <w:rPr>
                <w:rFonts w:cs="Times New Roman"/>
                <w:b/>
                <w:szCs w:val="24"/>
              </w:rPr>
              <w:t>2003</w:t>
            </w:r>
          </w:p>
        </w:tc>
        <w:tc>
          <w:tcPr>
            <w:tcW w:w="0" w:type="auto"/>
            <w:vAlign w:val="center"/>
          </w:tcPr>
          <w:p w:rsidR="00E02AB1" w:rsidRPr="004018DD" w:rsidRDefault="00E02AB1" w:rsidP="00E02AB1">
            <w:pPr>
              <w:spacing w:before="100" w:beforeAutospacing="1" w:after="100" w:afterAutospacing="1"/>
              <w:jc w:val="center"/>
              <w:rPr>
                <w:rFonts w:cs="Times New Roman"/>
                <w:b/>
                <w:szCs w:val="24"/>
              </w:rPr>
            </w:pPr>
            <w:r w:rsidRPr="004018DD">
              <w:rPr>
                <w:rFonts w:cs="Times New Roman"/>
                <w:b/>
                <w:szCs w:val="24"/>
              </w:rPr>
              <w:t>2004</w:t>
            </w:r>
          </w:p>
        </w:tc>
      </w:tr>
      <w:tr w:rsidR="00E02AB1" w:rsidRPr="004018DD" w:rsidTr="00E02AB1">
        <w:trPr>
          <w:trHeight w:val="576"/>
          <w:jc w:val="center"/>
        </w:trPr>
        <w:tc>
          <w:tcPr>
            <w:tcW w:w="0" w:type="auto"/>
            <w:vAlign w:val="center"/>
          </w:tcPr>
          <w:p w:rsidR="00E02AB1" w:rsidRPr="004018DD" w:rsidRDefault="00E02AB1" w:rsidP="00E02AB1">
            <w:pPr>
              <w:spacing w:before="100" w:beforeAutospacing="1" w:after="100" w:afterAutospacing="1"/>
              <w:jc w:val="center"/>
              <w:rPr>
                <w:rFonts w:cs="Times New Roman"/>
                <w:b/>
                <w:szCs w:val="24"/>
              </w:rPr>
            </w:pPr>
            <w:r w:rsidRPr="004018DD">
              <w:rPr>
                <w:rFonts w:cs="Times New Roman"/>
                <w:b/>
                <w:szCs w:val="24"/>
              </w:rPr>
              <w:t>Non-SOE listed firm</w:t>
            </w:r>
          </w:p>
        </w:tc>
        <w:tc>
          <w:tcPr>
            <w:tcW w:w="0" w:type="auto"/>
            <w:vAlign w:val="center"/>
          </w:tcPr>
          <w:p w:rsidR="00E02AB1" w:rsidRPr="004018DD" w:rsidRDefault="00E02AB1" w:rsidP="00E02AB1">
            <w:pPr>
              <w:spacing w:before="100" w:beforeAutospacing="1" w:after="100" w:afterAutospacing="1"/>
              <w:jc w:val="center"/>
              <w:rPr>
                <w:rFonts w:cs="Times New Roman"/>
                <w:szCs w:val="24"/>
              </w:rPr>
            </w:pPr>
            <w:r w:rsidRPr="004018DD">
              <w:rPr>
                <w:rFonts w:cs="Times New Roman"/>
                <w:szCs w:val="24"/>
              </w:rPr>
              <w:t>120</w:t>
            </w:r>
          </w:p>
        </w:tc>
        <w:tc>
          <w:tcPr>
            <w:tcW w:w="0" w:type="auto"/>
            <w:vAlign w:val="center"/>
          </w:tcPr>
          <w:p w:rsidR="00E02AB1" w:rsidRPr="004018DD" w:rsidRDefault="00E02AB1" w:rsidP="00E02AB1">
            <w:pPr>
              <w:spacing w:before="100" w:beforeAutospacing="1" w:after="100" w:afterAutospacing="1"/>
              <w:jc w:val="center"/>
              <w:rPr>
                <w:rFonts w:cs="Times New Roman"/>
                <w:szCs w:val="24"/>
              </w:rPr>
            </w:pPr>
            <w:r w:rsidRPr="004018DD">
              <w:rPr>
                <w:rFonts w:cs="Times New Roman"/>
                <w:szCs w:val="24"/>
              </w:rPr>
              <w:t>149</w:t>
            </w:r>
          </w:p>
        </w:tc>
        <w:tc>
          <w:tcPr>
            <w:tcW w:w="0" w:type="auto"/>
            <w:vAlign w:val="center"/>
          </w:tcPr>
          <w:p w:rsidR="00E02AB1" w:rsidRPr="004018DD" w:rsidRDefault="00E02AB1" w:rsidP="00E02AB1">
            <w:pPr>
              <w:spacing w:before="100" w:beforeAutospacing="1" w:after="100" w:afterAutospacing="1"/>
              <w:jc w:val="center"/>
              <w:rPr>
                <w:rFonts w:cs="Times New Roman"/>
                <w:szCs w:val="24"/>
              </w:rPr>
            </w:pPr>
            <w:r w:rsidRPr="004018DD">
              <w:rPr>
                <w:rFonts w:cs="Times New Roman"/>
                <w:szCs w:val="24"/>
              </w:rPr>
              <w:t>187</w:t>
            </w:r>
          </w:p>
        </w:tc>
        <w:tc>
          <w:tcPr>
            <w:tcW w:w="0" w:type="auto"/>
            <w:vAlign w:val="center"/>
          </w:tcPr>
          <w:p w:rsidR="00E02AB1" w:rsidRPr="004018DD" w:rsidRDefault="00E02AB1" w:rsidP="00E02AB1">
            <w:pPr>
              <w:spacing w:before="100" w:beforeAutospacing="1" w:after="100" w:afterAutospacing="1"/>
              <w:jc w:val="center"/>
              <w:rPr>
                <w:rFonts w:cs="Times New Roman"/>
                <w:szCs w:val="24"/>
              </w:rPr>
            </w:pPr>
            <w:r w:rsidRPr="004018DD">
              <w:rPr>
                <w:rFonts w:cs="Times New Roman"/>
                <w:szCs w:val="24"/>
              </w:rPr>
              <w:t>205</w:t>
            </w:r>
          </w:p>
        </w:tc>
        <w:tc>
          <w:tcPr>
            <w:tcW w:w="0" w:type="auto"/>
            <w:vAlign w:val="center"/>
          </w:tcPr>
          <w:p w:rsidR="00E02AB1" w:rsidRPr="004018DD" w:rsidRDefault="00E02AB1" w:rsidP="00E02AB1">
            <w:pPr>
              <w:spacing w:before="100" w:beforeAutospacing="1" w:after="100" w:afterAutospacing="1"/>
              <w:jc w:val="center"/>
              <w:rPr>
                <w:rFonts w:cs="Times New Roman"/>
                <w:szCs w:val="24"/>
              </w:rPr>
            </w:pPr>
            <w:r w:rsidRPr="004018DD">
              <w:rPr>
                <w:rFonts w:cs="Times New Roman"/>
                <w:szCs w:val="24"/>
              </w:rPr>
              <w:t>247</w:t>
            </w:r>
          </w:p>
        </w:tc>
        <w:tc>
          <w:tcPr>
            <w:tcW w:w="0" w:type="auto"/>
            <w:vAlign w:val="center"/>
          </w:tcPr>
          <w:p w:rsidR="00E02AB1" w:rsidRPr="004018DD" w:rsidRDefault="00E02AB1" w:rsidP="00E02AB1">
            <w:pPr>
              <w:spacing w:before="100" w:beforeAutospacing="1" w:after="100" w:afterAutospacing="1"/>
              <w:jc w:val="center"/>
              <w:rPr>
                <w:rFonts w:cs="Times New Roman"/>
                <w:szCs w:val="24"/>
              </w:rPr>
            </w:pPr>
            <w:r w:rsidRPr="004018DD">
              <w:rPr>
                <w:rFonts w:cs="Times New Roman"/>
                <w:szCs w:val="24"/>
              </w:rPr>
              <w:t>313</w:t>
            </w:r>
          </w:p>
        </w:tc>
        <w:tc>
          <w:tcPr>
            <w:tcW w:w="0" w:type="auto"/>
            <w:vAlign w:val="center"/>
          </w:tcPr>
          <w:p w:rsidR="00E02AB1" w:rsidRPr="004018DD" w:rsidRDefault="00E02AB1" w:rsidP="00E02AB1">
            <w:pPr>
              <w:spacing w:before="100" w:beforeAutospacing="1" w:after="100" w:afterAutospacing="1"/>
              <w:jc w:val="center"/>
              <w:rPr>
                <w:rFonts w:cs="Times New Roman"/>
                <w:szCs w:val="24"/>
              </w:rPr>
            </w:pPr>
            <w:r w:rsidRPr="004018DD">
              <w:rPr>
                <w:rFonts w:cs="Times New Roman"/>
                <w:szCs w:val="24"/>
              </w:rPr>
              <w:t>400</w:t>
            </w:r>
          </w:p>
        </w:tc>
      </w:tr>
      <w:tr w:rsidR="00E02AB1" w:rsidRPr="004018DD" w:rsidTr="00E02AB1">
        <w:trPr>
          <w:trHeight w:val="576"/>
          <w:jc w:val="center"/>
        </w:trPr>
        <w:tc>
          <w:tcPr>
            <w:tcW w:w="0" w:type="auto"/>
            <w:vAlign w:val="center"/>
          </w:tcPr>
          <w:p w:rsidR="00E02AB1" w:rsidRPr="004018DD" w:rsidRDefault="00E02AB1" w:rsidP="00E02AB1">
            <w:pPr>
              <w:spacing w:before="100" w:beforeAutospacing="1" w:after="100" w:afterAutospacing="1"/>
              <w:jc w:val="center"/>
              <w:rPr>
                <w:rFonts w:cs="Times New Roman"/>
                <w:b/>
                <w:szCs w:val="24"/>
              </w:rPr>
            </w:pPr>
            <w:r w:rsidRPr="004018DD">
              <w:rPr>
                <w:rFonts w:cs="Times New Roman"/>
                <w:b/>
                <w:szCs w:val="24"/>
              </w:rPr>
              <w:t>SOE listed firms</w:t>
            </w:r>
          </w:p>
        </w:tc>
        <w:tc>
          <w:tcPr>
            <w:tcW w:w="0" w:type="auto"/>
            <w:vAlign w:val="center"/>
          </w:tcPr>
          <w:p w:rsidR="00E02AB1" w:rsidRPr="004018DD" w:rsidRDefault="00E02AB1" w:rsidP="00E02AB1">
            <w:pPr>
              <w:spacing w:before="100" w:beforeAutospacing="1" w:after="100" w:afterAutospacing="1"/>
              <w:jc w:val="center"/>
              <w:rPr>
                <w:rFonts w:cs="Times New Roman"/>
                <w:szCs w:val="24"/>
              </w:rPr>
            </w:pPr>
            <w:r w:rsidRPr="004018DD">
              <w:rPr>
                <w:rFonts w:cs="Times New Roman"/>
                <w:szCs w:val="24"/>
              </w:rPr>
              <w:t>701</w:t>
            </w:r>
          </w:p>
        </w:tc>
        <w:tc>
          <w:tcPr>
            <w:tcW w:w="0" w:type="auto"/>
            <w:vAlign w:val="center"/>
          </w:tcPr>
          <w:p w:rsidR="00E02AB1" w:rsidRPr="004018DD" w:rsidRDefault="00E02AB1" w:rsidP="00E02AB1">
            <w:pPr>
              <w:spacing w:before="100" w:beforeAutospacing="1" w:after="100" w:afterAutospacing="1"/>
              <w:jc w:val="center"/>
              <w:rPr>
                <w:rFonts w:cs="Times New Roman"/>
                <w:szCs w:val="24"/>
              </w:rPr>
            </w:pPr>
            <w:r w:rsidRPr="004018DD">
              <w:rPr>
                <w:rFonts w:cs="Times New Roman"/>
                <w:szCs w:val="24"/>
              </w:rPr>
              <w:t>769</w:t>
            </w:r>
          </w:p>
        </w:tc>
        <w:tc>
          <w:tcPr>
            <w:tcW w:w="0" w:type="auto"/>
            <w:vAlign w:val="center"/>
          </w:tcPr>
          <w:p w:rsidR="00E02AB1" w:rsidRPr="004018DD" w:rsidRDefault="00E02AB1" w:rsidP="00E02AB1">
            <w:pPr>
              <w:spacing w:before="100" w:beforeAutospacing="1" w:after="100" w:afterAutospacing="1"/>
              <w:jc w:val="center"/>
              <w:rPr>
                <w:rFonts w:cs="Times New Roman"/>
                <w:szCs w:val="24"/>
              </w:rPr>
            </w:pPr>
            <w:r w:rsidRPr="004018DD">
              <w:rPr>
                <w:rFonts w:cs="Times New Roman"/>
                <w:szCs w:val="24"/>
              </w:rPr>
              <w:t>867</w:t>
            </w:r>
          </w:p>
        </w:tc>
        <w:tc>
          <w:tcPr>
            <w:tcW w:w="0" w:type="auto"/>
            <w:vAlign w:val="center"/>
          </w:tcPr>
          <w:p w:rsidR="00E02AB1" w:rsidRPr="004018DD" w:rsidRDefault="00E02AB1" w:rsidP="00E02AB1">
            <w:pPr>
              <w:spacing w:before="100" w:beforeAutospacing="1" w:after="100" w:afterAutospacing="1"/>
              <w:jc w:val="center"/>
              <w:rPr>
                <w:rFonts w:cs="Times New Roman"/>
                <w:szCs w:val="24"/>
              </w:rPr>
            </w:pPr>
            <w:r w:rsidRPr="004018DD">
              <w:rPr>
                <w:rFonts w:cs="Times New Roman"/>
                <w:szCs w:val="24"/>
              </w:rPr>
              <w:t>931</w:t>
            </w:r>
          </w:p>
        </w:tc>
        <w:tc>
          <w:tcPr>
            <w:tcW w:w="0" w:type="auto"/>
            <w:vAlign w:val="center"/>
          </w:tcPr>
          <w:p w:rsidR="00E02AB1" w:rsidRPr="004018DD" w:rsidRDefault="00E02AB1" w:rsidP="00E02AB1">
            <w:pPr>
              <w:spacing w:before="100" w:beforeAutospacing="1" w:after="100" w:afterAutospacing="1"/>
              <w:jc w:val="center"/>
              <w:rPr>
                <w:rFonts w:cs="Times New Roman"/>
                <w:szCs w:val="24"/>
              </w:rPr>
            </w:pPr>
            <w:r w:rsidRPr="004018DD">
              <w:rPr>
                <w:rFonts w:cs="Times New Roman"/>
                <w:szCs w:val="24"/>
              </w:rPr>
              <w:t>945</w:t>
            </w:r>
          </w:p>
        </w:tc>
        <w:tc>
          <w:tcPr>
            <w:tcW w:w="0" w:type="auto"/>
            <w:vAlign w:val="center"/>
          </w:tcPr>
          <w:p w:rsidR="00E02AB1" w:rsidRPr="004018DD" w:rsidRDefault="00E02AB1" w:rsidP="00E02AB1">
            <w:pPr>
              <w:spacing w:before="100" w:beforeAutospacing="1" w:after="100" w:afterAutospacing="1"/>
              <w:jc w:val="center"/>
              <w:rPr>
                <w:rFonts w:cs="Times New Roman"/>
                <w:szCs w:val="24"/>
              </w:rPr>
            </w:pPr>
            <w:r w:rsidRPr="004018DD">
              <w:rPr>
                <w:rFonts w:cs="Times New Roman"/>
                <w:szCs w:val="24"/>
              </w:rPr>
              <w:t>942</w:t>
            </w:r>
          </w:p>
        </w:tc>
        <w:tc>
          <w:tcPr>
            <w:tcW w:w="0" w:type="auto"/>
            <w:vAlign w:val="center"/>
          </w:tcPr>
          <w:p w:rsidR="00E02AB1" w:rsidRPr="004018DD" w:rsidRDefault="00E02AB1" w:rsidP="00E02AB1">
            <w:pPr>
              <w:spacing w:before="100" w:beforeAutospacing="1" w:after="100" w:afterAutospacing="1"/>
              <w:jc w:val="center"/>
              <w:rPr>
                <w:rFonts w:cs="Times New Roman"/>
                <w:szCs w:val="24"/>
              </w:rPr>
            </w:pPr>
            <w:r w:rsidRPr="004018DD">
              <w:rPr>
                <w:rFonts w:cs="Times New Roman"/>
                <w:szCs w:val="24"/>
              </w:rPr>
              <w:t>942</w:t>
            </w:r>
          </w:p>
        </w:tc>
      </w:tr>
      <w:tr w:rsidR="00E02AB1" w:rsidRPr="004018DD" w:rsidTr="00E02AB1">
        <w:trPr>
          <w:trHeight w:val="576"/>
          <w:jc w:val="center"/>
        </w:trPr>
        <w:tc>
          <w:tcPr>
            <w:tcW w:w="0" w:type="auto"/>
            <w:vAlign w:val="center"/>
          </w:tcPr>
          <w:p w:rsidR="00E02AB1" w:rsidRPr="004018DD" w:rsidRDefault="00E02AB1" w:rsidP="00E02AB1">
            <w:pPr>
              <w:spacing w:before="100" w:beforeAutospacing="1" w:after="100" w:afterAutospacing="1"/>
              <w:jc w:val="center"/>
              <w:rPr>
                <w:rFonts w:cs="Times New Roman"/>
                <w:b/>
                <w:szCs w:val="24"/>
              </w:rPr>
            </w:pPr>
            <w:r w:rsidRPr="004018DD">
              <w:rPr>
                <w:rFonts w:cs="Times New Roman"/>
                <w:b/>
                <w:szCs w:val="24"/>
              </w:rPr>
              <w:t>Total listed firms</w:t>
            </w:r>
          </w:p>
        </w:tc>
        <w:tc>
          <w:tcPr>
            <w:tcW w:w="0" w:type="auto"/>
            <w:vAlign w:val="center"/>
          </w:tcPr>
          <w:p w:rsidR="00E02AB1" w:rsidRPr="004018DD" w:rsidRDefault="00E02AB1" w:rsidP="00E02AB1">
            <w:pPr>
              <w:spacing w:before="100" w:beforeAutospacing="1" w:after="100" w:afterAutospacing="1"/>
              <w:jc w:val="center"/>
              <w:rPr>
                <w:rFonts w:cs="Times New Roman"/>
                <w:szCs w:val="24"/>
              </w:rPr>
            </w:pPr>
            <w:r w:rsidRPr="004018DD">
              <w:rPr>
                <w:rFonts w:cs="Times New Roman"/>
                <w:szCs w:val="24"/>
              </w:rPr>
              <w:t>821</w:t>
            </w:r>
          </w:p>
        </w:tc>
        <w:tc>
          <w:tcPr>
            <w:tcW w:w="0" w:type="auto"/>
            <w:vAlign w:val="center"/>
          </w:tcPr>
          <w:p w:rsidR="00E02AB1" w:rsidRPr="004018DD" w:rsidRDefault="00E02AB1" w:rsidP="00E02AB1">
            <w:pPr>
              <w:spacing w:before="100" w:beforeAutospacing="1" w:after="100" w:afterAutospacing="1"/>
              <w:jc w:val="center"/>
              <w:rPr>
                <w:rFonts w:cs="Times New Roman"/>
                <w:szCs w:val="24"/>
              </w:rPr>
            </w:pPr>
            <w:r w:rsidRPr="004018DD">
              <w:rPr>
                <w:rFonts w:cs="Times New Roman"/>
                <w:szCs w:val="24"/>
              </w:rPr>
              <w:t>918</w:t>
            </w:r>
          </w:p>
        </w:tc>
        <w:tc>
          <w:tcPr>
            <w:tcW w:w="0" w:type="auto"/>
            <w:vAlign w:val="center"/>
          </w:tcPr>
          <w:p w:rsidR="00E02AB1" w:rsidRPr="004018DD" w:rsidRDefault="00E02AB1" w:rsidP="00E02AB1">
            <w:pPr>
              <w:spacing w:before="100" w:beforeAutospacing="1" w:after="100" w:afterAutospacing="1"/>
              <w:jc w:val="center"/>
              <w:rPr>
                <w:rFonts w:cs="Times New Roman"/>
                <w:szCs w:val="24"/>
              </w:rPr>
            </w:pPr>
            <w:r w:rsidRPr="004018DD">
              <w:rPr>
                <w:rFonts w:cs="Times New Roman"/>
                <w:szCs w:val="24"/>
              </w:rPr>
              <w:t>1054</w:t>
            </w:r>
          </w:p>
        </w:tc>
        <w:tc>
          <w:tcPr>
            <w:tcW w:w="0" w:type="auto"/>
            <w:vAlign w:val="center"/>
          </w:tcPr>
          <w:p w:rsidR="00E02AB1" w:rsidRPr="004018DD" w:rsidRDefault="00E02AB1" w:rsidP="00E02AB1">
            <w:pPr>
              <w:spacing w:before="100" w:beforeAutospacing="1" w:after="100" w:afterAutospacing="1"/>
              <w:jc w:val="center"/>
              <w:rPr>
                <w:rFonts w:cs="Times New Roman"/>
                <w:szCs w:val="24"/>
              </w:rPr>
            </w:pPr>
            <w:r w:rsidRPr="004018DD">
              <w:rPr>
                <w:rFonts w:cs="Times New Roman"/>
                <w:szCs w:val="24"/>
              </w:rPr>
              <w:t>1136</w:t>
            </w:r>
          </w:p>
        </w:tc>
        <w:tc>
          <w:tcPr>
            <w:tcW w:w="0" w:type="auto"/>
            <w:vAlign w:val="center"/>
          </w:tcPr>
          <w:p w:rsidR="00E02AB1" w:rsidRPr="004018DD" w:rsidRDefault="00E02AB1" w:rsidP="00E02AB1">
            <w:pPr>
              <w:spacing w:before="100" w:beforeAutospacing="1" w:after="100" w:afterAutospacing="1"/>
              <w:jc w:val="center"/>
              <w:rPr>
                <w:rFonts w:cs="Times New Roman"/>
                <w:szCs w:val="24"/>
              </w:rPr>
            </w:pPr>
            <w:r w:rsidRPr="004018DD">
              <w:rPr>
                <w:rFonts w:cs="Times New Roman"/>
                <w:szCs w:val="24"/>
              </w:rPr>
              <w:t>1192</w:t>
            </w:r>
          </w:p>
        </w:tc>
        <w:tc>
          <w:tcPr>
            <w:tcW w:w="0" w:type="auto"/>
            <w:vAlign w:val="center"/>
          </w:tcPr>
          <w:p w:rsidR="00E02AB1" w:rsidRPr="004018DD" w:rsidRDefault="00E02AB1" w:rsidP="00E02AB1">
            <w:pPr>
              <w:spacing w:before="100" w:beforeAutospacing="1" w:after="100" w:afterAutospacing="1"/>
              <w:jc w:val="center"/>
              <w:rPr>
                <w:rFonts w:cs="Times New Roman"/>
                <w:szCs w:val="24"/>
              </w:rPr>
            </w:pPr>
            <w:r w:rsidRPr="004018DD">
              <w:rPr>
                <w:rFonts w:cs="Times New Roman"/>
                <w:szCs w:val="24"/>
              </w:rPr>
              <w:t>1255</w:t>
            </w:r>
          </w:p>
        </w:tc>
        <w:tc>
          <w:tcPr>
            <w:tcW w:w="0" w:type="auto"/>
            <w:vAlign w:val="center"/>
          </w:tcPr>
          <w:p w:rsidR="00E02AB1" w:rsidRPr="004018DD" w:rsidRDefault="00E02AB1" w:rsidP="00E02AB1">
            <w:pPr>
              <w:spacing w:before="100" w:beforeAutospacing="1" w:after="100" w:afterAutospacing="1"/>
              <w:jc w:val="center"/>
              <w:rPr>
                <w:rFonts w:cs="Times New Roman"/>
                <w:szCs w:val="24"/>
              </w:rPr>
            </w:pPr>
            <w:r w:rsidRPr="004018DD">
              <w:rPr>
                <w:rFonts w:cs="Times New Roman"/>
                <w:szCs w:val="24"/>
              </w:rPr>
              <w:t>1342</w:t>
            </w:r>
          </w:p>
        </w:tc>
      </w:tr>
    </w:tbl>
    <w:p w:rsidR="00E02AB1" w:rsidRPr="006B015F" w:rsidRDefault="00F34957" w:rsidP="006C442F">
      <w:pPr>
        <w:rPr>
          <w:sz w:val="22"/>
        </w:rPr>
      </w:pPr>
      <w:r>
        <w:rPr>
          <w:sz w:val="22"/>
        </w:rPr>
        <w:t xml:space="preserve">              Source from: (OECD, 2009).</w:t>
      </w:r>
    </w:p>
    <w:p w:rsidR="00E02AB1" w:rsidRPr="004018DD" w:rsidRDefault="00710415" w:rsidP="00252752">
      <w:pPr>
        <w:pStyle w:val="Heading3"/>
      </w:pPr>
      <w:r>
        <w:t xml:space="preserve"> </w:t>
      </w:r>
      <w:bookmarkStart w:id="24" w:name="_Toc400916046"/>
      <w:r>
        <w:t>Board s</w:t>
      </w:r>
      <w:r w:rsidR="00E02AB1" w:rsidRPr="004018DD">
        <w:t>tructure</w:t>
      </w:r>
      <w:bookmarkEnd w:id="24"/>
    </w:p>
    <w:p w:rsidR="006C442F" w:rsidRDefault="00E02AB1" w:rsidP="00DA1EBB">
      <w:r w:rsidRPr="004018DD">
        <w:t>Compari</w:t>
      </w:r>
      <w:r w:rsidR="00C16DF9">
        <w:t>ng to the board structure of U.S.</w:t>
      </w:r>
      <w:r w:rsidRPr="004018DD">
        <w:t xml:space="preserve"> and other leading European countries, the board governance structure of China listed firm adopts two-tier structure similar to the Netherlands and Germany. The two-tier board consists of the board of directors and supervisory board. In 1993, China’s Company Law requires all public firms in China to establish supervisory board which includes at least three members. At least one should be selected from employees of the firm and at least one should represent the interests of the shareholders.</w:t>
      </w:r>
      <w:r>
        <w:t xml:space="preserve"> The board directors, top executives and financial managers cannot be app</w:t>
      </w:r>
      <w:r w:rsidR="00BE4284">
        <w:t xml:space="preserve">ointed into supervisory board. </w:t>
      </w:r>
      <w:r w:rsidRPr="004018DD">
        <w:t xml:space="preserve">Moreover, the supervisory board should be independent of the board of directors (Firth </w:t>
      </w:r>
      <w:r w:rsidRPr="004018DD">
        <w:rPr>
          <w:i/>
        </w:rPr>
        <w:t>et al</w:t>
      </w:r>
      <w:r w:rsidRPr="004018DD">
        <w:t xml:space="preserve">., 2007).  In the meanwhile, Company Law (1993) also requires all listed firms to keep the mechanism as board of directors, board of supervisors and an annual meeting with shareholders (Xiao </w:t>
      </w:r>
      <w:r w:rsidRPr="004018DD">
        <w:rPr>
          <w:i/>
        </w:rPr>
        <w:t>et al</w:t>
      </w:r>
      <w:r w:rsidRPr="004018DD">
        <w:t>., 2004). It also presents that</w:t>
      </w:r>
      <w:r w:rsidRPr="004018DD">
        <w:rPr>
          <w:sz w:val="28"/>
          <w:szCs w:val="28"/>
        </w:rPr>
        <w:t xml:space="preserve"> </w:t>
      </w:r>
      <w:r w:rsidRPr="004018DD">
        <w:t>supervisory board is designed to monitor the day-to-day work of management, control and oversee the actions of board directors and monitor the financial affairs of the company. Figure 2.</w:t>
      </w:r>
      <w:r w:rsidR="005039FA">
        <w:t>2</w:t>
      </w:r>
      <w:r w:rsidRPr="004018DD">
        <w:t xml:space="preserve"> presents the relationship between shareholders, management, board of directors and board of supervisors (Chang </w:t>
      </w:r>
      <w:r w:rsidRPr="004018DD">
        <w:rPr>
          <w:i/>
        </w:rPr>
        <w:t>et al</w:t>
      </w:r>
      <w:r w:rsidRPr="004018DD">
        <w:t>., 2013). In 2006, the revision version of Company Law highlights the supervisory board should protect the interest of the firm besides the old vision of the Company Law of 1993</w:t>
      </w:r>
      <w:r w:rsidR="00BE2513">
        <w:t xml:space="preserve"> </w:t>
      </w:r>
      <w:r w:rsidRPr="004018DD">
        <w:t xml:space="preserve">(OECD, 2011). In 2002, the code of corporate governance of China was published by China Securities Regulatory Commission (CSRC). One of </w:t>
      </w:r>
      <w:r w:rsidRPr="004018DD">
        <w:lastRenderedPageBreak/>
        <w:t>statements of this Code is that the members of supervisory board should have professional knowledge and work experience in accounting and law (CSRC, 2002). Although the two-tier board structure of China is similar to that of the Netherlands and Germany, there still have some differences from the two Counties. For instance, in the Netherlands, the supervisory board has rights to appoint or fire the member of the board directors, whereas the supervisory board of China does not have such rights. Furthermore, the members of supervisory board can be generally nominated by the supervisor</w:t>
      </w:r>
      <w:r w:rsidR="00BF62CD">
        <w:t>y board itself</w:t>
      </w:r>
      <w:r w:rsidR="00BF62CD">
        <w:rPr>
          <w:rStyle w:val="FootnoteReference"/>
        </w:rPr>
        <w:footnoteReference w:id="2"/>
      </w:r>
      <w:r w:rsidRPr="004018DD">
        <w:t>. This is also different from the election process of supervisory board in China.</w:t>
      </w:r>
    </w:p>
    <w:p w:rsidR="00DA1EBB" w:rsidRDefault="00DA1EBB" w:rsidP="00FE7D59">
      <w:pPr>
        <w:keepNext/>
        <w:spacing w:before="100" w:beforeAutospacing="1" w:after="100" w:afterAutospacing="1"/>
        <w:jc w:val="center"/>
      </w:pPr>
      <w:r>
        <w:object w:dxaOrig="19581" w:dyaOrig="5691">
          <v:shape id="_x0000_i1026" type="#_x0000_t75" style="width:414.75pt;height:120.75pt" o:ole="">
            <v:imagedata r:id="rId12" o:title=""/>
          </v:shape>
          <o:OLEObject Type="Embed" ProgID="Visio.Drawing.11" ShapeID="_x0000_i1026" DrawAspect="Content" ObjectID="_1475659506" r:id="rId13"/>
        </w:object>
      </w:r>
    </w:p>
    <w:p w:rsidR="00E02AB1" w:rsidRPr="004018DD" w:rsidRDefault="006C442F" w:rsidP="006C442F">
      <w:pPr>
        <w:pStyle w:val="Caption"/>
        <w:jc w:val="center"/>
        <w:rPr>
          <w:rFonts w:cs="Times New Roman"/>
          <w:szCs w:val="24"/>
        </w:rPr>
      </w:pPr>
      <w:r>
        <w:t xml:space="preserve">Fig. </w:t>
      </w:r>
      <w:r w:rsidR="00EF1EDC">
        <w:fldChar w:fldCharType="begin"/>
      </w:r>
      <w:r w:rsidR="00C60813">
        <w:instrText xml:space="preserve"> STYLEREF 1 \s </w:instrText>
      </w:r>
      <w:r w:rsidR="00EF1EDC">
        <w:fldChar w:fldCharType="separate"/>
      </w:r>
      <w:r w:rsidR="006D352E">
        <w:rPr>
          <w:noProof/>
        </w:rPr>
        <w:t>2</w:t>
      </w:r>
      <w:r w:rsidR="00EF1EDC">
        <w:rPr>
          <w:noProof/>
        </w:rPr>
        <w:fldChar w:fldCharType="end"/>
      </w:r>
      <w:r w:rsidR="006D352E">
        <w:t>.</w:t>
      </w:r>
      <w:r w:rsidR="00EF1EDC">
        <w:fldChar w:fldCharType="begin"/>
      </w:r>
      <w:r w:rsidR="00C60813">
        <w:instrText xml:space="preserve"> SEQ Fig. \* ARABIC \s 1 </w:instrText>
      </w:r>
      <w:r w:rsidR="00EF1EDC">
        <w:fldChar w:fldCharType="separate"/>
      </w:r>
      <w:r w:rsidR="005039FA">
        <w:rPr>
          <w:noProof/>
        </w:rPr>
        <w:t>2</w:t>
      </w:r>
      <w:r w:rsidR="00EF1EDC">
        <w:rPr>
          <w:noProof/>
        </w:rPr>
        <w:fldChar w:fldCharType="end"/>
      </w:r>
      <w:r>
        <w:t xml:space="preserve">. </w:t>
      </w:r>
      <w:r w:rsidRPr="006C442F">
        <w:rPr>
          <w:rFonts w:cs="Times New Roman"/>
          <w:sz w:val="22"/>
          <w:szCs w:val="20"/>
        </w:rPr>
        <w:t xml:space="preserve">China two-tier board framework (Chang </w:t>
      </w:r>
      <w:r w:rsidRPr="00BE4284">
        <w:rPr>
          <w:rFonts w:cs="Times New Roman"/>
          <w:i/>
          <w:sz w:val="22"/>
          <w:szCs w:val="20"/>
        </w:rPr>
        <w:t>et al.</w:t>
      </w:r>
      <w:r w:rsidRPr="006C442F">
        <w:rPr>
          <w:rFonts w:cs="Times New Roman"/>
          <w:sz w:val="22"/>
          <w:szCs w:val="20"/>
        </w:rPr>
        <w:t>, 2013)</w:t>
      </w:r>
    </w:p>
    <w:p w:rsidR="00E02AB1" w:rsidRPr="00523280" w:rsidRDefault="00E02AB1" w:rsidP="00252752">
      <w:pPr>
        <w:pStyle w:val="Heading2"/>
      </w:pPr>
      <w:bookmarkStart w:id="25" w:name="_Toc400916047"/>
      <w:r w:rsidRPr="00523280">
        <w:t>Summary</w:t>
      </w:r>
      <w:bookmarkEnd w:id="25"/>
    </w:p>
    <w:p w:rsidR="00E02AB1" w:rsidRPr="001B4B90" w:rsidRDefault="00E02AB1" w:rsidP="00E02AB1">
      <w:pPr>
        <w:spacing w:before="100" w:beforeAutospacing="1" w:after="100" w:afterAutospacing="1"/>
        <w:rPr>
          <w:rFonts w:cs="Times New Roman"/>
          <w:szCs w:val="24"/>
        </w:rPr>
      </w:pPr>
      <w:r w:rsidRPr="001B4B90">
        <w:rPr>
          <w:rFonts w:cs="Times New Roman"/>
          <w:szCs w:val="24"/>
        </w:rPr>
        <w:t>This chapter provides several definitions of earnings management and corporate governance. In the meanwhile, it introduces the previous literature evidence on how to detect earnings management. Moreover, two important theories (Agency Theory and Positive Accounting Theory) are illustrated to help explain the earnings management behaviors by management. Finally, it introduces the background of China and highlights two special features related to corporate governance (ownership structure and two-tier board).</w:t>
      </w:r>
    </w:p>
    <w:p w:rsidR="00E02AB1" w:rsidRPr="004018DD" w:rsidRDefault="00E02AB1" w:rsidP="00E02AB1">
      <w:pPr>
        <w:spacing w:before="100" w:beforeAutospacing="1" w:after="100" w:afterAutospacing="1"/>
        <w:rPr>
          <w:rFonts w:cs="Times New Roman"/>
          <w:sz w:val="20"/>
          <w:szCs w:val="20"/>
        </w:rPr>
      </w:pPr>
    </w:p>
    <w:p w:rsidR="00E02AB1" w:rsidRPr="004018DD" w:rsidRDefault="00E02AB1" w:rsidP="00E02AB1">
      <w:pPr>
        <w:rPr>
          <w:rFonts w:cs="Times New Roman"/>
          <w:sz w:val="20"/>
          <w:szCs w:val="20"/>
        </w:rPr>
      </w:pPr>
      <w:r w:rsidRPr="004018DD">
        <w:rPr>
          <w:rFonts w:cs="Times New Roman"/>
          <w:sz w:val="20"/>
          <w:szCs w:val="20"/>
        </w:rPr>
        <w:br w:type="page"/>
      </w:r>
    </w:p>
    <w:p w:rsidR="00E02AB1" w:rsidRDefault="00E02AB1" w:rsidP="00E02AB1">
      <w:pPr>
        <w:contextualSpacing/>
        <w:rPr>
          <w:rFonts w:cs="Times New Roman"/>
          <w:szCs w:val="24"/>
        </w:rPr>
        <w:sectPr w:rsidR="00E02AB1" w:rsidSect="00FE7D59">
          <w:pgSz w:w="11907" w:h="16839" w:code="9"/>
          <w:pgMar w:top="1440" w:right="1800" w:bottom="1440" w:left="1800" w:header="720" w:footer="720" w:gutter="0"/>
          <w:cols w:space="720"/>
          <w:docGrid w:linePitch="360"/>
        </w:sectPr>
      </w:pPr>
    </w:p>
    <w:p w:rsidR="00E02AB1" w:rsidRPr="00FE7D59" w:rsidRDefault="00FE7D59" w:rsidP="00252752">
      <w:pPr>
        <w:pStyle w:val="Heading1"/>
      </w:pPr>
      <w:bookmarkStart w:id="26" w:name="_Toc400916048"/>
      <w:r>
        <w:lastRenderedPageBreak/>
        <w:t>Literature R</w:t>
      </w:r>
      <w:r w:rsidR="00E02AB1" w:rsidRPr="00FE7D59">
        <w:t>eview</w:t>
      </w:r>
      <w:bookmarkEnd w:id="26"/>
    </w:p>
    <w:p w:rsidR="00E02AB1" w:rsidRPr="00FA0A79" w:rsidRDefault="00E02AB1" w:rsidP="00FE7D59">
      <w:r w:rsidRPr="0092669C">
        <w:t>In order to answer the sub-research question “</w:t>
      </w:r>
      <w:r w:rsidRPr="00D10592">
        <w:t>What are the prior research results on the relationship between corporate governance and earning</w:t>
      </w:r>
      <w:r w:rsidR="00AF4ED3">
        <w:t>s</w:t>
      </w:r>
      <w:r w:rsidRPr="00D10592">
        <w:t xml:space="preserve"> management</w:t>
      </w:r>
      <w:r>
        <w:t xml:space="preserve">?” the prior literature related to this question will be introduced </w:t>
      </w:r>
      <w:r w:rsidRPr="00D10592">
        <w:t>in this chapter</w:t>
      </w:r>
      <w:r>
        <w:t xml:space="preserve">. Section 3.1 </w:t>
      </w:r>
      <w:r w:rsidRPr="00D10592">
        <w:t>provides</w:t>
      </w:r>
      <w:r>
        <w:t xml:space="preserve"> </w:t>
      </w:r>
      <w:r w:rsidRPr="006653DB">
        <w:t xml:space="preserve">an overview of prior </w:t>
      </w:r>
      <w:r>
        <w:t xml:space="preserve">empirical </w:t>
      </w:r>
      <w:r w:rsidRPr="006653DB">
        <w:t>research</w:t>
      </w:r>
      <w:r>
        <w:t>es</w:t>
      </w:r>
      <w:r w:rsidRPr="006653DB">
        <w:t xml:space="preserve"> on</w:t>
      </w:r>
      <w:r>
        <w:t xml:space="preserve"> corporate governance. In Section 3.2, the empirical literature evidence </w:t>
      </w:r>
      <w:r w:rsidRPr="00D10592">
        <w:t>linked</w:t>
      </w:r>
      <w:r>
        <w:t xml:space="preserve"> to earnings</w:t>
      </w:r>
      <w:r w:rsidR="0020729B">
        <w:t xml:space="preserve"> management will be introduced. S</w:t>
      </w:r>
      <w:r>
        <w:t>ection</w:t>
      </w:r>
      <w:r w:rsidR="0020729B">
        <w:t xml:space="preserve"> 3.3 will</w:t>
      </w:r>
      <w:r>
        <w:t xml:space="preserve"> </w:t>
      </w:r>
      <w:r w:rsidR="0020729B">
        <w:t>present</w:t>
      </w:r>
      <w:r>
        <w:t xml:space="preserve"> </w:t>
      </w:r>
      <w:r w:rsidRPr="0018424E">
        <w:t>the</w:t>
      </w:r>
      <w:r w:rsidRPr="00FC1094">
        <w:rPr>
          <w:color w:val="FF0000"/>
        </w:rPr>
        <w:t xml:space="preserve"> </w:t>
      </w:r>
      <w:r>
        <w:t xml:space="preserve">literature </w:t>
      </w:r>
      <w:r w:rsidRPr="0018424E">
        <w:t>associating to corporate governance and earnings management</w:t>
      </w:r>
      <w:r>
        <w:t xml:space="preserve">, </w:t>
      </w:r>
      <w:r w:rsidRPr="0018424E">
        <w:t>especially</w:t>
      </w:r>
      <w:r>
        <w:t xml:space="preserve"> </w:t>
      </w:r>
      <w:r w:rsidRPr="006653DB">
        <w:t>the explanation</w:t>
      </w:r>
      <w:r>
        <w:t>s</w:t>
      </w:r>
      <w:r w:rsidRPr="006653DB">
        <w:t xml:space="preserve"> of the </w:t>
      </w:r>
      <w:r>
        <w:t xml:space="preserve">correlation </w:t>
      </w:r>
      <w:r w:rsidRPr="006653DB">
        <w:t>between specific proxies for corporate governance and earning</w:t>
      </w:r>
      <w:r>
        <w:t>s</w:t>
      </w:r>
      <w:r w:rsidRPr="006653DB">
        <w:t xml:space="preserve"> management</w:t>
      </w:r>
      <w:r>
        <w:rPr>
          <w:rFonts w:cstheme="minorHAnsi"/>
        </w:rPr>
        <w:t>.</w:t>
      </w:r>
      <w:r w:rsidR="0020729B">
        <w:rPr>
          <w:rFonts w:cstheme="minorHAnsi"/>
        </w:rPr>
        <w:t xml:space="preserve"> The last section will give a summary of this chapter.</w:t>
      </w:r>
    </w:p>
    <w:p w:rsidR="00E02AB1" w:rsidRPr="00FE7D59" w:rsidRDefault="00E02AB1" w:rsidP="00252752">
      <w:pPr>
        <w:pStyle w:val="Heading2"/>
      </w:pPr>
      <w:bookmarkStart w:id="27" w:name="_Toc400916049"/>
      <w:r w:rsidRPr="00FE7D59">
        <w:t>Literature evidence on corporate governance</w:t>
      </w:r>
      <w:bookmarkEnd w:id="27"/>
    </w:p>
    <w:p w:rsidR="00E02AB1" w:rsidRDefault="00E02AB1" w:rsidP="00FE7D59">
      <w:r>
        <w:t>B</w:t>
      </w:r>
      <w:r w:rsidRPr="00AD3B16">
        <w:t>esides the definitions and categories</w:t>
      </w:r>
      <w:r>
        <w:t xml:space="preserve"> of corporate governance which have been introduced in Chapter 2, the other fields of corporate governance have been also investigated by researchers and </w:t>
      </w:r>
      <w:r w:rsidRPr="00DD5247">
        <w:t>analysts</w:t>
      </w:r>
      <w:r>
        <w:t xml:space="preserve">. Gregory and Simms (1999) documented that effective corporate governance is </w:t>
      </w:r>
      <w:r w:rsidRPr="00DD5247">
        <w:t>critical</w:t>
      </w:r>
      <w:r>
        <w:t xml:space="preserve"> because it improves the resource use </w:t>
      </w:r>
      <w:r w:rsidRPr="00DD5247">
        <w:t>efficiency of the company</w:t>
      </w:r>
      <w:r>
        <w:t xml:space="preserve">. In the meanwhile, effective corporate governance helps the company and economies to attract investment capital through the improved confidence of investors from domestic and foreign areas. They also presented that </w:t>
      </w:r>
      <w:r w:rsidRPr="00F772B2">
        <w:t>effective corporate governance</w:t>
      </w:r>
      <w:r>
        <w:t xml:space="preserve"> assists firms to meet the social expectations and enhance the long-term performance of firms. </w:t>
      </w:r>
      <w:r w:rsidRPr="00F772B2">
        <w:t>In short</w:t>
      </w:r>
      <w:r>
        <w:t xml:space="preserve">, companies’ performance is reflected on whether corporate governance mechanism of firms is effective or not. Furthermore, researchers and analysts attempt to analyze corporate governance more specific. </w:t>
      </w:r>
      <w:r w:rsidRPr="00DE1210">
        <w:t xml:space="preserve">For instance, Patel </w:t>
      </w:r>
      <w:r w:rsidRPr="00DE1210">
        <w:rPr>
          <w:i/>
        </w:rPr>
        <w:t>et al</w:t>
      </w:r>
      <w:r w:rsidRPr="00DE1210">
        <w:t xml:space="preserve">. (2002), Utama (2003) and Basel Committee (2005) all stated that the disclosure is an important part of corporate governance. The information asymmetry problem is reduced because of higher level disclosure. </w:t>
      </w:r>
      <w:r>
        <w:t xml:space="preserve">Chung </w:t>
      </w:r>
      <w:r w:rsidRPr="0052658B">
        <w:rPr>
          <w:i/>
        </w:rPr>
        <w:t>et al</w:t>
      </w:r>
      <w:r>
        <w:rPr>
          <w:i/>
        </w:rPr>
        <w:t xml:space="preserve">. </w:t>
      </w:r>
      <w:r>
        <w:t xml:space="preserve">(2010) investigated the relationship between corporate governance and </w:t>
      </w:r>
      <w:r w:rsidRPr="00204E2F">
        <w:t>stock market liquidity</w:t>
      </w:r>
      <w:r>
        <w:t xml:space="preserve"> </w:t>
      </w:r>
      <w:r w:rsidRPr="00204E2F">
        <w:t xml:space="preserve">based </w:t>
      </w:r>
      <w:r w:rsidRPr="00472714">
        <w:t>on the data collected from Institutional Shareholder Services (ISS)</w:t>
      </w:r>
      <w:r w:rsidRPr="00472714">
        <w:rPr>
          <w:color w:val="FF0000"/>
        </w:rPr>
        <w:t xml:space="preserve"> </w:t>
      </w:r>
      <w:r>
        <w:t xml:space="preserve">and indicated that effective corporate governance mechanism can </w:t>
      </w:r>
      <w:r w:rsidRPr="00204E2F">
        <w:t>improve</w:t>
      </w:r>
      <w:r>
        <w:t xml:space="preserve"> stock market liquidity. </w:t>
      </w:r>
      <w:r w:rsidRPr="00204E2F">
        <w:t>Based on the data of Thailand listed firms from 2006 to 2009,</w:t>
      </w:r>
      <w:r>
        <w:t xml:space="preserve"> Prommin </w:t>
      </w:r>
      <w:r w:rsidRPr="004168F5">
        <w:rPr>
          <w:i/>
        </w:rPr>
        <w:t>et al</w:t>
      </w:r>
      <w:r>
        <w:rPr>
          <w:i/>
        </w:rPr>
        <w:t>.</w:t>
      </w:r>
      <w:r>
        <w:t xml:space="preserve"> (2014, see </w:t>
      </w:r>
      <w:r w:rsidR="00D1784F">
        <w:t>Appendix A.</w:t>
      </w:r>
      <w:r w:rsidR="00865CBC">
        <w:t>4</w:t>
      </w:r>
      <w:r>
        <w:t xml:space="preserve">) also </w:t>
      </w:r>
      <w:r w:rsidRPr="00204E2F">
        <w:t>came to conclusions similar to</w:t>
      </w:r>
      <w:r>
        <w:t xml:space="preserve"> Chung </w:t>
      </w:r>
      <w:r w:rsidRPr="004168F5">
        <w:rPr>
          <w:i/>
        </w:rPr>
        <w:t>et al</w:t>
      </w:r>
      <w:r>
        <w:t xml:space="preserve">. (2010) - there is a significant association between corporate governance and </w:t>
      </w:r>
      <w:r>
        <w:lastRenderedPageBreak/>
        <w:t xml:space="preserve">equity liquidity. </w:t>
      </w:r>
      <w:r w:rsidRPr="00204E2F">
        <w:t>Especially</w:t>
      </w:r>
      <w:r>
        <w:t xml:space="preserve">, they demonstrated that </w:t>
      </w:r>
      <w:r w:rsidRPr="00204E2F">
        <w:rPr>
          <w:rFonts w:hint="eastAsia"/>
        </w:rPr>
        <w:t>liquidity</w:t>
      </w:r>
      <w:r w:rsidRPr="004168F5">
        <w:rPr>
          <w:rFonts w:hint="eastAsia"/>
        </w:rPr>
        <w:t xml:space="preserve"> </w:t>
      </w:r>
      <w:r>
        <w:t xml:space="preserve">is </w:t>
      </w:r>
      <w:r>
        <w:rPr>
          <w:rFonts w:hint="eastAsia"/>
        </w:rPr>
        <w:t>improve</w:t>
      </w:r>
      <w:r>
        <w:t xml:space="preserve">d </w:t>
      </w:r>
      <w:r w:rsidRPr="00204E2F">
        <w:rPr>
          <w:rFonts w:hint="eastAsia"/>
        </w:rPr>
        <w:t>significantly</w:t>
      </w:r>
      <w:r>
        <w:t xml:space="preserve"> as</w:t>
      </w:r>
      <w:r>
        <w:rPr>
          <w:rFonts w:hint="eastAsia"/>
        </w:rPr>
        <w:t xml:space="preserve"> governance quality increases.</w:t>
      </w:r>
      <w:r>
        <w:t xml:space="preserve"> Moreover, this</w:t>
      </w:r>
      <w:r>
        <w:rPr>
          <w:rFonts w:hint="eastAsia"/>
        </w:rPr>
        <w:t xml:space="preserve"> effect</w:t>
      </w:r>
      <w:r>
        <w:t xml:space="preserve"> still </w:t>
      </w:r>
      <w:r w:rsidRPr="00204E2F">
        <w:t>exists</w:t>
      </w:r>
      <w:r w:rsidRPr="00204E2F">
        <w:rPr>
          <w:rFonts w:hint="eastAsia"/>
        </w:rPr>
        <w:t xml:space="preserve"> </w:t>
      </w:r>
      <w:r w:rsidRPr="00204E2F">
        <w:t>even</w:t>
      </w:r>
      <w:r>
        <w:t xml:space="preserve"> </w:t>
      </w:r>
      <w:r w:rsidRPr="004168F5">
        <w:rPr>
          <w:rFonts w:hint="eastAsia"/>
        </w:rPr>
        <w:t xml:space="preserve">after controlling </w:t>
      </w:r>
      <w:r>
        <w:t xml:space="preserve">lots </w:t>
      </w:r>
      <w:r w:rsidRPr="004168F5">
        <w:rPr>
          <w:rFonts w:hint="eastAsia"/>
        </w:rPr>
        <w:t>of relevant factors</w:t>
      </w:r>
      <w:r>
        <w:t xml:space="preserve"> such as</w:t>
      </w:r>
      <w:r>
        <w:rPr>
          <w:rFonts w:hint="eastAsia"/>
        </w:rPr>
        <w:t xml:space="preserve"> firm size, leverage</w:t>
      </w:r>
      <w:r>
        <w:t xml:space="preserve">, </w:t>
      </w:r>
      <w:r w:rsidRPr="004168F5">
        <w:t>and firm</w:t>
      </w:r>
      <w:r w:rsidRPr="004168F5">
        <w:rPr>
          <w:rFonts w:hint="eastAsia"/>
        </w:rPr>
        <w:t xml:space="preserve"> age</w:t>
      </w:r>
      <w:r>
        <w:t xml:space="preserve">. According to the survey data of Indian firms in 2006, </w:t>
      </w:r>
      <w:r w:rsidRPr="00EA47E8">
        <w:t xml:space="preserve">Balasubramanian </w:t>
      </w:r>
      <w:r w:rsidRPr="00EA47E8">
        <w:rPr>
          <w:i/>
        </w:rPr>
        <w:t>et al</w:t>
      </w:r>
      <w:r w:rsidRPr="00EA47E8">
        <w:t>. (2010</w:t>
      </w:r>
      <w:r>
        <w:t>,</w:t>
      </w:r>
      <w:r w:rsidRPr="003C3114">
        <w:t xml:space="preserve"> </w:t>
      </w:r>
      <w:r>
        <w:t xml:space="preserve">see </w:t>
      </w:r>
      <w:r w:rsidR="00785747">
        <w:t>Appendix A.1</w:t>
      </w:r>
      <w:r w:rsidRPr="00EA47E8">
        <w:t>)</w:t>
      </w:r>
      <w:r>
        <w:t xml:space="preserve"> established a broad Indian Corporate Governance Index (ICGI) to investigate the association between ICGI and firm value. </w:t>
      </w:r>
      <w:r w:rsidRPr="005962F5">
        <w:t xml:space="preserve">Although the causal effect could not be </w:t>
      </w:r>
      <w:r>
        <w:t>verified</w:t>
      </w:r>
      <w:r w:rsidRPr="005962F5">
        <w:t xml:space="preserve"> due to </w:t>
      </w:r>
      <w:r>
        <w:t xml:space="preserve">its </w:t>
      </w:r>
      <w:r w:rsidRPr="005962F5">
        <w:t>one year cross-sectional data, they</w:t>
      </w:r>
      <w:r>
        <w:t xml:space="preserve"> still concluded that there is a positive relationship between ICGI and firm value. </w:t>
      </w:r>
      <w:r w:rsidRPr="005962F5">
        <w:t>T</w:t>
      </w:r>
      <w:r>
        <w:t xml:space="preserve">his relationship is more significant in large profitable companies in India. </w:t>
      </w:r>
      <w:r w:rsidRPr="005962F5">
        <w:t>T</w:t>
      </w:r>
      <w:r>
        <w:t xml:space="preserve">hey </w:t>
      </w:r>
      <w:r w:rsidRPr="005962F5">
        <w:t>also</w:t>
      </w:r>
      <w:r>
        <w:t xml:space="preserve"> claimed that corporate governance mechanism is not “one fits all”. This might imply that different industries, culture</w:t>
      </w:r>
      <w:r w:rsidR="00B61517">
        <w:t>s</w:t>
      </w:r>
      <w:r>
        <w:t xml:space="preserve">, areas, firm size </w:t>
      </w:r>
      <w:r w:rsidRPr="005962F5">
        <w:t>etc.</w:t>
      </w:r>
      <w:r>
        <w:t xml:space="preserve"> need to be considered into the corporate governance structure.</w:t>
      </w:r>
    </w:p>
    <w:p w:rsidR="00E02AB1" w:rsidRDefault="00E02AB1" w:rsidP="00FE7D59">
      <w:r>
        <w:t xml:space="preserve">The studies related to corporate governance </w:t>
      </w:r>
      <w:r w:rsidRPr="00D41A1F">
        <w:t>in China</w:t>
      </w:r>
      <w:r>
        <w:t xml:space="preserve"> </w:t>
      </w:r>
      <w:r w:rsidRPr="00D41A1F">
        <w:t>are</w:t>
      </w:r>
      <w:r w:rsidR="00CE0E15">
        <w:t xml:space="preserve"> developing </w:t>
      </w:r>
      <w:r w:rsidRPr="008A1C60">
        <w:t>in the decades</w:t>
      </w:r>
      <w:r>
        <w:t xml:space="preserve"> (Liu 2005). </w:t>
      </w:r>
      <w:r w:rsidRPr="00C65182">
        <w:t xml:space="preserve">Allen </w:t>
      </w:r>
      <w:r w:rsidRPr="006D5729">
        <w:rPr>
          <w:i/>
        </w:rPr>
        <w:t>et al</w:t>
      </w:r>
      <w:r w:rsidRPr="00C65182">
        <w:t>. (2005) indicated that standard corporate governance mechanisms are ineffective for public listed firms in China. However, other governance mechanisms based on reputation</w:t>
      </w:r>
      <w:r>
        <w:t>s</w:t>
      </w:r>
      <w:r w:rsidRPr="00C65182">
        <w:t xml:space="preserve"> and relationships have been effective in the private sector.</w:t>
      </w:r>
      <w:r>
        <w:t xml:space="preserve"> </w:t>
      </w:r>
      <w:r w:rsidRPr="00D41A1F">
        <w:t>Based on</w:t>
      </w:r>
      <w:r>
        <w:t xml:space="preserve"> the data from </w:t>
      </w:r>
      <w:r w:rsidRPr="00DC7D47">
        <w:rPr>
          <w:rFonts w:hint="eastAsia"/>
        </w:rPr>
        <w:t>China Stock Market and Accounting Research (CSMAR) database and the China Corporate Governance Research (CCGR) database</w:t>
      </w:r>
      <w:r>
        <w:t xml:space="preserve">, Li </w:t>
      </w:r>
      <w:r w:rsidRPr="00DC7D47">
        <w:rPr>
          <w:i/>
        </w:rPr>
        <w:t>et al</w:t>
      </w:r>
      <w:r>
        <w:t>. (2007,</w:t>
      </w:r>
      <w:r w:rsidRPr="007A43A8">
        <w:t xml:space="preserve"> </w:t>
      </w:r>
      <w:r>
        <w:t xml:space="preserve">see </w:t>
      </w:r>
      <w:r w:rsidRPr="008A1C60">
        <w:t>Appendix A.3</w:t>
      </w:r>
      <w:r>
        <w:t xml:space="preserve">) analyzed the </w:t>
      </w:r>
      <w:r w:rsidRPr="00D41A1F">
        <w:t>connection</w:t>
      </w:r>
      <w:r>
        <w:t xml:space="preserve"> of CEO compensation and corporate governance structure, </w:t>
      </w:r>
      <w:r w:rsidRPr="00D41A1F">
        <w:t xml:space="preserve">and found </w:t>
      </w:r>
      <w:r>
        <w:t>less</w:t>
      </w:r>
      <w:r w:rsidRPr="00D41A1F">
        <w:t xml:space="preserve"> </w:t>
      </w:r>
      <w:r w:rsidRPr="00D41A1F">
        <w:rPr>
          <w:rFonts w:hint="eastAsia"/>
        </w:rPr>
        <w:t xml:space="preserve">evidence </w:t>
      </w:r>
      <w:r w:rsidRPr="00D41A1F">
        <w:t>of</w:t>
      </w:r>
      <w:r w:rsidRPr="00D41A1F">
        <w:rPr>
          <w:rFonts w:hint="eastAsia"/>
        </w:rPr>
        <w:t xml:space="preserve"> Chinese CEOs tak</w:t>
      </w:r>
      <w:r w:rsidRPr="00D41A1F">
        <w:t>ing</w:t>
      </w:r>
      <w:r w:rsidRPr="00D41A1F">
        <w:rPr>
          <w:rFonts w:hint="eastAsia"/>
        </w:rPr>
        <w:t xml:space="preserve"> advantage of weaker </w:t>
      </w:r>
      <w:r w:rsidRPr="00D41A1F">
        <w:t>governance structures to boost their compensation.</w:t>
      </w:r>
      <w:r>
        <w:t xml:space="preserve"> </w:t>
      </w:r>
      <w:r w:rsidR="00D505F8">
        <w:rPr>
          <w:noProof/>
        </w:rPr>
        <w:t>Hass</w:t>
      </w:r>
      <w:r>
        <w:t xml:space="preserve"> </w:t>
      </w:r>
      <w:r w:rsidRPr="00A20C45">
        <w:rPr>
          <w:i/>
        </w:rPr>
        <w:t>et al</w:t>
      </w:r>
      <w:r>
        <w:t xml:space="preserve">. (2014, see </w:t>
      </w:r>
      <w:r w:rsidRPr="008A1C60">
        <w:t>Appendix A.</w:t>
      </w:r>
      <w:r w:rsidR="000C53B5">
        <w:t>2</w:t>
      </w:r>
      <w:r>
        <w:t xml:space="preserve">) investigated the association between corporate governance and information environment based on </w:t>
      </w:r>
      <w:r w:rsidRPr="00D41A1F">
        <w:t>the data</w:t>
      </w:r>
      <w:r>
        <w:t xml:space="preserve"> from China Stock Market </w:t>
      </w:r>
      <w:r w:rsidRPr="00D41A1F">
        <w:t>during</w:t>
      </w:r>
      <w:r>
        <w:t xml:space="preserve"> 2003-2011. They used </w:t>
      </w:r>
      <w:r w:rsidRPr="006C28FD">
        <w:rPr>
          <w:rFonts w:hint="eastAsia"/>
        </w:rPr>
        <w:t>analyst follow</w:t>
      </w:r>
      <w:r>
        <w:rPr>
          <w:rFonts w:hint="eastAsia"/>
        </w:rPr>
        <w:t>ing, analyst forecast accuracy,</w:t>
      </w:r>
      <w:r>
        <w:t xml:space="preserve"> </w:t>
      </w:r>
      <w:r w:rsidR="001C3B08" w:rsidRPr="006C28FD">
        <w:t>and analyst</w:t>
      </w:r>
      <w:r w:rsidRPr="006C28FD">
        <w:rPr>
          <w:rFonts w:hint="eastAsia"/>
        </w:rPr>
        <w:t xml:space="preserve"> forecast </w:t>
      </w:r>
      <w:r w:rsidR="00D1784F" w:rsidRPr="006C28FD">
        <w:t>dispersion</w:t>
      </w:r>
      <w:r>
        <w:rPr>
          <w:rFonts w:hint="eastAsia"/>
        </w:rPr>
        <w:t xml:space="preserve"> </w:t>
      </w:r>
      <w:r w:rsidRPr="006C28FD">
        <w:rPr>
          <w:rFonts w:hint="eastAsia"/>
        </w:rPr>
        <w:t>and price timeliness</w:t>
      </w:r>
      <w:r>
        <w:t xml:space="preserve"> as proxies for information environment and constructed a</w:t>
      </w:r>
      <w:r w:rsidRPr="00DE19BB">
        <w:rPr>
          <w:rFonts w:hint="eastAsia"/>
        </w:rPr>
        <w:t xml:space="preserve"> parsimonious firm-level score of corporate governance </w:t>
      </w:r>
      <w:r>
        <w:t xml:space="preserve">which </w:t>
      </w:r>
      <w:r w:rsidRPr="00DE19BB">
        <w:rPr>
          <w:rFonts w:hint="eastAsia"/>
        </w:rPr>
        <w:t>captures seven characteristics</w:t>
      </w:r>
      <w:r>
        <w:t xml:space="preserve">. The research outcome reveals that well-governed companies are </w:t>
      </w:r>
      <w:r w:rsidRPr="00D41A1F">
        <w:t xml:space="preserve">connected </w:t>
      </w:r>
      <w:r>
        <w:t>to the larger analyst followings and more information forecasts.</w:t>
      </w:r>
    </w:p>
    <w:p w:rsidR="00E02AB1" w:rsidRDefault="00E02AB1" w:rsidP="00FE7D59">
      <w:r>
        <w:t xml:space="preserve">The previous paragraphs described some relevant research fields connected to corporate governance. There is a large body of research literature based on the relationship between corporate governance and earnings management besides those </w:t>
      </w:r>
      <w:r w:rsidRPr="00D41A1F">
        <w:t>presented</w:t>
      </w:r>
      <w:r>
        <w:t xml:space="preserve"> above. It will be introduced </w:t>
      </w:r>
      <w:r w:rsidRPr="00D41A1F">
        <w:t>in Section 3.3</w:t>
      </w:r>
      <w:r>
        <w:t>.</w:t>
      </w:r>
    </w:p>
    <w:p w:rsidR="00E02AB1" w:rsidRPr="00FE7D59" w:rsidRDefault="00E02AB1" w:rsidP="00252752">
      <w:pPr>
        <w:pStyle w:val="Heading2"/>
      </w:pPr>
      <w:bookmarkStart w:id="28" w:name="_Toc400916050"/>
      <w:r w:rsidRPr="00FE7D59">
        <w:lastRenderedPageBreak/>
        <w:t>Reviewing prior literature on earnings management</w:t>
      </w:r>
      <w:bookmarkEnd w:id="28"/>
    </w:p>
    <w:p w:rsidR="00E02AB1" w:rsidRDefault="00E02AB1" w:rsidP="00FE7D59">
      <w:r>
        <w:t>Earnings management is</w:t>
      </w:r>
      <w:r w:rsidRPr="004E4930">
        <w:t xml:space="preserve"> </w:t>
      </w:r>
      <w:r>
        <w:t xml:space="preserve">an important research topic in the current society. The incentives of managers </w:t>
      </w:r>
      <w:r w:rsidRPr="00D41A1F">
        <w:t>carrying</w:t>
      </w:r>
      <w:r>
        <w:t xml:space="preserve"> out earnings management attract a lot of attentions from the prior literature. B</w:t>
      </w:r>
      <w:r w:rsidRPr="005924C9">
        <w:t xml:space="preserve">ased on the data of </w:t>
      </w:r>
      <w:r w:rsidRPr="00B41831">
        <w:t>companies listed on Taiwan’s Over the Counter (OTC)</w:t>
      </w:r>
      <w:r>
        <w:t xml:space="preserve"> </w:t>
      </w:r>
      <w:r w:rsidRPr="00B41831">
        <w:t>market and Taiwan Stock Exchange</w:t>
      </w:r>
      <w:r>
        <w:t xml:space="preserve"> </w:t>
      </w:r>
      <w:r w:rsidRPr="005924C9">
        <w:t>from 2005 to 2007, Chen and Tsai (2010</w:t>
      </w:r>
      <w:r>
        <w:t xml:space="preserve">, see </w:t>
      </w:r>
      <w:r w:rsidRPr="008A1C60">
        <w:t>Appendix B.</w:t>
      </w:r>
      <w:r w:rsidR="00482933">
        <w:t>2</w:t>
      </w:r>
      <w:r>
        <w:t xml:space="preserve">) investigated the motivations of earnings management. They demonstrated that there are three broad categories of motivation which lead to earnings management. These are </w:t>
      </w:r>
      <w:r w:rsidR="00A47B3D">
        <w:t>“</w:t>
      </w:r>
      <w:r w:rsidRPr="005924C9">
        <w:t>altruistic motivation, speculative motivation and pressure from affiliated parties.</w:t>
      </w:r>
      <w:r w:rsidR="00A47B3D">
        <w:t>”</w:t>
      </w:r>
      <w:r>
        <w:t xml:space="preserve"> </w:t>
      </w:r>
      <w:r w:rsidRPr="00C27949">
        <w:t xml:space="preserve">Burgstahler and Dichev (1997) found </w:t>
      </w:r>
      <w:r w:rsidRPr="00D41A1F">
        <w:t>out</w:t>
      </w:r>
      <w:r>
        <w:t xml:space="preserve"> </w:t>
      </w:r>
      <w:r w:rsidRPr="00C27949">
        <w:t>that the reason</w:t>
      </w:r>
      <w:r>
        <w:t xml:space="preserve"> of companies </w:t>
      </w:r>
      <w:r w:rsidRPr="00DC4573">
        <w:t>attempting</w:t>
      </w:r>
      <w:r>
        <w:t xml:space="preserve"> to manipulate earnings is to avoid the losses and decreases of earnings. In addition, they also found </w:t>
      </w:r>
      <w:r w:rsidRPr="00DC4573">
        <w:t>out that</w:t>
      </w:r>
      <w:r>
        <w:t xml:space="preserve"> two components of earnings (cash flow from operating and changes in working capital) are easily adopted to manipulate earnings. </w:t>
      </w:r>
      <w:r w:rsidRPr="00DC4573">
        <w:t>Based on a</w:t>
      </w:r>
      <w:r>
        <w:t xml:space="preserve"> sample</w:t>
      </w:r>
      <w:r w:rsidRPr="00DC4573">
        <w:t xml:space="preserve"> of 312 Chief Financial Officers (CFOs) of listed firms,</w:t>
      </w:r>
      <w:r>
        <w:t xml:space="preserve"> Graham </w:t>
      </w:r>
      <w:r w:rsidRPr="00790AA7">
        <w:rPr>
          <w:i/>
        </w:rPr>
        <w:t>et al</w:t>
      </w:r>
      <w:r>
        <w:t xml:space="preserve">. (2005) pointed out that 86.3% of CFOs strongly agree that beating the earnings standards </w:t>
      </w:r>
      <w:r w:rsidRPr="00DC4573">
        <w:t>assists</w:t>
      </w:r>
      <w:r>
        <w:t xml:space="preserve"> to get credibility with capital market. Kedia (2003,</w:t>
      </w:r>
      <w:r w:rsidRPr="007A43A8">
        <w:t xml:space="preserve"> </w:t>
      </w:r>
      <w:r>
        <w:t xml:space="preserve">see </w:t>
      </w:r>
      <w:r w:rsidRPr="008A1C60">
        <w:t>Appendix B.</w:t>
      </w:r>
      <w:r w:rsidR="00696B88">
        <w:t>3</w:t>
      </w:r>
      <w:r>
        <w:t xml:space="preserve">) </w:t>
      </w:r>
      <w:r w:rsidRPr="00DC4573">
        <w:t>focused</w:t>
      </w:r>
      <w:r>
        <w:t xml:space="preserve"> on the investigation of pay for performance incentives on earnings management </w:t>
      </w:r>
      <w:r w:rsidRPr="00DC4573">
        <w:t>using the data of 224 listed firms from January 1997 to June 2002</w:t>
      </w:r>
      <w:r>
        <w:t xml:space="preserve">. </w:t>
      </w:r>
      <w:r w:rsidRPr="00DC4573">
        <w:t>Kedia’s</w:t>
      </w:r>
      <w:r>
        <w:t xml:space="preserve"> paper controls several other incentives such as debt covenants and analyst forecasts to relax the </w:t>
      </w:r>
      <w:r w:rsidRPr="002564BB">
        <w:t>endogen</w:t>
      </w:r>
      <w:r>
        <w:t>e</w:t>
      </w:r>
      <w:r w:rsidRPr="002564BB">
        <w:t>ity</w:t>
      </w:r>
      <w:r>
        <w:t xml:space="preserve"> problem. It concludes a positive relationship between pay for performance incentives (based on stock and options) and earnings manipulation, implying that management is more likely to maximize their pay by manipulating earnings. </w:t>
      </w:r>
    </w:p>
    <w:p w:rsidR="00E02AB1" w:rsidRDefault="00E02AB1" w:rsidP="00FE7D59">
      <w:r w:rsidRPr="000B236C">
        <w:t>The p</w:t>
      </w:r>
      <w:r>
        <w:t>rior literature presented that reducing taxation burdens drives management to manipulate earnings. By using the data of China A-</w:t>
      </w:r>
      <w:r w:rsidRPr="000B236C">
        <w:t>share listed companies from 2004 to 2006</w:t>
      </w:r>
      <w:r>
        <w:t xml:space="preserve">, Wang </w:t>
      </w:r>
      <w:r w:rsidRPr="00D813BE">
        <w:rPr>
          <w:i/>
        </w:rPr>
        <w:t>et al</w:t>
      </w:r>
      <w:r>
        <w:t>. (2012,</w:t>
      </w:r>
      <w:r w:rsidRPr="007A43A8">
        <w:t xml:space="preserve"> </w:t>
      </w:r>
      <w:r>
        <w:t xml:space="preserve">see </w:t>
      </w:r>
      <w:r w:rsidRPr="008A1C60">
        <w:t>Appendix B.</w:t>
      </w:r>
      <w:r w:rsidR="004B67A2">
        <w:t>4</w:t>
      </w:r>
      <w:r w:rsidRPr="008A1C60">
        <w:t>) found out that there is a significantly positive relationship between earnings management and tax avoidance. Specifically, long-term business performance weakens this positive relationship. Furthermore, th</w:t>
      </w:r>
      <w:r w:rsidR="005757FE">
        <w:t>e business performance of state-owned</w:t>
      </w:r>
      <w:r w:rsidRPr="008A1C60">
        <w:t xml:space="preserve"> enterprises has less influence on earnings manipulation. Similarly, Marques </w:t>
      </w:r>
      <w:r w:rsidRPr="008A1C60">
        <w:rPr>
          <w:i/>
        </w:rPr>
        <w:t>et al</w:t>
      </w:r>
      <w:r w:rsidRPr="008A1C60">
        <w:t>. (2011) investigated the correlation between tax policy and manipulation of earnings based on</w:t>
      </w:r>
      <w:r w:rsidRPr="008A1C60">
        <w:rPr>
          <w:rFonts w:ascii="Arial Unicode MS" w:eastAsia="Arial Unicode MS" w:hAnsi="Arial Unicode MS" w:cs="Arial Unicode MS" w:hint="eastAsia"/>
          <w:sz w:val="20"/>
          <w:szCs w:val="20"/>
          <w:shd w:val="clear" w:color="auto" w:fill="FFFFFF"/>
        </w:rPr>
        <w:t xml:space="preserve"> </w:t>
      </w:r>
      <w:r w:rsidRPr="008A1C60">
        <w:rPr>
          <w:rFonts w:hint="eastAsia"/>
        </w:rPr>
        <w:t>private Portuguese companies</w:t>
      </w:r>
      <w:r w:rsidRPr="008A1C60">
        <w:t>. They found that companies</w:t>
      </w:r>
      <w:r w:rsidRPr="008A1C60">
        <w:rPr>
          <w:rFonts w:hint="eastAsia"/>
        </w:rPr>
        <w:t xml:space="preserve"> with higher average income tax rates were more likely to </w:t>
      </w:r>
      <w:r w:rsidRPr="008A1C60">
        <w:t xml:space="preserve">manage </w:t>
      </w:r>
      <w:r w:rsidRPr="008A1C60">
        <w:rPr>
          <w:rFonts w:hint="eastAsia"/>
        </w:rPr>
        <w:t xml:space="preserve">their earnings than other </w:t>
      </w:r>
      <w:r w:rsidRPr="008A1C60">
        <w:t xml:space="preserve">companies with lower income tax rates. Moreover, Beneish </w:t>
      </w:r>
      <w:r w:rsidRPr="008A1C60">
        <w:rPr>
          <w:i/>
        </w:rPr>
        <w:t>et al</w:t>
      </w:r>
      <w:r w:rsidRPr="008A1C60">
        <w:t>. (2005, see Appendix B.</w:t>
      </w:r>
      <w:r w:rsidR="00CA7378">
        <w:t>1</w:t>
      </w:r>
      <w:r w:rsidRPr="008A1C60">
        <w:t>)</w:t>
      </w:r>
      <w:r w:rsidRPr="00F364A0">
        <w:t xml:space="preserve"> provide</w:t>
      </w:r>
      <w:r>
        <w:t>d</w:t>
      </w:r>
      <w:r w:rsidRPr="00F364A0">
        <w:t xml:space="preserve"> another explanation of earnings </w:t>
      </w:r>
      <w:r w:rsidRPr="00F364A0">
        <w:lastRenderedPageBreak/>
        <w:t>management incentives,</w:t>
      </w:r>
      <w:r>
        <w:t xml:space="preserve"> which is</w:t>
      </w:r>
      <w:r w:rsidRPr="00F364A0">
        <w:t xml:space="preserve"> insider trading</w:t>
      </w:r>
      <w:r>
        <w:t>.</w:t>
      </w:r>
      <w:r w:rsidRPr="00F364A0">
        <w:t xml:space="preserve"> </w:t>
      </w:r>
      <w:r w:rsidRPr="000B236C">
        <w:t>By</w:t>
      </w:r>
      <w:r>
        <w:t xml:space="preserve"> analyzing of 462 firms who had financial problems during the years from 1983 to 1997, they pointed out that insider selling incentives are </w:t>
      </w:r>
      <w:r w:rsidRPr="000B236C">
        <w:t>related</w:t>
      </w:r>
      <w:r>
        <w:t xml:space="preserve"> to earnings management. In the meanwhile, they also highlighted that both debt contract incentive and insider selling incentives expand the likelihood of income increasing earnings management.</w:t>
      </w:r>
    </w:p>
    <w:p w:rsidR="00E02AB1" w:rsidRPr="00EC4F81" w:rsidRDefault="00E02AB1" w:rsidP="00FE7D59">
      <w:r w:rsidRPr="00EC4F81">
        <w:t>Prior empirical literature also provide</w:t>
      </w:r>
      <w:r>
        <w:t>s</w:t>
      </w:r>
      <w:r w:rsidRPr="00EC4F81">
        <w:t xml:space="preserve"> numerous</w:t>
      </w:r>
      <w:r>
        <w:t xml:space="preserve"> evidences </w:t>
      </w:r>
      <w:r w:rsidRPr="00EC4F81">
        <w:t xml:space="preserve">on the accrual-based earnings management and real activities earnings management. It is argued that most of prior research articles have tried to detect earnings management by accrual-based approach (Dechow </w:t>
      </w:r>
      <w:r w:rsidRPr="00626466">
        <w:rPr>
          <w:i/>
        </w:rPr>
        <w:t>et al</w:t>
      </w:r>
      <w:r w:rsidRPr="00EC4F81">
        <w:t>.</w:t>
      </w:r>
      <w:r>
        <w:t>,</w:t>
      </w:r>
      <w:r w:rsidRPr="00EC4F81">
        <w:t xml:space="preserve"> 1995).</w:t>
      </w:r>
      <w:r>
        <w:t xml:space="preserve"> </w:t>
      </w:r>
      <w:r w:rsidRPr="00EC4F81">
        <w:t>The primary objective of accruals is to show the true performance of the company. Management can record the revenue and expenses rather than present the cash in or outflows. However, accrual</w:t>
      </w:r>
      <w:r w:rsidR="001D0AB6">
        <w:t>s</w:t>
      </w:r>
      <w:r w:rsidRPr="00EC4F81">
        <w:t xml:space="preserve"> can be </w:t>
      </w:r>
      <w:r>
        <w:t xml:space="preserve">also </w:t>
      </w:r>
      <w:r w:rsidRPr="00EC4F81">
        <w:t xml:space="preserve">used to manipulate earnings. For instance, </w:t>
      </w:r>
      <w:r w:rsidRPr="000B236C">
        <w:t>the</w:t>
      </w:r>
      <w:r>
        <w:t xml:space="preserve"> </w:t>
      </w:r>
      <w:r w:rsidRPr="00EC4F81">
        <w:t>bad</w:t>
      </w:r>
      <w:r>
        <w:t xml:space="preserve"> debt reserves </w:t>
      </w:r>
      <w:r w:rsidRPr="00EC4F81">
        <w:t xml:space="preserve">and </w:t>
      </w:r>
      <w:r w:rsidRPr="000B236C">
        <w:t>the</w:t>
      </w:r>
      <w:r>
        <w:t xml:space="preserve"> </w:t>
      </w:r>
      <w:r w:rsidRPr="00EC4F81">
        <w:t>inventory write-downs can be manipulate</w:t>
      </w:r>
      <w:r w:rsidRPr="000B236C">
        <w:t>d</w:t>
      </w:r>
      <w:r w:rsidRPr="00EC4F81">
        <w:t xml:space="preserve"> to increase or decrease the income. </w:t>
      </w:r>
      <w:r w:rsidRPr="00ED7CA6">
        <w:t xml:space="preserve">Therefore, these discretionary behaviors are employed to investigate earnings management. Robb (1998), using a sample of banks, indicated that bank </w:t>
      </w:r>
      <w:r w:rsidRPr="00ED7CA6">
        <w:rPr>
          <w:shd w:val="clear" w:color="auto" w:fill="FFFFFF"/>
        </w:rPr>
        <w:t>managers a</w:t>
      </w:r>
      <w:r w:rsidRPr="00ED7CA6">
        <w:t>re likely to manipulate earnings to beat the market expectation. His research outcome stated that the bank managers use loan loss provision to manage earnings in a discretionary manner.</w:t>
      </w:r>
      <w:r w:rsidRPr="00EC4F81">
        <w:t xml:space="preserve"> </w:t>
      </w:r>
      <w:r w:rsidRPr="00AA368C">
        <w:rPr>
          <w:noProof/>
        </w:rPr>
        <w:t>Daniel</w:t>
      </w:r>
      <w:r w:rsidRPr="00DD6F35">
        <w:rPr>
          <w:i/>
        </w:rPr>
        <w:t xml:space="preserve"> et al</w:t>
      </w:r>
      <w:r w:rsidRPr="00EC4F81">
        <w:t>.</w:t>
      </w:r>
      <w:r>
        <w:t xml:space="preserve"> </w:t>
      </w:r>
      <w:r w:rsidRPr="00EC4F81">
        <w:t xml:space="preserve">(2008) indicated that before the </w:t>
      </w:r>
      <w:r w:rsidRPr="00C75529">
        <w:t>passage</w:t>
      </w:r>
      <w:r w:rsidRPr="004B2C90">
        <w:rPr>
          <w:color w:val="FF0000"/>
        </w:rPr>
        <w:t xml:space="preserve"> </w:t>
      </w:r>
      <w:r w:rsidRPr="00EC4F81">
        <w:t>of the Sarbanes-Oxley act in 2002, accrua</w:t>
      </w:r>
      <w:r>
        <w:t>l-based earnings</w:t>
      </w:r>
      <w:r w:rsidRPr="00EC4F81">
        <w:t xml:space="preserve"> management </w:t>
      </w:r>
      <w:r w:rsidRPr="004B2C90">
        <w:t xml:space="preserve">was </w:t>
      </w:r>
      <w:r w:rsidRPr="00EC4F81">
        <w:t>adopted</w:t>
      </w:r>
      <w:r>
        <w:rPr>
          <w:rFonts w:ascii="TimesNewRomanPSMT" w:hAnsi="TimesNewRomanPSMT" w:cs="TimesNewRomanPSMT"/>
        </w:rPr>
        <w:t xml:space="preserve"> </w:t>
      </w:r>
      <w:r w:rsidRPr="00EC4F81">
        <w:t xml:space="preserve">extensively. On the other hand, real-activities earnings management also attracts a lot of attentions. Graham </w:t>
      </w:r>
      <w:r w:rsidRPr="00DD6F35">
        <w:rPr>
          <w:i/>
        </w:rPr>
        <w:t>et al</w:t>
      </w:r>
      <w:r w:rsidRPr="00EC4F81">
        <w:t>.</w:t>
      </w:r>
      <w:r>
        <w:t xml:space="preserve"> </w:t>
      </w:r>
      <w:r w:rsidRPr="00EC4F81">
        <w:t>(2005)</w:t>
      </w:r>
      <w:r w:rsidRPr="00EC4F81">
        <w:rPr>
          <w:color w:val="333333"/>
          <w:shd w:val="clear" w:color="auto" w:fill="FFFFFF"/>
        </w:rPr>
        <w:t xml:space="preserve"> conducted a </w:t>
      </w:r>
      <w:r w:rsidRPr="00EC4F81">
        <w:t xml:space="preserve">survey of 401 executives and demonstrated that managers prefer real activities earnings management to accrual-based earnings management. Gunny (2010) also draw a similar conclusion as Graham </w:t>
      </w:r>
      <w:r>
        <w:t>did</w:t>
      </w:r>
      <w:r w:rsidRPr="00EC4F81">
        <w:t xml:space="preserve"> and presented that managers like to use real activities earnings management with better operating performance.</w:t>
      </w:r>
    </w:p>
    <w:p w:rsidR="00E02AB1" w:rsidRPr="00FE7D59" w:rsidRDefault="00E02AB1" w:rsidP="00252752">
      <w:pPr>
        <w:pStyle w:val="Heading2"/>
      </w:pPr>
      <w:bookmarkStart w:id="29" w:name="_Toc400916051"/>
      <w:r w:rsidRPr="00FE7D59">
        <w:t>Corporate governance and earnings management</w:t>
      </w:r>
      <w:bookmarkEnd w:id="29"/>
    </w:p>
    <w:p w:rsidR="00E02AB1" w:rsidRPr="00FB73F6" w:rsidRDefault="00E02AB1" w:rsidP="00FE7D59">
      <w:r w:rsidRPr="008524CD">
        <w:t xml:space="preserve">In the </w:t>
      </w:r>
      <w:r w:rsidRPr="00361606">
        <w:t>last</w:t>
      </w:r>
      <w:r w:rsidRPr="008524CD">
        <w:t xml:space="preserve"> three decades</w:t>
      </w:r>
      <w:r>
        <w:t xml:space="preserve">, </w:t>
      </w:r>
      <w:r w:rsidRPr="00361606">
        <w:t>l</w:t>
      </w:r>
      <w:r w:rsidRPr="008524CD">
        <w:t>ots</w:t>
      </w:r>
      <w:r>
        <w:t xml:space="preserve"> of researchers and analysts have</w:t>
      </w:r>
      <w:r w:rsidRPr="008524CD">
        <w:t xml:space="preserve"> devot</w:t>
      </w:r>
      <w:r>
        <w:t xml:space="preserve">ed themselves to investigate </w:t>
      </w:r>
      <w:r w:rsidRPr="008524CD">
        <w:t xml:space="preserve">corporate </w:t>
      </w:r>
      <w:r>
        <w:t xml:space="preserve">governance aspects </w:t>
      </w:r>
      <w:r w:rsidRPr="008524CD">
        <w:t>and attempt to explain the existence and determinants of earning</w:t>
      </w:r>
      <w:r>
        <w:t>s</w:t>
      </w:r>
      <w:r w:rsidRPr="008524CD">
        <w:t xml:space="preserve"> management. However, as present</w:t>
      </w:r>
      <w:r>
        <w:t>ed</w:t>
      </w:r>
      <w:r w:rsidRPr="008524CD">
        <w:t xml:space="preserve"> in </w:t>
      </w:r>
      <w:r>
        <w:t>Chapter One, most of literature</w:t>
      </w:r>
      <w:r w:rsidRPr="008524CD">
        <w:t xml:space="preserve"> is based on th</w:t>
      </w:r>
      <w:r w:rsidR="00C16DF9">
        <w:t>e developed market such as U.S.</w:t>
      </w:r>
      <w:r>
        <w:t xml:space="preserve"> and </w:t>
      </w:r>
      <w:r w:rsidRPr="008524CD">
        <w:t>Western Countries. The key argument is</w:t>
      </w:r>
      <w:r>
        <w:t xml:space="preserve"> w</w:t>
      </w:r>
      <w:r w:rsidRPr="008524CD">
        <w:t xml:space="preserve">hether corporate governance </w:t>
      </w:r>
      <w:r>
        <w:t>could constrain the activities of earning</w:t>
      </w:r>
      <w:r w:rsidR="00E5596D">
        <w:t>s</w:t>
      </w:r>
      <w:r>
        <w:t xml:space="preserve"> management effectively? T</w:t>
      </w:r>
      <w:r w:rsidRPr="004B6EE7">
        <w:t xml:space="preserve">he empirical literature </w:t>
      </w:r>
      <w:r>
        <w:t xml:space="preserve">shows </w:t>
      </w:r>
      <w:r w:rsidRPr="00361606">
        <w:t>a lot of answers to</w:t>
      </w:r>
      <w:r>
        <w:t xml:space="preserve"> this question. Shen and Chih (2007, see </w:t>
      </w:r>
      <w:r w:rsidRPr="008A1C60">
        <w:t>Appendix C.</w:t>
      </w:r>
      <w:r w:rsidR="0061464D">
        <w:t>8</w:t>
      </w:r>
      <w:r w:rsidRPr="008A1C60">
        <w:t xml:space="preserve">) investigated the effect of </w:t>
      </w:r>
      <w:r w:rsidRPr="008A1C60">
        <w:lastRenderedPageBreak/>
        <w:t xml:space="preserve">corporate governance on earnings management by using 495 companies of 25 Asian emerging countries. They found a negative relationship between corporate governance and earnings management, and pointed out that companies with large size and higher growth have more earnings management activities. Good corporate governance mechanism can assist to reduce the level of earnings management. The similar conclusion was drawn by Cornett </w:t>
      </w:r>
      <w:r w:rsidRPr="008A1C60">
        <w:rPr>
          <w:i/>
        </w:rPr>
        <w:t>et al</w:t>
      </w:r>
      <w:r w:rsidRPr="008A1C60">
        <w:t>. (2009). They took large U</w:t>
      </w:r>
      <w:r w:rsidR="00C16DF9">
        <w:t>.</w:t>
      </w:r>
      <w:r w:rsidRPr="008A1C60">
        <w:t>S</w:t>
      </w:r>
      <w:r w:rsidR="00C16DF9">
        <w:t xml:space="preserve">. </w:t>
      </w:r>
      <w:r w:rsidRPr="008A1C60">
        <w:t xml:space="preserve">banks as samples and found out that some corporate governance elements can help to reduce the earnings management. Moreover, </w:t>
      </w:r>
      <w:r w:rsidR="00EF1EDC" w:rsidRPr="008A1C60">
        <w:fldChar w:fldCharType="begin" w:fldLock="1"/>
      </w:r>
      <w:r w:rsidR="005B7008">
        <w:instrText>ADDIN CSL_CITATION { "citationItems" : [ { "id" : "ITEM-1", "itemData" : { "author" : [ { "dropping-particle" : "", "family" : "Houqe", "given" : "Muhammad Nurul", "non-dropping-particle" : "", "parse-names" : false, "suffix" : "" }, { "dropping-particle" : "Van", "family" : "Zijl", "given" : "Tony", "non-dropping-particle" : "", "parse-names" : false, "suffix" : "" }, { "dropping-particle" : "", "family" : "Dunstan", "given" : "Keitha", "non-dropping-particle" : "", "parse-names" : false, "suffix" : "" }, { "dropping-particle" : "", "family" : "Karim", "given" : "A K M Waresul", "non-dropping-particle" : "", "parse-names" : false, "suffix" : "" } ], "id" : "ITEM-1", "issue" : "2006", "issued" : { "date-parts" : [ [ "2007" ] ] }, "page" : "1-12", "title" : "Does Corporate Governance affect Earnings Quality : Evidence from an Emerging Market", "type" : "article-journal" }, "uris" : [ "http://www.mendeley.com/documents/?uuid=bb01bba9-4d98-43a5-9b16-110a5ba6c16e" ] } ], "mendeley" : { "manualFormatting" : "Houqe et al., (2007)", "previouslyFormattedCitation" : "(Houqe, Zijl, Dunstan, &amp; Karim, 2007)" }, "properties" : { "noteIndex" : 0 }, "schema" : "https://github.com/citation-style-language/schema/raw/master/csl-citation.json" }</w:instrText>
      </w:r>
      <w:r w:rsidR="00EF1EDC" w:rsidRPr="008A1C60">
        <w:fldChar w:fldCharType="separate"/>
      </w:r>
      <w:r w:rsidRPr="008A1C60">
        <w:rPr>
          <w:noProof/>
        </w:rPr>
        <w:t>Houqe</w:t>
      </w:r>
      <w:r w:rsidR="005B7008">
        <w:rPr>
          <w:noProof/>
        </w:rPr>
        <w:t xml:space="preserve"> </w:t>
      </w:r>
      <w:r w:rsidR="005B7008" w:rsidRPr="005B7008">
        <w:rPr>
          <w:i/>
          <w:noProof/>
        </w:rPr>
        <w:t>et al</w:t>
      </w:r>
      <w:r w:rsidR="005B7008">
        <w:rPr>
          <w:noProof/>
        </w:rPr>
        <w:t>.,</w:t>
      </w:r>
      <w:r w:rsidR="001C3B08">
        <w:rPr>
          <w:noProof/>
        </w:rPr>
        <w:t xml:space="preserve"> </w:t>
      </w:r>
      <w:r w:rsidRPr="008A1C60">
        <w:rPr>
          <w:noProof/>
        </w:rPr>
        <w:t>(2007)</w:t>
      </w:r>
      <w:r w:rsidR="00EF1EDC" w:rsidRPr="008A1C60">
        <w:fldChar w:fldCharType="end"/>
      </w:r>
      <w:r w:rsidRPr="008A1C60">
        <w:t xml:space="preserve"> found a positive relationship between corporate governance mechanism and the quality of earnings based on India evidence. Specifically, this article used return on equity (ROE) as control variable. Wang </w:t>
      </w:r>
      <w:r w:rsidRPr="008A1C60">
        <w:rPr>
          <w:i/>
        </w:rPr>
        <w:t>et al</w:t>
      </w:r>
      <w:r w:rsidRPr="008A1C60">
        <w:t xml:space="preserve">. (2011) studied the association of the Sarbanes-Oxley </w:t>
      </w:r>
      <w:r w:rsidRPr="00F32119">
        <w:t>Act</w:t>
      </w:r>
      <w:r>
        <w:t xml:space="preserve"> of 2002 and earnings management. </w:t>
      </w:r>
      <w:r w:rsidRPr="00F32119">
        <w:t>Sarbanes-Oxley Act</w:t>
      </w:r>
      <w:r>
        <w:t xml:space="preserve"> (the SOX Act) is designed for innovating corporate governance structure. The research outcome indicated that the implementation of SOX Act </w:t>
      </w:r>
      <w:r w:rsidRPr="00361606">
        <w:t>reduced</w:t>
      </w:r>
      <w:r>
        <w:t xml:space="preserve"> the earnings management significantly. However, not all research results </w:t>
      </w:r>
      <w:r w:rsidRPr="00361606">
        <w:t>presented a</w:t>
      </w:r>
      <w:r>
        <w:t xml:space="preserve"> significant relationship between corporate governance and earnings management. </w:t>
      </w:r>
      <w:r w:rsidRPr="00A175E8">
        <w:t xml:space="preserve">Abed </w:t>
      </w:r>
      <w:r w:rsidRPr="00322CC4">
        <w:rPr>
          <w:i/>
        </w:rPr>
        <w:t>et al.</w:t>
      </w:r>
      <w:r>
        <w:t xml:space="preserve"> (2012, see </w:t>
      </w:r>
      <w:r w:rsidRPr="008A1C60">
        <w:t>Appendix C.2</w:t>
      </w:r>
      <w:r>
        <w:t>) took listed firms of</w:t>
      </w:r>
      <w:r w:rsidR="009E7323">
        <w:t xml:space="preserve"> Amman Stock E</w:t>
      </w:r>
      <w:r w:rsidRPr="00A175E8">
        <w:t>xchange (Jordan)</w:t>
      </w:r>
      <w:r>
        <w:t xml:space="preserve"> from 2006 to 2009</w:t>
      </w:r>
      <w:r w:rsidRPr="00A175E8">
        <w:t xml:space="preserve"> as a research sample, and </w:t>
      </w:r>
      <w:r>
        <w:t>analyzed</w:t>
      </w:r>
      <w:r w:rsidRPr="00A175E8">
        <w:t xml:space="preserve"> the </w:t>
      </w:r>
      <w:r>
        <w:t>relationship</w:t>
      </w:r>
      <w:r w:rsidRPr="00A175E8">
        <w:t xml:space="preserve"> between corporate governance and earnings management.</w:t>
      </w:r>
      <w:r w:rsidR="00DC17D6">
        <w:t xml:space="preserve"> The outcome is surprising – </w:t>
      </w:r>
      <w:r w:rsidRPr="00361606">
        <w:t>no significant</w:t>
      </w:r>
      <w:r>
        <w:t xml:space="preserve"> relationship between corporate governance factors and earnings management. The authors explained </w:t>
      </w:r>
      <w:r w:rsidRPr="00361606">
        <w:t>that this is because</w:t>
      </w:r>
      <w:r>
        <w:t xml:space="preserve"> </w:t>
      </w:r>
      <w:r w:rsidRPr="00964B8E">
        <w:t xml:space="preserve">Jordanian public listed </w:t>
      </w:r>
      <w:r>
        <w:t>firm</w:t>
      </w:r>
      <w:r w:rsidRPr="00964B8E">
        <w:t>s are</w:t>
      </w:r>
      <w:r>
        <w:t xml:space="preserve"> </w:t>
      </w:r>
      <w:r w:rsidRPr="00964B8E">
        <w:t>owned by family or identifiable group</w:t>
      </w:r>
      <w:r>
        <w:t xml:space="preserve">. Therefore, </w:t>
      </w:r>
      <w:r w:rsidRPr="00964B8E">
        <w:t>agency problem is not pronounced and th</w:t>
      </w:r>
      <w:r>
        <w:t xml:space="preserve">e role of corporate governance </w:t>
      </w:r>
      <w:r w:rsidRPr="00964B8E">
        <w:t xml:space="preserve">mechanism is </w:t>
      </w:r>
      <w:r w:rsidRPr="00361606">
        <w:t>less necessary</w:t>
      </w:r>
      <w:r w:rsidRPr="00964B8E">
        <w:t xml:space="preserve"> in this situation. </w:t>
      </w:r>
      <w:r>
        <w:t xml:space="preserve">In the next sub-sections, </w:t>
      </w:r>
      <w:r w:rsidRPr="00361606">
        <w:t>researches related to</w:t>
      </w:r>
      <w:r>
        <w:t xml:space="preserve"> specific items of corporate governance and earnings management will be introduced.</w:t>
      </w:r>
    </w:p>
    <w:p w:rsidR="00E02AB1" w:rsidRPr="00FE7D59" w:rsidRDefault="00E02AB1" w:rsidP="00252752">
      <w:pPr>
        <w:pStyle w:val="Heading3"/>
      </w:pPr>
      <w:bookmarkStart w:id="30" w:name="_Toc400916052"/>
      <w:r w:rsidRPr="00FE7D59">
        <w:t>Board characteristics</w:t>
      </w:r>
      <w:bookmarkEnd w:id="30"/>
    </w:p>
    <w:p w:rsidR="00E02AB1" w:rsidRDefault="00E02AB1" w:rsidP="00FE7D59">
      <w:r w:rsidRPr="00361606">
        <w:t>Plenty of researchers</w:t>
      </w:r>
      <w:r>
        <w:t xml:space="preserve"> took board characteristics as an important element of corporate g</w:t>
      </w:r>
      <w:r w:rsidR="00007543">
        <w:t>overnance research. Board size</w:t>
      </w:r>
      <w:r>
        <w:t>, independ</w:t>
      </w:r>
      <w:r w:rsidR="005A5C77">
        <w:t>ent directors, supervisor board size</w:t>
      </w:r>
      <w:r>
        <w:t xml:space="preserve"> and CEO </w:t>
      </w:r>
      <w:r w:rsidR="00952F89">
        <w:rPr>
          <w:rFonts w:cs="Times New Roman"/>
          <w:szCs w:val="24"/>
        </w:rPr>
        <w:t>du</w:t>
      </w:r>
      <w:r w:rsidR="00F1578F">
        <w:rPr>
          <w:rFonts w:cs="Times New Roman"/>
          <w:szCs w:val="24"/>
        </w:rPr>
        <w:t>ality</w:t>
      </w:r>
      <w:r>
        <w:t xml:space="preserve"> are often adopted in those empirical literatures. </w:t>
      </w:r>
    </w:p>
    <w:p w:rsidR="00E02AB1" w:rsidRDefault="00E02AB1" w:rsidP="002E1543">
      <w:pPr>
        <w:pStyle w:val="ListParagraph"/>
        <w:numPr>
          <w:ilvl w:val="0"/>
          <w:numId w:val="2"/>
        </w:numPr>
        <w:spacing w:after="100" w:afterAutospacing="1" w:line="360" w:lineRule="auto"/>
        <w:jc w:val="both"/>
        <w:rPr>
          <w:rFonts w:ascii="Times New Roman" w:hAnsi="Times New Roman" w:cs="Times New Roman"/>
          <w:sz w:val="24"/>
          <w:szCs w:val="24"/>
        </w:rPr>
      </w:pPr>
      <w:r w:rsidRPr="007B63EC">
        <w:rPr>
          <w:rFonts w:ascii="Times New Roman" w:hAnsi="Times New Roman" w:cs="Times New Roman"/>
          <w:sz w:val="24"/>
          <w:szCs w:val="24"/>
        </w:rPr>
        <w:t>Board</w:t>
      </w:r>
      <w:r>
        <w:rPr>
          <w:rFonts w:ascii="Times New Roman" w:hAnsi="Times New Roman" w:cs="Times New Roman"/>
          <w:sz w:val="24"/>
          <w:szCs w:val="24"/>
        </w:rPr>
        <w:t xml:space="preserve"> s</w:t>
      </w:r>
      <w:r w:rsidRPr="007B63EC">
        <w:rPr>
          <w:rFonts w:ascii="Times New Roman" w:hAnsi="Times New Roman" w:cs="Times New Roman"/>
          <w:sz w:val="24"/>
          <w:szCs w:val="24"/>
        </w:rPr>
        <w:t>ize</w:t>
      </w:r>
      <w:r>
        <w:rPr>
          <w:rFonts w:ascii="Times New Roman" w:hAnsi="Times New Roman" w:cs="Times New Roman"/>
          <w:sz w:val="24"/>
          <w:szCs w:val="24"/>
        </w:rPr>
        <w:t xml:space="preserve"> </w:t>
      </w:r>
    </w:p>
    <w:p w:rsidR="00E02AB1" w:rsidRPr="004A4F68" w:rsidRDefault="00E02AB1" w:rsidP="00FE7D59">
      <w:pPr>
        <w:rPr>
          <w:color w:val="FF0000"/>
        </w:rPr>
      </w:pPr>
      <w:r>
        <w:t xml:space="preserve">There is no clear consensus on whether the board size affects earnings management. Using 281 listed firms as a sample, Xie </w:t>
      </w:r>
      <w:r w:rsidRPr="005A04E9">
        <w:rPr>
          <w:i/>
        </w:rPr>
        <w:t>et al</w:t>
      </w:r>
      <w:r>
        <w:t xml:space="preserve">. (2003, see </w:t>
      </w:r>
      <w:r w:rsidRPr="008A1C60">
        <w:t>Appendix C.</w:t>
      </w:r>
      <w:r w:rsidR="00AE0CDC">
        <w:t>10</w:t>
      </w:r>
      <w:r>
        <w:t xml:space="preserve">) indicated </w:t>
      </w:r>
      <w:r>
        <w:lastRenderedPageBreak/>
        <w:t xml:space="preserve">that large board size can help to reduce earnings management because independent directors with law or accounting knowledge are more likely to be included in large board. Similar results were provided by other researchers such as </w:t>
      </w:r>
      <w:r w:rsidRPr="002B243A">
        <w:t xml:space="preserve">Chtourou </w:t>
      </w:r>
      <w:r w:rsidRPr="006742C7">
        <w:rPr>
          <w:i/>
        </w:rPr>
        <w:t>et al</w:t>
      </w:r>
      <w:r w:rsidRPr="002B243A">
        <w:t>. (2001). They concluded th</w:t>
      </w:r>
      <w:r>
        <w:t>at the corporate board size has</w:t>
      </w:r>
      <w:r w:rsidRPr="002B243A">
        <w:t xml:space="preserve"> a</w:t>
      </w:r>
      <w:r>
        <w:t xml:space="preserve"> negative re</w:t>
      </w:r>
      <w:r w:rsidRPr="002B243A">
        <w:t>latio</w:t>
      </w:r>
      <w:r>
        <w:t>n</w:t>
      </w:r>
      <w:r w:rsidRPr="002B243A">
        <w:t>ship</w:t>
      </w:r>
      <w:r>
        <w:t xml:space="preserve"> with earnings management. This means the larger the corporate board </w:t>
      </w:r>
      <w:r w:rsidRPr="003D0632">
        <w:t>is</w:t>
      </w:r>
      <w:r>
        <w:t xml:space="preserve">, the less activities of earnings management </w:t>
      </w:r>
      <w:r w:rsidRPr="003D0632">
        <w:t>exist</w:t>
      </w:r>
      <w:r>
        <w:t xml:space="preserve">. However, </w:t>
      </w:r>
      <w:r w:rsidRPr="002B243A">
        <w:t>lots</w:t>
      </w:r>
      <w:r>
        <w:t xml:space="preserve"> of researchers argued that large board size is not effective for the company. Lipton </w:t>
      </w:r>
      <w:r w:rsidRPr="00F60709">
        <w:rPr>
          <w:i/>
        </w:rPr>
        <w:t>et al</w:t>
      </w:r>
      <w:r>
        <w:rPr>
          <w:i/>
        </w:rPr>
        <w:t>.</w:t>
      </w:r>
      <w:r>
        <w:t xml:space="preserve"> (1992) presented that the number of members of corporate board should not be more than ten people. It is hard to exchange ideas efficiently due to large body of board members. By using</w:t>
      </w:r>
      <w:r w:rsidRPr="00F60709">
        <w:t xml:space="preserve"> </w:t>
      </w:r>
      <w:r>
        <w:t xml:space="preserve">a sample of 97 listed firms from Malaysia in the period of 2002-2003, </w:t>
      </w:r>
      <w:r w:rsidR="006B1D67">
        <w:rPr>
          <w:noProof/>
        </w:rPr>
        <w:t>Abdul</w:t>
      </w:r>
      <w:r w:rsidR="006B1D67" w:rsidRPr="00D4012E">
        <w:rPr>
          <w:noProof/>
        </w:rPr>
        <w:t xml:space="preserve"> </w:t>
      </w:r>
      <w:r w:rsidRPr="00D4012E">
        <w:rPr>
          <w:noProof/>
        </w:rPr>
        <w:t>Rahman</w:t>
      </w:r>
      <w:r>
        <w:t xml:space="preserve"> </w:t>
      </w:r>
      <w:r w:rsidRPr="00F60709">
        <w:rPr>
          <w:i/>
        </w:rPr>
        <w:t>et al</w:t>
      </w:r>
      <w:r>
        <w:t>. (</w:t>
      </w:r>
      <w:r w:rsidRPr="00CF6A8E">
        <w:t>2006</w:t>
      </w:r>
      <w:r>
        <w:t>,</w:t>
      </w:r>
      <w:r w:rsidRPr="007A43A8">
        <w:t xml:space="preserve"> </w:t>
      </w:r>
      <w:r>
        <w:t xml:space="preserve">see </w:t>
      </w:r>
      <w:r w:rsidRPr="008A1C60">
        <w:t>Appendix C.</w:t>
      </w:r>
      <w:r w:rsidR="00F96A67">
        <w:t>1</w:t>
      </w:r>
      <w:r>
        <w:t xml:space="preserve">) studied the association between board characteristics, audit committee, culture and earnings management. The empirical results indicated that there is a significantly positive relationship between board size and earnings management, implying large board size with more activities of earnings management. </w:t>
      </w:r>
      <w:r w:rsidRPr="008A1C60">
        <w:t>Moreover, this research article took leverage (a ratio of total debt to total assets) and firm size (nature logarithm of total assets) as the control variables. The results indicated that there is a negative relationship between firm size and earnings management. However, there was no significant relationship between leverage and earnings management.</w:t>
      </w:r>
      <w:r>
        <w:rPr>
          <w:color w:val="FF0000"/>
        </w:rPr>
        <w:t xml:space="preserve"> </w:t>
      </w:r>
      <w:r>
        <w:t>Referring to supervisory board size,</w:t>
      </w:r>
      <w:r w:rsidRPr="006F705D">
        <w:rPr>
          <w:rFonts w:eastAsia="MS Mincho" w:hint="eastAsia"/>
          <w:kern w:val="2"/>
          <w:lang w:eastAsia="ja-JP"/>
        </w:rPr>
        <w:t xml:space="preserve"> Firth </w:t>
      </w:r>
      <w:r w:rsidRPr="00F60709">
        <w:rPr>
          <w:rFonts w:eastAsia="MS Mincho" w:hint="eastAsia"/>
          <w:i/>
          <w:kern w:val="2"/>
          <w:lang w:eastAsia="ja-JP"/>
        </w:rPr>
        <w:t>et al.</w:t>
      </w:r>
      <w:r>
        <w:rPr>
          <w:rFonts w:eastAsia="MS Mincho"/>
          <w:kern w:val="2"/>
          <w:lang w:eastAsia="ja-JP"/>
        </w:rPr>
        <w:t xml:space="preserve"> </w:t>
      </w:r>
      <w:r w:rsidRPr="006F705D">
        <w:rPr>
          <w:rFonts w:eastAsia="MS Mincho" w:hint="eastAsia"/>
          <w:kern w:val="2"/>
          <w:lang w:eastAsia="ja-JP"/>
        </w:rPr>
        <w:t>(2007)</w:t>
      </w:r>
      <w:r>
        <w:rPr>
          <w:rFonts w:eastAsia="MS Mincho"/>
          <w:kern w:val="2"/>
          <w:lang w:eastAsia="ja-JP"/>
        </w:rPr>
        <w:t xml:space="preserve"> found a significant and negative effect of supervisory board size on earnings management.</w:t>
      </w:r>
    </w:p>
    <w:p w:rsidR="00E02AB1" w:rsidRPr="003F6D5C" w:rsidRDefault="00E02AB1" w:rsidP="002E1543">
      <w:pPr>
        <w:pStyle w:val="ListParagraph"/>
        <w:numPr>
          <w:ilvl w:val="0"/>
          <w:numId w:val="4"/>
        </w:numPr>
        <w:spacing w:after="100" w:afterAutospacing="1" w:line="360" w:lineRule="auto"/>
        <w:jc w:val="both"/>
        <w:rPr>
          <w:rFonts w:ascii="Times New Roman" w:hAnsi="Times New Roman" w:cs="Times New Roman"/>
          <w:sz w:val="24"/>
          <w:szCs w:val="24"/>
        </w:rPr>
      </w:pPr>
      <w:r w:rsidRPr="003F6D5C">
        <w:rPr>
          <w:rFonts w:ascii="Times New Roman" w:hAnsi="Times New Roman" w:cs="Times New Roman"/>
          <w:sz w:val="24"/>
          <w:szCs w:val="24"/>
        </w:rPr>
        <w:t>Independent directors</w:t>
      </w:r>
    </w:p>
    <w:p w:rsidR="00E02AB1" w:rsidRDefault="001C3B08" w:rsidP="00FE7D59">
      <w:r>
        <w:t>Fama and Jen</w:t>
      </w:r>
      <w:r w:rsidR="00E02AB1">
        <w:t xml:space="preserve">sen (1983) demonstrated that independent directors make the corporate board more effective. It is obvious that insiders (directors) have more information about the company than the outsiders (directors). This situation may lead to self-interest of insiders at the </w:t>
      </w:r>
      <w:r w:rsidR="00E02AB1" w:rsidRPr="003D0632">
        <w:t>expense of the shareholders.</w:t>
      </w:r>
      <w:r w:rsidR="00E02AB1">
        <w:t xml:space="preserve"> Therefore, independent directors are included in the corporate board to monitor the whole board activities. This improves company performance, decreases the agency conflicts and makes the corporate board more effe</w:t>
      </w:r>
      <w:r>
        <w:t>ctive in working as Fama and Jen</w:t>
      </w:r>
      <w:r w:rsidR="00E02AB1">
        <w:t>sen</w:t>
      </w:r>
      <w:r>
        <w:t xml:space="preserve"> signaled</w:t>
      </w:r>
      <w:r w:rsidR="00E02AB1">
        <w:t>. Klein (2002,</w:t>
      </w:r>
      <w:r w:rsidR="00E02AB1" w:rsidRPr="007A43A8">
        <w:t xml:space="preserve"> </w:t>
      </w:r>
      <w:r w:rsidR="00E02AB1">
        <w:t xml:space="preserve">see </w:t>
      </w:r>
      <w:r w:rsidR="00E02AB1" w:rsidRPr="008A1C60">
        <w:t>Appendix C.</w:t>
      </w:r>
      <w:r w:rsidR="00776B8F">
        <w:t>6</w:t>
      </w:r>
      <w:r w:rsidR="00E02AB1">
        <w:t xml:space="preserve">) also gave the similar conclusions. He analyzed the association between earnings management and </w:t>
      </w:r>
      <w:r w:rsidR="00E02AB1" w:rsidRPr="00AD480B">
        <w:t>board directors</w:t>
      </w:r>
      <w:r w:rsidR="00E02AB1">
        <w:t xml:space="preserve"> </w:t>
      </w:r>
      <w:r w:rsidR="00C16DF9">
        <w:t>by using 692 listed firms of U.S</w:t>
      </w:r>
      <w:r w:rsidR="00E02AB1">
        <w:t xml:space="preserve">. The research results showed that there is a </w:t>
      </w:r>
      <w:r w:rsidR="00E02AB1" w:rsidRPr="00AD480B">
        <w:t>significantly</w:t>
      </w:r>
      <w:r w:rsidR="00E02AB1">
        <w:t xml:space="preserve"> negative relationship between </w:t>
      </w:r>
      <w:r w:rsidR="00E02AB1" w:rsidRPr="00BC0E3C">
        <w:t xml:space="preserve">abnormal accruals </w:t>
      </w:r>
      <w:r w:rsidR="00E02AB1">
        <w:t xml:space="preserve">and independent directors, suggesting more independent directors with less level of abnormal accruals. Furthermore, </w:t>
      </w:r>
      <w:r w:rsidR="00E02AB1" w:rsidRPr="008A1C60">
        <w:t xml:space="preserve">this study also adopted leverage </w:t>
      </w:r>
      <w:r w:rsidR="00E02AB1" w:rsidRPr="008A1C60">
        <w:lastRenderedPageBreak/>
        <w:t>and firm siz</w:t>
      </w:r>
      <w:r w:rsidR="00C16DF9">
        <w:t xml:space="preserve">e as the control variables. The results presented </w:t>
      </w:r>
      <w:r w:rsidR="00E02AB1" w:rsidRPr="008A1C60">
        <w:t>a positive relationship between leverage and earnings management, meanwhile a negative relationship between firm size and earnings management.</w:t>
      </w:r>
      <w:r w:rsidR="00E02AB1">
        <w:t xml:space="preserve"> </w:t>
      </w:r>
      <w:r w:rsidR="00E02AB1" w:rsidRPr="00AD480B">
        <w:t>In China,</w:t>
      </w:r>
      <w:r w:rsidR="00E02AB1">
        <w:t xml:space="preserve"> Lo </w:t>
      </w:r>
      <w:r w:rsidR="00E02AB1" w:rsidRPr="00D14297">
        <w:rPr>
          <w:i/>
        </w:rPr>
        <w:t>et al.</w:t>
      </w:r>
      <w:r w:rsidR="00E02AB1">
        <w:t xml:space="preserve"> (2010) suggested that t</w:t>
      </w:r>
      <w:r w:rsidR="00E02AB1" w:rsidRPr="00794924">
        <w:t>he</w:t>
      </w:r>
      <w:r w:rsidR="00E02AB1">
        <w:t xml:space="preserve"> more independent directors </w:t>
      </w:r>
      <w:r w:rsidR="00E02AB1" w:rsidRPr="00794924">
        <w:t>results in less level of transfer pricing manipulation</w:t>
      </w:r>
      <w:r w:rsidR="00E02AB1">
        <w:t xml:space="preserve">. </w:t>
      </w:r>
    </w:p>
    <w:p w:rsidR="00E02AB1" w:rsidRPr="009C7891" w:rsidRDefault="00E02AB1" w:rsidP="00FE7D59">
      <w:r w:rsidRPr="009C7891">
        <w:t>However, the empirical research results on the associat</w:t>
      </w:r>
      <w:r>
        <w:t xml:space="preserve">ion between earnings management </w:t>
      </w:r>
      <w:r w:rsidRPr="009C7891">
        <w:t>and board independence are conflicting.</w:t>
      </w:r>
      <w:r>
        <w:t xml:space="preserve"> By using a sample of 539 firm-observations of Canada in the period of 1991-1997, Park </w:t>
      </w:r>
      <w:r w:rsidRPr="00D050EF">
        <w:rPr>
          <w:i/>
        </w:rPr>
        <w:t>et al.</w:t>
      </w:r>
      <w:r>
        <w:t xml:space="preserve"> (2004, see </w:t>
      </w:r>
      <w:r w:rsidRPr="008A1C60">
        <w:t>Appendix C.</w:t>
      </w:r>
      <w:r w:rsidR="0025519E">
        <w:t>7</w:t>
      </w:r>
      <w:r>
        <w:t xml:space="preserve">) found that the independent directors do not have </w:t>
      </w:r>
      <w:r w:rsidRPr="00794924">
        <w:t>a</w:t>
      </w:r>
      <w:r w:rsidR="009E0765">
        <w:rPr>
          <w:color w:val="FF0000"/>
        </w:rPr>
        <w:t xml:space="preserve"> </w:t>
      </w:r>
      <w:r w:rsidRPr="00794924">
        <w:t>statistically significant correlation</w:t>
      </w:r>
      <w:r>
        <w:t xml:space="preserve"> with earnings management, suggesting that the proportion of independent directors does not assist the company to decrease activities of earnings management. In addition, </w:t>
      </w:r>
      <w:r w:rsidR="006B1D67">
        <w:rPr>
          <w:noProof/>
        </w:rPr>
        <w:t>Abdul</w:t>
      </w:r>
      <w:r w:rsidR="006B1D67" w:rsidRPr="00D4012E">
        <w:rPr>
          <w:noProof/>
        </w:rPr>
        <w:t xml:space="preserve"> </w:t>
      </w:r>
      <w:r w:rsidRPr="00D4012E">
        <w:rPr>
          <w:noProof/>
        </w:rPr>
        <w:t>Rahman</w:t>
      </w:r>
      <w:r>
        <w:t xml:space="preserve"> </w:t>
      </w:r>
      <w:r w:rsidRPr="00D050EF">
        <w:rPr>
          <w:i/>
        </w:rPr>
        <w:t>et al.</w:t>
      </w:r>
      <w:r>
        <w:t xml:space="preserve"> (2006) used discretionary accrual as a proxy for earnings management and found no significant relationship between independent directors and earnings management for Malaysian sample</w:t>
      </w:r>
      <w:r w:rsidR="00C148DC">
        <w:t>s</w:t>
      </w:r>
      <w:r>
        <w:t>.</w:t>
      </w:r>
    </w:p>
    <w:p w:rsidR="00E02AB1" w:rsidRDefault="00E02AB1" w:rsidP="002E1543">
      <w:pPr>
        <w:pStyle w:val="ListParagraph"/>
        <w:numPr>
          <w:ilvl w:val="0"/>
          <w:numId w:val="2"/>
        </w:numPr>
        <w:spacing w:after="100" w:afterAutospacing="1" w:line="360" w:lineRule="auto"/>
        <w:jc w:val="both"/>
        <w:rPr>
          <w:rFonts w:ascii="Times New Roman" w:hAnsi="Times New Roman" w:cs="Times New Roman"/>
          <w:sz w:val="24"/>
          <w:szCs w:val="24"/>
        </w:rPr>
      </w:pPr>
      <w:r w:rsidRPr="00947199">
        <w:rPr>
          <w:rFonts w:ascii="Times New Roman" w:hAnsi="Times New Roman" w:cs="Times New Roman"/>
          <w:sz w:val="24"/>
          <w:szCs w:val="24"/>
        </w:rPr>
        <w:t xml:space="preserve">CEO </w:t>
      </w:r>
      <w:r>
        <w:rPr>
          <w:rFonts w:ascii="Times New Roman" w:hAnsi="Times New Roman" w:cs="Times New Roman"/>
          <w:sz w:val="24"/>
          <w:szCs w:val="24"/>
        </w:rPr>
        <w:t>duality</w:t>
      </w:r>
    </w:p>
    <w:p w:rsidR="00E02AB1" w:rsidRDefault="00E02AB1" w:rsidP="00FE7D59">
      <w:r>
        <w:t xml:space="preserve">Plenty of studies argue the role of Chief Executive Officer (CEO) who is also the Chairman of the company. The Cadbury Committee published the Code of Best Practice in 1992, suggesting </w:t>
      </w:r>
      <w:r w:rsidRPr="00794924">
        <w:t xml:space="preserve">separating </w:t>
      </w:r>
      <w:r>
        <w:t xml:space="preserve">the responsibilities of CEO and Chairman (Dedman, </w:t>
      </w:r>
      <w:r w:rsidRPr="00A662E4">
        <w:t>2002)</w:t>
      </w:r>
      <w:r>
        <w:t xml:space="preserve">. Jensen (1993) also stated that </w:t>
      </w:r>
      <w:r w:rsidRPr="00794924">
        <w:t>separating the role of CEO from that of</w:t>
      </w:r>
      <w:r>
        <w:t xml:space="preserve"> Chairman improves the efficiency of the work. Actually, the duties of Chairman are to run a board meeting, </w:t>
      </w:r>
      <w:r w:rsidRPr="00A041ED">
        <w:t>communicate with independent director</w:t>
      </w:r>
      <w:r>
        <w:t>s,</w:t>
      </w:r>
      <w:r w:rsidRPr="00A041ED">
        <w:t xml:space="preserve"> and </w:t>
      </w:r>
      <w:r>
        <w:t xml:space="preserve">even </w:t>
      </w:r>
      <w:r w:rsidRPr="00A041ED">
        <w:t>monitor the CEO.</w:t>
      </w:r>
      <w:r>
        <w:t xml:space="preserve"> The combination of the role</w:t>
      </w:r>
      <w:r w:rsidRPr="00794924">
        <w:t>s</w:t>
      </w:r>
      <w:r>
        <w:t xml:space="preserve"> of CEO and Chairman might weaken </w:t>
      </w:r>
      <w:r w:rsidRPr="00A37587">
        <w:t>the duty of</w:t>
      </w:r>
      <w:r>
        <w:t xml:space="preserve"> Chairman. </w:t>
      </w:r>
      <w:r w:rsidRPr="00A37587">
        <w:t>Based on</w:t>
      </w:r>
      <w:r>
        <w:t xml:space="preserve"> a group </w:t>
      </w:r>
      <w:r w:rsidR="00114E8E">
        <w:t xml:space="preserve">of sample of 173 firms with CEO as </w:t>
      </w:r>
      <w:r>
        <w:t>Chairman and 112 firms with non-CEO</w:t>
      </w:r>
      <w:r w:rsidR="008C28BD">
        <w:t xml:space="preserve"> as Chairman</w:t>
      </w:r>
      <w:r>
        <w:t xml:space="preserve">, </w:t>
      </w:r>
      <w:r w:rsidRPr="008B2303">
        <w:t xml:space="preserve">Davidson </w:t>
      </w:r>
      <w:r w:rsidRPr="005F67EE">
        <w:rPr>
          <w:i/>
        </w:rPr>
        <w:t>et al</w:t>
      </w:r>
      <w:r w:rsidRPr="008B2303">
        <w:t>. (2004</w:t>
      </w:r>
      <w:r>
        <w:t xml:space="preserve">, see </w:t>
      </w:r>
      <w:r w:rsidRPr="008A1C60">
        <w:t>Appendix C.</w:t>
      </w:r>
      <w:r w:rsidR="001E5557">
        <w:t>4</w:t>
      </w:r>
      <w:r w:rsidRPr="008B2303">
        <w:t>) p</w:t>
      </w:r>
      <w:r>
        <w:t xml:space="preserve">ointed out that </w:t>
      </w:r>
      <w:r w:rsidRPr="00A37587">
        <w:t>combining the two roles in the same person</w:t>
      </w:r>
      <w:r w:rsidRPr="008B2303">
        <w:t xml:space="preserve"> may engage more in earnings management. This is because the CEO who is also </w:t>
      </w:r>
      <w:r>
        <w:t xml:space="preserve">acting as </w:t>
      </w:r>
      <w:r w:rsidRPr="008B2303">
        <w:t xml:space="preserve">the </w:t>
      </w:r>
      <w:r>
        <w:t>C</w:t>
      </w:r>
      <w:r w:rsidRPr="008B2303">
        <w:t xml:space="preserve">hairman wants to show the confidence </w:t>
      </w:r>
      <w:r w:rsidRPr="00A37587">
        <w:t>of facilitating</w:t>
      </w:r>
      <w:r>
        <w:t xml:space="preserve"> </w:t>
      </w:r>
      <w:r w:rsidRPr="008B2303">
        <w:t>the perform</w:t>
      </w:r>
      <w:r>
        <w:t>ance of the company duo to the d</w:t>
      </w:r>
      <w:r w:rsidRPr="008B2303">
        <w:t xml:space="preserve">uality. Klein (2002) </w:t>
      </w:r>
      <w:r>
        <w:t>also obtained</w:t>
      </w:r>
      <w:r w:rsidRPr="008B2303">
        <w:t xml:space="preserve"> </w:t>
      </w:r>
      <w:r>
        <w:t xml:space="preserve">a similar result, which is </w:t>
      </w:r>
      <w:r w:rsidRPr="008B2303">
        <w:t xml:space="preserve">that discretionary accruals are positively connected to the CEO who holds the position of Chairman. His findings </w:t>
      </w:r>
      <w:r>
        <w:t xml:space="preserve">reveal </w:t>
      </w:r>
      <w:r w:rsidRPr="008B2303">
        <w:t>that</w:t>
      </w:r>
      <w:r>
        <w:t xml:space="preserve"> the CEO who is also the Chairman </w:t>
      </w:r>
      <w:r w:rsidRPr="00A37587">
        <w:t>with</w:t>
      </w:r>
      <w:r>
        <w:t xml:space="preserve"> </w:t>
      </w:r>
      <w:r w:rsidRPr="008B2303">
        <w:t>too much</w:t>
      </w:r>
      <w:r>
        <w:t xml:space="preserve"> control </w:t>
      </w:r>
      <w:r w:rsidRPr="008B2303">
        <w:t>power</w:t>
      </w:r>
      <w:r>
        <w:t xml:space="preserve"> over board responsibilities </w:t>
      </w:r>
      <w:r w:rsidRPr="008B2303">
        <w:t xml:space="preserve">can </w:t>
      </w:r>
      <w:r>
        <w:t xml:space="preserve">manipulate </w:t>
      </w:r>
      <w:r w:rsidRPr="008B2303">
        <w:t>earnings easily</w:t>
      </w:r>
      <w:r>
        <w:t>.</w:t>
      </w:r>
    </w:p>
    <w:p w:rsidR="00E02AB1" w:rsidRDefault="00E02AB1" w:rsidP="00FE7D59">
      <w:r>
        <w:t>So far the prior empirical research outcomes suggest the separation of CEO duality to reduce earnings management. However, Brickl</w:t>
      </w:r>
      <w:r w:rsidR="00085AC9">
        <w:t>e</w:t>
      </w:r>
      <w:r>
        <w:t xml:space="preserve">y </w:t>
      </w:r>
      <w:r w:rsidRPr="000740E3">
        <w:rPr>
          <w:i/>
        </w:rPr>
        <w:t>et al.</w:t>
      </w:r>
      <w:r>
        <w:rPr>
          <w:i/>
        </w:rPr>
        <w:t xml:space="preserve"> </w:t>
      </w:r>
      <w:r>
        <w:t xml:space="preserve">(1997, see </w:t>
      </w:r>
      <w:r w:rsidR="00B37B72">
        <w:t>Appendix C.3</w:t>
      </w:r>
      <w:r>
        <w:t xml:space="preserve">) </w:t>
      </w:r>
      <w:r>
        <w:lastRenderedPageBreak/>
        <w:t xml:space="preserve">showed that 80% of </w:t>
      </w:r>
      <w:r w:rsidRPr="00A37587">
        <w:t>American</w:t>
      </w:r>
      <w:r>
        <w:t xml:space="preserve"> companies have the situation </w:t>
      </w:r>
      <w:r w:rsidRPr="00A37587">
        <w:t>of the same person holding both positions of</w:t>
      </w:r>
      <w:r>
        <w:t xml:space="preserve"> CEO and Chairman. They also highlight</w:t>
      </w:r>
      <w:r w:rsidRPr="00A37587">
        <w:t>ed</w:t>
      </w:r>
      <w:r>
        <w:t xml:space="preserve"> that the combination of CEO and Chairman has certain benefits. The </w:t>
      </w:r>
      <w:r w:rsidRPr="002033CA">
        <w:t>cost</w:t>
      </w:r>
      <w:r>
        <w:t xml:space="preserve"> </w:t>
      </w:r>
      <w:r w:rsidRPr="00A37587">
        <w:t>of splitting</w:t>
      </w:r>
      <w:r>
        <w:t xml:space="preserve"> </w:t>
      </w:r>
      <w:r w:rsidRPr="002033CA">
        <w:t xml:space="preserve">those positions </w:t>
      </w:r>
      <w:r>
        <w:t>is</w:t>
      </w:r>
      <w:r w:rsidRPr="002033CA">
        <w:t xml:space="preserve"> larger than agency cost of duality</w:t>
      </w:r>
      <w:r>
        <w:t>.</w:t>
      </w:r>
      <w:r w:rsidRPr="002033CA">
        <w:t xml:space="preserve"> </w:t>
      </w:r>
      <w:r>
        <w:t>They also found out that the CEOs perform well after they hold the position of Chairman. As Lipton and Lorsch (1992) mentioned, the true</w:t>
      </w:r>
      <w:r w:rsidR="0090094D">
        <w:t xml:space="preserve"> leader of a company is the CEO as </w:t>
      </w:r>
      <w:r>
        <w:t xml:space="preserve">Chairman, who is </w:t>
      </w:r>
      <w:r w:rsidRPr="008771C4">
        <w:t>intelligent, competent and experienced enough to hold this position</w:t>
      </w:r>
      <w:r>
        <w:t xml:space="preserve">. </w:t>
      </w:r>
      <w:r w:rsidR="006B1D67">
        <w:rPr>
          <w:noProof/>
        </w:rPr>
        <w:t>Abdul</w:t>
      </w:r>
      <w:r w:rsidR="006B1D67" w:rsidRPr="00D4012E">
        <w:rPr>
          <w:noProof/>
        </w:rPr>
        <w:t xml:space="preserve"> </w:t>
      </w:r>
      <w:r w:rsidRPr="00D4012E">
        <w:rPr>
          <w:noProof/>
        </w:rPr>
        <w:t>Rahman</w:t>
      </w:r>
      <w:r>
        <w:t xml:space="preserve"> </w:t>
      </w:r>
      <w:r w:rsidRPr="000740E3">
        <w:rPr>
          <w:i/>
        </w:rPr>
        <w:t>et al</w:t>
      </w:r>
      <w:r w:rsidR="003B0C71">
        <w:t>.</w:t>
      </w:r>
      <w:r w:rsidR="003B0C71">
        <w:rPr>
          <w:i/>
        </w:rPr>
        <w:t xml:space="preserve"> </w:t>
      </w:r>
      <w:r w:rsidRPr="003B0C71">
        <w:t>(2006)</w:t>
      </w:r>
      <w:r>
        <w:t xml:space="preserve"> pointed out that CEO duality has no relationship with earnings management.</w:t>
      </w:r>
    </w:p>
    <w:p w:rsidR="00E02AB1" w:rsidRPr="00FE7D59" w:rsidRDefault="00E02AB1" w:rsidP="00252752">
      <w:pPr>
        <w:pStyle w:val="Heading3"/>
      </w:pPr>
      <w:bookmarkStart w:id="31" w:name="_Toc400916053"/>
      <w:r w:rsidRPr="00FE7D59">
        <w:t>Ownership structure</w:t>
      </w:r>
      <w:bookmarkEnd w:id="31"/>
    </w:p>
    <w:p w:rsidR="00E02AB1" w:rsidRDefault="00E02AB1" w:rsidP="002E1543">
      <w:pPr>
        <w:pStyle w:val="ListParagraph"/>
        <w:numPr>
          <w:ilvl w:val="0"/>
          <w:numId w:val="3"/>
        </w:num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Managerial ownership</w:t>
      </w:r>
    </w:p>
    <w:p w:rsidR="00E02AB1" w:rsidRDefault="00E02AB1" w:rsidP="00FE7D59">
      <w:r>
        <w:t xml:space="preserve">In the previous literature evidence, the </w:t>
      </w:r>
      <w:r w:rsidR="00154CDC">
        <w:t xml:space="preserve">association </w:t>
      </w:r>
      <w:r>
        <w:t xml:space="preserve">between managerial ownership and earnings management </w:t>
      </w:r>
      <w:r w:rsidRPr="00036DFB">
        <w:t>is still subject to debate</w:t>
      </w:r>
      <w:r>
        <w:t>. Jensen and Meck</w:t>
      </w:r>
      <w:r w:rsidR="003B0C71">
        <w:t>l</w:t>
      </w:r>
      <w:r>
        <w:t xml:space="preserve">ing (1976) argued that the separation of ownership and control leads to the conflicts of interest between managers and shareholders. When managers do not hold shares but lead a company, their behaviors might </w:t>
      </w:r>
      <w:r w:rsidRPr="00A37587">
        <w:t>be</w:t>
      </w:r>
      <w:r>
        <w:t xml:space="preserve"> influenced by self-interest</w:t>
      </w:r>
      <w:r w:rsidR="0090094D">
        <w:t>ed</w:t>
      </w:r>
      <w:r w:rsidR="00C75A0D">
        <w:t xml:space="preserve"> incentive</w:t>
      </w:r>
      <w:r>
        <w:t xml:space="preserve">. Some studies argued that </w:t>
      </w:r>
      <w:r w:rsidRPr="00A37587">
        <w:t>the insiders holding the shares</w:t>
      </w:r>
      <w:r>
        <w:t xml:space="preserve"> would contribute to align the interests of shareholders and management and would reduce the activities of earnings manag</w:t>
      </w:r>
      <w:r w:rsidR="00C16DF9">
        <w:t xml:space="preserve">ement. Basing on the data of U.S. </w:t>
      </w:r>
      <w:r>
        <w:t xml:space="preserve">from 1988 to 1990, </w:t>
      </w:r>
      <w:r w:rsidRPr="00194039">
        <w:t xml:space="preserve">Warfield </w:t>
      </w:r>
      <w:r w:rsidRPr="00194039">
        <w:rPr>
          <w:i/>
          <w:iCs/>
        </w:rPr>
        <w:t>et al</w:t>
      </w:r>
      <w:r w:rsidRPr="00194039">
        <w:t>. (1995</w:t>
      </w:r>
      <w:r>
        <w:t xml:space="preserve">, see </w:t>
      </w:r>
      <w:r w:rsidRPr="008A1C60">
        <w:t>Appendix C.9</w:t>
      </w:r>
      <w:r w:rsidRPr="00194039">
        <w:t>)</w:t>
      </w:r>
      <w:r>
        <w:t xml:space="preserve"> investigated the association among informativeness of earnings, the level of discretionary accruals and managerial ownership. Their research outcomes indicated that when managerial ownership is low, the magnitude of discretionary accruals is significantly high. This reveals a negative relationship between earnings management and managerial ownership. Ali </w:t>
      </w:r>
      <w:r w:rsidRPr="00415D71">
        <w:rPr>
          <w:i/>
        </w:rPr>
        <w:t>et al.</w:t>
      </w:r>
      <w:r>
        <w:t xml:space="preserve"> (2008) also drew a similar conclusion based on the samples from Malaysian listed </w:t>
      </w:r>
      <w:r w:rsidRPr="00A37587">
        <w:t>companies</w:t>
      </w:r>
      <w:r>
        <w:t xml:space="preserve">. They analyzed the correlation between discretionary accruals which is used as a proxy for earnings management and managerial ownership, </w:t>
      </w:r>
      <w:r w:rsidRPr="000504BF">
        <w:t>and found</w:t>
      </w:r>
      <w:r>
        <w:t xml:space="preserve"> a significant and negative relationship between those two items. However, this effect is less in </w:t>
      </w:r>
      <w:r w:rsidRPr="000504BF">
        <w:t>large-sized</w:t>
      </w:r>
      <w:r>
        <w:t xml:space="preserve"> firms because these firms normally have good corporate governance mechanism in Malaysia.</w:t>
      </w:r>
    </w:p>
    <w:p w:rsidR="00E02AB1" w:rsidRPr="004568FE" w:rsidRDefault="00E02AB1" w:rsidP="00FE7D59">
      <w:r>
        <w:t xml:space="preserve">On the other hand, another opinion exists on this issue, which is maintaining high level of managerial ownership encourages more earnings management. The higher ownership may give management more power, </w:t>
      </w:r>
      <w:r w:rsidRPr="000504BF">
        <w:t>who</w:t>
      </w:r>
      <w:r>
        <w:t xml:space="preserve"> can engage in the self-interest</w:t>
      </w:r>
      <w:r w:rsidR="008435DE">
        <w:t>ed</w:t>
      </w:r>
      <w:r>
        <w:t xml:space="preserve"> </w:t>
      </w:r>
      <w:r>
        <w:lastRenderedPageBreak/>
        <w:t xml:space="preserve">activities. This may lead to the occurrence of earnings management. The empirical study investigating managerial ownership and earnings management by Yang </w:t>
      </w:r>
      <w:r>
        <w:rPr>
          <w:i/>
        </w:rPr>
        <w:t xml:space="preserve">et al. </w:t>
      </w:r>
      <w:r>
        <w:t xml:space="preserve">(2008, see </w:t>
      </w:r>
      <w:r w:rsidRPr="008A1C60">
        <w:t>Appendix C.</w:t>
      </w:r>
      <w:r w:rsidR="00742BDB">
        <w:t>11</w:t>
      </w:r>
      <w:r>
        <w:t>) stated that insiders with high level of share</w:t>
      </w:r>
      <w:r w:rsidR="00B93008">
        <w:t>s</w:t>
      </w:r>
      <w:r>
        <w:t xml:space="preserve"> holding could gain from earnings management. This is because insiders with the purpose of increasing the value of shares they hold and keeping the high stock price may engage in more activities of manipulating earnings. Morck </w:t>
      </w:r>
      <w:r w:rsidRPr="00474494">
        <w:rPr>
          <w:i/>
        </w:rPr>
        <w:t>et al.</w:t>
      </w:r>
      <w:r w:rsidR="00BA7EF7">
        <w:t xml:space="preserve"> (198</w:t>
      </w:r>
      <w:r>
        <w:t>8) argued that greater ownership results in more entrenchment and provide</w:t>
      </w:r>
      <w:r w:rsidRPr="000504BF">
        <w:t>s</w:t>
      </w:r>
      <w:r>
        <w:t xml:space="preserve"> more incentives to </w:t>
      </w:r>
      <w:r w:rsidR="00B51A31">
        <w:t>pursue</w:t>
      </w:r>
      <w:r>
        <w:t xml:space="preserve"> opportunistic behaviors. Moreover, </w:t>
      </w:r>
      <w:r w:rsidRPr="00C94139">
        <w:t>Isenmila and Elijah (2012) examined the relationship between ownership structure and earnings management based on</w:t>
      </w:r>
      <w:r w:rsidR="006A39DB">
        <w:t xml:space="preserve"> the</w:t>
      </w:r>
      <w:r w:rsidR="006A39DB" w:rsidRPr="00C94139">
        <w:t xml:space="preserve"> samples</w:t>
      </w:r>
      <w:r w:rsidR="006A39DB">
        <w:t xml:space="preserve"> of </w:t>
      </w:r>
      <w:r w:rsidRPr="00C94139">
        <w:t xml:space="preserve">Nigeria. </w:t>
      </w:r>
      <w:r>
        <w:t>Their</w:t>
      </w:r>
      <w:r w:rsidRPr="00C94139">
        <w:t xml:space="preserve"> finding</w:t>
      </w:r>
      <w:r w:rsidR="00B51A31">
        <w:t xml:space="preserve"> is consistent with Mor</w:t>
      </w:r>
      <w:r>
        <w:t>ck’s</w:t>
      </w:r>
      <w:r w:rsidR="00E13841">
        <w:t xml:space="preserve"> finding</w:t>
      </w:r>
      <w:r>
        <w:t xml:space="preserve">, </w:t>
      </w:r>
      <w:r w:rsidRPr="00C94139">
        <w:t>and indicated that there is a significantly positive relationship between insider ownership and earnings management.</w:t>
      </w:r>
    </w:p>
    <w:p w:rsidR="00E02AB1" w:rsidRDefault="00E02AB1" w:rsidP="002E1543">
      <w:pPr>
        <w:pStyle w:val="ListParagraph"/>
        <w:numPr>
          <w:ilvl w:val="0"/>
          <w:numId w:val="3"/>
        </w:num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Block-holders ownership </w:t>
      </w:r>
    </w:p>
    <w:p w:rsidR="00E02AB1" w:rsidRPr="004510E9" w:rsidRDefault="00E02AB1" w:rsidP="00FE7D59">
      <w:pPr>
        <w:rPr>
          <w:rFonts w:ascii="TimesNewRomanPSMT" w:hAnsi="TimesNewRomanPSMT" w:cs="TimesNewRomanPSMT"/>
        </w:rPr>
      </w:pPr>
      <w:r>
        <w:t>Block-holders are the shareholders who have a large proportion of the firms’ shares than other shareholders. Holderness (</w:t>
      </w:r>
      <w:r w:rsidR="00C16DF9">
        <w:t xml:space="preserve">2009) presented that 96% of U.S. </w:t>
      </w:r>
      <w:r>
        <w:t xml:space="preserve">companies have at least one block-holder who owns at least 5% or greater of total shares.  </w:t>
      </w:r>
      <w:r w:rsidRPr="00714065">
        <w:t>He also indicated that these block-holders totally own 39% of the companies.</w:t>
      </w:r>
      <w:r>
        <w:t xml:space="preserve"> Since the block-holders have large amount of shares, they may have more power </w:t>
      </w:r>
      <w:r w:rsidRPr="000504BF">
        <w:t>to</w:t>
      </w:r>
      <w:r>
        <w:t xml:space="preserve"> influence the operation of the company. Sh</w:t>
      </w:r>
      <w:r w:rsidR="003B0C71">
        <w:t>lei</w:t>
      </w:r>
      <w:r>
        <w:t xml:space="preserve">fer and Vishny (1986) indicated that large block-holders have strong motivations to monitor and influence the company management. Thus, block-holders ownership can be seen as an important role in monitoring earnings management, suggesting a negative relationship between block-holders ownership and earnings management. Klein (2002) found a significant and negative relationship between 5% blocker-holder setting in audit committee and earnings management. A study by </w:t>
      </w:r>
      <w:r w:rsidRPr="00865E39">
        <w:rPr>
          <w:rFonts w:ascii="TimesNewRomanPSMT" w:hAnsi="TimesNewRomanPSMT" w:cs="TimesNewRomanPSMT"/>
        </w:rPr>
        <w:t>Iturriaga and Hoffmann (2005</w:t>
      </w:r>
      <w:r>
        <w:rPr>
          <w:rFonts w:ascii="TimesNewRomanPSMT" w:hAnsi="TimesNewRomanPSMT" w:cs="TimesNewRomanPSMT"/>
        </w:rPr>
        <w:t xml:space="preserve">, </w:t>
      </w:r>
      <w:r>
        <w:t xml:space="preserve">see </w:t>
      </w:r>
      <w:r w:rsidR="009D6D92">
        <w:t>Appendix C.5</w:t>
      </w:r>
      <w:r w:rsidRPr="00865E39">
        <w:rPr>
          <w:rFonts w:ascii="TimesNewRomanPSMT" w:hAnsi="TimesNewRomanPSMT" w:cs="TimesNewRomanPSMT"/>
        </w:rPr>
        <w:t>)</w:t>
      </w:r>
      <w:r>
        <w:rPr>
          <w:rFonts w:ascii="TimesNewRomanPSMT" w:hAnsi="TimesNewRomanPSMT" w:cs="TimesNewRomanPSMT"/>
        </w:rPr>
        <w:t xml:space="preserve"> attempted to determine the influence of internal corporate governance on earnings management by choosing a sample of Chilean firm-observations from 1991 to </w:t>
      </w:r>
      <w:r w:rsidRPr="004510E9">
        <w:rPr>
          <w:rFonts w:ascii="TimesNewRomanPSMT" w:hAnsi="TimesNewRomanPSMT" w:cs="TimesNewRomanPSMT"/>
        </w:rPr>
        <w:t>2001</w:t>
      </w:r>
      <w:r>
        <w:rPr>
          <w:rFonts w:ascii="TimesNewRomanPSMT" w:hAnsi="TimesNewRomanPSMT" w:cs="TimesNewRomanPSMT"/>
        </w:rPr>
        <w:t xml:space="preserve">. Their </w:t>
      </w:r>
      <w:r w:rsidRPr="000504BF">
        <w:rPr>
          <w:rFonts w:ascii="TimesNewRomanPSMT" w:hAnsi="TimesNewRomanPSMT" w:cs="TimesNewRomanPSMT"/>
        </w:rPr>
        <w:t>finding</w:t>
      </w:r>
      <w:r>
        <w:rPr>
          <w:rFonts w:ascii="TimesNewRomanPSMT" w:hAnsi="TimesNewRomanPSMT" w:cs="TimesNewRomanPSMT"/>
        </w:rPr>
        <w:t xml:space="preserve"> showed that large shareholder ownership can reduce the discretionary behaviors by management.</w:t>
      </w:r>
    </w:p>
    <w:p w:rsidR="00E02AB1" w:rsidRDefault="00E02AB1" w:rsidP="00FE7D59">
      <w:r>
        <w:t xml:space="preserve">However, other empirical evidences have opposite </w:t>
      </w:r>
      <w:r w:rsidRPr="000504BF">
        <w:rPr>
          <w:rFonts w:ascii="TimesNewRomanPSMT" w:hAnsi="TimesNewRomanPSMT" w:cs="TimesNewRomanPSMT"/>
        </w:rPr>
        <w:t>opinions indicating that high</w:t>
      </w:r>
      <w:r>
        <w:t xml:space="preserve"> level of block-holder ownership may engage in more activities of earnings management. Yang </w:t>
      </w:r>
      <w:r w:rsidRPr="005B5CA4">
        <w:rPr>
          <w:i/>
        </w:rPr>
        <w:t>et al</w:t>
      </w:r>
      <w:r>
        <w:rPr>
          <w:i/>
        </w:rPr>
        <w:t>.</w:t>
      </w:r>
      <w:r>
        <w:t xml:space="preserve"> (2008) used a sample of 1306 Taiwan-listed firm in Taiwan Economic </w:t>
      </w:r>
      <w:r>
        <w:lastRenderedPageBreak/>
        <w:t xml:space="preserve">Journal database (TEJ) to investigate the association between discretionary accruals which is a proxy for earnings management and ownership structure. The outcomes show that there is a positive relationship between block-holders ownership and earnings management, suggesting higher magnitude of block-holder ownership </w:t>
      </w:r>
      <w:r w:rsidRPr="000504BF">
        <w:rPr>
          <w:rFonts w:ascii="TimesNewRomanPSMT" w:hAnsi="TimesNewRomanPSMT" w:cs="TimesNewRomanPSMT"/>
        </w:rPr>
        <w:t>related to</w:t>
      </w:r>
      <w:r>
        <w:t xml:space="preserve"> more earnings manipulations. This </w:t>
      </w:r>
      <w:r w:rsidRPr="000504BF">
        <w:rPr>
          <w:rFonts w:ascii="TimesNewRomanPSMT" w:hAnsi="TimesNewRomanPSMT" w:cs="TimesNewRomanPSMT"/>
        </w:rPr>
        <w:t>is because large shareholders have more powers and rights to create private interest</w:t>
      </w:r>
      <w:r w:rsidR="006B0AB7">
        <w:rPr>
          <w:rFonts w:ascii="TimesNewRomanPSMT" w:hAnsi="TimesNewRomanPSMT" w:cs="TimesNewRomanPSMT"/>
        </w:rPr>
        <w:t>s</w:t>
      </w:r>
      <w:r w:rsidRPr="000504BF">
        <w:rPr>
          <w:rFonts w:ascii="TimesNewRomanPSMT" w:hAnsi="TimesNewRomanPSMT" w:cs="TimesNewRomanPSMT"/>
        </w:rPr>
        <w:t>. Meanwhile, by using</w:t>
      </w:r>
      <w:r>
        <w:t xml:space="preserve"> this powers and rights, large shareholders may intervene in the affairs of the company, and may encourage management to pursue earnings management to self–interest (Jaggi </w:t>
      </w:r>
      <w:r w:rsidRPr="00787FFD">
        <w:rPr>
          <w:i/>
        </w:rPr>
        <w:t>et al</w:t>
      </w:r>
      <w:r>
        <w:rPr>
          <w:i/>
        </w:rPr>
        <w:t>.</w:t>
      </w:r>
      <w:r>
        <w:t>, 2007).</w:t>
      </w:r>
    </w:p>
    <w:p w:rsidR="00E02AB1" w:rsidRPr="00FE7D59" w:rsidRDefault="00E02AB1" w:rsidP="00252752">
      <w:pPr>
        <w:pStyle w:val="Heading2"/>
      </w:pPr>
      <w:bookmarkStart w:id="32" w:name="_Toc400916054"/>
      <w:r w:rsidRPr="00FE7D59">
        <w:t>Summary</w:t>
      </w:r>
      <w:bookmarkEnd w:id="32"/>
      <w:r w:rsidRPr="00FE7D59">
        <w:t xml:space="preserve"> </w:t>
      </w:r>
    </w:p>
    <w:p w:rsidR="00E02AB1" w:rsidRPr="001C35B9" w:rsidRDefault="00E02AB1" w:rsidP="00882028">
      <w:pPr>
        <w:rPr>
          <w:rFonts w:cs="Times New Roman"/>
          <w:color w:val="000000" w:themeColor="text1"/>
          <w:szCs w:val="24"/>
        </w:rPr>
      </w:pPr>
      <w:r w:rsidRPr="001C35B9">
        <w:rPr>
          <w:rFonts w:cs="Times New Roman"/>
          <w:color w:val="000000" w:themeColor="text1"/>
          <w:szCs w:val="24"/>
        </w:rPr>
        <w:t xml:space="preserve">In summary, this chapter provided a large number of literature evidence including corporate governance research fields, earnings management researches and the investigations on the relationship between corporate governance and earnings management. This literature evidence provides a theoretical basis for this research thesis. Based on those literatures, several crucial evidences related to corporate governance and earnings management will be employed to help the further processes of this thesis. For instance, as mentioned before, Shen and Chih (2007) and Cornett </w:t>
      </w:r>
      <w:r w:rsidRPr="001C35B9">
        <w:rPr>
          <w:rFonts w:cs="Times New Roman"/>
          <w:i/>
          <w:color w:val="000000" w:themeColor="text1"/>
          <w:szCs w:val="24"/>
        </w:rPr>
        <w:t>et al</w:t>
      </w:r>
      <w:r w:rsidRPr="001C35B9">
        <w:rPr>
          <w:rFonts w:cs="Times New Roman"/>
          <w:color w:val="000000" w:themeColor="text1"/>
          <w:szCs w:val="24"/>
        </w:rPr>
        <w:t xml:space="preserve">. (2009) demonstrated that good corporate governance can reduce the level of earnings management, implying a relationship between these two items. In contrast, Abed </w:t>
      </w:r>
      <w:r w:rsidRPr="001C35B9">
        <w:rPr>
          <w:rFonts w:cs="Times New Roman"/>
          <w:i/>
          <w:color w:val="000000" w:themeColor="text1"/>
          <w:szCs w:val="24"/>
        </w:rPr>
        <w:t>et al. (</w:t>
      </w:r>
      <w:r w:rsidRPr="001C35B9">
        <w:rPr>
          <w:rFonts w:cs="Times New Roman"/>
          <w:color w:val="000000" w:themeColor="text1"/>
          <w:szCs w:val="24"/>
        </w:rPr>
        <w:t>2012) indicated that corporate governance has a weak power in affecting earnings management. Those evidences can assist in developing first hypothesis on whether a relationship between corporate governance and earnings management exists or not. Moreover, this chapter also introduces several prior literatures which investigate the important specific items of corporate governance such as board size, CEO-duality, i</w:t>
      </w:r>
      <w:r w:rsidR="00C1563F">
        <w:rPr>
          <w:rFonts w:cs="Times New Roman"/>
          <w:color w:val="000000" w:themeColor="text1"/>
          <w:szCs w:val="24"/>
        </w:rPr>
        <w:t xml:space="preserve">ndependent directors, managerial </w:t>
      </w:r>
      <w:r w:rsidRPr="001C35B9">
        <w:rPr>
          <w:rFonts w:cs="Times New Roman"/>
          <w:color w:val="000000" w:themeColor="text1"/>
          <w:szCs w:val="24"/>
        </w:rPr>
        <w:t>ownership and block-holder</w:t>
      </w:r>
      <w:r w:rsidR="00C1563F">
        <w:rPr>
          <w:rFonts w:cs="Times New Roman"/>
          <w:color w:val="000000" w:themeColor="text1"/>
          <w:szCs w:val="24"/>
        </w:rPr>
        <w:t>s</w:t>
      </w:r>
      <w:r w:rsidRPr="001C35B9">
        <w:rPr>
          <w:rFonts w:cs="Times New Roman"/>
          <w:color w:val="000000" w:themeColor="text1"/>
          <w:szCs w:val="24"/>
        </w:rPr>
        <w:t xml:space="preserve"> ownership. Those literatures present different research outcomes between specific items and earnings management. For instance, Xie </w:t>
      </w:r>
      <w:r w:rsidRPr="001C35B9">
        <w:rPr>
          <w:rFonts w:cs="Times New Roman"/>
          <w:i/>
          <w:color w:val="000000" w:themeColor="text1"/>
          <w:szCs w:val="24"/>
        </w:rPr>
        <w:t>et al</w:t>
      </w:r>
      <w:r w:rsidRPr="001C35B9">
        <w:rPr>
          <w:rFonts w:cs="Times New Roman"/>
          <w:color w:val="000000" w:themeColor="text1"/>
          <w:szCs w:val="24"/>
        </w:rPr>
        <w:t xml:space="preserve">. (2003) illustrated a negative relationship between board size and earnings management while </w:t>
      </w:r>
      <w:r w:rsidR="006B1D67">
        <w:rPr>
          <w:noProof/>
        </w:rPr>
        <w:t>Abdul</w:t>
      </w:r>
      <w:r w:rsidR="006B1D67" w:rsidRPr="001C35B9">
        <w:rPr>
          <w:rFonts w:cs="Times New Roman"/>
          <w:noProof/>
          <w:color w:val="000000" w:themeColor="text1"/>
        </w:rPr>
        <w:t xml:space="preserve"> </w:t>
      </w:r>
      <w:r w:rsidRPr="001C35B9">
        <w:rPr>
          <w:rFonts w:cs="Times New Roman"/>
          <w:noProof/>
          <w:color w:val="000000" w:themeColor="text1"/>
        </w:rPr>
        <w:t>Rahman</w:t>
      </w:r>
      <w:r w:rsidRPr="001C35B9">
        <w:rPr>
          <w:rFonts w:cs="Times New Roman"/>
          <w:color w:val="000000" w:themeColor="text1"/>
          <w:szCs w:val="24"/>
        </w:rPr>
        <w:t xml:space="preserve"> </w:t>
      </w:r>
      <w:r w:rsidRPr="001C35B9">
        <w:rPr>
          <w:rFonts w:cs="Times New Roman"/>
          <w:i/>
          <w:color w:val="000000" w:themeColor="text1"/>
          <w:szCs w:val="24"/>
        </w:rPr>
        <w:t>et al</w:t>
      </w:r>
      <w:r w:rsidRPr="001C35B9">
        <w:rPr>
          <w:rFonts w:cs="Times New Roman"/>
          <w:color w:val="000000" w:themeColor="text1"/>
          <w:szCs w:val="24"/>
        </w:rPr>
        <w:t xml:space="preserve">. (2006) indicated an opposite conclusion. Warfield </w:t>
      </w:r>
      <w:r w:rsidRPr="001C35B9">
        <w:rPr>
          <w:rFonts w:cs="Times New Roman"/>
          <w:i/>
          <w:iCs/>
          <w:color w:val="000000" w:themeColor="text1"/>
          <w:szCs w:val="24"/>
        </w:rPr>
        <w:t>et al</w:t>
      </w:r>
      <w:r w:rsidRPr="001C35B9">
        <w:rPr>
          <w:rFonts w:cs="Times New Roman"/>
          <w:color w:val="000000" w:themeColor="text1"/>
          <w:szCs w:val="24"/>
        </w:rPr>
        <w:t xml:space="preserve">. (1995) and Ali </w:t>
      </w:r>
      <w:r w:rsidRPr="001C35B9">
        <w:rPr>
          <w:rFonts w:cs="Times New Roman"/>
          <w:i/>
          <w:color w:val="000000" w:themeColor="text1"/>
          <w:szCs w:val="24"/>
        </w:rPr>
        <w:t>et al.</w:t>
      </w:r>
      <w:r w:rsidRPr="001C35B9">
        <w:rPr>
          <w:rFonts w:cs="Times New Roman"/>
          <w:color w:val="000000" w:themeColor="text1"/>
          <w:szCs w:val="24"/>
        </w:rPr>
        <w:t xml:space="preserve"> (2008) also drew a similar conclusion that there is a negative correlation between managerial ownership and earnings management. In contrast, Yang </w:t>
      </w:r>
      <w:r w:rsidRPr="001C35B9">
        <w:rPr>
          <w:rFonts w:cs="Times New Roman"/>
          <w:i/>
          <w:color w:val="000000" w:themeColor="text1"/>
          <w:szCs w:val="24"/>
        </w:rPr>
        <w:t xml:space="preserve">et al. </w:t>
      </w:r>
      <w:r w:rsidRPr="001C35B9">
        <w:rPr>
          <w:rFonts w:cs="Times New Roman"/>
          <w:color w:val="000000" w:themeColor="text1"/>
          <w:szCs w:val="24"/>
        </w:rPr>
        <w:t xml:space="preserve">(2008) presented that the level of earnings management activities increases when managerial ownership is high. All of the various conclusions provide a strong theoretical support for </w:t>
      </w:r>
      <w:r w:rsidRPr="001C35B9">
        <w:rPr>
          <w:rFonts w:cs="Times New Roman"/>
          <w:color w:val="000000" w:themeColor="text1"/>
          <w:szCs w:val="24"/>
        </w:rPr>
        <w:lastRenderedPageBreak/>
        <w:t xml:space="preserve">hypotheses development and research design. Finally, Klein (2002) and </w:t>
      </w:r>
      <w:r w:rsidRPr="001C35B9">
        <w:rPr>
          <w:rFonts w:cs="Times New Roman"/>
          <w:noProof/>
          <w:color w:val="000000" w:themeColor="text1"/>
        </w:rPr>
        <w:t>Rahman</w:t>
      </w:r>
      <w:r w:rsidRPr="001C35B9">
        <w:rPr>
          <w:rFonts w:cs="Times New Roman"/>
          <w:color w:val="000000" w:themeColor="text1"/>
          <w:szCs w:val="24"/>
        </w:rPr>
        <w:t xml:space="preserve"> </w:t>
      </w:r>
      <w:r w:rsidRPr="001C35B9">
        <w:rPr>
          <w:rFonts w:cs="Times New Roman"/>
          <w:i/>
          <w:color w:val="000000" w:themeColor="text1"/>
          <w:szCs w:val="24"/>
        </w:rPr>
        <w:t>et al</w:t>
      </w:r>
      <w:r w:rsidRPr="001C35B9">
        <w:rPr>
          <w:rFonts w:cs="Times New Roman"/>
          <w:color w:val="000000" w:themeColor="text1"/>
          <w:szCs w:val="24"/>
        </w:rPr>
        <w:t>. (2006) employ leverage and firm size (nature logarithm total asset) as contr</w:t>
      </w:r>
      <w:r w:rsidR="00BE4284">
        <w:rPr>
          <w:rFonts w:cs="Times New Roman"/>
          <w:color w:val="000000" w:themeColor="text1"/>
          <w:szCs w:val="24"/>
        </w:rPr>
        <w:t xml:space="preserve">ol variables into their studies </w:t>
      </w:r>
      <w:r w:rsidR="00BE4284" w:rsidRPr="004636DB">
        <w:rPr>
          <w:rFonts w:cs="Times New Roman"/>
          <w:color w:val="000000" w:themeColor="text1"/>
          <w:szCs w:val="24"/>
        </w:rPr>
        <w:t>b</w:t>
      </w:r>
      <w:r w:rsidR="00EE118C" w:rsidRPr="004636DB">
        <w:rPr>
          <w:rFonts w:cs="Times New Roman"/>
          <w:color w:val="000000" w:themeColor="text1"/>
          <w:szCs w:val="24"/>
        </w:rPr>
        <w:t>ecause firm size and leverage have significant relationship with earnings management</w:t>
      </w:r>
      <w:r w:rsidR="00EE118C" w:rsidRPr="001C35B9">
        <w:rPr>
          <w:rFonts w:cs="Times New Roman"/>
          <w:color w:val="000000" w:themeColor="text1"/>
          <w:szCs w:val="24"/>
        </w:rPr>
        <w:t xml:space="preserve">. </w:t>
      </w:r>
      <w:r w:rsidR="00EF1EDC" w:rsidRPr="001C35B9">
        <w:rPr>
          <w:rFonts w:cs="Times New Roman"/>
          <w:color w:val="000000" w:themeColor="text1"/>
          <w:szCs w:val="24"/>
        </w:rPr>
        <w:fldChar w:fldCharType="begin" w:fldLock="1"/>
      </w:r>
      <w:r w:rsidRPr="001C35B9">
        <w:rPr>
          <w:rFonts w:cs="Times New Roman"/>
          <w:color w:val="000000" w:themeColor="text1"/>
          <w:szCs w:val="24"/>
        </w:rPr>
        <w:instrText>ADDIN CSL_CITATION { "citationItems" : [ { "id" : "ITEM-1", "itemData" : { "author" : [ { "dropping-particle" : "", "family" : "Houqe", "given" : "Muhammad Nurul", "non-dropping-particle" : "", "parse-names" : false, "suffix" : "" }, { "dropping-particle" : "Van", "family" : "Zijl", "given" : "Tony", "non-dropping-particle" : "", "parse-names" : false, "suffix" : "" }, { "dropping-particle" : "", "family" : "Dunstan", "given" : "Keitha", "non-dropping-particle" : "", "parse-names" : false, "suffix" : "" }, { "dropping-particle" : "", "family" : "Karim", "given" : "A K M Waresul", "non-dropping-particle" : "", "parse-names" : false, "suffix" : "" } ], "id" : "ITEM-1", "issue" : "2006", "issued" : { "date-parts" : [ [ "2007" ] ] }, "page" : "1-12", "title" : "Does Corporate Governance affect Earnings Quality : Evidence from an Emerging Market", "type" : "article-journal" }, "uris" : [ "http://www.mendeley.com/documents/?uuid=bb01bba9-4d98-43a5-9b16-110a5ba6c16e" ] } ], "mendeley" : { "manualFormatting" : "Houqe, et al. (2007)", "previouslyFormattedCitation" : "(Houqe, Zijl, Dunstan, &amp; Karim, 2007)" }, "properties" : { "noteIndex" : 0 }, "schema" : "https://github.com/citation-style-language/schema/raw/master/csl-citation.json" }</w:instrText>
      </w:r>
      <w:r w:rsidR="00EF1EDC" w:rsidRPr="001C35B9">
        <w:rPr>
          <w:rFonts w:cs="Times New Roman"/>
          <w:color w:val="000000" w:themeColor="text1"/>
          <w:szCs w:val="24"/>
        </w:rPr>
        <w:fldChar w:fldCharType="separate"/>
      </w:r>
      <w:r w:rsidR="00D1784F">
        <w:rPr>
          <w:rFonts w:cs="Times New Roman"/>
          <w:color w:val="000000" w:themeColor="text1"/>
          <w:szCs w:val="24"/>
        </w:rPr>
        <w:t>Houqe</w:t>
      </w:r>
      <w:r w:rsidRPr="001C35B9">
        <w:rPr>
          <w:rFonts w:cs="Times New Roman"/>
          <w:color w:val="000000" w:themeColor="text1"/>
          <w:szCs w:val="24"/>
        </w:rPr>
        <w:t xml:space="preserve"> </w:t>
      </w:r>
      <w:r w:rsidRPr="001C35B9">
        <w:rPr>
          <w:rFonts w:cs="Times New Roman"/>
          <w:i/>
          <w:color w:val="000000" w:themeColor="text1"/>
          <w:szCs w:val="24"/>
        </w:rPr>
        <w:t>et al.</w:t>
      </w:r>
      <w:r w:rsidRPr="001C35B9">
        <w:rPr>
          <w:rFonts w:cs="Times New Roman"/>
          <w:color w:val="000000" w:themeColor="text1"/>
          <w:szCs w:val="24"/>
        </w:rPr>
        <w:t xml:space="preserve"> (2007)</w:t>
      </w:r>
      <w:r w:rsidR="00EF1EDC" w:rsidRPr="001C35B9">
        <w:rPr>
          <w:rFonts w:cs="Times New Roman"/>
          <w:color w:val="000000" w:themeColor="text1"/>
          <w:szCs w:val="24"/>
        </w:rPr>
        <w:fldChar w:fldCharType="end"/>
      </w:r>
      <w:r w:rsidRPr="001C35B9">
        <w:rPr>
          <w:rFonts w:cs="Times New Roman"/>
          <w:color w:val="000000" w:themeColor="text1"/>
          <w:szCs w:val="24"/>
        </w:rPr>
        <w:t xml:space="preserve"> adopted return on equity (ROE) as one of control variables to investigate the association between corporate governance and earnings quality. They found a positive relationship between ROE and earnings management. These methods which consider leverage, firm size and ROE as control variables contribute for the regression model design in the further chapters.</w:t>
      </w:r>
    </w:p>
    <w:p w:rsidR="00E02AB1" w:rsidRDefault="00E02AB1" w:rsidP="00E02AB1">
      <w:pPr>
        <w:contextualSpacing/>
        <w:rPr>
          <w:rFonts w:cs="Times New Roman"/>
          <w:szCs w:val="24"/>
        </w:rPr>
        <w:sectPr w:rsidR="00E02AB1" w:rsidSect="00F46EC8">
          <w:footerReference w:type="default" r:id="rId14"/>
          <w:pgSz w:w="11907" w:h="16839" w:code="9"/>
          <w:pgMar w:top="1440" w:right="1800" w:bottom="1440" w:left="1800" w:header="720" w:footer="720" w:gutter="0"/>
          <w:cols w:space="720"/>
          <w:docGrid w:linePitch="360"/>
        </w:sectPr>
      </w:pPr>
    </w:p>
    <w:p w:rsidR="00E02AB1" w:rsidRPr="00230DA6" w:rsidRDefault="00E02AB1" w:rsidP="00252752">
      <w:pPr>
        <w:pStyle w:val="Heading1"/>
      </w:pPr>
      <w:bookmarkStart w:id="33" w:name="_Toc400916055"/>
      <w:r w:rsidRPr="00230DA6">
        <w:lastRenderedPageBreak/>
        <w:t>Hypotheses Development</w:t>
      </w:r>
      <w:bookmarkEnd w:id="33"/>
    </w:p>
    <w:p w:rsidR="003B5896" w:rsidRDefault="00E02AB1" w:rsidP="00230DA6">
      <w:r>
        <w:t xml:space="preserve">In this chapter, several hypotheses related to this research thesis </w:t>
      </w:r>
      <w:r w:rsidRPr="00A25DAB">
        <w:t>will be developed</w:t>
      </w:r>
      <w:r>
        <w:t xml:space="preserve">. Firstly, the sub-question: </w:t>
      </w:r>
      <w:r w:rsidRPr="009B4B7D">
        <w:t>“What are the hypotheses for the empirical research of this thesis?”</w:t>
      </w:r>
      <w:r>
        <w:rPr>
          <w:i/>
        </w:rPr>
        <w:t xml:space="preserve"> </w:t>
      </w:r>
      <w:r>
        <w:t>w</w:t>
      </w:r>
      <w:r w:rsidRPr="00492D4D">
        <w:t>ill be</w:t>
      </w:r>
      <w:r>
        <w:rPr>
          <w:i/>
        </w:rPr>
        <w:t xml:space="preserve"> </w:t>
      </w:r>
      <w:r>
        <w:t xml:space="preserve">answered. </w:t>
      </w:r>
      <w:r w:rsidRPr="00A25DAB">
        <w:t>Then</w:t>
      </w:r>
      <w:r w:rsidR="003B5896">
        <w:t>, the hypotheses</w:t>
      </w:r>
      <w:r>
        <w:t xml:space="preserve"> connected to the main research question will be formulated. </w:t>
      </w:r>
    </w:p>
    <w:p w:rsidR="00E02AB1" w:rsidRDefault="00E02AB1" w:rsidP="00230DA6">
      <w:r>
        <w:t>T</w:t>
      </w:r>
      <w:r w:rsidRPr="003B7C0B">
        <w:t xml:space="preserve">he main research question of this </w:t>
      </w:r>
      <w:r>
        <w:t>thesis was formulated as: “</w:t>
      </w:r>
      <w:r w:rsidRPr="00B17BB7">
        <w:rPr>
          <w:b/>
          <w:i/>
        </w:rPr>
        <w:t xml:space="preserve">Is there a </w:t>
      </w:r>
      <w:r>
        <w:rPr>
          <w:b/>
          <w:i/>
        </w:rPr>
        <w:t xml:space="preserve">difference </w:t>
      </w:r>
      <w:r w:rsidR="00DD7143">
        <w:rPr>
          <w:b/>
          <w:i/>
        </w:rPr>
        <w:t xml:space="preserve">in the </w:t>
      </w:r>
      <w:r>
        <w:rPr>
          <w:b/>
          <w:i/>
        </w:rPr>
        <w:t xml:space="preserve">relation </w:t>
      </w:r>
      <w:r w:rsidRPr="00B17BB7">
        <w:rPr>
          <w:b/>
          <w:i/>
        </w:rPr>
        <w:t>between corporate governance and earning</w:t>
      </w:r>
      <w:r>
        <w:rPr>
          <w:b/>
          <w:i/>
        </w:rPr>
        <w:t>s</w:t>
      </w:r>
      <w:r w:rsidRPr="00B17BB7">
        <w:rPr>
          <w:b/>
          <w:i/>
        </w:rPr>
        <w:t xml:space="preserve"> management</w:t>
      </w:r>
      <w:r>
        <w:rPr>
          <w:b/>
          <w:i/>
        </w:rPr>
        <w:t xml:space="preserve"> in the </w:t>
      </w:r>
      <w:r w:rsidRPr="00B17BB7">
        <w:rPr>
          <w:b/>
          <w:i/>
        </w:rPr>
        <w:t xml:space="preserve">emerging market of China and </w:t>
      </w:r>
      <w:r>
        <w:rPr>
          <w:b/>
          <w:i/>
        </w:rPr>
        <w:t>in the developed market of</w:t>
      </w:r>
      <w:r>
        <w:t xml:space="preserve"> </w:t>
      </w:r>
      <w:r>
        <w:rPr>
          <w:b/>
          <w:i/>
        </w:rPr>
        <w:t>The United S</w:t>
      </w:r>
      <w:r w:rsidRPr="00140381">
        <w:rPr>
          <w:b/>
          <w:i/>
        </w:rPr>
        <w:t>tates of America</w:t>
      </w:r>
      <w:r>
        <w:rPr>
          <w:b/>
          <w:i/>
        </w:rPr>
        <w:t>?”</w:t>
      </w:r>
      <w:r w:rsidR="009B4B7D">
        <w:t xml:space="preserve"> </w:t>
      </w:r>
      <w:r>
        <w:t xml:space="preserve">Based on the empirical literature evidence related to corporate governance and earnings management presented in the previous chapter, </w:t>
      </w:r>
      <w:r w:rsidRPr="00452462">
        <w:t>the answer to this research question will be found according to hypotheses development.</w:t>
      </w:r>
    </w:p>
    <w:p w:rsidR="00E02AB1" w:rsidRDefault="00E02AB1" w:rsidP="00230DA6">
      <w:r>
        <w:t xml:space="preserve">Most of researchers demonstrated a negative correlation </w:t>
      </w:r>
      <w:r w:rsidRPr="00DC249D">
        <w:t>between corporate governance and earnings management</w:t>
      </w:r>
      <w:r>
        <w:t xml:space="preserve">, </w:t>
      </w:r>
      <w:r w:rsidRPr="00DC249D">
        <w:t>implying that</w:t>
      </w:r>
      <w:r>
        <w:t xml:space="preserve"> good corporate governance mechanism could reduce the activities of earnings management. </w:t>
      </w:r>
      <w:r w:rsidRPr="009A7366">
        <w:t>The</w:t>
      </w:r>
      <w:r>
        <w:t xml:space="preserve"> empirical study provided by </w:t>
      </w:r>
      <w:r w:rsidR="002025B0">
        <w:t>Hut</w:t>
      </w:r>
      <w:r w:rsidRPr="009C140E">
        <w:t xml:space="preserve">chinson </w:t>
      </w:r>
      <w:r w:rsidRPr="00DD7143">
        <w:rPr>
          <w:i/>
        </w:rPr>
        <w:t>et al</w:t>
      </w:r>
      <w:r w:rsidRPr="009C140E">
        <w:t>.</w:t>
      </w:r>
      <w:r w:rsidR="00DB2A55">
        <w:t xml:space="preserve"> </w:t>
      </w:r>
      <w:r w:rsidRPr="009C140E">
        <w:t>(2008</w:t>
      </w:r>
      <w:r>
        <w:t>) indicated that corporate governance mechanism is important for reducing earnings management</w:t>
      </w:r>
      <w:r w:rsidRPr="009A7366">
        <w:t>.  Similarly</w:t>
      </w:r>
      <w:r>
        <w:t xml:space="preserve">, </w:t>
      </w:r>
      <w:r w:rsidR="007E49C7" w:rsidRPr="003E71EB">
        <w:rPr>
          <w:noProof/>
        </w:rPr>
        <w:t>Gulzar</w:t>
      </w:r>
      <w:r w:rsidR="007E49C7" w:rsidRPr="00DD7143">
        <w:rPr>
          <w:i/>
        </w:rPr>
        <w:t xml:space="preserve"> </w:t>
      </w:r>
      <w:r w:rsidRPr="00DD7143">
        <w:rPr>
          <w:i/>
        </w:rPr>
        <w:t>et al</w:t>
      </w:r>
      <w:r w:rsidRPr="009C140E">
        <w:t>.</w:t>
      </w:r>
      <w:r w:rsidR="00DB2A55">
        <w:t xml:space="preserve"> </w:t>
      </w:r>
      <w:r w:rsidRPr="009C140E">
        <w:t>(2011),</w:t>
      </w:r>
      <w:r>
        <w:t xml:space="preserve"> using a sample of 1009 listed firms from China Center for Economic Research (CCER) during 2002-2006, analyze</w:t>
      </w:r>
      <w:r w:rsidRPr="00156EE2">
        <w:t>d</w:t>
      </w:r>
      <w:r>
        <w:t xml:space="preserve"> the association between corporate governance and earnings management. Their research results confirmed the relationship between </w:t>
      </w:r>
      <w:r w:rsidRPr="00156EE2">
        <w:t>those</w:t>
      </w:r>
      <w:r>
        <w:t xml:space="preserve"> two items and highlighted the vital role of corporate governance in mitigating earnings management. However, </w:t>
      </w:r>
      <w:r w:rsidRPr="009C140E">
        <w:t xml:space="preserve">Abed </w:t>
      </w:r>
      <w:r w:rsidRPr="00DD7143">
        <w:rPr>
          <w:i/>
        </w:rPr>
        <w:t>et al</w:t>
      </w:r>
      <w:r w:rsidRPr="009C140E">
        <w:t>.</w:t>
      </w:r>
      <w:r w:rsidR="00DB2A55">
        <w:t xml:space="preserve"> </w:t>
      </w:r>
      <w:r w:rsidRPr="009C140E">
        <w:t>(2012</w:t>
      </w:r>
      <w:r>
        <w:t>) stated that there is a weak relationship between corporate governance and earnings management, suggesting corporate governance may not limit the activities of earnings management effectively. Although some articles indicated an insignificant relationship between corporate governance and earnings management, a large number of other evidence confirm the relationship between them. Therefore, the first hypothesis is formulated as:</w:t>
      </w:r>
    </w:p>
    <w:p w:rsidR="00E02AB1" w:rsidRDefault="00E02AB1" w:rsidP="00E02AB1">
      <w:pPr>
        <w:pStyle w:val="ListParagraph"/>
        <w:spacing w:after="100" w:afterAutospacing="1" w:line="360" w:lineRule="auto"/>
        <w:ind w:left="0"/>
        <w:jc w:val="both"/>
        <w:rPr>
          <w:rFonts w:ascii="Times New Roman" w:hAnsi="Times New Roman" w:cs="Times New Roman"/>
          <w:b/>
          <w:sz w:val="24"/>
          <w:szCs w:val="24"/>
        </w:rPr>
      </w:pPr>
      <w:r w:rsidRPr="001413B0">
        <w:rPr>
          <w:rFonts w:ascii="Times New Roman" w:hAnsi="Times New Roman" w:cs="Times New Roman"/>
          <w:b/>
          <w:sz w:val="24"/>
          <w:szCs w:val="24"/>
        </w:rPr>
        <w:t>H</w:t>
      </w:r>
      <w:r w:rsidRPr="001413B0">
        <w:rPr>
          <w:rFonts w:ascii="Times New Roman" w:hAnsi="Times New Roman" w:cs="Times New Roman"/>
          <w:b/>
          <w:sz w:val="24"/>
          <w:szCs w:val="24"/>
          <w:vertAlign w:val="subscript"/>
        </w:rPr>
        <w:t>1</w:t>
      </w:r>
      <w:r w:rsidRPr="00DA266B">
        <w:rPr>
          <w:rFonts w:ascii="Times New Roman" w:hAnsi="Times New Roman" w:cs="Times New Roman"/>
          <w:b/>
          <w:sz w:val="24"/>
          <w:szCs w:val="24"/>
        </w:rPr>
        <w:t>:</w:t>
      </w:r>
      <w:r>
        <w:rPr>
          <w:rFonts w:ascii="Times New Roman" w:hAnsi="Times New Roman" w:cs="Times New Roman"/>
          <w:b/>
          <w:sz w:val="24"/>
          <w:szCs w:val="24"/>
          <w:vertAlign w:val="subscript"/>
        </w:rPr>
        <w:t xml:space="preserve"> </w:t>
      </w:r>
      <w:r>
        <w:rPr>
          <w:rFonts w:ascii="Times New Roman" w:hAnsi="Times New Roman" w:cs="Times New Roman"/>
          <w:b/>
          <w:sz w:val="24"/>
          <w:szCs w:val="24"/>
        </w:rPr>
        <w:t xml:space="preserve"> T</w:t>
      </w:r>
      <w:r w:rsidRPr="001413B0">
        <w:rPr>
          <w:rFonts w:ascii="Times New Roman" w:hAnsi="Times New Roman" w:cs="Times New Roman"/>
          <w:b/>
          <w:sz w:val="24"/>
          <w:szCs w:val="24"/>
        </w:rPr>
        <w:t>here is a</w:t>
      </w:r>
      <w:r w:rsidR="00DD7143">
        <w:rPr>
          <w:rFonts w:ascii="Times New Roman" w:hAnsi="Times New Roman" w:cs="Times New Roman"/>
          <w:b/>
          <w:sz w:val="24"/>
          <w:szCs w:val="24"/>
        </w:rPr>
        <w:t>n</w:t>
      </w:r>
      <w:r w:rsidRPr="001413B0">
        <w:rPr>
          <w:rFonts w:ascii="Times New Roman" w:hAnsi="Times New Roman" w:cs="Times New Roman"/>
          <w:b/>
          <w:sz w:val="24"/>
          <w:szCs w:val="24"/>
        </w:rPr>
        <w:t xml:space="preserve"> </w:t>
      </w:r>
      <w:r w:rsidR="00DD7143">
        <w:rPr>
          <w:rFonts w:ascii="Times New Roman" w:hAnsi="Times New Roman" w:cs="Times New Roman"/>
          <w:b/>
          <w:sz w:val="24"/>
          <w:szCs w:val="24"/>
        </w:rPr>
        <w:t xml:space="preserve">association </w:t>
      </w:r>
      <w:r w:rsidRPr="001413B0">
        <w:rPr>
          <w:rFonts w:ascii="Times New Roman" w:hAnsi="Times New Roman" w:cs="Times New Roman"/>
          <w:b/>
          <w:sz w:val="24"/>
          <w:szCs w:val="24"/>
        </w:rPr>
        <w:t>between corporate gov</w:t>
      </w:r>
      <w:r>
        <w:rPr>
          <w:rFonts w:ascii="Times New Roman" w:hAnsi="Times New Roman" w:cs="Times New Roman"/>
          <w:b/>
          <w:sz w:val="24"/>
          <w:szCs w:val="24"/>
        </w:rPr>
        <w:t>ernance and earnings management in China.</w:t>
      </w:r>
    </w:p>
    <w:p w:rsidR="00E02AB1" w:rsidRDefault="00E02AB1" w:rsidP="00E02AB1">
      <w:pPr>
        <w:pStyle w:val="ListParagraph"/>
        <w:spacing w:after="100" w:afterAutospacing="1" w:line="360" w:lineRule="auto"/>
        <w:ind w:left="0"/>
        <w:jc w:val="both"/>
        <w:rPr>
          <w:rFonts w:ascii="Times New Roman" w:hAnsi="Times New Roman" w:cs="Times New Roman"/>
          <w:b/>
          <w:sz w:val="24"/>
          <w:szCs w:val="24"/>
        </w:rPr>
      </w:pPr>
      <w:r w:rsidRPr="001413B0">
        <w:rPr>
          <w:rFonts w:ascii="Times New Roman" w:hAnsi="Times New Roman" w:cs="Times New Roman"/>
          <w:b/>
          <w:sz w:val="24"/>
          <w:szCs w:val="24"/>
        </w:rPr>
        <w:t>H</w:t>
      </w:r>
      <w:r>
        <w:rPr>
          <w:rFonts w:ascii="Times New Roman" w:hAnsi="Times New Roman" w:cs="Times New Roman"/>
          <w:b/>
          <w:sz w:val="24"/>
          <w:szCs w:val="24"/>
          <w:vertAlign w:val="subscript"/>
        </w:rPr>
        <w:t>2</w:t>
      </w:r>
      <w:r w:rsidRPr="00DA266B">
        <w:rPr>
          <w:rFonts w:ascii="Times New Roman" w:hAnsi="Times New Roman" w:cs="Times New Roman"/>
          <w:b/>
          <w:sz w:val="24"/>
          <w:szCs w:val="24"/>
        </w:rPr>
        <w:t>:</w:t>
      </w:r>
      <w:r>
        <w:rPr>
          <w:rFonts w:ascii="Times New Roman" w:hAnsi="Times New Roman" w:cs="Times New Roman"/>
          <w:b/>
          <w:sz w:val="24"/>
          <w:szCs w:val="24"/>
          <w:vertAlign w:val="subscript"/>
        </w:rPr>
        <w:t xml:space="preserve"> </w:t>
      </w:r>
      <w:r>
        <w:rPr>
          <w:rFonts w:ascii="Times New Roman" w:hAnsi="Times New Roman" w:cs="Times New Roman"/>
          <w:b/>
          <w:sz w:val="24"/>
          <w:szCs w:val="24"/>
        </w:rPr>
        <w:t xml:space="preserve"> T</w:t>
      </w:r>
      <w:r w:rsidRPr="001413B0">
        <w:rPr>
          <w:rFonts w:ascii="Times New Roman" w:hAnsi="Times New Roman" w:cs="Times New Roman"/>
          <w:b/>
          <w:sz w:val="24"/>
          <w:szCs w:val="24"/>
        </w:rPr>
        <w:t>here is a</w:t>
      </w:r>
      <w:r w:rsidR="00DD7143">
        <w:rPr>
          <w:rFonts w:ascii="Times New Roman" w:hAnsi="Times New Roman" w:cs="Times New Roman"/>
          <w:b/>
          <w:sz w:val="24"/>
          <w:szCs w:val="24"/>
        </w:rPr>
        <w:t>n</w:t>
      </w:r>
      <w:r w:rsidRPr="001413B0">
        <w:rPr>
          <w:rFonts w:ascii="Times New Roman" w:hAnsi="Times New Roman" w:cs="Times New Roman"/>
          <w:b/>
          <w:sz w:val="24"/>
          <w:szCs w:val="24"/>
        </w:rPr>
        <w:t xml:space="preserve"> </w:t>
      </w:r>
      <w:r w:rsidR="00DD7143">
        <w:rPr>
          <w:rFonts w:ascii="Times New Roman" w:hAnsi="Times New Roman" w:cs="Times New Roman"/>
          <w:b/>
          <w:sz w:val="24"/>
          <w:szCs w:val="24"/>
        </w:rPr>
        <w:t>association</w:t>
      </w:r>
      <w:r w:rsidRPr="001413B0">
        <w:rPr>
          <w:rFonts w:ascii="Times New Roman" w:hAnsi="Times New Roman" w:cs="Times New Roman"/>
          <w:b/>
          <w:sz w:val="24"/>
          <w:szCs w:val="24"/>
        </w:rPr>
        <w:t xml:space="preserve"> between corporate gov</w:t>
      </w:r>
      <w:r>
        <w:rPr>
          <w:rFonts w:ascii="Times New Roman" w:hAnsi="Times New Roman" w:cs="Times New Roman"/>
          <w:b/>
          <w:sz w:val="24"/>
          <w:szCs w:val="24"/>
        </w:rPr>
        <w:t>ernance and earnings management in U.S.</w:t>
      </w:r>
    </w:p>
    <w:p w:rsidR="00E02AB1" w:rsidRDefault="00E02AB1" w:rsidP="00230DA6">
      <w:pPr>
        <w:rPr>
          <w:color w:val="000000" w:themeColor="text1"/>
        </w:rPr>
      </w:pPr>
      <w:r w:rsidRPr="00F579DA">
        <w:lastRenderedPageBreak/>
        <w:t xml:space="preserve">This thesis will adopt U.S. data to compare with that of China related to corporate governance and earnings management. As mentioned before, China and other emerging markets are </w:t>
      </w:r>
      <w:r>
        <w:t xml:space="preserve">weak </w:t>
      </w:r>
      <w:r w:rsidRPr="00F579DA">
        <w:t>related to researches of corporate governance and earnings management.</w:t>
      </w:r>
      <w:r w:rsidR="00EF1EDC">
        <w:fldChar w:fldCharType="begin" w:fldLock="1"/>
      </w:r>
      <w:r>
        <w:instrText>ADDIN CSL_CITATION { "citationItems" : [ { "id" : "ITEM-1", "itemData" : { "author" : [ { "dropping-particle" : "", "family" : "Pagano", "given" : "Marco", "non-dropping-particle" : "", "parse-names" : false, "suffix" : "" }, { "dropping-particle" : "", "family" : "Panetta", "given" : "Fabio", "non-dropping-particle" : "", "parse-names" : false, "suffix" : "" }, { "dropping-particle" : "", "family" : "Zingales", "given" : "Luigi", "non-dropping-particle" : "", "parse-names" : false, "suffix" : "" } ], "container-title" : "The journal of finance", "id" : "ITEM-1", "issue" : "1", "issued" : { "date-parts" : [ [ "1998" ] ] }, "page" : "27-64", "title" : "Why Do Companies Go Public ? An Empirical Analysis", "type" : "article-journal", "volume" : "LIII" }, "uris" : [ "http://www.mendeley.com/documents/?uuid=17514f92-f4b2-4756-81e3-eae16f51a95c" ] } ], "mendeley" : { "manualFormatting" : " Pagano et al (1998)", "previouslyFormattedCitation" : "(Pagano, Panetta, &amp; Zingales, 1998)" }, "properties" : { "noteIndex" : 0 }, "schema" : "https://github.com/citation-style-language/schema/raw/master/csl-citation.json" }</w:instrText>
      </w:r>
      <w:r w:rsidR="00EF1EDC">
        <w:fldChar w:fldCharType="separate"/>
      </w:r>
      <w:r>
        <w:t xml:space="preserve"> </w:t>
      </w:r>
      <w:r w:rsidRPr="009C140E">
        <w:t xml:space="preserve">Pagano </w:t>
      </w:r>
      <w:r w:rsidRPr="00DD7143">
        <w:rPr>
          <w:i/>
        </w:rPr>
        <w:t>et al</w:t>
      </w:r>
      <w:r w:rsidRPr="009C140E">
        <w:t>.</w:t>
      </w:r>
      <w:r w:rsidR="000B1328">
        <w:t xml:space="preserve"> </w:t>
      </w:r>
      <w:r w:rsidRPr="009C140E">
        <w:t>(1998)</w:t>
      </w:r>
      <w:r w:rsidR="00EF1EDC">
        <w:fldChar w:fldCharType="end"/>
      </w:r>
      <w:r>
        <w:t xml:space="preserve"> demonstrated that companies are less developed in term of corporate governance than those in developed countries based on the Italian dataset. </w:t>
      </w:r>
      <w:r w:rsidR="00AF59D7">
        <w:t xml:space="preserve">Claessens and </w:t>
      </w:r>
      <w:r w:rsidR="00AF59D7" w:rsidRPr="000372E7">
        <w:rPr>
          <w:rFonts w:cs="Times New Roman"/>
          <w:noProof/>
          <w:color w:val="000000" w:themeColor="text1"/>
          <w:szCs w:val="24"/>
        </w:rPr>
        <w:t>Yurtoglu</w:t>
      </w:r>
      <w:r w:rsidR="00AF59D7">
        <w:t xml:space="preserve"> </w:t>
      </w:r>
      <w:r w:rsidRPr="009C140E">
        <w:t>(2013)</w:t>
      </w:r>
      <w:r>
        <w:t xml:space="preserve"> indicated that corporate governance issues in emerging markets are different from that in developed markets. </w:t>
      </w:r>
      <w:r w:rsidRPr="009C140E">
        <w:t xml:space="preserve">In addition, U.S., as the largest economy </w:t>
      </w:r>
      <w:r w:rsidRPr="00EE1171">
        <w:t>in the world</w:t>
      </w:r>
      <w:r>
        <w:rPr>
          <w:color w:val="000000" w:themeColor="text1"/>
        </w:rPr>
        <w:t xml:space="preserve">, is a benchmark related to the researches of corporate governance and earnings management after </w:t>
      </w:r>
      <w:r>
        <w:t>financial scandal of 2000s.</w:t>
      </w:r>
      <w:r>
        <w:rPr>
          <w:color w:val="000000" w:themeColor="text1"/>
        </w:rPr>
        <w:t xml:space="preserve"> Therefore, to answer the main research question, it is expected that:</w:t>
      </w:r>
    </w:p>
    <w:p w:rsidR="00280DE8" w:rsidRDefault="00E02AB1" w:rsidP="00280DE8">
      <w:pPr>
        <w:pStyle w:val="ListParagraph"/>
        <w:spacing w:after="100" w:afterAutospacing="1" w:line="360" w:lineRule="auto"/>
        <w:ind w:left="0"/>
        <w:jc w:val="both"/>
        <w:rPr>
          <w:rFonts w:ascii="Times New Roman" w:hAnsi="Times New Roman" w:cs="Times New Roman"/>
          <w:b/>
          <w:sz w:val="24"/>
          <w:szCs w:val="24"/>
        </w:rPr>
      </w:pPr>
      <w:r>
        <w:rPr>
          <w:rFonts w:ascii="Times New Roman" w:hAnsi="Times New Roman" w:cs="Times New Roman"/>
          <w:b/>
          <w:sz w:val="24"/>
          <w:szCs w:val="24"/>
        </w:rPr>
        <w:t>H</w:t>
      </w:r>
      <w:r>
        <w:rPr>
          <w:rFonts w:ascii="Times New Roman" w:hAnsi="Times New Roman" w:cs="Times New Roman"/>
          <w:b/>
          <w:sz w:val="24"/>
          <w:szCs w:val="24"/>
          <w:vertAlign w:val="subscript"/>
        </w:rPr>
        <w:t>3</w:t>
      </w:r>
      <w:r>
        <w:rPr>
          <w:rFonts w:ascii="Times New Roman" w:hAnsi="Times New Roman" w:cs="Times New Roman"/>
          <w:b/>
          <w:sz w:val="24"/>
          <w:szCs w:val="24"/>
        </w:rPr>
        <w:t xml:space="preserve">: There is a difference in the </w:t>
      </w:r>
      <w:r w:rsidR="00DD7143">
        <w:rPr>
          <w:rFonts w:ascii="Times New Roman" w:hAnsi="Times New Roman" w:cs="Times New Roman"/>
          <w:b/>
          <w:sz w:val="24"/>
          <w:szCs w:val="24"/>
        </w:rPr>
        <w:t xml:space="preserve">association </w:t>
      </w:r>
      <w:r>
        <w:rPr>
          <w:rFonts w:ascii="Times New Roman" w:hAnsi="Times New Roman" w:cs="Times New Roman"/>
          <w:b/>
          <w:sz w:val="24"/>
          <w:szCs w:val="24"/>
        </w:rPr>
        <w:t>between corporate governance and earnings management in U.S. and China.</w:t>
      </w:r>
    </w:p>
    <w:p w:rsidR="00280DE8" w:rsidRPr="00280DE8" w:rsidRDefault="00280DE8" w:rsidP="00280DE8">
      <w:pPr>
        <w:pStyle w:val="ListParagraph"/>
        <w:spacing w:after="100" w:afterAutospacing="1" w:line="360" w:lineRule="auto"/>
        <w:ind w:left="0"/>
        <w:jc w:val="both"/>
        <w:rPr>
          <w:rFonts w:ascii="Times New Roman" w:hAnsi="Times New Roman" w:cs="Times New Roman"/>
          <w:b/>
          <w:sz w:val="24"/>
          <w:szCs w:val="24"/>
        </w:rPr>
        <w:sectPr w:rsidR="00280DE8" w:rsidRPr="00280DE8" w:rsidSect="00F46EC8">
          <w:pgSz w:w="11907" w:h="16839" w:code="9"/>
          <w:pgMar w:top="1440" w:right="1800" w:bottom="1440" w:left="1800" w:header="720" w:footer="720" w:gutter="0"/>
          <w:cols w:space="720"/>
          <w:docGrid w:linePitch="360"/>
        </w:sectPr>
      </w:pPr>
    </w:p>
    <w:p w:rsidR="00E02AB1" w:rsidRPr="00230DA6" w:rsidRDefault="00E02AB1" w:rsidP="00252752">
      <w:pPr>
        <w:pStyle w:val="Heading1"/>
      </w:pPr>
      <w:bookmarkStart w:id="34" w:name="_Toc400916056"/>
      <w:r w:rsidRPr="00230DA6">
        <w:lastRenderedPageBreak/>
        <w:t>Research Design</w:t>
      </w:r>
      <w:bookmarkEnd w:id="34"/>
    </w:p>
    <w:p w:rsidR="00E02AB1" w:rsidRDefault="00E02AB1" w:rsidP="00E02AB1">
      <w:pPr>
        <w:rPr>
          <w:rFonts w:cs="Times New Roman"/>
          <w:szCs w:val="24"/>
        </w:rPr>
      </w:pPr>
      <w:r>
        <w:rPr>
          <w:rFonts w:cs="Times New Roman"/>
          <w:szCs w:val="24"/>
        </w:rPr>
        <w:t xml:space="preserve">The theoretical background and literature reviews of the relevant research studies on the relationship between corporate governance and earnings management have been presented in previous chapters. Based on the theories and empirical evidence, the hypotheses of this thesis have been formulated in Chapter 4. This chapter will concentrate on </w:t>
      </w:r>
      <w:r w:rsidR="001C35B9">
        <w:rPr>
          <w:rFonts w:cs="Times New Roman"/>
          <w:szCs w:val="24"/>
        </w:rPr>
        <w:t>developing</w:t>
      </w:r>
      <w:r>
        <w:rPr>
          <w:rFonts w:cs="Times New Roman"/>
          <w:szCs w:val="24"/>
        </w:rPr>
        <w:t xml:space="preserve"> the research design of this thesis. Firstly, the main research model for the statistical analysis such as dependent variable, independent variables and control variables will be introduced. After that, the process of data selection will be presented. In the end, the statistical tests adopted in this thesis will be discussed.</w:t>
      </w:r>
      <w:r>
        <w:t xml:space="preserve"> </w:t>
      </w:r>
    </w:p>
    <w:p w:rsidR="00E02AB1" w:rsidRPr="00230DA6" w:rsidRDefault="00710415" w:rsidP="00252752">
      <w:pPr>
        <w:pStyle w:val="Heading2"/>
      </w:pPr>
      <w:bookmarkStart w:id="35" w:name="_Toc400916057"/>
      <w:r>
        <w:t>Research m</w:t>
      </w:r>
      <w:r w:rsidR="00E02AB1" w:rsidRPr="00230DA6">
        <w:t>odel</w:t>
      </w:r>
      <w:bookmarkEnd w:id="35"/>
      <w:r w:rsidR="00E02AB1" w:rsidRPr="00230DA6">
        <w:t xml:space="preserve"> </w:t>
      </w:r>
    </w:p>
    <w:p w:rsidR="00E02AB1" w:rsidRPr="00710415" w:rsidRDefault="00E02AB1" w:rsidP="00252752">
      <w:pPr>
        <w:pStyle w:val="Heading3"/>
      </w:pPr>
      <w:bookmarkStart w:id="36" w:name="_Toc400916058"/>
      <w:r w:rsidRPr="00710415">
        <w:t>Measurement of discretionary accruals</w:t>
      </w:r>
      <w:bookmarkEnd w:id="36"/>
    </w:p>
    <w:p w:rsidR="00E02AB1" w:rsidRDefault="00305FE0" w:rsidP="00E02AB1">
      <w:pPr>
        <w:spacing w:after="0"/>
        <w:rPr>
          <w:rFonts w:cs="Times New Roman"/>
          <w:color w:val="FF0000"/>
          <w:szCs w:val="24"/>
        </w:rPr>
      </w:pPr>
      <w:r>
        <w:rPr>
          <w:rFonts w:cs="Times New Roman"/>
          <w:color w:val="000000" w:themeColor="text1"/>
          <w:szCs w:val="24"/>
        </w:rPr>
        <w:t>This thesis applies the Performance-Matched Discretionary Accruals M</w:t>
      </w:r>
      <w:r w:rsidR="00E02AB1" w:rsidRPr="000372E7">
        <w:rPr>
          <w:rFonts w:cs="Times New Roman"/>
          <w:color w:val="000000" w:themeColor="text1"/>
          <w:szCs w:val="24"/>
        </w:rPr>
        <w:t xml:space="preserve">odel to calculate discretionary accruals, which is proxy for earnings management. Firstly, Dechow </w:t>
      </w:r>
      <w:r w:rsidR="00E02AB1" w:rsidRPr="000372E7">
        <w:rPr>
          <w:rFonts w:cs="Times New Roman"/>
          <w:i/>
          <w:color w:val="000000" w:themeColor="text1"/>
          <w:szCs w:val="24"/>
        </w:rPr>
        <w:t>et al</w:t>
      </w:r>
      <w:r w:rsidR="00D1784F">
        <w:rPr>
          <w:rFonts w:cs="Times New Roman"/>
          <w:color w:val="000000" w:themeColor="text1"/>
          <w:szCs w:val="24"/>
        </w:rPr>
        <w:t>.</w:t>
      </w:r>
      <w:r w:rsidR="00E02AB1" w:rsidRPr="000372E7">
        <w:rPr>
          <w:rFonts w:cs="Times New Roman"/>
          <w:color w:val="000000" w:themeColor="text1"/>
          <w:szCs w:val="24"/>
        </w:rPr>
        <w:t xml:space="preserve"> (1995) assessed prior accrual-based models in detecting earnings management by comparing the specification and the power of test</w:t>
      </w:r>
      <w:r w:rsidR="00E02AB1" w:rsidRPr="000372E7">
        <w:rPr>
          <w:rStyle w:val="FootnoteReference"/>
          <w:rFonts w:cs="Times New Roman"/>
          <w:color w:val="000000" w:themeColor="text1"/>
          <w:szCs w:val="24"/>
        </w:rPr>
        <w:footnoteReference w:id="3"/>
      </w:r>
      <w:r w:rsidR="00E02AB1" w:rsidRPr="000372E7">
        <w:rPr>
          <w:rFonts w:cs="Times New Roman"/>
          <w:color w:val="000000" w:themeColor="text1"/>
          <w:szCs w:val="24"/>
        </w:rPr>
        <w:t xml:space="preserve"> across discretionary accruals estimated by those models. Their outcomes indicated that all models face a problem: the probability of making a type I error is high when those models applied to sample firms with extreme firm performance. Kothari </w:t>
      </w:r>
      <w:r w:rsidR="00E02AB1" w:rsidRPr="000372E7">
        <w:rPr>
          <w:rFonts w:cs="Times New Roman"/>
          <w:i/>
          <w:color w:val="000000" w:themeColor="text1"/>
          <w:szCs w:val="24"/>
        </w:rPr>
        <w:t>et al</w:t>
      </w:r>
      <w:r w:rsidR="00D1784F">
        <w:rPr>
          <w:rFonts w:cs="Times New Roman"/>
          <w:color w:val="000000" w:themeColor="text1"/>
          <w:szCs w:val="24"/>
        </w:rPr>
        <w:t>.</w:t>
      </w:r>
      <w:r w:rsidR="00E02AB1" w:rsidRPr="000372E7">
        <w:rPr>
          <w:rFonts w:cs="Times New Roman"/>
          <w:color w:val="000000" w:themeColor="text1"/>
          <w:szCs w:val="24"/>
        </w:rPr>
        <w:t xml:space="preserve"> (2005) added lagged return on asset as a tool to control this extreme performance situation, which reduces the misspecification problem. Dechow </w:t>
      </w:r>
      <w:r w:rsidR="00E02AB1" w:rsidRPr="000372E7">
        <w:rPr>
          <w:rFonts w:cs="Times New Roman"/>
          <w:i/>
          <w:color w:val="000000" w:themeColor="text1"/>
          <w:szCs w:val="24"/>
        </w:rPr>
        <w:t>et al</w:t>
      </w:r>
      <w:r w:rsidR="00D1784F">
        <w:rPr>
          <w:rFonts w:cs="Times New Roman"/>
          <w:color w:val="000000" w:themeColor="text1"/>
          <w:szCs w:val="24"/>
        </w:rPr>
        <w:t xml:space="preserve">. </w:t>
      </w:r>
      <w:r w:rsidR="00E02AB1" w:rsidRPr="000372E7">
        <w:rPr>
          <w:rFonts w:cs="Times New Roman"/>
          <w:color w:val="000000" w:themeColor="text1"/>
          <w:szCs w:val="24"/>
        </w:rPr>
        <w:t xml:space="preserve">(2012) stated that the </w:t>
      </w:r>
      <w:r>
        <w:rPr>
          <w:rFonts w:cs="Times New Roman"/>
          <w:color w:val="000000" w:themeColor="text1"/>
          <w:szCs w:val="24"/>
        </w:rPr>
        <w:t xml:space="preserve">Performance-Matched Discretionary Accruals Model </w:t>
      </w:r>
      <w:r w:rsidR="00E02AB1" w:rsidRPr="000372E7">
        <w:rPr>
          <w:rFonts w:cs="Times New Roman"/>
          <w:color w:val="000000" w:themeColor="text1"/>
          <w:szCs w:val="24"/>
        </w:rPr>
        <w:t xml:space="preserve">eliminates misspecification effect to some extent.  Ronen and Yaari (2008) demonstrated that this model is superior to the Jones model in showing strong results. Secondly, Dechow </w:t>
      </w:r>
      <w:r w:rsidR="00E02AB1" w:rsidRPr="000372E7">
        <w:rPr>
          <w:rFonts w:cs="Times New Roman"/>
          <w:i/>
          <w:color w:val="000000" w:themeColor="text1"/>
          <w:szCs w:val="24"/>
        </w:rPr>
        <w:t>et al</w:t>
      </w:r>
      <w:r w:rsidR="00D1784F">
        <w:rPr>
          <w:rFonts w:cs="Times New Roman"/>
          <w:color w:val="000000" w:themeColor="text1"/>
          <w:szCs w:val="24"/>
        </w:rPr>
        <w:t>.</w:t>
      </w:r>
      <w:r w:rsidR="00E02AB1" w:rsidRPr="000372E7">
        <w:rPr>
          <w:rFonts w:cs="Times New Roman"/>
          <w:color w:val="000000" w:themeColor="text1"/>
          <w:szCs w:val="24"/>
        </w:rPr>
        <w:t xml:space="preserve"> (2012) introduced a new method to investigate earnings management. This new approach assumed that the occurrence of accruals-based earnings management activities in one period will reverse in another period. By adopting a dummy variable (equal to 1 if earnings management reverse</w:t>
      </w:r>
      <w:r w:rsidR="00366E38">
        <w:rPr>
          <w:rFonts w:cs="Times New Roman"/>
          <w:color w:val="000000" w:themeColor="text1"/>
          <w:szCs w:val="24"/>
        </w:rPr>
        <w:t>s</w:t>
      </w:r>
      <w:r w:rsidR="00E02AB1" w:rsidRPr="000372E7">
        <w:rPr>
          <w:rFonts w:cs="Times New Roman"/>
          <w:color w:val="000000" w:themeColor="text1"/>
          <w:szCs w:val="24"/>
        </w:rPr>
        <w:t xml:space="preserve"> certainly in another period and 0 otherwise) to measure earnings management, Dechow </w:t>
      </w:r>
      <w:r w:rsidR="00E02AB1" w:rsidRPr="000372E7">
        <w:rPr>
          <w:rFonts w:cs="Times New Roman"/>
          <w:i/>
          <w:color w:val="000000" w:themeColor="text1"/>
          <w:szCs w:val="24"/>
        </w:rPr>
        <w:t>et al</w:t>
      </w:r>
      <w:r w:rsidR="00E02AB1" w:rsidRPr="00093037">
        <w:rPr>
          <w:rFonts w:cs="Times New Roman"/>
          <w:color w:val="000000" w:themeColor="text1"/>
          <w:szCs w:val="24"/>
        </w:rPr>
        <w:t>.</w:t>
      </w:r>
      <w:r w:rsidR="00093037">
        <w:rPr>
          <w:rFonts w:cs="Times New Roman"/>
          <w:color w:val="000000" w:themeColor="text1"/>
          <w:szCs w:val="24"/>
        </w:rPr>
        <w:t xml:space="preserve"> </w:t>
      </w:r>
      <w:r w:rsidR="00093037" w:rsidRPr="00093037">
        <w:rPr>
          <w:rFonts w:cs="Times New Roman"/>
          <w:color w:val="000000" w:themeColor="text1"/>
          <w:szCs w:val="24"/>
        </w:rPr>
        <w:t>(2012)</w:t>
      </w:r>
      <w:r w:rsidR="00E02AB1" w:rsidRPr="000372E7">
        <w:rPr>
          <w:rFonts w:cs="Times New Roman"/>
          <w:color w:val="000000" w:themeColor="text1"/>
          <w:szCs w:val="24"/>
        </w:rPr>
        <w:t xml:space="preserve"> found that this approach </w:t>
      </w:r>
      <w:r w:rsidR="00E02AB1" w:rsidRPr="000372E7">
        <w:rPr>
          <w:rFonts w:cs="Times New Roman"/>
          <w:color w:val="000000" w:themeColor="text1"/>
          <w:szCs w:val="24"/>
        </w:rPr>
        <w:lastRenderedPageBreak/>
        <w:t>improves power of test when the researchers know the specific periods. However, this method does not clearly point out how to identify the periods when accrual-based earnings management happen and reverse. Based on the a</w:t>
      </w:r>
      <w:r>
        <w:rPr>
          <w:rFonts w:cs="Times New Roman"/>
          <w:color w:val="000000" w:themeColor="text1"/>
          <w:szCs w:val="24"/>
        </w:rPr>
        <w:t>forementioned discussions, the Performance-Matched Discretionary Accruals M</w:t>
      </w:r>
      <w:r w:rsidR="00E02AB1" w:rsidRPr="000372E7">
        <w:rPr>
          <w:rFonts w:cs="Times New Roman"/>
          <w:color w:val="000000" w:themeColor="text1"/>
          <w:szCs w:val="24"/>
        </w:rPr>
        <w:t>odel is employed for this study</w:t>
      </w:r>
      <w:r w:rsidR="00DC17D6" w:rsidRPr="00DC17D6">
        <w:rPr>
          <w:rFonts w:cs="Times New Roman"/>
          <w:color w:val="000000" w:themeColor="text1"/>
          <w:szCs w:val="24"/>
        </w:rPr>
        <w:t>.</w:t>
      </w:r>
    </w:p>
    <w:p w:rsidR="00E02AB1" w:rsidRDefault="00E02AB1" w:rsidP="00E02AB1">
      <w:pPr>
        <w:rPr>
          <w:rFonts w:cs="Times New Roman"/>
          <w:szCs w:val="24"/>
        </w:rPr>
      </w:pPr>
      <w:r>
        <w:rPr>
          <w:rFonts w:cs="Times New Roman"/>
          <w:szCs w:val="24"/>
        </w:rPr>
        <w:t>In order to obtain discretionary accruals, the total accruals need to be calculated first. The numerous empirical research based method presented in section 2.1.2 of Chapter 2 is used here to estimate total accruals.</w:t>
      </w:r>
    </w:p>
    <w:tbl>
      <w:tblPr>
        <w:tblW w:w="5000" w:type="pct"/>
        <w:tblLook w:val="04A0"/>
      </w:tblPr>
      <w:tblGrid>
        <w:gridCol w:w="7575"/>
        <w:gridCol w:w="948"/>
      </w:tblGrid>
      <w:tr w:rsidR="00E02AB1" w:rsidTr="00E02AB1">
        <w:tc>
          <w:tcPr>
            <w:tcW w:w="4000" w:type="pct"/>
            <w:vAlign w:val="center"/>
            <w:hideMark/>
          </w:tcPr>
          <w:p w:rsidR="00E02AB1" w:rsidRDefault="00EF1EDC">
            <w:pPr>
              <w:spacing w:before="60"/>
              <w:jc w:val="center"/>
              <w:rPr>
                <w:rFonts w:cs="Times New Roman"/>
                <w:sz w:val="21"/>
                <w:szCs w:val="21"/>
                <w:lang w:eastAsia="en-US"/>
              </w:rPr>
            </w:pPr>
            <m:oMathPara>
              <m:oMath>
                <m:f>
                  <m:fPr>
                    <m:ctrlPr>
                      <w:rPr>
                        <w:rFonts w:ascii="Cambria Math" w:hAnsi="Cambria Math" w:cs="Times New Roman"/>
                        <w:sz w:val="21"/>
                        <w:szCs w:val="21"/>
                        <w:lang w:eastAsia="en-US"/>
                      </w:rPr>
                    </m:ctrlPr>
                  </m:fPr>
                  <m:num>
                    <m:r>
                      <m:rPr>
                        <m:sty m:val="p"/>
                      </m:rPr>
                      <w:rPr>
                        <w:rFonts w:ascii="Cambria Math" w:hAnsi="Cambria Math" w:cs="Times New Roman"/>
                        <w:sz w:val="21"/>
                        <w:szCs w:val="21"/>
                      </w:rPr>
                      <m:t>T</m:t>
                    </m:r>
                    <m:sSub>
                      <m:sSubPr>
                        <m:ctrlPr>
                          <w:rPr>
                            <w:rFonts w:ascii="Cambria Math" w:hAnsi="Cambria Math" w:cs="Times New Roman"/>
                            <w:sz w:val="21"/>
                            <w:szCs w:val="21"/>
                            <w:lang w:val="nl-NL" w:eastAsia="en-US"/>
                          </w:rPr>
                        </m:ctrlPr>
                      </m:sSubPr>
                      <m:e>
                        <m:r>
                          <m:rPr>
                            <m:sty m:val="p"/>
                          </m:rPr>
                          <w:rPr>
                            <w:rFonts w:ascii="Cambria Math" w:hAnsi="Cambria Math" w:cs="Times New Roman"/>
                            <w:sz w:val="21"/>
                            <w:szCs w:val="21"/>
                          </w:rPr>
                          <m:t>A</m:t>
                        </m:r>
                      </m:e>
                      <m:sub>
                        <m:r>
                          <w:rPr>
                            <w:rFonts w:ascii="Cambria Math" w:hAnsi="Cambria Math" w:cs="Times New Roman"/>
                            <w:sz w:val="21"/>
                            <w:szCs w:val="21"/>
                          </w:rPr>
                          <m:t>t</m:t>
                        </m:r>
                      </m:sub>
                    </m:sSub>
                  </m:num>
                  <m:den>
                    <m:sSub>
                      <m:sSubPr>
                        <m:ctrlPr>
                          <w:rPr>
                            <w:rFonts w:ascii="Cambria Math" w:hAnsi="Cambria Math" w:cs="Times New Roman"/>
                            <w:sz w:val="21"/>
                            <w:szCs w:val="21"/>
                            <w:vertAlign w:val="subscript"/>
                            <w:lang w:val="nl-NL" w:eastAsia="en-US"/>
                          </w:rPr>
                        </m:ctrlPr>
                      </m:sSubPr>
                      <m:e>
                        <m:r>
                          <m:rPr>
                            <m:sty m:val="p"/>
                          </m:rPr>
                          <w:rPr>
                            <w:rFonts w:ascii="Cambria Math" w:hAnsi="Cambria Math" w:cs="Times New Roman"/>
                            <w:sz w:val="21"/>
                            <w:szCs w:val="21"/>
                          </w:rPr>
                          <m:t>A</m:t>
                        </m:r>
                      </m:e>
                      <m:sub>
                        <m:r>
                          <m:rPr>
                            <m:sty m:val="p"/>
                          </m:rPr>
                          <w:rPr>
                            <w:rFonts w:ascii="Cambria Math" w:hAnsi="Cambria Math" w:cs="Times New Roman"/>
                            <w:sz w:val="21"/>
                            <w:szCs w:val="21"/>
                            <w:vertAlign w:val="subscript"/>
                          </w:rPr>
                          <m:t>t-1</m:t>
                        </m:r>
                      </m:sub>
                    </m:sSub>
                  </m:den>
                </m:f>
                <m:r>
                  <m:rPr>
                    <m:sty m:val="p"/>
                  </m:rPr>
                  <w:rPr>
                    <w:rFonts w:ascii="Cambria Math" w:hAnsi="Cambria Math" w:cs="Times New Roman"/>
                    <w:sz w:val="21"/>
                    <w:szCs w:val="21"/>
                  </w:rPr>
                  <m:t>=</m:t>
                </m:r>
                <m:f>
                  <m:fPr>
                    <m:ctrlPr>
                      <w:rPr>
                        <w:rFonts w:ascii="Cambria Math" w:hAnsi="Cambria Math" w:cs="Times New Roman"/>
                        <w:sz w:val="21"/>
                        <w:szCs w:val="21"/>
                        <w:lang w:val="nl-NL" w:eastAsia="en-US"/>
                      </w:rPr>
                    </m:ctrlPr>
                  </m:fPr>
                  <m:num>
                    <m:d>
                      <m:dPr>
                        <m:ctrlPr>
                          <w:rPr>
                            <w:rFonts w:ascii="Cambria Math" w:hAnsi="Cambria Math" w:cs="Times New Roman"/>
                            <w:sz w:val="21"/>
                            <w:szCs w:val="21"/>
                            <w:lang w:val="nl-NL" w:eastAsia="en-US"/>
                          </w:rPr>
                        </m:ctrlPr>
                      </m:dPr>
                      <m:e>
                        <m:r>
                          <m:rPr>
                            <m:sty m:val="p"/>
                          </m:rPr>
                          <w:rPr>
                            <w:rFonts w:ascii="Cambria Math" w:hAnsi="Cambria Math" w:cs="Times New Roman"/>
                            <w:sz w:val="21"/>
                            <w:szCs w:val="21"/>
                          </w:rPr>
                          <m:t>∆C</m:t>
                        </m:r>
                        <m:sSub>
                          <m:sSubPr>
                            <m:ctrlPr>
                              <w:rPr>
                                <w:rFonts w:ascii="Cambria Math" w:hAnsi="Cambria Math" w:cs="Times New Roman"/>
                                <w:sz w:val="21"/>
                                <w:szCs w:val="21"/>
                                <w:lang w:val="nl-NL" w:eastAsia="en-US"/>
                              </w:rPr>
                            </m:ctrlPr>
                          </m:sSubPr>
                          <m:e>
                            <m:r>
                              <m:rPr>
                                <m:sty m:val="p"/>
                              </m:rPr>
                              <w:rPr>
                                <w:rFonts w:ascii="Cambria Math" w:hAnsi="Cambria Math" w:cs="Times New Roman"/>
                                <w:sz w:val="21"/>
                                <w:szCs w:val="21"/>
                              </w:rPr>
                              <m:t>A</m:t>
                            </m:r>
                          </m:e>
                          <m:sub>
                            <m:r>
                              <m:rPr>
                                <m:sty m:val="p"/>
                              </m:rPr>
                              <w:rPr>
                                <w:rFonts w:ascii="Cambria Math" w:hAnsi="Cambria Math" w:cs="Times New Roman"/>
                                <w:sz w:val="21"/>
                                <w:szCs w:val="21"/>
                              </w:rPr>
                              <m:t>t</m:t>
                            </m:r>
                          </m:sub>
                        </m:sSub>
                        <m:r>
                          <m:rPr>
                            <m:sty m:val="p"/>
                          </m:rPr>
                          <w:rPr>
                            <w:rFonts w:ascii="Cambria Math" w:hAnsi="Cambria Math" w:cs="Times New Roman"/>
                            <w:sz w:val="21"/>
                            <w:szCs w:val="21"/>
                          </w:rPr>
                          <m:t>-∆C</m:t>
                        </m:r>
                        <m:sSub>
                          <m:sSubPr>
                            <m:ctrlPr>
                              <w:rPr>
                                <w:rFonts w:ascii="Cambria Math" w:hAnsi="Cambria Math" w:cs="Times New Roman"/>
                                <w:sz w:val="21"/>
                                <w:szCs w:val="21"/>
                                <w:lang w:val="nl-NL" w:eastAsia="en-US"/>
                              </w:rPr>
                            </m:ctrlPr>
                          </m:sSubPr>
                          <m:e>
                            <m:r>
                              <m:rPr>
                                <m:sty m:val="p"/>
                              </m:rPr>
                              <w:rPr>
                                <w:rFonts w:ascii="Cambria Math" w:hAnsi="Cambria Math" w:cs="Times New Roman"/>
                                <w:sz w:val="21"/>
                                <w:szCs w:val="21"/>
                              </w:rPr>
                              <m:t>L</m:t>
                            </m:r>
                          </m:e>
                          <m:sub>
                            <m:r>
                              <m:rPr>
                                <m:sty m:val="p"/>
                              </m:rPr>
                              <w:rPr>
                                <w:rFonts w:ascii="Cambria Math" w:hAnsi="Cambria Math" w:cs="Times New Roman"/>
                                <w:sz w:val="21"/>
                                <w:szCs w:val="21"/>
                              </w:rPr>
                              <m:t>t</m:t>
                            </m:r>
                          </m:sub>
                        </m:sSub>
                        <m:r>
                          <m:rPr>
                            <m:sty m:val="p"/>
                          </m:rPr>
                          <w:rPr>
                            <w:rFonts w:ascii="Cambria Math" w:hAnsi="Cambria Math" w:cs="Times New Roman"/>
                            <w:sz w:val="21"/>
                            <w:szCs w:val="21"/>
                          </w:rPr>
                          <m:t>-∆CAS</m:t>
                        </m:r>
                        <m:sSub>
                          <m:sSubPr>
                            <m:ctrlPr>
                              <w:rPr>
                                <w:rFonts w:ascii="Cambria Math" w:hAnsi="Cambria Math" w:cs="Times New Roman"/>
                                <w:sz w:val="21"/>
                                <w:szCs w:val="21"/>
                                <w:lang w:val="nl-NL" w:eastAsia="en-US"/>
                              </w:rPr>
                            </m:ctrlPr>
                          </m:sSubPr>
                          <m:e>
                            <m:r>
                              <m:rPr>
                                <m:sty m:val="p"/>
                              </m:rPr>
                              <w:rPr>
                                <w:rFonts w:ascii="Cambria Math" w:hAnsi="Cambria Math" w:cs="Times New Roman"/>
                                <w:sz w:val="21"/>
                                <w:szCs w:val="21"/>
                              </w:rPr>
                              <m:t>H</m:t>
                            </m:r>
                          </m:e>
                          <m:sub>
                            <m:r>
                              <m:rPr>
                                <m:sty m:val="p"/>
                              </m:rPr>
                              <w:rPr>
                                <w:rFonts w:ascii="Cambria Math" w:hAnsi="Cambria Math" w:cs="Times New Roman"/>
                                <w:sz w:val="21"/>
                                <w:szCs w:val="21"/>
                              </w:rPr>
                              <m:t>t</m:t>
                            </m:r>
                          </m:sub>
                        </m:sSub>
                        <m:r>
                          <m:rPr>
                            <m:sty m:val="p"/>
                          </m:rPr>
                          <w:rPr>
                            <w:rFonts w:ascii="Cambria Math" w:hAnsi="Cambria Math" w:cs="Times New Roman"/>
                            <w:sz w:val="21"/>
                            <w:szCs w:val="21"/>
                          </w:rPr>
                          <m:t>+ ∆DEB</m:t>
                        </m:r>
                        <m:sSub>
                          <m:sSubPr>
                            <m:ctrlPr>
                              <w:rPr>
                                <w:rFonts w:ascii="Cambria Math" w:hAnsi="Cambria Math" w:cs="Times New Roman"/>
                                <w:sz w:val="21"/>
                                <w:szCs w:val="21"/>
                                <w:lang w:val="nl-NL" w:eastAsia="en-US"/>
                              </w:rPr>
                            </m:ctrlPr>
                          </m:sSubPr>
                          <m:e>
                            <m:r>
                              <m:rPr>
                                <m:sty m:val="p"/>
                              </m:rPr>
                              <w:rPr>
                                <w:rFonts w:ascii="Cambria Math" w:hAnsi="Cambria Math" w:cs="Times New Roman"/>
                                <w:sz w:val="21"/>
                                <w:szCs w:val="21"/>
                              </w:rPr>
                              <m:t>T</m:t>
                            </m:r>
                          </m:e>
                          <m:sub>
                            <m:r>
                              <m:rPr>
                                <m:sty m:val="p"/>
                              </m:rPr>
                              <w:rPr>
                                <w:rFonts w:ascii="Cambria Math" w:hAnsi="Cambria Math" w:cs="Times New Roman"/>
                                <w:sz w:val="21"/>
                                <w:szCs w:val="21"/>
                              </w:rPr>
                              <m:t>t</m:t>
                            </m:r>
                          </m:sub>
                        </m:sSub>
                        <m:r>
                          <m:rPr>
                            <m:sty m:val="p"/>
                          </m:rPr>
                          <w:rPr>
                            <w:rFonts w:ascii="Cambria Math" w:hAnsi="Cambria Math" w:cs="Times New Roman"/>
                            <w:sz w:val="21"/>
                            <w:szCs w:val="21"/>
                          </w:rPr>
                          <m:t>-</m:t>
                        </m:r>
                        <m:sSub>
                          <m:sSubPr>
                            <m:ctrlPr>
                              <w:rPr>
                                <w:rFonts w:ascii="Cambria Math" w:hAnsi="Cambria Math" w:cs="Times New Roman"/>
                                <w:sz w:val="21"/>
                                <w:szCs w:val="21"/>
                                <w:lang w:val="nl-NL" w:eastAsia="en-US"/>
                              </w:rPr>
                            </m:ctrlPr>
                          </m:sSubPr>
                          <m:e>
                            <m:r>
                              <m:rPr>
                                <m:sty m:val="p"/>
                              </m:rPr>
                              <w:rPr>
                                <w:rFonts w:ascii="Cambria Math" w:hAnsi="Cambria Math" w:cs="Times New Roman"/>
                                <w:sz w:val="21"/>
                                <w:szCs w:val="21"/>
                              </w:rPr>
                              <m:t>DEP</m:t>
                            </m:r>
                          </m:e>
                          <m:sub>
                            <m:r>
                              <m:rPr>
                                <m:sty m:val="p"/>
                              </m:rPr>
                              <w:rPr>
                                <w:rFonts w:ascii="Cambria Math" w:hAnsi="Cambria Math" w:cs="Times New Roman"/>
                                <w:sz w:val="21"/>
                                <w:szCs w:val="21"/>
                              </w:rPr>
                              <m:t>t</m:t>
                            </m:r>
                          </m:sub>
                        </m:sSub>
                      </m:e>
                    </m:d>
                  </m:num>
                  <m:den>
                    <m:sSub>
                      <m:sSubPr>
                        <m:ctrlPr>
                          <w:rPr>
                            <w:rFonts w:ascii="Cambria Math" w:hAnsi="Cambria Math" w:cs="Times New Roman"/>
                            <w:sz w:val="21"/>
                            <w:szCs w:val="21"/>
                            <w:vertAlign w:val="subscript"/>
                            <w:lang w:val="nl-NL" w:eastAsia="en-US"/>
                          </w:rPr>
                        </m:ctrlPr>
                      </m:sSubPr>
                      <m:e>
                        <m:r>
                          <m:rPr>
                            <m:sty m:val="p"/>
                          </m:rPr>
                          <w:rPr>
                            <w:rFonts w:ascii="Cambria Math" w:hAnsi="Cambria Math" w:cs="Times New Roman"/>
                            <w:sz w:val="21"/>
                            <w:szCs w:val="21"/>
                          </w:rPr>
                          <m:t>A</m:t>
                        </m:r>
                      </m:e>
                      <m:sub>
                        <m:r>
                          <m:rPr>
                            <m:sty m:val="p"/>
                          </m:rPr>
                          <w:rPr>
                            <w:rFonts w:ascii="Cambria Math" w:hAnsi="Cambria Math" w:cs="Times New Roman"/>
                            <w:sz w:val="21"/>
                            <w:szCs w:val="21"/>
                            <w:vertAlign w:val="subscript"/>
                          </w:rPr>
                          <m:t>t-1</m:t>
                        </m:r>
                      </m:sub>
                    </m:sSub>
                  </m:den>
                </m:f>
              </m:oMath>
            </m:oMathPara>
          </w:p>
        </w:tc>
        <w:tc>
          <w:tcPr>
            <w:tcW w:w="500" w:type="pct"/>
            <w:vAlign w:val="center"/>
            <w:hideMark/>
          </w:tcPr>
          <w:p w:rsidR="00E02AB1" w:rsidRDefault="00E02AB1">
            <w:pPr>
              <w:spacing w:before="60"/>
              <w:jc w:val="right"/>
              <w:rPr>
                <w:rFonts w:cs="Times New Roman"/>
                <w:lang w:eastAsia="en-US"/>
              </w:rPr>
            </w:pPr>
            <w:r>
              <w:rPr>
                <w:rFonts w:cs="Times New Roman"/>
              </w:rPr>
              <w:t>(5.1)</w:t>
            </w:r>
          </w:p>
        </w:tc>
      </w:tr>
    </w:tbl>
    <w:p w:rsidR="00E02AB1" w:rsidRDefault="00E02AB1" w:rsidP="00E02AB1">
      <w:pPr>
        <w:rPr>
          <w:rFonts w:cs="Times New Roman"/>
          <w:szCs w:val="24"/>
          <w:lang w:eastAsia="en-US"/>
        </w:rPr>
      </w:pPr>
      <w:r>
        <w:rPr>
          <w:rFonts w:cs="Times New Roman"/>
          <w:szCs w:val="24"/>
        </w:rPr>
        <w:t>After obtaining the value of total accruals, then the specific parameters a</w:t>
      </w:r>
      <w:r>
        <w:rPr>
          <w:rFonts w:cs="Times New Roman"/>
          <w:szCs w:val="24"/>
          <w:vertAlign w:val="subscript"/>
        </w:rPr>
        <w:t>1</w:t>
      </w:r>
      <w:r>
        <w:rPr>
          <w:rFonts w:cs="Times New Roman"/>
          <w:szCs w:val="24"/>
        </w:rPr>
        <w:t>, a</w:t>
      </w:r>
      <w:r>
        <w:rPr>
          <w:rFonts w:cs="Times New Roman"/>
          <w:szCs w:val="24"/>
          <w:vertAlign w:val="subscript"/>
        </w:rPr>
        <w:t>2</w:t>
      </w:r>
      <w:r>
        <w:rPr>
          <w:rFonts w:cs="Times New Roman"/>
          <w:szCs w:val="24"/>
        </w:rPr>
        <w:t>, a</w:t>
      </w:r>
      <w:r>
        <w:rPr>
          <w:rFonts w:cs="Times New Roman"/>
          <w:szCs w:val="24"/>
          <w:vertAlign w:val="subscript"/>
        </w:rPr>
        <w:t>3</w:t>
      </w:r>
      <w:r>
        <w:rPr>
          <w:rFonts w:cs="Times New Roman"/>
          <w:szCs w:val="24"/>
        </w:rPr>
        <w:t>, and a</w:t>
      </w:r>
      <w:r>
        <w:rPr>
          <w:rFonts w:cs="Times New Roman"/>
          <w:szCs w:val="24"/>
          <w:vertAlign w:val="subscript"/>
        </w:rPr>
        <w:t>4</w:t>
      </w:r>
      <w:r>
        <w:rPr>
          <w:rFonts w:cs="Times New Roman"/>
          <w:szCs w:val="24"/>
        </w:rPr>
        <w:t xml:space="preserve"> in equation (5.2) can be estimated by running OLS regression.</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923"/>
        <w:gridCol w:w="600"/>
      </w:tblGrid>
      <w:tr w:rsidR="00E02AB1" w:rsidTr="00E02AB1">
        <w:tc>
          <w:tcPr>
            <w:tcW w:w="4750" w:type="pct"/>
            <w:vAlign w:val="center"/>
            <w:hideMark/>
          </w:tcPr>
          <w:p w:rsidR="00E02AB1" w:rsidRDefault="00EF1EDC" w:rsidP="004636DB">
            <w:pPr>
              <w:spacing w:line="240" w:lineRule="auto"/>
              <w:rPr>
                <w:rFonts w:cs="Times New Roman"/>
                <w:color w:val="FF0000"/>
                <w:sz w:val="21"/>
                <w:szCs w:val="21"/>
                <w:lang w:eastAsia="en-US"/>
              </w:rPr>
            </w:pPr>
            <m:oMathPara>
              <m:oMath>
                <m:f>
                  <m:fPr>
                    <m:ctrlPr>
                      <w:rPr>
                        <w:rFonts w:ascii="Cambria Math" w:hAnsi="Cambria Math" w:cs="Times New Roman"/>
                        <w:i/>
                        <w:sz w:val="21"/>
                        <w:szCs w:val="21"/>
                        <w:vertAlign w:val="subscript"/>
                        <w:lang w:val="nl-NL" w:eastAsia="en-US"/>
                      </w:rPr>
                    </m:ctrlPr>
                  </m:fPr>
                  <m:num>
                    <m:r>
                      <w:rPr>
                        <w:rFonts w:ascii="Cambria Math" w:cs="Times New Roman"/>
                        <w:sz w:val="21"/>
                        <w:szCs w:val="21"/>
                        <w:vertAlign w:val="subscript"/>
                      </w:rPr>
                      <m:t xml:space="preserve"> </m:t>
                    </m:r>
                    <m:sSub>
                      <m:sSubPr>
                        <m:ctrlPr>
                          <w:rPr>
                            <w:rFonts w:ascii="Cambria Math" w:hAnsi="Cambria Math" w:cs="Times New Roman"/>
                            <w:sz w:val="21"/>
                            <w:szCs w:val="21"/>
                            <w:vertAlign w:val="subscript"/>
                            <w:lang w:val="nl-NL" w:eastAsia="en-US"/>
                          </w:rPr>
                        </m:ctrlPr>
                      </m:sSubPr>
                      <m:e>
                        <m:r>
                          <m:rPr>
                            <m:sty m:val="p"/>
                          </m:rPr>
                          <w:rPr>
                            <w:rFonts w:ascii="Cambria Math" w:cs="Times New Roman"/>
                            <w:sz w:val="21"/>
                            <w:szCs w:val="21"/>
                          </w:rPr>
                          <m:t>TA</m:t>
                        </m:r>
                      </m:e>
                      <m:sub>
                        <m:r>
                          <m:rPr>
                            <m:sty m:val="p"/>
                          </m:rPr>
                          <w:rPr>
                            <w:rFonts w:ascii="Cambria Math" w:cs="Times New Roman"/>
                            <w:sz w:val="21"/>
                            <w:szCs w:val="21"/>
                            <w:vertAlign w:val="subscript"/>
                          </w:rPr>
                          <m:t>t</m:t>
                        </m:r>
                      </m:sub>
                    </m:sSub>
                  </m:num>
                  <m:den>
                    <m:sSub>
                      <m:sSubPr>
                        <m:ctrlPr>
                          <w:rPr>
                            <w:rFonts w:ascii="Cambria Math" w:hAnsi="Cambria Math" w:cs="Times New Roman"/>
                            <w:sz w:val="21"/>
                            <w:szCs w:val="21"/>
                            <w:vertAlign w:val="subscript"/>
                            <w:lang w:val="nl-NL" w:eastAsia="en-US"/>
                          </w:rPr>
                        </m:ctrlPr>
                      </m:sSubPr>
                      <m:e>
                        <m:r>
                          <m:rPr>
                            <m:sty m:val="p"/>
                          </m:rPr>
                          <w:rPr>
                            <w:rFonts w:ascii="Cambria Math" w:hAnsi="Cambria Math" w:cs="Times New Roman"/>
                            <w:sz w:val="21"/>
                            <w:szCs w:val="21"/>
                          </w:rPr>
                          <m:t>A</m:t>
                        </m:r>
                      </m:e>
                      <m:sub>
                        <m:r>
                          <m:rPr>
                            <m:sty m:val="p"/>
                          </m:rPr>
                          <w:rPr>
                            <w:rFonts w:ascii="Cambria Math" w:hAnsi="Cambria Math" w:cs="Times New Roman"/>
                            <w:sz w:val="21"/>
                            <w:szCs w:val="21"/>
                            <w:vertAlign w:val="subscript"/>
                          </w:rPr>
                          <m:t>t-1</m:t>
                        </m:r>
                      </m:sub>
                    </m:sSub>
                  </m:den>
                </m:f>
                <m:r>
                  <m:rPr>
                    <m:sty m:val="p"/>
                  </m:rPr>
                  <w:rPr>
                    <w:rFonts w:ascii="Cambria Math" w:cs="Times New Roman"/>
                    <w:sz w:val="21"/>
                    <w:szCs w:val="21"/>
                  </w:rPr>
                  <m:t xml:space="preserve">= </m:t>
                </m:r>
                <m:sSub>
                  <m:sSubPr>
                    <m:ctrlPr>
                      <w:rPr>
                        <w:rFonts w:ascii="Cambria Math" w:hAnsi="Cambria Math" w:cs="Times New Roman"/>
                        <w:sz w:val="21"/>
                        <w:szCs w:val="21"/>
                        <w:lang w:val="nl-NL" w:eastAsia="en-US"/>
                      </w:rPr>
                    </m:ctrlPr>
                  </m:sSubPr>
                  <m:e>
                    <m:r>
                      <w:rPr>
                        <w:rFonts w:ascii="Cambria Math" w:hAnsi="Cambria Math" w:cs="Times New Roman"/>
                        <w:sz w:val="21"/>
                        <w:szCs w:val="21"/>
                      </w:rPr>
                      <m:t>a</m:t>
                    </m:r>
                  </m:e>
                  <m:sub>
                    <m:r>
                      <w:rPr>
                        <w:rFonts w:ascii="Cambria Math" w:cs="Times New Roman"/>
                        <w:sz w:val="21"/>
                        <w:szCs w:val="21"/>
                      </w:rPr>
                      <m:t>0</m:t>
                    </m:r>
                  </m:sub>
                </m:sSub>
                <m:r>
                  <m:rPr>
                    <m:sty m:val="p"/>
                  </m:rPr>
                  <w:rPr>
                    <w:rFonts w:ascii="Cambria Math" w:cs="Times New Roman"/>
                    <w:sz w:val="21"/>
                    <w:szCs w:val="21"/>
                  </w:rPr>
                  <m:t xml:space="preserve">+ </m:t>
                </m:r>
                <m:sSub>
                  <m:sSubPr>
                    <m:ctrlPr>
                      <w:rPr>
                        <w:rFonts w:ascii="Cambria Math" w:hAnsi="Cambria Math" w:cs="Times New Roman"/>
                        <w:sz w:val="21"/>
                        <w:szCs w:val="21"/>
                        <w:vertAlign w:val="subscript"/>
                        <w:lang w:val="nl-NL" w:eastAsia="en-US"/>
                      </w:rPr>
                    </m:ctrlPr>
                  </m:sSubPr>
                  <m:e>
                    <m:r>
                      <m:rPr>
                        <m:sty m:val="p"/>
                      </m:rPr>
                      <w:rPr>
                        <w:rFonts w:ascii="Cambria Math" w:cs="Times New Roman"/>
                        <w:sz w:val="21"/>
                        <w:szCs w:val="21"/>
                        <w:vertAlign w:val="subscript"/>
                      </w:rPr>
                      <m:t>a</m:t>
                    </m:r>
                  </m:e>
                  <m:sub>
                    <m:r>
                      <m:rPr>
                        <m:sty m:val="p"/>
                      </m:rPr>
                      <w:rPr>
                        <w:rFonts w:ascii="Cambria Math" w:cs="Times New Roman"/>
                        <w:sz w:val="21"/>
                        <w:szCs w:val="21"/>
                        <w:vertAlign w:val="subscript"/>
                      </w:rPr>
                      <m:t>1</m:t>
                    </m:r>
                  </m:sub>
                </m:sSub>
                <m:d>
                  <m:dPr>
                    <m:ctrlPr>
                      <w:rPr>
                        <w:rFonts w:ascii="Cambria Math" w:hAnsi="Cambria Math" w:cs="Times New Roman"/>
                        <w:sz w:val="21"/>
                        <w:szCs w:val="21"/>
                        <w:lang w:val="nl-NL" w:eastAsia="en-US"/>
                      </w:rPr>
                    </m:ctrlPr>
                  </m:dPr>
                  <m:e>
                    <m:f>
                      <m:fPr>
                        <m:ctrlPr>
                          <w:rPr>
                            <w:rFonts w:ascii="Cambria Math" w:hAnsi="Cambria Math" w:cs="Times New Roman"/>
                            <w:i/>
                            <w:sz w:val="21"/>
                            <w:szCs w:val="21"/>
                            <w:lang w:val="nl-NL" w:eastAsia="en-US"/>
                          </w:rPr>
                        </m:ctrlPr>
                      </m:fPr>
                      <m:num>
                        <m:r>
                          <w:rPr>
                            <w:rFonts w:ascii="Cambria Math" w:cs="Times New Roman"/>
                            <w:sz w:val="21"/>
                            <w:szCs w:val="21"/>
                          </w:rPr>
                          <m:t>1</m:t>
                        </m:r>
                      </m:num>
                      <m:den>
                        <m:sSub>
                          <m:sSubPr>
                            <m:ctrlPr>
                              <w:rPr>
                                <w:rFonts w:ascii="Cambria Math" w:hAnsi="Cambria Math" w:cs="Times New Roman"/>
                                <w:sz w:val="21"/>
                                <w:szCs w:val="21"/>
                                <w:vertAlign w:val="subscript"/>
                                <w:lang w:val="nl-NL" w:eastAsia="en-US"/>
                              </w:rPr>
                            </m:ctrlPr>
                          </m:sSubPr>
                          <m:e>
                            <m:r>
                              <m:rPr>
                                <m:sty m:val="p"/>
                              </m:rPr>
                              <w:rPr>
                                <w:rFonts w:ascii="Cambria Math" w:hAnsi="Cambria Math" w:cs="Times New Roman"/>
                                <w:sz w:val="21"/>
                                <w:szCs w:val="21"/>
                              </w:rPr>
                              <m:t>A</m:t>
                            </m:r>
                          </m:e>
                          <m:sub>
                            <m:r>
                              <m:rPr>
                                <m:sty m:val="p"/>
                              </m:rPr>
                              <w:rPr>
                                <w:rFonts w:ascii="Cambria Math" w:hAnsi="Cambria Math" w:cs="Times New Roman"/>
                                <w:sz w:val="21"/>
                                <w:szCs w:val="21"/>
                                <w:vertAlign w:val="subscript"/>
                              </w:rPr>
                              <m:t>t-1</m:t>
                            </m:r>
                          </m:sub>
                        </m:sSub>
                      </m:den>
                    </m:f>
                    <m:r>
                      <w:rPr>
                        <w:rFonts w:ascii="Cambria Math" w:cs="Times New Roman"/>
                        <w:sz w:val="21"/>
                        <w:szCs w:val="21"/>
                      </w:rPr>
                      <m:t xml:space="preserve"> </m:t>
                    </m:r>
                  </m:e>
                </m:d>
                <m:r>
                  <m:rPr>
                    <m:sty m:val="p"/>
                  </m:rPr>
                  <w:rPr>
                    <w:rFonts w:ascii="Cambria Math" w:cs="Times New Roman"/>
                    <w:sz w:val="21"/>
                    <w:szCs w:val="21"/>
                  </w:rPr>
                  <m:t xml:space="preserve">+ </m:t>
                </m:r>
                <m:sSub>
                  <m:sSubPr>
                    <m:ctrlPr>
                      <w:rPr>
                        <w:rFonts w:ascii="Cambria Math" w:hAnsi="Cambria Math" w:cs="Times New Roman"/>
                        <w:sz w:val="21"/>
                        <w:szCs w:val="21"/>
                        <w:vertAlign w:val="subscript"/>
                        <w:lang w:val="nl-NL" w:eastAsia="en-US"/>
                      </w:rPr>
                    </m:ctrlPr>
                  </m:sSubPr>
                  <m:e>
                    <m:r>
                      <m:rPr>
                        <m:sty m:val="p"/>
                      </m:rPr>
                      <w:rPr>
                        <w:rFonts w:ascii="Cambria Math" w:cs="Times New Roman"/>
                        <w:sz w:val="21"/>
                        <w:szCs w:val="21"/>
                      </w:rPr>
                      <m:t>a</m:t>
                    </m:r>
                  </m:e>
                  <m:sub>
                    <m:r>
                      <m:rPr>
                        <m:sty m:val="p"/>
                      </m:rPr>
                      <w:rPr>
                        <w:rFonts w:ascii="Cambria Math" w:cs="Times New Roman"/>
                        <w:sz w:val="21"/>
                        <w:szCs w:val="21"/>
                        <w:vertAlign w:val="subscript"/>
                      </w:rPr>
                      <m:t>2</m:t>
                    </m:r>
                  </m:sub>
                </m:sSub>
                <m:d>
                  <m:dPr>
                    <m:ctrlPr>
                      <w:rPr>
                        <w:rFonts w:ascii="Cambria Math" w:hAnsi="Cambria Math" w:cs="Times New Roman"/>
                        <w:sz w:val="21"/>
                        <w:szCs w:val="21"/>
                        <w:lang w:eastAsia="en-US"/>
                      </w:rPr>
                    </m:ctrlPr>
                  </m:dPr>
                  <m:e>
                    <m:f>
                      <m:fPr>
                        <m:ctrlPr>
                          <w:rPr>
                            <w:rFonts w:ascii="Cambria Math" w:hAnsi="Cambria Math" w:cs="Times New Roman"/>
                            <w:i/>
                            <w:sz w:val="21"/>
                            <w:szCs w:val="21"/>
                            <w:vertAlign w:val="subscript"/>
                            <w:lang w:val="nl-NL" w:eastAsia="en-US"/>
                          </w:rPr>
                        </m:ctrlPr>
                      </m:fPr>
                      <m:num>
                        <m:sSub>
                          <m:sSubPr>
                            <m:ctrlPr>
                              <w:rPr>
                                <w:rFonts w:ascii="Cambria Math" w:hAnsi="Cambria Math" w:cs="Times New Roman"/>
                                <w:sz w:val="21"/>
                                <w:szCs w:val="21"/>
                                <w:vertAlign w:val="subscript"/>
                                <w:lang w:val="nl-NL" w:eastAsia="en-US"/>
                              </w:rPr>
                            </m:ctrlPr>
                          </m:sSubPr>
                          <m:e>
                            <m:r>
                              <m:rPr>
                                <m:sty m:val="p"/>
                              </m:rPr>
                              <w:rPr>
                                <w:rFonts w:ascii="Cambria Math" w:cs="Times New Roman"/>
                                <w:sz w:val="21"/>
                                <w:szCs w:val="21"/>
                              </w:rPr>
                              <m:t>Δ</m:t>
                            </m:r>
                            <m:r>
                              <m:rPr>
                                <m:sty m:val="p"/>
                              </m:rPr>
                              <w:rPr>
                                <w:rFonts w:ascii="Cambria Math" w:cs="Times New Roman"/>
                                <w:sz w:val="21"/>
                                <w:szCs w:val="21"/>
                              </w:rPr>
                              <m:t>REV</m:t>
                            </m:r>
                          </m:e>
                          <m:sub>
                            <m:r>
                              <m:rPr>
                                <m:sty m:val="p"/>
                              </m:rPr>
                              <w:rPr>
                                <w:rFonts w:ascii="Cambria Math" w:cs="Times New Roman"/>
                                <w:sz w:val="21"/>
                                <w:szCs w:val="21"/>
                                <w:vertAlign w:val="subscript"/>
                              </w:rPr>
                              <m:t>t</m:t>
                            </m:r>
                          </m:sub>
                        </m:sSub>
                        <m:r>
                          <m:rPr>
                            <m:sty m:val="p"/>
                          </m:rPr>
                          <w:rPr>
                            <w:rFonts w:ascii="Cambria Math" w:cs="Times New Roman"/>
                            <w:sz w:val="21"/>
                            <w:szCs w:val="21"/>
                          </w:rPr>
                          <m:t xml:space="preserve">  </m:t>
                        </m:r>
                        <m:r>
                          <m:rPr>
                            <m:sty m:val="p"/>
                          </m:rPr>
                          <w:rPr>
                            <w:rFonts w:ascii="Cambria Math" w:cs="Times New Roman"/>
                            <w:sz w:val="21"/>
                            <w:szCs w:val="21"/>
                          </w:rPr>
                          <m:t>-</m:t>
                        </m:r>
                        <m:r>
                          <m:rPr>
                            <m:sty m:val="p"/>
                          </m:rPr>
                          <w:rPr>
                            <w:rFonts w:ascii="Cambria Math" w:cs="Times New Roman"/>
                            <w:sz w:val="21"/>
                            <w:szCs w:val="21"/>
                          </w:rPr>
                          <m:t xml:space="preserve"> </m:t>
                        </m:r>
                        <m:sSub>
                          <m:sSubPr>
                            <m:ctrlPr>
                              <w:rPr>
                                <w:rFonts w:ascii="Cambria Math" w:hAnsi="Cambria Math" w:cs="Times New Roman"/>
                                <w:sz w:val="21"/>
                                <w:szCs w:val="21"/>
                                <w:vertAlign w:val="subscript"/>
                                <w:lang w:val="nl-NL" w:eastAsia="en-US"/>
                              </w:rPr>
                            </m:ctrlPr>
                          </m:sSubPr>
                          <m:e>
                            <m:r>
                              <m:rPr>
                                <m:sty m:val="p"/>
                              </m:rPr>
                              <w:rPr>
                                <w:rFonts w:ascii="Cambria Math" w:cs="Times New Roman"/>
                                <w:sz w:val="21"/>
                                <w:szCs w:val="21"/>
                              </w:rPr>
                              <m:t>Δ</m:t>
                            </m:r>
                            <m:r>
                              <m:rPr>
                                <m:sty m:val="p"/>
                              </m:rPr>
                              <w:rPr>
                                <w:rFonts w:ascii="Cambria Math" w:cs="Times New Roman"/>
                                <w:sz w:val="21"/>
                                <w:szCs w:val="21"/>
                              </w:rPr>
                              <m:t>REC</m:t>
                            </m:r>
                          </m:e>
                          <m:sub>
                            <m:r>
                              <m:rPr>
                                <m:sty m:val="p"/>
                              </m:rPr>
                              <w:rPr>
                                <w:rFonts w:ascii="Cambria Math" w:cs="Times New Roman"/>
                                <w:sz w:val="21"/>
                                <w:szCs w:val="21"/>
                                <w:vertAlign w:val="subscript"/>
                              </w:rPr>
                              <m:t>t</m:t>
                            </m:r>
                          </m:sub>
                        </m:sSub>
                      </m:num>
                      <m:den>
                        <m:sSub>
                          <m:sSubPr>
                            <m:ctrlPr>
                              <w:rPr>
                                <w:rFonts w:ascii="Cambria Math" w:hAnsi="Cambria Math" w:cs="Times New Roman"/>
                                <w:sz w:val="21"/>
                                <w:szCs w:val="21"/>
                                <w:vertAlign w:val="subscript"/>
                                <w:lang w:val="nl-NL" w:eastAsia="en-US"/>
                              </w:rPr>
                            </m:ctrlPr>
                          </m:sSubPr>
                          <m:e>
                            <m:r>
                              <m:rPr>
                                <m:sty m:val="p"/>
                              </m:rPr>
                              <w:rPr>
                                <w:rFonts w:ascii="Cambria Math" w:hAnsi="Cambria Math" w:cs="Times New Roman"/>
                                <w:sz w:val="21"/>
                                <w:szCs w:val="21"/>
                              </w:rPr>
                              <m:t>A</m:t>
                            </m:r>
                          </m:e>
                          <m:sub>
                            <m:r>
                              <m:rPr>
                                <m:sty m:val="p"/>
                              </m:rPr>
                              <w:rPr>
                                <w:rFonts w:ascii="Cambria Math" w:hAnsi="Cambria Math" w:cs="Times New Roman"/>
                                <w:sz w:val="21"/>
                                <w:szCs w:val="21"/>
                                <w:vertAlign w:val="subscript"/>
                              </w:rPr>
                              <m:t>t-1</m:t>
                            </m:r>
                          </m:sub>
                        </m:sSub>
                      </m:den>
                    </m:f>
                  </m:e>
                </m:d>
                <m:r>
                  <m:rPr>
                    <m:sty m:val="p"/>
                  </m:rPr>
                  <w:rPr>
                    <w:rFonts w:ascii="Cambria Math" w:cs="Times New Roman"/>
                    <w:sz w:val="21"/>
                    <w:szCs w:val="21"/>
                  </w:rPr>
                  <m:t>+</m:t>
                </m:r>
                <m:sSub>
                  <m:sSubPr>
                    <m:ctrlPr>
                      <w:rPr>
                        <w:rFonts w:ascii="Cambria Math" w:hAnsi="Cambria Math" w:cs="Times New Roman"/>
                        <w:sz w:val="21"/>
                        <w:szCs w:val="21"/>
                        <w:vertAlign w:val="subscript"/>
                        <w:lang w:val="nl-NL" w:eastAsia="en-US"/>
                      </w:rPr>
                    </m:ctrlPr>
                  </m:sSubPr>
                  <m:e>
                    <m:r>
                      <m:rPr>
                        <m:sty m:val="p"/>
                      </m:rPr>
                      <w:rPr>
                        <w:rFonts w:ascii="Cambria Math" w:cs="Times New Roman"/>
                        <w:sz w:val="21"/>
                        <w:szCs w:val="21"/>
                      </w:rPr>
                      <m:t>a</m:t>
                    </m:r>
                  </m:e>
                  <m:sub>
                    <m:r>
                      <m:rPr>
                        <m:sty m:val="p"/>
                      </m:rPr>
                      <w:rPr>
                        <w:rFonts w:ascii="Cambria Math" w:cs="Times New Roman"/>
                        <w:sz w:val="21"/>
                        <w:szCs w:val="21"/>
                        <w:vertAlign w:val="subscript"/>
                      </w:rPr>
                      <m:t>3</m:t>
                    </m:r>
                  </m:sub>
                </m:sSub>
                <m:d>
                  <m:dPr>
                    <m:ctrlPr>
                      <w:rPr>
                        <w:rFonts w:ascii="Cambria Math" w:hAnsi="Cambria Math" w:cs="Times New Roman"/>
                        <w:sz w:val="21"/>
                        <w:szCs w:val="21"/>
                        <w:lang w:eastAsia="en-US"/>
                      </w:rPr>
                    </m:ctrlPr>
                  </m:dPr>
                  <m:e>
                    <m:r>
                      <m:rPr>
                        <m:sty m:val="p"/>
                      </m:rPr>
                      <w:rPr>
                        <w:rFonts w:ascii="Cambria Math" w:cs="Times New Roman"/>
                        <w:sz w:val="21"/>
                        <w:szCs w:val="21"/>
                      </w:rPr>
                      <m:t xml:space="preserve"> </m:t>
                    </m:r>
                    <m:f>
                      <m:fPr>
                        <m:ctrlPr>
                          <w:rPr>
                            <w:rFonts w:ascii="Cambria Math" w:hAnsi="Cambria Math" w:cs="Times New Roman"/>
                            <w:i/>
                            <w:sz w:val="21"/>
                            <w:szCs w:val="21"/>
                            <w:lang w:val="nl-NL" w:eastAsia="en-US"/>
                          </w:rPr>
                        </m:ctrlPr>
                      </m:fPr>
                      <m:num>
                        <m:sSub>
                          <m:sSubPr>
                            <m:ctrlPr>
                              <w:rPr>
                                <w:rFonts w:ascii="Cambria Math" w:hAnsi="Cambria Math" w:cs="Times New Roman"/>
                                <w:sz w:val="21"/>
                                <w:szCs w:val="21"/>
                                <w:vertAlign w:val="subscript"/>
                                <w:lang w:val="nl-NL" w:eastAsia="en-US"/>
                              </w:rPr>
                            </m:ctrlPr>
                          </m:sSubPr>
                          <m:e>
                            <m:r>
                              <m:rPr>
                                <m:sty m:val="p"/>
                              </m:rPr>
                              <w:rPr>
                                <w:rFonts w:ascii="Cambria Math" w:cs="Times New Roman"/>
                                <w:sz w:val="21"/>
                                <w:szCs w:val="21"/>
                              </w:rPr>
                              <m:t>PPE</m:t>
                            </m:r>
                          </m:e>
                          <m:sub>
                            <m:r>
                              <m:rPr>
                                <m:sty m:val="p"/>
                              </m:rPr>
                              <w:rPr>
                                <w:rFonts w:ascii="Cambria Math" w:cs="Times New Roman"/>
                                <w:sz w:val="21"/>
                                <w:szCs w:val="21"/>
                                <w:vertAlign w:val="subscript"/>
                              </w:rPr>
                              <m:t>t</m:t>
                            </m:r>
                          </m:sub>
                        </m:sSub>
                        <m:r>
                          <m:rPr>
                            <m:sty m:val="p"/>
                          </m:rPr>
                          <w:rPr>
                            <w:rFonts w:ascii="Cambria Math" w:cs="Times New Roman"/>
                            <w:sz w:val="21"/>
                            <w:szCs w:val="21"/>
                            <w:vertAlign w:val="subscript"/>
                          </w:rPr>
                          <m:t xml:space="preserve"> </m:t>
                        </m:r>
                      </m:num>
                      <m:den>
                        <m:sSub>
                          <m:sSubPr>
                            <m:ctrlPr>
                              <w:rPr>
                                <w:rFonts w:ascii="Cambria Math" w:hAnsi="Cambria Math" w:cs="Times New Roman"/>
                                <w:sz w:val="21"/>
                                <w:szCs w:val="21"/>
                                <w:vertAlign w:val="subscript"/>
                                <w:lang w:val="nl-NL" w:eastAsia="en-US"/>
                              </w:rPr>
                            </m:ctrlPr>
                          </m:sSubPr>
                          <m:e>
                            <m:r>
                              <m:rPr>
                                <m:sty m:val="p"/>
                              </m:rPr>
                              <w:rPr>
                                <w:rFonts w:ascii="Cambria Math" w:hAnsi="Cambria Math" w:cs="Times New Roman"/>
                                <w:sz w:val="21"/>
                                <w:szCs w:val="21"/>
                              </w:rPr>
                              <m:t>A</m:t>
                            </m:r>
                          </m:e>
                          <m:sub>
                            <m:r>
                              <m:rPr>
                                <m:sty m:val="p"/>
                              </m:rPr>
                              <w:rPr>
                                <w:rFonts w:ascii="Cambria Math" w:hAnsi="Cambria Math" w:cs="Times New Roman"/>
                                <w:sz w:val="21"/>
                                <w:szCs w:val="21"/>
                                <w:vertAlign w:val="subscript"/>
                              </w:rPr>
                              <m:t>t-1</m:t>
                            </m:r>
                          </m:sub>
                        </m:sSub>
                      </m:den>
                    </m:f>
                  </m:e>
                </m:d>
                <m:r>
                  <m:rPr>
                    <m:sty m:val="p"/>
                  </m:rPr>
                  <w:rPr>
                    <w:rFonts w:ascii="Cambria Math" w:cs="Times New Roman"/>
                    <w:sz w:val="21"/>
                    <w:szCs w:val="21"/>
                  </w:rPr>
                  <m:t xml:space="preserve">+ </m:t>
                </m:r>
                <m:sSub>
                  <m:sSubPr>
                    <m:ctrlPr>
                      <w:rPr>
                        <w:rFonts w:ascii="Cambria Math" w:hAnsi="Cambria Math" w:cs="Times New Roman"/>
                        <w:sz w:val="21"/>
                        <w:szCs w:val="21"/>
                        <w:lang w:val="nl-NL" w:eastAsia="en-US"/>
                      </w:rPr>
                    </m:ctrlPr>
                  </m:sSubPr>
                  <m:e>
                    <m:r>
                      <m:rPr>
                        <m:sty m:val="p"/>
                      </m:rPr>
                      <w:rPr>
                        <w:rFonts w:ascii="Cambria Math" w:cs="Times New Roman"/>
                        <w:sz w:val="21"/>
                        <w:szCs w:val="21"/>
                      </w:rPr>
                      <m:t>a</m:t>
                    </m:r>
                  </m:e>
                  <m:sub>
                    <m:r>
                      <w:rPr>
                        <w:rFonts w:ascii="Cambria Math" w:cs="Times New Roman"/>
                        <w:sz w:val="21"/>
                        <w:szCs w:val="21"/>
                      </w:rPr>
                      <m:t>4</m:t>
                    </m:r>
                  </m:sub>
                </m:sSub>
                <m:d>
                  <m:dPr>
                    <m:ctrlPr>
                      <w:rPr>
                        <w:rFonts w:ascii="Cambria Math" w:hAnsi="Cambria Math" w:cs="Times New Roman"/>
                        <w:sz w:val="21"/>
                        <w:szCs w:val="21"/>
                        <w:lang w:eastAsia="en-US"/>
                      </w:rPr>
                    </m:ctrlPr>
                  </m:dPr>
                  <m:e>
                    <m:sSub>
                      <m:sSubPr>
                        <m:ctrlPr>
                          <w:rPr>
                            <w:rFonts w:ascii="Cambria Math" w:hAnsi="Cambria Math" w:cs="Times New Roman"/>
                            <w:sz w:val="21"/>
                            <w:szCs w:val="21"/>
                            <w:vertAlign w:val="subscript"/>
                            <w:lang w:eastAsia="en-US"/>
                          </w:rPr>
                        </m:ctrlPr>
                      </m:sSubPr>
                      <m:e>
                        <m:r>
                          <m:rPr>
                            <m:sty m:val="p"/>
                          </m:rPr>
                          <w:rPr>
                            <w:rFonts w:ascii="Cambria Math" w:cs="Times New Roman"/>
                            <w:sz w:val="21"/>
                            <w:szCs w:val="21"/>
                          </w:rPr>
                          <m:t>ROA</m:t>
                        </m:r>
                      </m:e>
                      <m:sub>
                        <m:r>
                          <m:rPr>
                            <m:sty m:val="p"/>
                          </m:rPr>
                          <w:rPr>
                            <w:rFonts w:ascii="Cambria Math" w:cs="Times New Roman"/>
                            <w:sz w:val="21"/>
                            <w:szCs w:val="21"/>
                            <w:vertAlign w:val="subscript"/>
                          </w:rPr>
                          <m:t>t</m:t>
                        </m:r>
                        <m:r>
                          <m:rPr>
                            <m:sty m:val="p"/>
                          </m:rPr>
                          <w:rPr>
                            <w:rFonts w:ascii="Cambria Math" w:cs="Times New Roman"/>
                            <w:sz w:val="21"/>
                            <w:szCs w:val="21"/>
                          </w:rPr>
                          <m:t xml:space="preserve"> or </m:t>
                        </m:r>
                        <m:r>
                          <m:rPr>
                            <m:sty m:val="p"/>
                          </m:rPr>
                          <w:rPr>
                            <w:rFonts w:ascii="Cambria Math" w:cs="Times New Roman"/>
                            <w:sz w:val="21"/>
                            <w:szCs w:val="21"/>
                            <w:vertAlign w:val="subscript"/>
                          </w:rPr>
                          <m:t>t</m:t>
                        </m:r>
                        <m:r>
                          <m:rPr>
                            <m:sty m:val="p"/>
                          </m:rPr>
                          <w:rPr>
                            <w:rFonts w:ascii="Cambria Math" w:cs="Times New Roman"/>
                            <w:sz w:val="21"/>
                            <w:szCs w:val="21"/>
                            <w:vertAlign w:val="subscript"/>
                          </w:rPr>
                          <m:t>-</m:t>
                        </m:r>
                        <m:r>
                          <m:rPr>
                            <m:sty m:val="p"/>
                          </m:rPr>
                          <w:rPr>
                            <w:rFonts w:ascii="Cambria Math" w:cs="Times New Roman"/>
                            <w:sz w:val="21"/>
                            <w:szCs w:val="21"/>
                            <w:vertAlign w:val="subscript"/>
                          </w:rPr>
                          <m:t>1</m:t>
                        </m:r>
                      </m:sub>
                    </m:sSub>
                  </m:e>
                </m:d>
                <m:r>
                  <m:rPr>
                    <m:sty m:val="p"/>
                  </m:rPr>
                  <w:rPr>
                    <w:rFonts w:ascii="Cambria Math" w:cs="Times New Roman"/>
                    <w:sz w:val="21"/>
                    <w:szCs w:val="21"/>
                  </w:rPr>
                  <m:t>+</m:t>
                </m:r>
                <m:sSub>
                  <m:sSubPr>
                    <m:ctrlPr>
                      <w:rPr>
                        <w:rFonts w:ascii="Cambria Math" w:hAnsi="Cambria Math" w:cs="Times New Roman"/>
                        <w:sz w:val="21"/>
                        <w:szCs w:val="21"/>
                        <w:lang w:val="nl-NL" w:eastAsia="en-US"/>
                      </w:rPr>
                    </m:ctrlPr>
                  </m:sSubPr>
                  <m:e>
                    <m:r>
                      <w:rPr>
                        <w:rFonts w:ascii="Cambria Math" w:hAnsi="Cambria Math" w:cs="Times New Roman"/>
                        <w:sz w:val="21"/>
                        <w:szCs w:val="21"/>
                      </w:rPr>
                      <m:t>ε</m:t>
                    </m:r>
                  </m:e>
                  <m:sub>
                    <m:r>
                      <w:rPr>
                        <w:rFonts w:ascii="Cambria Math" w:hAnsi="Cambria Math" w:cs="Times New Roman"/>
                        <w:sz w:val="21"/>
                        <w:szCs w:val="21"/>
                      </w:rPr>
                      <m:t>t</m:t>
                    </m:r>
                  </m:sub>
                </m:sSub>
              </m:oMath>
            </m:oMathPara>
          </w:p>
        </w:tc>
        <w:tc>
          <w:tcPr>
            <w:tcW w:w="250" w:type="pct"/>
            <w:vAlign w:val="center"/>
            <w:hideMark/>
          </w:tcPr>
          <w:p w:rsidR="00E02AB1" w:rsidRDefault="00E02AB1" w:rsidP="004636DB">
            <w:pPr>
              <w:spacing w:line="240" w:lineRule="auto"/>
              <w:rPr>
                <w:rFonts w:cs="Times New Roman"/>
                <w:sz w:val="20"/>
                <w:szCs w:val="20"/>
                <w:lang w:eastAsia="en-US"/>
              </w:rPr>
            </w:pPr>
            <w:r>
              <w:rPr>
                <w:rFonts w:cs="Times New Roman"/>
                <w:sz w:val="20"/>
                <w:szCs w:val="20"/>
              </w:rPr>
              <w:t>(5.2)</w:t>
            </w:r>
          </w:p>
        </w:tc>
      </w:tr>
    </w:tbl>
    <w:p w:rsidR="00E02AB1" w:rsidRDefault="00E02AB1" w:rsidP="00E02AB1">
      <w:pPr>
        <w:rPr>
          <w:rFonts w:eastAsia="SimSun" w:cs="Times New Roman"/>
          <w:szCs w:val="24"/>
        </w:rPr>
      </w:pPr>
      <w:r>
        <w:rPr>
          <w:rFonts w:cs="Times New Roman"/>
          <w:szCs w:val="24"/>
        </w:rPr>
        <w:t>With the obtained a</w:t>
      </w:r>
      <w:r>
        <w:rPr>
          <w:rFonts w:cs="Times New Roman"/>
          <w:szCs w:val="24"/>
          <w:vertAlign w:val="subscript"/>
        </w:rPr>
        <w:t>1</w:t>
      </w:r>
      <w:r>
        <w:rPr>
          <w:rFonts w:cs="Times New Roman"/>
          <w:szCs w:val="24"/>
        </w:rPr>
        <w:t>-a</w:t>
      </w:r>
      <w:r>
        <w:rPr>
          <w:rFonts w:cs="Times New Roman"/>
          <w:szCs w:val="24"/>
          <w:vertAlign w:val="subscript"/>
        </w:rPr>
        <w:t>4</w:t>
      </w:r>
      <w:r>
        <w:rPr>
          <w:rFonts w:cs="Times New Roman"/>
          <w:szCs w:val="24"/>
        </w:rPr>
        <w:t xml:space="preserve">, the value of non-discretionary accruals can be calculated as follow.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923"/>
        <w:gridCol w:w="600"/>
      </w:tblGrid>
      <w:tr w:rsidR="00E02AB1" w:rsidTr="00E02AB1">
        <w:trPr>
          <w:trHeight w:val="648"/>
        </w:trPr>
        <w:tc>
          <w:tcPr>
            <w:tcW w:w="4702" w:type="pct"/>
            <w:vAlign w:val="center"/>
            <w:hideMark/>
          </w:tcPr>
          <w:p w:rsidR="00E02AB1" w:rsidRDefault="00EF1EDC" w:rsidP="004636DB">
            <w:pPr>
              <w:spacing w:before="100" w:beforeAutospacing="1" w:after="100" w:afterAutospacing="1" w:line="240" w:lineRule="auto"/>
              <w:jc w:val="center"/>
              <w:rPr>
                <w:rFonts w:asciiTheme="majorHAnsi" w:hAnsiTheme="majorHAnsi" w:cs="Times New Roman"/>
                <w:sz w:val="20"/>
                <w:szCs w:val="20"/>
                <w:lang w:val="en-GB" w:eastAsia="en-US"/>
              </w:rPr>
            </w:pPr>
            <m:oMathPara>
              <m:oMath>
                <m:f>
                  <m:fPr>
                    <m:ctrlPr>
                      <w:rPr>
                        <w:rFonts w:ascii="Cambria Math" w:hAnsi="Cambria Math" w:cs="Times New Roman"/>
                        <w:i/>
                        <w:vertAlign w:val="subscript"/>
                        <w:lang w:val="nl-NL" w:eastAsia="en-US"/>
                      </w:rPr>
                    </m:ctrlPr>
                  </m:fPr>
                  <m:num>
                    <m:sSub>
                      <m:sSubPr>
                        <m:ctrlPr>
                          <w:rPr>
                            <w:rFonts w:ascii="Cambria Math" w:hAnsi="Cambria Math" w:cs="Times New Roman"/>
                            <w:vertAlign w:val="subscript"/>
                            <w:lang w:val="nl-NL" w:eastAsia="en-US"/>
                          </w:rPr>
                        </m:ctrlPr>
                      </m:sSubPr>
                      <m:e>
                        <m:r>
                          <m:rPr>
                            <m:sty m:val="p"/>
                          </m:rPr>
                          <w:rPr>
                            <w:rFonts w:ascii="Cambria Math" w:hAnsi="Cambria Math" w:cs="Times New Roman"/>
                            <w:sz w:val="20"/>
                            <w:szCs w:val="20"/>
                          </w:rPr>
                          <m:t>NDA</m:t>
                        </m:r>
                      </m:e>
                      <m:sub>
                        <m:r>
                          <m:rPr>
                            <m:sty m:val="p"/>
                          </m:rPr>
                          <w:rPr>
                            <w:rFonts w:ascii="Cambria Math" w:hAnsi="Cambria Math" w:cs="Times New Roman"/>
                            <w:sz w:val="20"/>
                            <w:szCs w:val="20"/>
                            <w:vertAlign w:val="subscript"/>
                          </w:rPr>
                          <m:t>t</m:t>
                        </m:r>
                      </m:sub>
                    </m:sSub>
                  </m:num>
                  <m:den>
                    <m:sSub>
                      <m:sSubPr>
                        <m:ctrlPr>
                          <w:rPr>
                            <w:rFonts w:ascii="Cambria Math" w:hAnsi="Cambria Math" w:cs="Times New Roman"/>
                            <w:sz w:val="21"/>
                            <w:szCs w:val="21"/>
                            <w:vertAlign w:val="subscript"/>
                            <w:lang w:val="nl-NL" w:eastAsia="en-US"/>
                          </w:rPr>
                        </m:ctrlPr>
                      </m:sSubPr>
                      <m:e>
                        <m:r>
                          <m:rPr>
                            <m:sty m:val="p"/>
                          </m:rPr>
                          <w:rPr>
                            <w:rFonts w:ascii="Cambria Math" w:hAnsi="Cambria Math" w:cs="Times New Roman"/>
                            <w:sz w:val="21"/>
                            <w:szCs w:val="21"/>
                          </w:rPr>
                          <m:t>A</m:t>
                        </m:r>
                      </m:e>
                      <m:sub>
                        <m:r>
                          <m:rPr>
                            <m:sty m:val="p"/>
                          </m:rPr>
                          <w:rPr>
                            <w:rFonts w:ascii="Cambria Math" w:hAnsi="Cambria Math" w:cs="Times New Roman"/>
                            <w:sz w:val="21"/>
                            <w:szCs w:val="21"/>
                            <w:vertAlign w:val="subscript"/>
                          </w:rPr>
                          <m:t>t-1</m:t>
                        </m:r>
                      </m:sub>
                    </m:sSub>
                  </m:den>
                </m:f>
                <m:r>
                  <m:rPr>
                    <m:sty m:val="p"/>
                  </m:rPr>
                  <w:rPr>
                    <w:rFonts w:ascii="Cambria Math" w:hAnsi="Cambria Math" w:cs="Times New Roman"/>
                    <w:sz w:val="20"/>
                    <w:szCs w:val="20"/>
                  </w:rPr>
                  <m:t xml:space="preserve">= </m:t>
                </m:r>
                <m:sSub>
                  <m:sSubPr>
                    <m:ctrlPr>
                      <w:rPr>
                        <w:rFonts w:ascii="Cambria Math" w:hAnsi="Cambria Math" w:cs="Times New Roman"/>
                        <w:lang w:val="nl-NL" w:eastAsia="en-US"/>
                      </w:rPr>
                    </m:ctrlPr>
                  </m:sSubPr>
                  <m:e>
                    <m:r>
                      <w:rPr>
                        <w:rFonts w:ascii="Cambria Math" w:hAnsi="Cambria Math" w:cs="Times New Roman"/>
                        <w:sz w:val="20"/>
                        <w:szCs w:val="20"/>
                      </w:rPr>
                      <m:t>a</m:t>
                    </m:r>
                  </m:e>
                  <m:sub>
                    <m:r>
                      <w:rPr>
                        <w:rFonts w:ascii="Cambria Math" w:hAnsi="Cambria Math" w:cs="Times New Roman"/>
                        <w:sz w:val="20"/>
                        <w:szCs w:val="20"/>
                      </w:rPr>
                      <m:t>0</m:t>
                    </m:r>
                  </m:sub>
                </m:sSub>
                <m:r>
                  <m:rPr>
                    <m:sty m:val="p"/>
                  </m:rPr>
                  <w:rPr>
                    <w:rFonts w:ascii="Cambria Math" w:hAnsi="Cambria Math" w:cs="Times New Roman"/>
                    <w:sz w:val="20"/>
                    <w:szCs w:val="20"/>
                  </w:rPr>
                  <m:t xml:space="preserve">+ </m:t>
                </m:r>
                <m:sSub>
                  <m:sSubPr>
                    <m:ctrlPr>
                      <w:rPr>
                        <w:rFonts w:ascii="Cambria Math" w:hAnsi="Cambria Math" w:cs="Times New Roman"/>
                        <w:vertAlign w:val="subscript"/>
                        <w:lang w:val="nl-NL" w:eastAsia="en-US"/>
                      </w:rPr>
                    </m:ctrlPr>
                  </m:sSubPr>
                  <m:e>
                    <m:r>
                      <m:rPr>
                        <m:sty m:val="p"/>
                      </m:rPr>
                      <w:rPr>
                        <w:rFonts w:ascii="Cambria Math" w:hAnsi="Cambria Math" w:cs="Times New Roman"/>
                        <w:sz w:val="20"/>
                        <w:szCs w:val="20"/>
                        <w:vertAlign w:val="subscript"/>
                      </w:rPr>
                      <m:t>a</m:t>
                    </m:r>
                  </m:e>
                  <m:sub>
                    <m:r>
                      <m:rPr>
                        <m:sty m:val="p"/>
                      </m:rPr>
                      <w:rPr>
                        <w:rFonts w:ascii="Cambria Math" w:hAnsi="Cambria Math" w:cs="Times New Roman"/>
                        <w:sz w:val="20"/>
                        <w:szCs w:val="20"/>
                        <w:vertAlign w:val="subscript"/>
                      </w:rPr>
                      <m:t>1</m:t>
                    </m:r>
                  </m:sub>
                </m:sSub>
                <m:d>
                  <m:dPr>
                    <m:ctrlPr>
                      <w:rPr>
                        <w:rFonts w:ascii="Cambria Math" w:hAnsi="Cambria Math" w:cs="Times New Roman"/>
                        <w:lang w:val="nl-NL" w:eastAsia="en-US"/>
                      </w:rPr>
                    </m:ctrlPr>
                  </m:dPr>
                  <m:e>
                    <m:f>
                      <m:fPr>
                        <m:ctrlPr>
                          <w:rPr>
                            <w:rFonts w:ascii="Cambria Math" w:hAnsi="Cambria Math" w:cs="Times New Roman"/>
                            <w:i/>
                            <w:lang w:val="nl-NL" w:eastAsia="en-US"/>
                          </w:rPr>
                        </m:ctrlPr>
                      </m:fPr>
                      <m:num>
                        <m:r>
                          <w:rPr>
                            <w:rFonts w:ascii="Cambria Math" w:hAnsi="Cambria Math" w:cs="Times New Roman"/>
                            <w:sz w:val="20"/>
                            <w:szCs w:val="20"/>
                          </w:rPr>
                          <m:t>1</m:t>
                        </m:r>
                      </m:num>
                      <m:den>
                        <m:sSub>
                          <m:sSubPr>
                            <m:ctrlPr>
                              <w:rPr>
                                <w:rFonts w:ascii="Cambria Math" w:hAnsi="Cambria Math" w:cs="Times New Roman"/>
                                <w:sz w:val="21"/>
                                <w:szCs w:val="21"/>
                                <w:vertAlign w:val="subscript"/>
                                <w:lang w:val="nl-NL" w:eastAsia="en-US"/>
                              </w:rPr>
                            </m:ctrlPr>
                          </m:sSubPr>
                          <m:e>
                            <m:r>
                              <m:rPr>
                                <m:sty m:val="p"/>
                              </m:rPr>
                              <w:rPr>
                                <w:rFonts w:ascii="Cambria Math" w:hAnsi="Cambria Math" w:cs="Times New Roman"/>
                                <w:sz w:val="21"/>
                                <w:szCs w:val="21"/>
                              </w:rPr>
                              <m:t>A</m:t>
                            </m:r>
                          </m:e>
                          <m:sub>
                            <m:r>
                              <m:rPr>
                                <m:sty m:val="p"/>
                              </m:rPr>
                              <w:rPr>
                                <w:rFonts w:ascii="Cambria Math" w:hAnsi="Cambria Math" w:cs="Times New Roman"/>
                                <w:sz w:val="21"/>
                                <w:szCs w:val="21"/>
                                <w:vertAlign w:val="subscript"/>
                              </w:rPr>
                              <m:t>t-1</m:t>
                            </m:r>
                          </m:sub>
                        </m:sSub>
                      </m:den>
                    </m:f>
                    <m:r>
                      <w:rPr>
                        <w:rFonts w:ascii="Cambria Math" w:hAnsi="Cambria Math" w:cs="Times New Roman"/>
                        <w:sz w:val="20"/>
                        <w:szCs w:val="20"/>
                      </w:rPr>
                      <m:t xml:space="preserve"> </m:t>
                    </m:r>
                  </m:e>
                </m:d>
                <m:r>
                  <m:rPr>
                    <m:sty m:val="p"/>
                  </m:rPr>
                  <w:rPr>
                    <w:rFonts w:ascii="Cambria Math" w:hAnsi="Cambria Math" w:cs="Times New Roman"/>
                    <w:sz w:val="20"/>
                    <w:szCs w:val="20"/>
                  </w:rPr>
                  <m:t xml:space="preserve">+ </m:t>
                </m:r>
                <m:sSub>
                  <m:sSubPr>
                    <m:ctrlPr>
                      <w:rPr>
                        <w:rFonts w:ascii="Cambria Math" w:hAnsi="Cambria Math" w:cs="Times New Roman"/>
                        <w:vertAlign w:val="subscript"/>
                        <w:lang w:val="nl-NL" w:eastAsia="en-US"/>
                      </w:rPr>
                    </m:ctrlPr>
                  </m:sSubPr>
                  <m:e>
                    <m:r>
                      <m:rPr>
                        <m:sty m:val="p"/>
                      </m:rPr>
                      <w:rPr>
                        <w:rFonts w:ascii="Cambria Math" w:hAnsi="Cambria Math" w:cs="Times New Roman"/>
                        <w:sz w:val="20"/>
                        <w:szCs w:val="20"/>
                      </w:rPr>
                      <m:t>a</m:t>
                    </m:r>
                  </m:e>
                  <m:sub>
                    <m:r>
                      <m:rPr>
                        <m:sty m:val="p"/>
                      </m:rPr>
                      <w:rPr>
                        <w:rFonts w:ascii="Cambria Math" w:hAnsi="Cambria Math" w:cs="Times New Roman"/>
                        <w:sz w:val="20"/>
                        <w:szCs w:val="20"/>
                        <w:vertAlign w:val="subscript"/>
                      </w:rPr>
                      <m:t>2</m:t>
                    </m:r>
                  </m:sub>
                </m:sSub>
                <m:r>
                  <m:rPr>
                    <m:sty m:val="p"/>
                  </m:rPr>
                  <w:rPr>
                    <w:rFonts w:ascii="Cambria Math" w:hAnsi="Cambria Math" w:cs="Times New Roman"/>
                    <w:sz w:val="20"/>
                    <w:szCs w:val="20"/>
                  </w:rPr>
                  <m:t>(</m:t>
                </m:r>
                <m:f>
                  <m:fPr>
                    <m:ctrlPr>
                      <w:rPr>
                        <w:rFonts w:ascii="Cambria Math" w:hAnsi="Cambria Math" w:cs="Times New Roman"/>
                        <w:i/>
                        <w:vertAlign w:val="subscript"/>
                        <w:lang w:val="nl-NL" w:eastAsia="en-US"/>
                      </w:rPr>
                    </m:ctrlPr>
                  </m:fPr>
                  <m:num>
                    <m:sSub>
                      <m:sSubPr>
                        <m:ctrlPr>
                          <w:rPr>
                            <w:rFonts w:ascii="Cambria Math" w:hAnsi="Cambria Math" w:cs="Times New Roman"/>
                            <w:vertAlign w:val="subscript"/>
                            <w:lang w:val="nl-NL" w:eastAsia="en-US"/>
                          </w:rPr>
                        </m:ctrlPr>
                      </m:sSubPr>
                      <m:e>
                        <m:r>
                          <m:rPr>
                            <m:sty m:val="p"/>
                          </m:rPr>
                          <w:rPr>
                            <w:rFonts w:ascii="Cambria Math" w:hAnsi="Cambria Math" w:cs="Times New Roman"/>
                            <w:sz w:val="20"/>
                            <w:szCs w:val="20"/>
                          </w:rPr>
                          <m:t>ΔREV</m:t>
                        </m:r>
                      </m:e>
                      <m:sub>
                        <m:r>
                          <m:rPr>
                            <m:sty m:val="p"/>
                          </m:rPr>
                          <w:rPr>
                            <w:rFonts w:ascii="Cambria Math" w:hAnsi="Cambria Math" w:cs="Times New Roman"/>
                            <w:sz w:val="20"/>
                            <w:szCs w:val="20"/>
                            <w:vertAlign w:val="subscript"/>
                          </w:rPr>
                          <m:t>t</m:t>
                        </m:r>
                      </m:sub>
                    </m:sSub>
                    <m:r>
                      <m:rPr>
                        <m:sty m:val="p"/>
                      </m:rPr>
                      <w:rPr>
                        <w:rFonts w:ascii="Cambria Math" w:hAnsi="Cambria Math" w:cs="Times New Roman"/>
                        <w:sz w:val="20"/>
                        <w:szCs w:val="20"/>
                      </w:rPr>
                      <m:t xml:space="preserve">  - </m:t>
                    </m:r>
                    <m:sSub>
                      <m:sSubPr>
                        <m:ctrlPr>
                          <w:rPr>
                            <w:rFonts w:ascii="Cambria Math" w:hAnsi="Cambria Math" w:cs="Times New Roman"/>
                            <w:vertAlign w:val="subscript"/>
                            <w:lang w:val="nl-NL" w:eastAsia="en-US"/>
                          </w:rPr>
                        </m:ctrlPr>
                      </m:sSubPr>
                      <m:e>
                        <m:r>
                          <m:rPr>
                            <m:sty m:val="p"/>
                          </m:rPr>
                          <w:rPr>
                            <w:rFonts w:ascii="Cambria Math" w:hAnsi="Cambria Math" w:cs="Times New Roman"/>
                            <w:sz w:val="20"/>
                            <w:szCs w:val="20"/>
                          </w:rPr>
                          <m:t>ΔREC</m:t>
                        </m:r>
                      </m:e>
                      <m:sub>
                        <m:r>
                          <m:rPr>
                            <m:sty m:val="p"/>
                          </m:rPr>
                          <w:rPr>
                            <w:rFonts w:ascii="Cambria Math" w:hAnsi="Cambria Math" w:cs="Times New Roman"/>
                            <w:sz w:val="20"/>
                            <w:szCs w:val="20"/>
                            <w:vertAlign w:val="subscript"/>
                          </w:rPr>
                          <m:t>t</m:t>
                        </m:r>
                      </m:sub>
                    </m:sSub>
                  </m:num>
                  <m:den>
                    <m:sSub>
                      <m:sSubPr>
                        <m:ctrlPr>
                          <w:rPr>
                            <w:rFonts w:ascii="Cambria Math" w:hAnsi="Cambria Math" w:cs="Times New Roman"/>
                            <w:sz w:val="21"/>
                            <w:szCs w:val="21"/>
                            <w:vertAlign w:val="subscript"/>
                            <w:lang w:val="nl-NL" w:eastAsia="en-US"/>
                          </w:rPr>
                        </m:ctrlPr>
                      </m:sSubPr>
                      <m:e>
                        <m:r>
                          <m:rPr>
                            <m:sty m:val="p"/>
                          </m:rPr>
                          <w:rPr>
                            <w:rFonts w:ascii="Cambria Math" w:hAnsi="Cambria Math" w:cs="Times New Roman"/>
                            <w:sz w:val="21"/>
                            <w:szCs w:val="21"/>
                          </w:rPr>
                          <m:t>A</m:t>
                        </m:r>
                      </m:e>
                      <m:sub>
                        <m:r>
                          <m:rPr>
                            <m:sty m:val="p"/>
                          </m:rPr>
                          <w:rPr>
                            <w:rFonts w:ascii="Cambria Math" w:hAnsi="Cambria Math" w:cs="Times New Roman"/>
                            <w:sz w:val="21"/>
                            <w:szCs w:val="21"/>
                            <w:vertAlign w:val="subscript"/>
                          </w:rPr>
                          <m:t>t-1</m:t>
                        </m:r>
                      </m:sub>
                    </m:sSub>
                  </m:den>
                </m:f>
                <m:r>
                  <m:rPr>
                    <m:sty m:val="p"/>
                  </m:rPr>
                  <w:rPr>
                    <w:rFonts w:ascii="Cambria Math" w:hAnsi="Cambria Math" w:cs="Times New Roman"/>
                    <w:sz w:val="20"/>
                    <w:szCs w:val="20"/>
                  </w:rPr>
                  <m:t>) +</m:t>
                </m:r>
                <m:sSub>
                  <m:sSubPr>
                    <m:ctrlPr>
                      <w:rPr>
                        <w:rFonts w:ascii="Cambria Math" w:hAnsi="Cambria Math" w:cs="Times New Roman"/>
                        <w:vertAlign w:val="subscript"/>
                        <w:lang w:val="nl-NL" w:eastAsia="en-US"/>
                      </w:rPr>
                    </m:ctrlPr>
                  </m:sSubPr>
                  <m:e>
                    <m:r>
                      <m:rPr>
                        <m:sty m:val="p"/>
                      </m:rPr>
                      <w:rPr>
                        <w:rFonts w:ascii="Cambria Math" w:hAnsi="Cambria Math" w:cs="Times New Roman"/>
                        <w:sz w:val="20"/>
                        <w:szCs w:val="20"/>
                      </w:rPr>
                      <m:t>a</m:t>
                    </m:r>
                  </m:e>
                  <m:sub>
                    <m:r>
                      <m:rPr>
                        <m:sty m:val="p"/>
                      </m:rPr>
                      <w:rPr>
                        <w:rFonts w:ascii="Cambria Math" w:hAnsi="Cambria Math" w:cs="Times New Roman"/>
                        <w:sz w:val="20"/>
                        <w:szCs w:val="20"/>
                        <w:vertAlign w:val="subscript"/>
                      </w:rPr>
                      <m:t>3</m:t>
                    </m:r>
                  </m:sub>
                </m:sSub>
                <m:r>
                  <m:rPr>
                    <m:sty m:val="p"/>
                  </m:rPr>
                  <w:rPr>
                    <w:rFonts w:ascii="Cambria Math" w:hAnsi="Cambria Math" w:cs="Times New Roman"/>
                    <w:sz w:val="20"/>
                    <w:szCs w:val="20"/>
                  </w:rPr>
                  <m:t xml:space="preserve">( </m:t>
                </m:r>
                <m:f>
                  <m:fPr>
                    <m:ctrlPr>
                      <w:rPr>
                        <w:rFonts w:ascii="Cambria Math" w:hAnsi="Cambria Math" w:cs="Times New Roman"/>
                        <w:i/>
                        <w:lang w:val="nl-NL" w:eastAsia="en-US"/>
                      </w:rPr>
                    </m:ctrlPr>
                  </m:fPr>
                  <m:num>
                    <m:sSub>
                      <m:sSubPr>
                        <m:ctrlPr>
                          <w:rPr>
                            <w:rFonts w:ascii="Cambria Math" w:hAnsi="Cambria Math" w:cs="Times New Roman"/>
                            <w:vertAlign w:val="subscript"/>
                            <w:lang w:val="nl-NL" w:eastAsia="en-US"/>
                          </w:rPr>
                        </m:ctrlPr>
                      </m:sSubPr>
                      <m:e>
                        <m:r>
                          <m:rPr>
                            <m:sty m:val="p"/>
                          </m:rPr>
                          <w:rPr>
                            <w:rFonts w:ascii="Cambria Math" w:hAnsi="Cambria Math" w:cs="Times New Roman"/>
                            <w:sz w:val="20"/>
                            <w:szCs w:val="20"/>
                          </w:rPr>
                          <m:t>PPE</m:t>
                        </m:r>
                      </m:e>
                      <m:sub>
                        <m:r>
                          <m:rPr>
                            <m:sty m:val="p"/>
                          </m:rPr>
                          <w:rPr>
                            <w:rFonts w:ascii="Cambria Math" w:hAnsi="Cambria Math" w:cs="Times New Roman"/>
                            <w:sz w:val="20"/>
                            <w:szCs w:val="20"/>
                            <w:vertAlign w:val="subscript"/>
                          </w:rPr>
                          <m:t>t</m:t>
                        </m:r>
                      </m:sub>
                    </m:sSub>
                    <m:r>
                      <m:rPr>
                        <m:sty m:val="p"/>
                      </m:rPr>
                      <w:rPr>
                        <w:rFonts w:ascii="Cambria Math" w:hAnsi="Cambria Math" w:cs="Times New Roman"/>
                        <w:sz w:val="20"/>
                        <w:szCs w:val="20"/>
                        <w:vertAlign w:val="subscript"/>
                      </w:rPr>
                      <m:t xml:space="preserve"> </m:t>
                    </m:r>
                  </m:num>
                  <m:den>
                    <m:sSub>
                      <m:sSubPr>
                        <m:ctrlPr>
                          <w:rPr>
                            <w:rFonts w:ascii="Cambria Math" w:hAnsi="Cambria Math" w:cs="Times New Roman"/>
                            <w:sz w:val="21"/>
                            <w:szCs w:val="21"/>
                            <w:vertAlign w:val="subscript"/>
                            <w:lang w:val="nl-NL" w:eastAsia="en-US"/>
                          </w:rPr>
                        </m:ctrlPr>
                      </m:sSubPr>
                      <m:e>
                        <m:r>
                          <m:rPr>
                            <m:sty m:val="p"/>
                          </m:rPr>
                          <w:rPr>
                            <w:rFonts w:ascii="Cambria Math" w:hAnsi="Cambria Math" w:cs="Times New Roman"/>
                            <w:sz w:val="21"/>
                            <w:szCs w:val="21"/>
                          </w:rPr>
                          <m:t>A</m:t>
                        </m:r>
                      </m:e>
                      <m:sub>
                        <m:r>
                          <m:rPr>
                            <m:sty m:val="p"/>
                          </m:rPr>
                          <w:rPr>
                            <w:rFonts w:ascii="Cambria Math" w:hAnsi="Cambria Math" w:cs="Times New Roman"/>
                            <w:sz w:val="21"/>
                            <w:szCs w:val="21"/>
                            <w:vertAlign w:val="subscript"/>
                          </w:rPr>
                          <m:t>t-1</m:t>
                        </m:r>
                      </m:sub>
                    </m:sSub>
                  </m:den>
                </m:f>
                <m:r>
                  <m:rPr>
                    <m:sty m:val="p"/>
                  </m:rPr>
                  <w:rPr>
                    <w:rFonts w:ascii="Cambria Math" w:hAnsi="Cambria Math" w:cs="Times New Roman"/>
                    <w:sz w:val="20"/>
                    <w:szCs w:val="20"/>
                  </w:rPr>
                  <m:t xml:space="preserve">)+ </m:t>
                </m:r>
                <m:sSub>
                  <m:sSubPr>
                    <m:ctrlPr>
                      <w:rPr>
                        <w:rFonts w:ascii="Cambria Math" w:hAnsi="Cambria Math" w:cs="Times New Roman"/>
                        <w:lang w:val="nl-NL" w:eastAsia="en-US"/>
                      </w:rPr>
                    </m:ctrlPr>
                  </m:sSubPr>
                  <m:e>
                    <m:r>
                      <w:rPr>
                        <w:rFonts w:ascii="Cambria Math" w:hAnsi="Cambria Math" w:cs="Times New Roman"/>
                        <w:sz w:val="20"/>
                        <w:szCs w:val="20"/>
                      </w:rPr>
                      <m:t>a</m:t>
                    </m:r>
                  </m:e>
                  <m:sub>
                    <m:r>
                      <w:rPr>
                        <w:rFonts w:ascii="Cambria Math" w:hAnsi="Cambria Math" w:cs="Times New Roman"/>
                        <w:sz w:val="20"/>
                        <w:szCs w:val="20"/>
                      </w:rPr>
                      <m:t>4</m:t>
                    </m:r>
                  </m:sub>
                </m:sSub>
                <m:r>
                  <m:rPr>
                    <m:sty m:val="p"/>
                  </m:rPr>
                  <w:rPr>
                    <w:rFonts w:ascii="Cambria Math" w:hAnsi="Cambria Math" w:cs="Times New Roman"/>
                    <w:sz w:val="20"/>
                    <w:szCs w:val="20"/>
                  </w:rPr>
                  <m:t>(</m:t>
                </m:r>
                <m:sSub>
                  <m:sSubPr>
                    <m:ctrlPr>
                      <w:rPr>
                        <w:rFonts w:ascii="Cambria Math" w:hAnsi="Cambria Math" w:cs="Times New Roman"/>
                        <w:lang w:val="nl-NL" w:eastAsia="en-US"/>
                      </w:rPr>
                    </m:ctrlPr>
                  </m:sSubPr>
                  <m:e>
                    <m:r>
                      <m:rPr>
                        <m:sty m:val="p"/>
                      </m:rPr>
                      <w:rPr>
                        <w:rFonts w:ascii="Cambria Math" w:hAnsi="Cambria Math" w:cs="Times New Roman"/>
                        <w:sz w:val="20"/>
                        <w:szCs w:val="20"/>
                      </w:rPr>
                      <m:t>ROA</m:t>
                    </m:r>
                  </m:e>
                  <m:sub>
                    <m:r>
                      <m:rPr>
                        <m:sty m:val="p"/>
                      </m:rPr>
                      <w:rPr>
                        <w:rFonts w:ascii="Cambria Math" w:hAnsi="Cambria Math" w:cs="Times New Roman"/>
                        <w:sz w:val="20"/>
                        <w:szCs w:val="20"/>
                      </w:rPr>
                      <m:t>t or t-1</m:t>
                    </m:r>
                  </m:sub>
                </m:sSub>
                <m:r>
                  <m:rPr>
                    <m:sty m:val="p"/>
                  </m:rPr>
                  <w:rPr>
                    <w:rFonts w:ascii="Cambria Math" w:hAnsi="Cambria Math" w:cs="Times New Roman"/>
                    <w:sz w:val="20"/>
                    <w:szCs w:val="20"/>
                  </w:rPr>
                  <m:t xml:space="preserve">) </m:t>
                </m:r>
              </m:oMath>
            </m:oMathPara>
          </w:p>
        </w:tc>
        <w:tc>
          <w:tcPr>
            <w:tcW w:w="298" w:type="pct"/>
            <w:vAlign w:val="center"/>
            <w:hideMark/>
          </w:tcPr>
          <w:p w:rsidR="00E02AB1" w:rsidRDefault="00E02AB1" w:rsidP="004636DB">
            <w:pPr>
              <w:spacing w:before="100" w:beforeAutospacing="1" w:after="100" w:afterAutospacing="1" w:line="240" w:lineRule="auto"/>
              <w:jc w:val="right"/>
              <w:rPr>
                <w:rFonts w:cs="Times New Roman"/>
                <w:sz w:val="20"/>
                <w:szCs w:val="20"/>
                <w:lang w:val="en-GB" w:eastAsia="en-US"/>
              </w:rPr>
            </w:pPr>
            <w:r>
              <w:rPr>
                <w:rFonts w:cs="Times New Roman"/>
                <w:sz w:val="20"/>
                <w:szCs w:val="20"/>
                <w:lang w:val="en-GB"/>
              </w:rPr>
              <w:t>(5.3)</w:t>
            </w:r>
          </w:p>
        </w:tc>
      </w:tr>
    </w:tbl>
    <w:p w:rsidR="00E02AB1" w:rsidRDefault="00E02AB1" w:rsidP="00E02AB1">
      <w:pPr>
        <w:rPr>
          <w:rFonts w:cs="Times New Roman"/>
          <w:szCs w:val="24"/>
          <w:lang w:eastAsia="en-US"/>
        </w:rPr>
      </w:pPr>
      <w:r>
        <w:rPr>
          <w:rFonts w:cs="Times New Roman"/>
          <w:szCs w:val="24"/>
        </w:rPr>
        <w:t>By substituting the values of total accruals and non-discretionary accruals into equation (5.4), discretionary accruals can be obtained.</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885"/>
        <w:gridCol w:w="638"/>
      </w:tblGrid>
      <w:tr w:rsidR="00E02AB1" w:rsidTr="00E02AB1">
        <w:trPr>
          <w:trHeight w:val="648"/>
        </w:trPr>
        <w:tc>
          <w:tcPr>
            <w:tcW w:w="4655" w:type="pct"/>
            <w:vAlign w:val="center"/>
            <w:hideMark/>
          </w:tcPr>
          <w:p w:rsidR="00E02AB1" w:rsidRDefault="00EF1EDC" w:rsidP="004636DB">
            <w:pPr>
              <w:spacing w:before="100" w:beforeAutospacing="1" w:after="100" w:afterAutospacing="1" w:line="240" w:lineRule="auto"/>
              <w:jc w:val="center"/>
              <w:rPr>
                <w:rFonts w:asciiTheme="majorHAnsi" w:hAnsiTheme="majorHAnsi" w:cs="Times New Roman"/>
                <w:sz w:val="20"/>
                <w:szCs w:val="20"/>
                <w:lang w:val="en-GB" w:eastAsia="en-US"/>
              </w:rPr>
            </w:pPr>
            <m:oMathPara>
              <m:oMath>
                <m:f>
                  <m:fPr>
                    <m:ctrlPr>
                      <w:rPr>
                        <w:rFonts w:ascii="Cambria Math" w:hAnsi="Cambria Math" w:cs="Times New Roman"/>
                        <w:i/>
                        <w:szCs w:val="28"/>
                        <w:vertAlign w:val="subscript"/>
                        <w:lang w:val="nl-NL" w:eastAsia="en-US"/>
                      </w:rPr>
                    </m:ctrlPr>
                  </m:fPr>
                  <m:num>
                    <m:r>
                      <m:rPr>
                        <m:sty m:val="p"/>
                      </m:rPr>
                      <w:rPr>
                        <w:rFonts w:ascii="Cambria Math" w:cs="Times New Roman"/>
                        <w:szCs w:val="28"/>
                      </w:rPr>
                      <m:t>D</m:t>
                    </m:r>
                    <m:sSub>
                      <m:sSubPr>
                        <m:ctrlPr>
                          <w:rPr>
                            <w:rFonts w:ascii="Cambria Math" w:hAnsi="Cambria Math" w:cs="Times New Roman"/>
                            <w:szCs w:val="28"/>
                            <w:vertAlign w:val="subscript"/>
                            <w:lang w:val="nl-NL" w:eastAsia="en-US"/>
                          </w:rPr>
                        </m:ctrlPr>
                      </m:sSubPr>
                      <m:e>
                        <m:r>
                          <m:rPr>
                            <m:sty m:val="p"/>
                          </m:rPr>
                          <w:rPr>
                            <w:rFonts w:ascii="Cambria Math" w:cs="Times New Roman"/>
                            <w:szCs w:val="28"/>
                          </w:rPr>
                          <m:t>A</m:t>
                        </m:r>
                      </m:e>
                      <m:sub>
                        <m:r>
                          <m:rPr>
                            <m:sty m:val="p"/>
                          </m:rPr>
                          <w:rPr>
                            <w:rFonts w:ascii="Cambria Math" w:cs="Times New Roman"/>
                            <w:szCs w:val="28"/>
                            <w:vertAlign w:val="subscript"/>
                          </w:rPr>
                          <m:t>t</m:t>
                        </m:r>
                      </m:sub>
                    </m:sSub>
                  </m:num>
                  <m:den>
                    <m:sSub>
                      <m:sSubPr>
                        <m:ctrlPr>
                          <w:rPr>
                            <w:rFonts w:ascii="Cambria Math" w:hAnsi="Cambria Math" w:cs="Times New Roman"/>
                            <w:szCs w:val="28"/>
                            <w:vertAlign w:val="subscript"/>
                            <w:lang w:val="nl-NL" w:eastAsia="en-US"/>
                          </w:rPr>
                        </m:ctrlPr>
                      </m:sSubPr>
                      <m:e>
                        <m:r>
                          <m:rPr>
                            <m:sty m:val="p"/>
                          </m:rPr>
                          <w:rPr>
                            <w:rFonts w:ascii="Cambria Math" w:cs="Times New Roman"/>
                            <w:szCs w:val="28"/>
                          </w:rPr>
                          <m:t>A</m:t>
                        </m:r>
                      </m:e>
                      <m:sub>
                        <m:r>
                          <m:rPr>
                            <m:sty m:val="p"/>
                          </m:rPr>
                          <w:rPr>
                            <w:rFonts w:ascii="Cambria Math" w:hAnsi="Cambria Math" w:cs="Times New Roman"/>
                            <w:szCs w:val="28"/>
                            <w:vertAlign w:val="subscript"/>
                          </w:rPr>
                          <m:t>t-1</m:t>
                        </m:r>
                      </m:sub>
                    </m:sSub>
                  </m:den>
                </m:f>
                <m:r>
                  <w:rPr>
                    <w:rFonts w:ascii="Cambria Math" w:cs="Times New Roman"/>
                    <w:szCs w:val="28"/>
                    <w:vertAlign w:val="subscript"/>
                  </w:rPr>
                  <m:t>=</m:t>
                </m:r>
                <m:f>
                  <m:fPr>
                    <m:ctrlPr>
                      <w:rPr>
                        <w:rFonts w:ascii="Cambria Math" w:hAnsi="Cambria Math" w:cs="Times New Roman"/>
                        <w:i/>
                        <w:szCs w:val="28"/>
                        <w:lang w:val="nl-NL" w:eastAsia="en-US"/>
                      </w:rPr>
                    </m:ctrlPr>
                  </m:fPr>
                  <m:num>
                    <m:r>
                      <m:rPr>
                        <m:sty m:val="p"/>
                      </m:rPr>
                      <w:rPr>
                        <w:rFonts w:ascii="Cambria Math" w:cs="Times New Roman"/>
                        <w:szCs w:val="28"/>
                      </w:rPr>
                      <m:t>T</m:t>
                    </m:r>
                    <m:sSub>
                      <m:sSubPr>
                        <m:ctrlPr>
                          <w:rPr>
                            <w:rFonts w:ascii="Cambria Math" w:hAnsi="Cambria Math" w:cs="Times New Roman"/>
                            <w:szCs w:val="28"/>
                            <w:vertAlign w:val="subscript"/>
                            <w:lang w:val="nl-NL" w:eastAsia="en-US"/>
                          </w:rPr>
                        </m:ctrlPr>
                      </m:sSubPr>
                      <m:e>
                        <m:r>
                          <m:rPr>
                            <m:sty m:val="p"/>
                          </m:rPr>
                          <w:rPr>
                            <w:rFonts w:ascii="Cambria Math" w:cs="Times New Roman"/>
                            <w:szCs w:val="28"/>
                          </w:rPr>
                          <m:t>A</m:t>
                        </m:r>
                      </m:e>
                      <m:sub>
                        <m:r>
                          <m:rPr>
                            <m:sty m:val="p"/>
                          </m:rPr>
                          <w:rPr>
                            <w:rFonts w:ascii="Cambria Math" w:cs="Times New Roman"/>
                            <w:szCs w:val="28"/>
                            <w:vertAlign w:val="subscript"/>
                          </w:rPr>
                          <m:t>t</m:t>
                        </m:r>
                      </m:sub>
                    </m:sSub>
                  </m:num>
                  <m:den>
                    <m:sSub>
                      <m:sSubPr>
                        <m:ctrlPr>
                          <w:rPr>
                            <w:rFonts w:ascii="Cambria Math" w:hAnsi="Cambria Math" w:cs="Times New Roman"/>
                            <w:szCs w:val="28"/>
                            <w:vertAlign w:val="subscript"/>
                            <w:lang w:val="nl-NL" w:eastAsia="en-US"/>
                          </w:rPr>
                        </m:ctrlPr>
                      </m:sSubPr>
                      <m:e>
                        <m:r>
                          <m:rPr>
                            <m:sty m:val="p"/>
                          </m:rPr>
                          <w:rPr>
                            <w:rFonts w:ascii="Cambria Math" w:cs="Times New Roman"/>
                            <w:szCs w:val="28"/>
                          </w:rPr>
                          <m:t>A</m:t>
                        </m:r>
                      </m:e>
                      <m:sub>
                        <m:r>
                          <m:rPr>
                            <m:sty m:val="p"/>
                          </m:rPr>
                          <w:rPr>
                            <w:rFonts w:ascii="Cambria Math" w:hAnsi="Cambria Math" w:cs="Times New Roman"/>
                            <w:szCs w:val="28"/>
                            <w:vertAlign w:val="subscript"/>
                          </w:rPr>
                          <m:t>t-1</m:t>
                        </m:r>
                      </m:sub>
                    </m:sSub>
                  </m:den>
                </m:f>
                <m:r>
                  <m:rPr>
                    <m:sty m:val="p"/>
                  </m:rPr>
                  <w:rPr>
                    <w:rFonts w:ascii="Cambria Math" w:hAnsi="Cambria Math" w:cs="Times New Roman"/>
                    <w:szCs w:val="28"/>
                  </w:rPr>
                  <m:t>-</m:t>
                </m:r>
                <m:f>
                  <m:fPr>
                    <m:ctrlPr>
                      <w:rPr>
                        <w:rFonts w:ascii="Cambria Math" w:hAnsi="Cambria Math" w:cs="Times New Roman"/>
                        <w:i/>
                        <w:szCs w:val="28"/>
                        <w:lang w:val="nl-NL" w:eastAsia="en-US"/>
                      </w:rPr>
                    </m:ctrlPr>
                  </m:fPr>
                  <m:num>
                    <m:r>
                      <m:rPr>
                        <m:sty m:val="p"/>
                      </m:rPr>
                      <w:rPr>
                        <w:rFonts w:ascii="Cambria Math" w:cs="Times New Roman"/>
                        <w:szCs w:val="28"/>
                      </w:rPr>
                      <m:t>ND</m:t>
                    </m:r>
                    <m:sSub>
                      <m:sSubPr>
                        <m:ctrlPr>
                          <w:rPr>
                            <w:rFonts w:ascii="Cambria Math" w:hAnsi="Cambria Math" w:cs="Times New Roman"/>
                            <w:szCs w:val="28"/>
                            <w:vertAlign w:val="subscript"/>
                            <w:lang w:val="nl-NL" w:eastAsia="en-US"/>
                          </w:rPr>
                        </m:ctrlPr>
                      </m:sSubPr>
                      <m:e>
                        <m:r>
                          <m:rPr>
                            <m:sty m:val="p"/>
                          </m:rPr>
                          <w:rPr>
                            <w:rFonts w:ascii="Cambria Math" w:cs="Times New Roman"/>
                            <w:szCs w:val="28"/>
                          </w:rPr>
                          <m:t>A</m:t>
                        </m:r>
                      </m:e>
                      <m:sub>
                        <m:r>
                          <m:rPr>
                            <m:sty m:val="p"/>
                          </m:rPr>
                          <w:rPr>
                            <w:rFonts w:ascii="Cambria Math" w:cs="Times New Roman"/>
                            <w:szCs w:val="28"/>
                            <w:vertAlign w:val="subscript"/>
                          </w:rPr>
                          <m:t>t</m:t>
                        </m:r>
                      </m:sub>
                    </m:sSub>
                    <m:r>
                      <m:rPr>
                        <m:sty m:val="p"/>
                      </m:rPr>
                      <w:rPr>
                        <w:rFonts w:ascii="Cambria Math" w:cs="Times New Roman"/>
                        <w:szCs w:val="28"/>
                      </w:rPr>
                      <m:t xml:space="preserve">  </m:t>
                    </m:r>
                  </m:num>
                  <m:den>
                    <m:sSub>
                      <m:sSubPr>
                        <m:ctrlPr>
                          <w:rPr>
                            <w:rFonts w:ascii="Cambria Math" w:hAnsi="Cambria Math" w:cs="Times New Roman"/>
                            <w:szCs w:val="28"/>
                            <w:vertAlign w:val="subscript"/>
                            <w:lang w:val="nl-NL" w:eastAsia="en-US"/>
                          </w:rPr>
                        </m:ctrlPr>
                      </m:sSubPr>
                      <m:e>
                        <m:r>
                          <m:rPr>
                            <m:sty m:val="p"/>
                          </m:rPr>
                          <w:rPr>
                            <w:rFonts w:ascii="Cambria Math" w:cs="Times New Roman"/>
                            <w:szCs w:val="28"/>
                          </w:rPr>
                          <m:t>A</m:t>
                        </m:r>
                      </m:e>
                      <m:sub>
                        <m:r>
                          <m:rPr>
                            <m:sty m:val="p"/>
                          </m:rPr>
                          <w:rPr>
                            <w:rFonts w:ascii="Cambria Math" w:hAnsi="Cambria Math" w:cs="Times New Roman"/>
                            <w:szCs w:val="28"/>
                            <w:vertAlign w:val="subscript"/>
                          </w:rPr>
                          <m:t>t-1</m:t>
                        </m:r>
                      </m:sub>
                    </m:sSub>
                  </m:den>
                </m:f>
              </m:oMath>
            </m:oMathPara>
          </w:p>
        </w:tc>
        <w:tc>
          <w:tcPr>
            <w:tcW w:w="345" w:type="pct"/>
            <w:vAlign w:val="center"/>
            <w:hideMark/>
          </w:tcPr>
          <w:p w:rsidR="00E02AB1" w:rsidRDefault="00E02AB1" w:rsidP="004636DB">
            <w:pPr>
              <w:spacing w:before="100" w:beforeAutospacing="1" w:after="100" w:afterAutospacing="1" w:line="240" w:lineRule="auto"/>
              <w:jc w:val="right"/>
              <w:rPr>
                <w:rFonts w:cs="Times New Roman"/>
                <w:szCs w:val="20"/>
                <w:lang w:val="en-GB" w:eastAsia="en-US"/>
              </w:rPr>
            </w:pPr>
            <w:r>
              <w:rPr>
                <w:rFonts w:cs="Times New Roman"/>
                <w:szCs w:val="20"/>
                <w:lang w:val="en-GB"/>
              </w:rPr>
              <w:t>(5.4)</w:t>
            </w:r>
          </w:p>
        </w:tc>
      </w:tr>
    </w:tbl>
    <w:p w:rsidR="00E02AB1" w:rsidRPr="00710415" w:rsidRDefault="00E02AB1" w:rsidP="00252752">
      <w:pPr>
        <w:pStyle w:val="Heading3"/>
      </w:pPr>
      <w:bookmarkStart w:id="37" w:name="_Toc400916059"/>
      <w:r w:rsidRPr="00710415">
        <w:t>Measurement of corporate governance</w:t>
      </w:r>
      <w:bookmarkEnd w:id="37"/>
      <w:r w:rsidRPr="00710415">
        <w:t xml:space="preserve"> </w:t>
      </w:r>
    </w:p>
    <w:p w:rsidR="00E02AB1" w:rsidRPr="000372E7" w:rsidRDefault="00E02AB1" w:rsidP="00E02AB1">
      <w:pPr>
        <w:spacing w:after="0"/>
        <w:rPr>
          <w:rFonts w:cs="Times New Roman"/>
          <w:color w:val="000000" w:themeColor="text1"/>
          <w:szCs w:val="24"/>
        </w:rPr>
      </w:pPr>
      <w:r w:rsidRPr="000372E7">
        <w:rPr>
          <w:rFonts w:cs="Times New Roman"/>
          <w:color w:val="000000" w:themeColor="text1"/>
          <w:szCs w:val="24"/>
        </w:rPr>
        <w:t xml:space="preserve">After estimating the discretionary accruals which proxy for earnings management, corporate governance measured by several specific items will be introduced. These specific items are the board characteristics and ownership structure which were discussed in Chapter 3. Fama and Jensen (1983) indicated that board of directors play an important role in corporate governance mechanism. </w:t>
      </w:r>
      <w:r w:rsidR="00EF1EDC" w:rsidRPr="000372E7">
        <w:rPr>
          <w:rFonts w:cs="Times New Roman"/>
          <w:color w:val="000000" w:themeColor="text1"/>
          <w:szCs w:val="24"/>
        </w:rPr>
        <w:fldChar w:fldCharType="begin" w:fldLock="1"/>
      </w:r>
      <w:r w:rsidRPr="000372E7">
        <w:rPr>
          <w:rFonts w:cs="Times New Roman"/>
          <w:color w:val="000000" w:themeColor="text1"/>
          <w:szCs w:val="24"/>
        </w:rPr>
        <w:instrText>ADDIN CSL_CITATION { "citationItems" : [ { "id" : "ITEM-1", "itemData" : { "DOI" : "10.1016/j.ememar.2012.03.002", "ISSN" : "1566-0141", "author" : [ { "dropping-particle" : "", "family" : "Claessens", "given" : "Stijn", "non-dropping-particle" : "", "parse-names" : false, "suffix" : "" }, { "dropping-particle" : "", "family" : "Yurtoglu", "given" : "BB", "non-dropping-particle" : "", "parse-names" : false, "suffix" : "" } ], "container-title" : "Emerging markets review", "id" : "ITEM-1", "issued" : { "date-parts" : [ [ "2013" ] ] }, "page" : "1-33", "publisher" : "Elsevier B.V.", "title" : "Corporate governance in emerging markets: A survey", "type" : "article-journal", "volume" : "15" }, "uris" : [ "http://www.mendeley.com/documents/?uuid=235c5d2b-39b1-4b37-a5d6-02e6092fd594" ] } ], "mendeley" : { "manualFormatting" : "Claessens  and Yurtoglu( 2013)", "previouslyFormattedCitation" : "(Claessens &amp; Yurtoglu, 2013)" }, "properties" : { "noteIndex" : 0 }, "schema" : "https://github.com/citation-style-language/schema/raw/master/csl-citation.json" }</w:instrText>
      </w:r>
      <w:r w:rsidR="00EF1EDC" w:rsidRPr="000372E7">
        <w:rPr>
          <w:rFonts w:cs="Times New Roman"/>
          <w:color w:val="000000" w:themeColor="text1"/>
          <w:szCs w:val="24"/>
        </w:rPr>
        <w:fldChar w:fldCharType="separate"/>
      </w:r>
      <w:r w:rsidRPr="000372E7">
        <w:rPr>
          <w:rFonts w:cs="Times New Roman"/>
          <w:noProof/>
          <w:color w:val="000000" w:themeColor="text1"/>
          <w:szCs w:val="24"/>
        </w:rPr>
        <w:t>Claessens and Yurtoglu (2013)</w:t>
      </w:r>
      <w:r w:rsidR="00EF1EDC" w:rsidRPr="000372E7">
        <w:rPr>
          <w:rFonts w:cs="Times New Roman"/>
          <w:color w:val="000000" w:themeColor="text1"/>
          <w:szCs w:val="24"/>
        </w:rPr>
        <w:fldChar w:fldCharType="end"/>
      </w:r>
      <w:r w:rsidRPr="000372E7">
        <w:rPr>
          <w:rFonts w:cs="Times New Roman"/>
          <w:color w:val="000000" w:themeColor="text1"/>
          <w:szCs w:val="24"/>
        </w:rPr>
        <w:t xml:space="preserve"> also emphasized that board characteristics are crucial to governance system. </w:t>
      </w:r>
      <w:r w:rsidR="00366E38" w:rsidRPr="000372E7">
        <w:rPr>
          <w:rFonts w:cs="Times New Roman"/>
          <w:color w:val="000000" w:themeColor="text1"/>
          <w:szCs w:val="24"/>
        </w:rPr>
        <w:t>Furthermore</w:t>
      </w:r>
      <w:r w:rsidRPr="000372E7">
        <w:rPr>
          <w:rFonts w:cs="Times New Roman"/>
          <w:color w:val="000000" w:themeColor="text1"/>
          <w:szCs w:val="24"/>
        </w:rPr>
        <w:t xml:space="preserve">, ownership </w:t>
      </w:r>
      <w:r w:rsidR="00366E38" w:rsidRPr="000372E7">
        <w:rPr>
          <w:rFonts w:cs="Times New Roman"/>
          <w:color w:val="000000" w:themeColor="text1"/>
          <w:szCs w:val="24"/>
        </w:rPr>
        <w:t>structure</w:t>
      </w:r>
      <w:r w:rsidRPr="000372E7">
        <w:rPr>
          <w:rFonts w:cs="Times New Roman"/>
          <w:color w:val="000000" w:themeColor="text1"/>
          <w:szCs w:val="24"/>
        </w:rPr>
        <w:t xml:space="preserve"> is another vital part of corporate governance system and is often discussed in tremendous numbers of empirical studies.</w:t>
      </w:r>
      <w:r w:rsidRPr="000372E7">
        <w:rPr>
          <w:color w:val="000000" w:themeColor="text1"/>
        </w:rPr>
        <w:t xml:space="preserve"> </w:t>
      </w:r>
      <w:r w:rsidR="00EF1EDC" w:rsidRPr="000372E7">
        <w:rPr>
          <w:rFonts w:cs="Times New Roman"/>
          <w:color w:val="000000" w:themeColor="text1"/>
          <w:szCs w:val="24"/>
        </w:rPr>
        <w:fldChar w:fldCharType="begin" w:fldLock="1"/>
      </w:r>
      <w:r w:rsidRPr="000372E7">
        <w:rPr>
          <w:rFonts w:cs="Times New Roman"/>
          <w:color w:val="000000" w:themeColor="text1"/>
          <w:szCs w:val="24"/>
        </w:rPr>
        <w:instrText>ADDIN CSL_CITATION { "citationItems" : [ { "id" : "ITEM-1", "itemData" : { "author" : [ { "dropping-particle" : "", "family" : "Bebczuk", "given" : "Ricardo N", "non-dropping-particle" : "", "parse-names" : false, "suffix" : "" } ], "container-title" : "Research Network Working papers", "id" : "ITEM-1", "issue" : "November", "issued" : { "date-parts" : [ [ "2005" ] ] }, "page" : "2-59", "title" : "Corporate Governance and Ownership : Measurement and Impact on Corporate Performance and Dividend Policies in Argentina", "type" : "article-journal", "volume" : "R-516" }, "uris" : [ "http://www.mendeley.com/documents/?uuid=07e28954-d6dc-48a7-a625-0947b7713c00" ] } ], "mendeley" : { "manualFormatting" : "Bebczuk (2005)", "previouslyFormattedCitation" : "(Bebczuk, 2005)" }, "properties" : { "noteIndex" : 0 }, "schema" : "https://github.com/citation-style-language/schema/raw/master/csl-citation.json" }</w:instrText>
      </w:r>
      <w:r w:rsidR="00EF1EDC" w:rsidRPr="000372E7">
        <w:rPr>
          <w:rFonts w:cs="Times New Roman"/>
          <w:color w:val="000000" w:themeColor="text1"/>
          <w:szCs w:val="24"/>
        </w:rPr>
        <w:fldChar w:fldCharType="separate"/>
      </w:r>
      <w:r w:rsidRPr="000372E7">
        <w:rPr>
          <w:rFonts w:cs="Times New Roman"/>
          <w:noProof/>
          <w:color w:val="000000" w:themeColor="text1"/>
          <w:szCs w:val="24"/>
        </w:rPr>
        <w:t>Bebczuk (2005)</w:t>
      </w:r>
      <w:r w:rsidR="00EF1EDC" w:rsidRPr="000372E7">
        <w:rPr>
          <w:rFonts w:cs="Times New Roman"/>
          <w:color w:val="000000" w:themeColor="text1"/>
          <w:szCs w:val="24"/>
        </w:rPr>
        <w:fldChar w:fldCharType="end"/>
      </w:r>
      <w:r w:rsidRPr="000372E7">
        <w:rPr>
          <w:rFonts w:cs="Times New Roman"/>
          <w:color w:val="000000" w:themeColor="text1"/>
          <w:szCs w:val="24"/>
        </w:rPr>
        <w:t xml:space="preserve"> mentioned that the link between corporate governance and ownership structure has </w:t>
      </w:r>
      <w:r w:rsidRPr="000372E7">
        <w:rPr>
          <w:rFonts w:cs="Times New Roman"/>
          <w:color w:val="000000" w:themeColor="text1"/>
          <w:szCs w:val="24"/>
        </w:rPr>
        <w:lastRenderedPageBreak/>
        <w:t xml:space="preserve">been studied and developed since 1970s. </w:t>
      </w:r>
      <w:r w:rsidR="00EF1EDC" w:rsidRPr="000372E7">
        <w:rPr>
          <w:rFonts w:cs="Times New Roman"/>
          <w:color w:val="000000" w:themeColor="text1"/>
          <w:szCs w:val="24"/>
        </w:rPr>
        <w:fldChar w:fldCharType="begin" w:fldLock="1"/>
      </w:r>
      <w:r w:rsidR="00B51A31">
        <w:rPr>
          <w:rFonts w:cs="Times New Roman"/>
          <w:color w:val="000000" w:themeColor="text1"/>
          <w:szCs w:val="24"/>
        </w:rPr>
        <w:instrText>ADDIN CSL_CITATION { "citationItems" : [ { "id" : "ITEM-1", "itemData" : { "author" : [ { "dropping-particle" : "", "family" : "Kaur", "given" : "Parmjit", "non-dropping-particle" : "", "parse-names" : false, "suffix" : "" }, { "dropping-particle" : "", "family" : "Suveera", "given" : "Gill", "non-dropping-particle" : "", "parse-names" : false, "suffix" : "" } ], "container-title" : "RESEARCH PROJECT NFCG", "id" : "ITEM-1", "issued" : { "date-parts" : [ [ "2008" ] ] }, "page" : "1-6", "title" : "The effects of ownership structure on corporate goverance and performance: an empirical assessment in India", "type" : "article-journal" }, "uris" : [ "http://www.mendeley.com/documents/?uuid=4d0cd177-eeb2-407c-937f-6dc9c4b63111" ] } ], "mendeley" : { "manualFormatting" : "Kaur and Suveera (2008)", "previouslyFormattedCitation" : "(Parmjit &amp; Gill, 2008)" }, "properties" : { "noteIndex" : 0 }, "schema" : "https://github.com/citation-style-language/schema/raw/master/csl-citation.json" }</w:instrText>
      </w:r>
      <w:r w:rsidR="00EF1EDC" w:rsidRPr="000372E7">
        <w:rPr>
          <w:rFonts w:cs="Times New Roman"/>
          <w:color w:val="000000" w:themeColor="text1"/>
          <w:szCs w:val="24"/>
        </w:rPr>
        <w:fldChar w:fldCharType="separate"/>
      </w:r>
      <w:r w:rsidR="00900233">
        <w:rPr>
          <w:noProof/>
        </w:rPr>
        <w:t>Kaur and</w:t>
      </w:r>
      <w:r w:rsidR="00900233" w:rsidRPr="0003314E">
        <w:rPr>
          <w:noProof/>
        </w:rPr>
        <w:t xml:space="preserve"> Suveera</w:t>
      </w:r>
      <w:r w:rsidR="00B51A31">
        <w:rPr>
          <w:rFonts w:cs="Times New Roman"/>
          <w:noProof/>
          <w:color w:val="000000" w:themeColor="text1"/>
          <w:szCs w:val="24"/>
        </w:rPr>
        <w:t xml:space="preserve"> </w:t>
      </w:r>
      <w:r w:rsidRPr="000372E7">
        <w:rPr>
          <w:rFonts w:cs="Times New Roman"/>
          <w:noProof/>
          <w:color w:val="000000" w:themeColor="text1"/>
          <w:szCs w:val="24"/>
        </w:rPr>
        <w:t>(2008)</w:t>
      </w:r>
      <w:r w:rsidR="00EF1EDC" w:rsidRPr="000372E7">
        <w:rPr>
          <w:rFonts w:cs="Times New Roman"/>
          <w:color w:val="000000" w:themeColor="text1"/>
          <w:szCs w:val="24"/>
        </w:rPr>
        <w:fldChar w:fldCharType="end"/>
      </w:r>
      <w:r w:rsidRPr="000372E7">
        <w:rPr>
          <w:rFonts w:cs="Times New Roman"/>
          <w:color w:val="000000" w:themeColor="text1"/>
          <w:szCs w:val="24"/>
        </w:rPr>
        <w:t xml:space="preserve"> demonstrated that investigating corporate governance issues especially related to ownership structure could yield important insights into this topic. Therefore, this thesis will concentrate on investigating the relationship between board features and ownership structure which proxy for corporate governance and earnings management.</w:t>
      </w:r>
    </w:p>
    <w:p w:rsidR="00E02AB1" w:rsidRPr="00B9756C" w:rsidRDefault="00E02AB1" w:rsidP="00E02AB1">
      <w:pPr>
        <w:pStyle w:val="ListParagraph"/>
        <w:spacing w:before="120" w:after="0" w:line="360" w:lineRule="auto"/>
        <w:ind w:left="0"/>
        <w:jc w:val="both"/>
        <w:rPr>
          <w:rFonts w:ascii="Times New Roman" w:hAnsi="Times New Roman" w:cs="Times New Roman"/>
          <w:b/>
          <w:color w:val="000000" w:themeColor="text1"/>
          <w:sz w:val="24"/>
          <w:szCs w:val="28"/>
        </w:rPr>
      </w:pPr>
      <w:r w:rsidRPr="000372E7">
        <w:rPr>
          <w:rFonts w:ascii="Times New Roman" w:hAnsi="Times New Roman" w:cs="Times New Roman"/>
          <w:b/>
          <w:color w:val="000000" w:themeColor="text1"/>
          <w:sz w:val="24"/>
          <w:szCs w:val="28"/>
        </w:rPr>
        <w:t>(Supervisory) Board size</w:t>
      </w:r>
    </w:p>
    <w:p w:rsidR="00E02AB1" w:rsidRPr="00A47B3D" w:rsidRDefault="00E02AB1" w:rsidP="00E02AB1">
      <w:pPr>
        <w:pStyle w:val="ListParagraph"/>
        <w:spacing w:before="120" w:after="0" w:line="360" w:lineRule="auto"/>
        <w:ind w:left="0"/>
        <w:jc w:val="both"/>
        <w:rPr>
          <w:rFonts w:ascii="Times New Roman" w:hAnsi="Times New Roman" w:cs="Times New Roman"/>
          <w:noProof/>
          <w:color w:val="000000" w:themeColor="text1"/>
          <w:sz w:val="24"/>
          <w:szCs w:val="24"/>
        </w:rPr>
      </w:pPr>
      <w:r w:rsidRPr="000372E7">
        <w:rPr>
          <w:rFonts w:ascii="Times New Roman" w:hAnsi="Times New Roman" w:cs="Times New Roman"/>
          <w:color w:val="000000" w:themeColor="text1"/>
          <w:sz w:val="24"/>
          <w:szCs w:val="24"/>
        </w:rPr>
        <w:t xml:space="preserve">Jensen (1993) indicated that the board size should be small </w:t>
      </w:r>
      <w:r w:rsidRPr="000372E7">
        <w:rPr>
          <w:rFonts w:ascii="Times New Roman" w:eastAsiaTheme="minorEastAsia" w:hAnsi="Times New Roman" w:cs="Times New Roman"/>
          <w:color w:val="000000" w:themeColor="text1"/>
          <w:sz w:val="24"/>
          <w:szCs w:val="24"/>
          <w:lang w:eastAsia="zh-CN"/>
        </w:rPr>
        <w:t xml:space="preserve">in order to </w:t>
      </w:r>
      <w:r w:rsidRPr="000372E7">
        <w:rPr>
          <w:rFonts w:ascii="Times New Roman" w:hAnsi="Times New Roman" w:cs="Times New Roman"/>
          <w:color w:val="000000" w:themeColor="text1"/>
          <w:sz w:val="24"/>
          <w:szCs w:val="24"/>
        </w:rPr>
        <w:t>enhanc</w:t>
      </w:r>
      <w:r w:rsidRPr="000372E7">
        <w:rPr>
          <w:rFonts w:ascii="Times New Roman" w:eastAsiaTheme="minorEastAsia" w:hAnsi="Times New Roman" w:cs="Times New Roman"/>
          <w:color w:val="000000" w:themeColor="text1"/>
          <w:sz w:val="24"/>
          <w:szCs w:val="24"/>
          <w:lang w:eastAsia="zh-CN"/>
        </w:rPr>
        <w:t>e</w:t>
      </w:r>
      <w:r w:rsidRPr="000372E7">
        <w:rPr>
          <w:rFonts w:ascii="Times New Roman" w:hAnsi="Times New Roman" w:cs="Times New Roman"/>
          <w:color w:val="000000" w:themeColor="text1"/>
          <w:sz w:val="24"/>
          <w:szCs w:val="24"/>
        </w:rPr>
        <w:t xml:space="preserve"> the performance of the company. An appropriate number of the board members should not be more than eight people.</w:t>
      </w:r>
      <w:r w:rsidRPr="000372E7">
        <w:rPr>
          <w:rFonts w:ascii="Times New Roman" w:eastAsiaTheme="minorEastAsia" w:hAnsi="Times New Roman" w:cs="Times New Roman"/>
          <w:color w:val="000000" w:themeColor="text1"/>
          <w:sz w:val="24"/>
          <w:szCs w:val="24"/>
          <w:lang w:eastAsia="zh-CN"/>
        </w:rPr>
        <w:t xml:space="preserve"> </w:t>
      </w:r>
      <w:r w:rsidR="00E6748E">
        <w:rPr>
          <w:rFonts w:ascii="Times New Roman" w:hAnsi="Times New Roman" w:cs="Times New Roman"/>
          <w:color w:val="000000" w:themeColor="text1"/>
          <w:sz w:val="24"/>
          <w:szCs w:val="24"/>
        </w:rPr>
        <w:t>Similarly, Yermac</w:t>
      </w:r>
      <w:r w:rsidR="003B4792">
        <w:rPr>
          <w:rFonts w:ascii="Times New Roman" w:hAnsi="Times New Roman" w:cs="Times New Roman"/>
          <w:color w:val="000000" w:themeColor="text1"/>
          <w:sz w:val="24"/>
          <w:szCs w:val="24"/>
        </w:rPr>
        <w:t xml:space="preserve">k </w:t>
      </w:r>
      <w:r w:rsidRPr="000372E7">
        <w:rPr>
          <w:rFonts w:ascii="Times New Roman" w:hAnsi="Times New Roman" w:cs="Times New Roman"/>
          <w:color w:val="000000" w:themeColor="text1"/>
          <w:sz w:val="24"/>
          <w:szCs w:val="24"/>
        </w:rPr>
        <w:t xml:space="preserve">(1996) also stated that the firm performance will be better when the board is smaller in size. However, Dalton </w:t>
      </w:r>
      <w:r w:rsidRPr="000372E7">
        <w:rPr>
          <w:rFonts w:ascii="Times New Roman" w:hAnsi="Times New Roman" w:cs="Times New Roman"/>
          <w:i/>
          <w:color w:val="000000" w:themeColor="text1"/>
          <w:sz w:val="24"/>
          <w:szCs w:val="24"/>
        </w:rPr>
        <w:t>et al</w:t>
      </w:r>
      <w:r w:rsidRPr="001C35B9">
        <w:rPr>
          <w:rFonts w:ascii="Times New Roman" w:eastAsiaTheme="minorEastAsia" w:hAnsi="Times New Roman" w:cs="Times New Roman"/>
          <w:color w:val="000000" w:themeColor="text1"/>
          <w:sz w:val="24"/>
          <w:szCs w:val="24"/>
          <w:lang w:eastAsia="zh-CN"/>
        </w:rPr>
        <w:t>.</w:t>
      </w:r>
      <w:r w:rsidR="001C35B9" w:rsidRPr="001C35B9">
        <w:rPr>
          <w:rFonts w:ascii="Times New Roman" w:hAnsi="Times New Roman" w:cs="Times New Roman"/>
          <w:color w:val="000000" w:themeColor="text1"/>
          <w:sz w:val="24"/>
          <w:szCs w:val="24"/>
        </w:rPr>
        <w:t xml:space="preserve">, </w:t>
      </w:r>
      <w:r w:rsidRPr="000372E7">
        <w:rPr>
          <w:rFonts w:ascii="Times New Roman" w:hAnsi="Times New Roman" w:cs="Times New Roman"/>
          <w:color w:val="000000" w:themeColor="text1"/>
          <w:sz w:val="24"/>
          <w:szCs w:val="24"/>
        </w:rPr>
        <w:t>(1999) indicated an opposite statement that there is positive relation between board size and firm performance.</w:t>
      </w:r>
      <w:r w:rsidR="00DC17D6" w:rsidRPr="00DC17D6">
        <w:rPr>
          <w:rFonts w:ascii="Times New Roman" w:eastAsiaTheme="minorEastAsia" w:hAnsi="Times New Roman" w:cs="Times New Roman"/>
          <w:color w:val="000000" w:themeColor="text1"/>
          <w:sz w:val="24"/>
          <w:szCs w:val="24"/>
          <w:lang w:eastAsia="zh-CN"/>
        </w:rPr>
        <w:t xml:space="preserve"> </w:t>
      </w:r>
      <w:r w:rsidRPr="000372E7">
        <w:rPr>
          <w:rFonts w:ascii="Times New Roman" w:hAnsi="Times New Roman" w:cs="Times New Roman"/>
          <w:color w:val="000000" w:themeColor="text1"/>
          <w:sz w:val="24"/>
          <w:szCs w:val="24"/>
        </w:rPr>
        <w:t xml:space="preserve">Referring to supervisory board, Habbash </w:t>
      </w:r>
      <w:r w:rsidRPr="000372E7">
        <w:rPr>
          <w:rFonts w:ascii="Times New Roman" w:hAnsi="Times New Roman" w:cs="Times New Roman"/>
          <w:i/>
          <w:color w:val="000000" w:themeColor="text1"/>
          <w:sz w:val="24"/>
          <w:szCs w:val="24"/>
        </w:rPr>
        <w:t>et al</w:t>
      </w:r>
      <w:r w:rsidRPr="001C35B9">
        <w:rPr>
          <w:rFonts w:ascii="Times New Roman" w:eastAsiaTheme="minorEastAsia" w:hAnsi="Times New Roman" w:cs="Times New Roman"/>
          <w:color w:val="000000" w:themeColor="text1"/>
          <w:sz w:val="24"/>
          <w:szCs w:val="24"/>
          <w:lang w:eastAsia="zh-CN"/>
        </w:rPr>
        <w:t>.</w:t>
      </w:r>
      <w:r w:rsidRPr="001C35B9">
        <w:rPr>
          <w:rFonts w:ascii="Times New Roman" w:hAnsi="Times New Roman" w:cs="Times New Roman"/>
          <w:color w:val="000000" w:themeColor="text1"/>
          <w:sz w:val="24"/>
          <w:szCs w:val="24"/>
        </w:rPr>
        <w:t xml:space="preserve"> </w:t>
      </w:r>
      <w:r w:rsidRPr="000372E7">
        <w:rPr>
          <w:rFonts w:ascii="Times New Roman" w:hAnsi="Times New Roman" w:cs="Times New Roman"/>
          <w:color w:val="000000" w:themeColor="text1"/>
          <w:sz w:val="24"/>
          <w:szCs w:val="24"/>
        </w:rPr>
        <w:t>(2014)</w:t>
      </w:r>
      <w:r w:rsidRPr="000372E7">
        <w:rPr>
          <w:noProof/>
          <w:color w:val="000000" w:themeColor="text1"/>
        </w:rPr>
        <w:t xml:space="preserve"> </w:t>
      </w:r>
      <w:r w:rsidRPr="000372E7">
        <w:rPr>
          <w:rFonts w:ascii="Times New Roman" w:hAnsi="Times New Roman" w:cs="Times New Roman"/>
          <w:color w:val="000000" w:themeColor="text1"/>
          <w:sz w:val="24"/>
          <w:szCs w:val="24"/>
        </w:rPr>
        <w:t>demonstrated that supervisory board could not reduce the activities of earnings management based on the Chinese listed firms from 2005 to 2010.</w:t>
      </w:r>
      <w:r w:rsidRPr="000372E7">
        <w:rPr>
          <w:noProof/>
          <w:color w:val="000000" w:themeColor="text1"/>
        </w:rPr>
        <w:t xml:space="preserve"> </w:t>
      </w:r>
      <w:r w:rsidRPr="00A47B3D">
        <w:rPr>
          <w:rFonts w:ascii="Times New Roman" w:hAnsi="Times New Roman" w:cs="Times New Roman"/>
          <w:noProof/>
          <w:color w:val="000000" w:themeColor="text1"/>
          <w:sz w:val="24"/>
          <w:szCs w:val="24"/>
        </w:rPr>
        <w:t xml:space="preserve">This argument is different from that of Firth </w:t>
      </w:r>
      <w:r w:rsidRPr="00A47B3D">
        <w:rPr>
          <w:rFonts w:ascii="Times New Roman" w:hAnsi="Times New Roman" w:cs="Times New Roman"/>
          <w:i/>
          <w:noProof/>
          <w:color w:val="000000" w:themeColor="text1"/>
          <w:sz w:val="24"/>
          <w:szCs w:val="24"/>
        </w:rPr>
        <w:t>et al</w:t>
      </w:r>
      <w:r w:rsidR="001C35B9" w:rsidRPr="00A47B3D">
        <w:rPr>
          <w:rFonts w:ascii="Times New Roman" w:eastAsiaTheme="minorEastAsia" w:hAnsi="Times New Roman" w:cs="Times New Roman"/>
          <w:noProof/>
          <w:color w:val="000000" w:themeColor="text1"/>
          <w:sz w:val="24"/>
          <w:szCs w:val="24"/>
          <w:lang w:eastAsia="zh-CN"/>
        </w:rPr>
        <w:t>.</w:t>
      </w:r>
      <w:r w:rsidRPr="00A47B3D">
        <w:rPr>
          <w:rFonts w:ascii="Times New Roman" w:hAnsi="Times New Roman" w:cs="Times New Roman"/>
          <w:noProof/>
          <w:color w:val="000000" w:themeColor="text1"/>
          <w:sz w:val="24"/>
          <w:szCs w:val="24"/>
        </w:rPr>
        <w:t xml:space="preserve"> (2007) who found a negative relationship between supervisory board size and earnings management.</w:t>
      </w:r>
    </w:p>
    <w:p w:rsidR="00E02AB1" w:rsidRPr="000372E7" w:rsidRDefault="00E02AB1" w:rsidP="00E02AB1">
      <w:pPr>
        <w:spacing w:after="0"/>
        <w:rPr>
          <w:rFonts w:cs="Times New Roman"/>
          <w:color w:val="000000" w:themeColor="text1"/>
          <w:szCs w:val="24"/>
        </w:rPr>
      </w:pPr>
      <w:r w:rsidRPr="000372E7">
        <w:rPr>
          <w:rFonts w:cs="Times New Roman"/>
          <w:color w:val="000000" w:themeColor="text1"/>
          <w:szCs w:val="24"/>
        </w:rPr>
        <w:t>Although the prior studies did not reach a general consensus on the relationship between (supervisory) board size and earnings management, the expectation in this thesis is a negative relationship between (supervisory) board size and earnings management. The total number of (supervisory) board directors is used to measure board size (</w:t>
      </w:r>
      <m:oMath>
        <m:sSub>
          <m:sSubPr>
            <m:ctrlPr>
              <w:rPr>
                <w:rFonts w:ascii="Cambria Math" w:hAnsi="Cambria Math" w:cs="Times New Roman"/>
                <w:i/>
                <w:color w:val="000000" w:themeColor="text1"/>
                <w:szCs w:val="24"/>
              </w:rPr>
            </m:ctrlPr>
          </m:sSubPr>
          <m:e>
            <m:r>
              <w:rPr>
                <w:rFonts w:ascii="Cambria Math" w:hAnsi="Cambria Math" w:cs="Times New Roman"/>
                <w:color w:val="000000" w:themeColor="text1"/>
                <w:szCs w:val="24"/>
              </w:rPr>
              <m:t>BS</m:t>
            </m:r>
          </m:e>
          <m:sub>
            <m:r>
              <w:rPr>
                <w:rFonts w:ascii="Cambria Math" w:hAnsi="Cambria Math" w:cs="Times New Roman"/>
                <w:color w:val="000000" w:themeColor="text1"/>
                <w:szCs w:val="24"/>
              </w:rPr>
              <m:t>i</m:t>
            </m:r>
            <m:r>
              <w:rPr>
                <w:rFonts w:ascii="Cambria Math" w:cs="Times New Roman"/>
                <w:color w:val="000000" w:themeColor="text1"/>
                <w:szCs w:val="24"/>
              </w:rPr>
              <m:t>,</m:t>
            </m:r>
            <m:r>
              <w:rPr>
                <w:rFonts w:ascii="Cambria Math" w:hAnsi="Cambria Math" w:cs="Times New Roman"/>
                <w:color w:val="000000" w:themeColor="text1"/>
                <w:szCs w:val="24"/>
              </w:rPr>
              <m:t>t</m:t>
            </m:r>
          </m:sub>
        </m:sSub>
      </m:oMath>
      <w:r w:rsidR="00A47B3D">
        <w:rPr>
          <w:rFonts w:cs="Times New Roman"/>
          <w:i/>
          <w:color w:val="000000" w:themeColor="text1"/>
          <w:szCs w:val="24"/>
          <w:vertAlign w:val="subscript"/>
        </w:rPr>
        <w:t xml:space="preserve"> </w:t>
      </w:r>
      <w:r w:rsidR="00A47B3D">
        <w:rPr>
          <w:rFonts w:cs="Times New Roman"/>
          <w:color w:val="000000" w:themeColor="text1"/>
          <w:szCs w:val="24"/>
        </w:rPr>
        <w:t>and</w:t>
      </w:r>
      <m:oMath>
        <m:sSub>
          <m:sSubPr>
            <m:ctrlPr>
              <w:rPr>
                <w:rFonts w:ascii="Cambria Math" w:hAnsi="Cambria Math" w:cs="Times New Roman"/>
                <w:i/>
                <w:szCs w:val="24"/>
                <w:lang w:eastAsia="en-US"/>
              </w:rPr>
            </m:ctrlPr>
          </m:sSubPr>
          <m:e>
            <m:r>
              <w:rPr>
                <w:rFonts w:ascii="Cambria Math" w:hAnsi="Cambria Math" w:cs="Times New Roman"/>
                <w:szCs w:val="24"/>
              </w:rPr>
              <m:t xml:space="preserve"> SBS</m:t>
            </m:r>
          </m:e>
          <m:sub>
            <m:r>
              <w:rPr>
                <w:rFonts w:ascii="Cambria Math" w:hAnsi="Cambria Math" w:cs="Times New Roman"/>
                <w:szCs w:val="24"/>
              </w:rPr>
              <m:t>i</m:t>
            </m:r>
            <m:r>
              <w:rPr>
                <w:rFonts w:ascii="Cambria Math" w:cs="Times New Roman"/>
                <w:szCs w:val="24"/>
              </w:rPr>
              <m:t>,</m:t>
            </m:r>
            <m:r>
              <w:rPr>
                <w:rFonts w:ascii="Cambria Math" w:hAnsi="Cambria Math" w:cs="Times New Roman"/>
                <w:szCs w:val="24"/>
              </w:rPr>
              <m:t>t</m:t>
            </m:r>
          </m:sub>
        </m:sSub>
      </m:oMath>
      <w:r w:rsidRPr="000372E7">
        <w:rPr>
          <w:rFonts w:cs="Times New Roman"/>
          <w:color w:val="000000" w:themeColor="text1"/>
          <w:szCs w:val="24"/>
        </w:rPr>
        <w:t>).</w:t>
      </w:r>
    </w:p>
    <w:p w:rsidR="00E02AB1" w:rsidRPr="00B9756C" w:rsidRDefault="00E02AB1" w:rsidP="00E02AB1">
      <w:pPr>
        <w:pStyle w:val="ListParagraph"/>
        <w:spacing w:before="120" w:after="0" w:line="360" w:lineRule="auto"/>
        <w:ind w:left="0"/>
        <w:jc w:val="both"/>
        <w:rPr>
          <w:rFonts w:ascii="Times New Roman" w:hAnsi="Times New Roman" w:cs="Times New Roman"/>
          <w:b/>
          <w:color w:val="000000" w:themeColor="text1"/>
          <w:sz w:val="24"/>
          <w:szCs w:val="28"/>
        </w:rPr>
      </w:pPr>
      <w:r w:rsidRPr="000372E7">
        <w:rPr>
          <w:rFonts w:ascii="Times New Roman" w:hAnsi="Times New Roman" w:cs="Times New Roman"/>
          <w:b/>
          <w:color w:val="000000" w:themeColor="text1"/>
          <w:sz w:val="24"/>
          <w:szCs w:val="28"/>
        </w:rPr>
        <w:t xml:space="preserve">Executive </w:t>
      </w:r>
      <w:r w:rsidR="00366E38" w:rsidRPr="000372E7">
        <w:rPr>
          <w:rFonts w:ascii="Times New Roman" w:hAnsi="Times New Roman" w:cs="Times New Roman"/>
          <w:b/>
          <w:color w:val="000000" w:themeColor="text1"/>
          <w:sz w:val="24"/>
          <w:szCs w:val="28"/>
        </w:rPr>
        <w:t>directors</w:t>
      </w:r>
      <w:r w:rsidRPr="000372E7">
        <w:rPr>
          <w:rFonts w:ascii="Times New Roman" w:hAnsi="Times New Roman" w:cs="Times New Roman"/>
          <w:b/>
          <w:color w:val="000000" w:themeColor="text1"/>
          <w:sz w:val="24"/>
          <w:szCs w:val="28"/>
        </w:rPr>
        <w:t xml:space="preserve"> and non-executive directors</w:t>
      </w:r>
    </w:p>
    <w:p w:rsidR="00E02AB1" w:rsidRPr="000372E7" w:rsidRDefault="00E02AB1" w:rsidP="00E02AB1">
      <w:pPr>
        <w:pStyle w:val="ListParagraph"/>
        <w:spacing w:before="120" w:after="0" w:line="360" w:lineRule="auto"/>
        <w:ind w:left="0"/>
        <w:jc w:val="both"/>
        <w:rPr>
          <w:rFonts w:ascii="Times New Roman" w:hAnsi="Times New Roman" w:cs="Times New Roman"/>
          <w:noProof/>
          <w:color w:val="000000" w:themeColor="text1"/>
          <w:sz w:val="24"/>
        </w:rPr>
      </w:pPr>
      <w:r w:rsidRPr="000372E7">
        <w:rPr>
          <w:rFonts w:ascii="Times New Roman" w:eastAsiaTheme="minorEastAsia" w:hAnsi="Times New Roman" w:cs="Times New Roman"/>
          <w:color w:val="000000" w:themeColor="text1"/>
          <w:sz w:val="24"/>
          <w:szCs w:val="24"/>
          <w:lang w:eastAsia="zh-CN"/>
        </w:rPr>
        <w:t>Generally, U</w:t>
      </w:r>
      <w:r w:rsidR="003E65C1">
        <w:rPr>
          <w:rFonts w:ascii="Times New Roman" w:eastAsiaTheme="minorEastAsia" w:hAnsi="Times New Roman" w:cs="Times New Roman"/>
          <w:color w:val="000000" w:themeColor="text1"/>
          <w:sz w:val="24"/>
          <w:szCs w:val="24"/>
          <w:lang w:eastAsia="zh-CN"/>
        </w:rPr>
        <w:t>.</w:t>
      </w:r>
      <w:r w:rsidRPr="000372E7">
        <w:rPr>
          <w:rFonts w:ascii="Times New Roman" w:eastAsiaTheme="minorEastAsia" w:hAnsi="Times New Roman" w:cs="Times New Roman"/>
          <w:color w:val="000000" w:themeColor="text1"/>
          <w:sz w:val="24"/>
          <w:szCs w:val="24"/>
          <w:lang w:eastAsia="zh-CN"/>
        </w:rPr>
        <w:t>S</w:t>
      </w:r>
      <w:r w:rsidR="003E65C1">
        <w:rPr>
          <w:rFonts w:ascii="Times New Roman" w:eastAsiaTheme="minorEastAsia" w:hAnsi="Times New Roman" w:cs="Times New Roman"/>
          <w:color w:val="000000" w:themeColor="text1"/>
          <w:sz w:val="24"/>
          <w:szCs w:val="24"/>
          <w:lang w:eastAsia="zh-CN"/>
        </w:rPr>
        <w:t xml:space="preserve">. </w:t>
      </w:r>
      <w:r w:rsidRPr="000372E7">
        <w:rPr>
          <w:rFonts w:ascii="Times New Roman" w:hAnsi="Times New Roman" w:cs="Times New Roman"/>
          <w:color w:val="000000" w:themeColor="text1"/>
          <w:sz w:val="24"/>
          <w:szCs w:val="24"/>
        </w:rPr>
        <w:t xml:space="preserve">listed </w:t>
      </w:r>
      <w:r w:rsidRPr="000372E7">
        <w:rPr>
          <w:rFonts w:ascii="Times New Roman" w:eastAsiaTheme="minorEastAsia" w:hAnsi="Times New Roman" w:cs="Times New Roman"/>
          <w:color w:val="000000" w:themeColor="text1"/>
          <w:sz w:val="24"/>
          <w:szCs w:val="24"/>
          <w:lang w:eastAsia="zh-CN"/>
        </w:rPr>
        <w:t xml:space="preserve">companies </w:t>
      </w:r>
      <w:r w:rsidRPr="000372E7">
        <w:rPr>
          <w:rFonts w:ascii="Times New Roman" w:hAnsi="Times New Roman" w:cs="Times New Roman"/>
          <w:color w:val="000000" w:themeColor="text1"/>
          <w:sz w:val="24"/>
          <w:szCs w:val="24"/>
        </w:rPr>
        <w:t xml:space="preserve">adopt one-tier board structure which is composed of executive directors and non-executive directors. Executive directors </w:t>
      </w:r>
      <w:r w:rsidRPr="000372E7">
        <w:rPr>
          <w:rFonts w:ascii="Times New Roman" w:eastAsiaTheme="minorEastAsia" w:hAnsi="Times New Roman" w:cs="Times New Roman"/>
          <w:color w:val="000000" w:themeColor="text1"/>
          <w:sz w:val="24"/>
          <w:szCs w:val="24"/>
          <w:lang w:eastAsia="zh-CN"/>
        </w:rPr>
        <w:t xml:space="preserve">are the </w:t>
      </w:r>
      <w:r w:rsidR="009C7C4B">
        <w:rPr>
          <w:rFonts w:ascii="Times New Roman" w:eastAsiaTheme="minorEastAsia" w:hAnsi="Times New Roman" w:cs="Times New Roman"/>
          <w:color w:val="000000" w:themeColor="text1"/>
          <w:sz w:val="24"/>
          <w:szCs w:val="24"/>
          <w:lang w:eastAsia="zh-CN"/>
        </w:rPr>
        <w:t xml:space="preserve">directors </w:t>
      </w:r>
      <w:r w:rsidRPr="000372E7">
        <w:rPr>
          <w:rFonts w:ascii="Times New Roman" w:eastAsiaTheme="minorEastAsia" w:hAnsi="Times New Roman" w:cs="Times New Roman"/>
          <w:color w:val="000000" w:themeColor="text1"/>
          <w:sz w:val="24"/>
          <w:szCs w:val="24"/>
          <w:lang w:eastAsia="zh-CN"/>
        </w:rPr>
        <w:t xml:space="preserve">who really </w:t>
      </w:r>
      <w:r w:rsidRPr="000372E7">
        <w:rPr>
          <w:rFonts w:ascii="Times New Roman" w:hAnsi="Times New Roman" w:cs="Times New Roman"/>
          <w:color w:val="000000" w:themeColor="text1"/>
          <w:sz w:val="24"/>
          <w:szCs w:val="24"/>
        </w:rPr>
        <w:t>manage and run the whole corporation</w:t>
      </w:r>
      <w:r w:rsidR="009C7C4B">
        <w:rPr>
          <w:rFonts w:ascii="Times New Roman" w:hAnsi="Times New Roman" w:cs="Times New Roman"/>
          <w:color w:val="000000" w:themeColor="text1"/>
          <w:sz w:val="24"/>
          <w:szCs w:val="24"/>
        </w:rPr>
        <w:t xml:space="preserve"> as executives</w:t>
      </w:r>
      <w:r w:rsidRPr="000372E7">
        <w:rPr>
          <w:rFonts w:ascii="Times New Roman" w:hAnsi="Times New Roman" w:cs="Times New Roman"/>
          <w:color w:val="000000" w:themeColor="text1"/>
          <w:sz w:val="24"/>
          <w:szCs w:val="24"/>
        </w:rPr>
        <w:t xml:space="preserve">. Non-executive directors are people who </w:t>
      </w:r>
      <w:r w:rsidRPr="000372E7">
        <w:rPr>
          <w:rFonts w:ascii="Times New Roman" w:eastAsiaTheme="minorEastAsia" w:hAnsi="Times New Roman" w:cs="Times New Roman"/>
          <w:color w:val="000000" w:themeColor="text1"/>
          <w:sz w:val="24"/>
          <w:szCs w:val="24"/>
          <w:lang w:eastAsia="zh-CN"/>
        </w:rPr>
        <w:t>do not form part of the executive management team but monitor the day to day work of management</w:t>
      </w:r>
      <w:r w:rsidR="009C7C4B">
        <w:rPr>
          <w:rFonts w:ascii="Times New Roman" w:eastAsiaTheme="minorEastAsia" w:hAnsi="Times New Roman" w:cs="Times New Roman"/>
          <w:color w:val="000000" w:themeColor="text1"/>
          <w:sz w:val="24"/>
          <w:szCs w:val="24"/>
          <w:lang w:eastAsia="zh-CN"/>
        </w:rPr>
        <w:t xml:space="preserve"> </w:t>
      </w:r>
      <w:r w:rsidR="009C7C4B" w:rsidRPr="009C7C4B">
        <w:rPr>
          <w:rFonts w:ascii="Times New Roman" w:eastAsiaTheme="minorEastAsia" w:hAnsi="Times New Roman" w:cs="Times New Roman"/>
          <w:color w:val="000000" w:themeColor="text1"/>
          <w:sz w:val="24"/>
          <w:szCs w:val="24"/>
          <w:lang w:val="en-GB" w:eastAsia="zh-CN"/>
        </w:rPr>
        <w:t>(Shakir, 2008)</w:t>
      </w:r>
      <w:r w:rsidRPr="000372E7">
        <w:rPr>
          <w:rFonts w:ascii="Times New Roman" w:hAnsi="Times New Roman" w:cs="Times New Roman"/>
          <w:color w:val="000000" w:themeColor="text1"/>
          <w:sz w:val="24"/>
          <w:szCs w:val="24"/>
        </w:rPr>
        <w:t xml:space="preserve">. </w:t>
      </w:r>
      <w:r w:rsidRPr="000372E7">
        <w:rPr>
          <w:rFonts w:ascii="Times New Roman" w:eastAsiaTheme="minorEastAsia" w:hAnsi="Times New Roman" w:cs="Times New Roman"/>
          <w:color w:val="000000" w:themeColor="text1"/>
          <w:sz w:val="24"/>
          <w:szCs w:val="24"/>
          <w:lang w:eastAsia="zh-CN"/>
        </w:rPr>
        <w:t xml:space="preserve">By comparing the board structures of the U.S. and Germany, </w:t>
      </w:r>
      <w:r w:rsidRPr="000372E7">
        <w:rPr>
          <w:rFonts w:ascii="Times New Roman" w:hAnsi="Times New Roman" w:cs="Times New Roman"/>
          <w:color w:val="000000" w:themeColor="text1"/>
          <w:sz w:val="24"/>
          <w:szCs w:val="24"/>
        </w:rPr>
        <w:t>Tüngler</w:t>
      </w:r>
      <w:r w:rsidRPr="000372E7">
        <w:rPr>
          <w:rFonts w:ascii="Times New Roman" w:eastAsiaTheme="minorEastAsia" w:hAnsi="Times New Roman" w:cs="Times New Roman"/>
          <w:color w:val="000000" w:themeColor="text1"/>
          <w:sz w:val="24"/>
          <w:szCs w:val="24"/>
          <w:lang w:eastAsia="zh-CN"/>
        </w:rPr>
        <w:t xml:space="preserve"> (2000)</w:t>
      </w:r>
      <w:r w:rsidRPr="000372E7">
        <w:rPr>
          <w:rFonts w:ascii="Times New Roman" w:hAnsi="Times New Roman" w:cs="Times New Roman"/>
          <w:color w:val="000000" w:themeColor="text1"/>
          <w:sz w:val="24"/>
          <w:szCs w:val="24"/>
        </w:rPr>
        <w:t xml:space="preserve"> indicated that the non-executive directors are similar to supervisory board</w:t>
      </w:r>
      <w:r w:rsidRPr="000372E7">
        <w:rPr>
          <w:rFonts w:ascii="Times New Roman" w:eastAsiaTheme="minorEastAsia" w:hAnsi="Times New Roman" w:cs="Times New Roman"/>
          <w:color w:val="000000" w:themeColor="text1"/>
          <w:sz w:val="24"/>
          <w:szCs w:val="24"/>
          <w:lang w:eastAsia="zh-CN"/>
        </w:rPr>
        <w:t>, especially in the function of monitoring the activities of executive directors and management</w:t>
      </w:r>
      <w:r w:rsidR="009C7C4B">
        <w:rPr>
          <w:rFonts w:ascii="Times New Roman" w:hAnsi="Times New Roman" w:cs="Times New Roman"/>
          <w:color w:val="000000" w:themeColor="text1"/>
          <w:sz w:val="24"/>
          <w:szCs w:val="24"/>
        </w:rPr>
        <w:t>. Berg</w:t>
      </w:r>
      <w:r w:rsidRPr="000372E7">
        <w:rPr>
          <w:rFonts w:ascii="Times New Roman" w:hAnsi="Times New Roman" w:cs="Times New Roman"/>
          <w:color w:val="000000" w:themeColor="text1"/>
          <w:sz w:val="24"/>
          <w:szCs w:val="24"/>
        </w:rPr>
        <w:t>str</w:t>
      </w:r>
      <w:r w:rsidR="009C7C4B">
        <w:rPr>
          <w:rFonts w:ascii="Times New Roman" w:hAnsi="Times New Roman" w:cs="Times New Roman"/>
          <w:color w:val="000000" w:themeColor="text1"/>
          <w:sz w:val="24"/>
          <w:szCs w:val="24"/>
        </w:rPr>
        <w:t>e</w:t>
      </w:r>
      <w:r w:rsidRPr="000372E7">
        <w:rPr>
          <w:rFonts w:ascii="Times New Roman" w:hAnsi="Times New Roman" w:cs="Times New Roman"/>
          <w:color w:val="000000" w:themeColor="text1"/>
          <w:sz w:val="24"/>
          <w:szCs w:val="24"/>
        </w:rPr>
        <w:t xml:space="preserve">sser </w:t>
      </w:r>
      <w:r w:rsidRPr="000372E7">
        <w:rPr>
          <w:rFonts w:ascii="Times New Roman" w:hAnsi="Times New Roman" w:cs="Times New Roman"/>
          <w:i/>
          <w:color w:val="000000" w:themeColor="text1"/>
          <w:sz w:val="24"/>
          <w:szCs w:val="24"/>
        </w:rPr>
        <w:t>et al</w:t>
      </w:r>
      <w:r w:rsidRPr="001C35B9">
        <w:rPr>
          <w:rFonts w:ascii="Times New Roman" w:eastAsiaTheme="minorEastAsia" w:hAnsi="Times New Roman" w:cs="Times New Roman"/>
          <w:color w:val="000000" w:themeColor="text1"/>
          <w:sz w:val="24"/>
          <w:szCs w:val="24"/>
          <w:lang w:eastAsia="zh-CN"/>
        </w:rPr>
        <w:t>.</w:t>
      </w:r>
      <w:r w:rsidRPr="000372E7">
        <w:rPr>
          <w:rFonts w:ascii="Times New Roman" w:hAnsi="Times New Roman" w:cs="Times New Roman"/>
          <w:color w:val="000000" w:themeColor="text1"/>
          <w:sz w:val="24"/>
          <w:szCs w:val="24"/>
        </w:rPr>
        <w:t xml:space="preserve"> (2006) </w:t>
      </w:r>
      <w:r w:rsidRPr="000372E7">
        <w:rPr>
          <w:rFonts w:ascii="Times New Roman" w:eastAsiaTheme="minorEastAsia" w:hAnsi="Times New Roman" w:cs="Times New Roman"/>
          <w:color w:val="000000" w:themeColor="text1"/>
          <w:sz w:val="24"/>
          <w:szCs w:val="24"/>
          <w:lang w:eastAsia="zh-CN"/>
        </w:rPr>
        <w:t xml:space="preserve">showed </w:t>
      </w:r>
      <w:r w:rsidRPr="000372E7">
        <w:rPr>
          <w:rFonts w:ascii="Times New Roman" w:hAnsi="Times New Roman" w:cs="Times New Roman"/>
          <w:color w:val="000000" w:themeColor="text1"/>
          <w:sz w:val="24"/>
          <w:szCs w:val="24"/>
        </w:rPr>
        <w:t>that executive directors are more likely to engage in earnings management to enhance incomes and stock price, which increase</w:t>
      </w:r>
      <w:r w:rsidRPr="000372E7">
        <w:rPr>
          <w:rFonts w:ascii="Times New Roman" w:eastAsiaTheme="minorEastAsia" w:hAnsi="Times New Roman" w:cs="Times New Roman"/>
          <w:color w:val="000000" w:themeColor="text1"/>
          <w:sz w:val="24"/>
          <w:szCs w:val="24"/>
          <w:lang w:eastAsia="zh-CN"/>
        </w:rPr>
        <w:t>s</w:t>
      </w:r>
      <w:r w:rsidRPr="000372E7">
        <w:rPr>
          <w:rFonts w:ascii="Times New Roman" w:hAnsi="Times New Roman" w:cs="Times New Roman"/>
          <w:color w:val="000000" w:themeColor="text1"/>
          <w:sz w:val="24"/>
          <w:szCs w:val="24"/>
        </w:rPr>
        <w:t xml:space="preserve"> their compensation eventually. </w:t>
      </w:r>
      <w:r w:rsidRPr="000372E7">
        <w:rPr>
          <w:rFonts w:ascii="Times New Roman" w:hAnsi="Times New Roman" w:cs="Times New Roman"/>
          <w:noProof/>
          <w:color w:val="000000" w:themeColor="text1"/>
          <w:sz w:val="24"/>
        </w:rPr>
        <w:t>Chtourou</w:t>
      </w:r>
      <w:r w:rsidR="00C536C4">
        <w:rPr>
          <w:rFonts w:ascii="Times New Roman" w:hAnsi="Times New Roman" w:cs="Times New Roman"/>
          <w:noProof/>
          <w:color w:val="000000" w:themeColor="text1"/>
          <w:sz w:val="24"/>
        </w:rPr>
        <w:t xml:space="preserve"> </w:t>
      </w:r>
      <w:r w:rsidRPr="000372E7">
        <w:rPr>
          <w:rFonts w:ascii="Times New Roman" w:hAnsi="Times New Roman" w:cs="Times New Roman"/>
          <w:i/>
          <w:noProof/>
          <w:color w:val="000000" w:themeColor="text1"/>
          <w:sz w:val="24"/>
        </w:rPr>
        <w:t>et al</w:t>
      </w:r>
      <w:r w:rsidR="001C35B9" w:rsidRPr="001C35B9">
        <w:rPr>
          <w:rFonts w:ascii="Times New Roman" w:eastAsiaTheme="minorEastAsia" w:hAnsi="Times New Roman" w:cs="Times New Roman"/>
          <w:noProof/>
          <w:color w:val="000000" w:themeColor="text1"/>
          <w:sz w:val="24"/>
          <w:lang w:eastAsia="zh-CN"/>
        </w:rPr>
        <w:t>.</w:t>
      </w:r>
      <w:r w:rsidRPr="000372E7">
        <w:rPr>
          <w:rFonts w:ascii="Times New Roman" w:eastAsiaTheme="minorEastAsia" w:hAnsi="Times New Roman" w:cs="Times New Roman"/>
          <w:i/>
          <w:noProof/>
          <w:color w:val="000000" w:themeColor="text1"/>
          <w:sz w:val="24"/>
          <w:lang w:eastAsia="zh-CN"/>
        </w:rPr>
        <w:t xml:space="preserve"> </w:t>
      </w:r>
      <w:r w:rsidRPr="000372E7">
        <w:rPr>
          <w:rFonts w:ascii="Times New Roman" w:hAnsi="Times New Roman" w:cs="Times New Roman"/>
          <w:noProof/>
          <w:color w:val="000000" w:themeColor="text1"/>
          <w:sz w:val="24"/>
        </w:rPr>
        <w:t>(2001) investigated the</w:t>
      </w:r>
      <w:r w:rsidRPr="000372E7">
        <w:rPr>
          <w:rFonts w:ascii="Times New Roman" w:eastAsiaTheme="minorEastAsia" w:hAnsi="Times New Roman" w:cs="Times New Roman"/>
          <w:noProof/>
          <w:color w:val="000000" w:themeColor="text1"/>
          <w:sz w:val="24"/>
          <w:lang w:eastAsia="zh-CN"/>
        </w:rPr>
        <w:t xml:space="preserve"> </w:t>
      </w:r>
      <w:r w:rsidRPr="000372E7">
        <w:rPr>
          <w:rFonts w:ascii="Times New Roman" w:hAnsi="Times New Roman" w:cs="Times New Roman"/>
          <w:noProof/>
          <w:color w:val="000000" w:themeColor="text1"/>
          <w:sz w:val="24"/>
        </w:rPr>
        <w:t xml:space="preserve">effect of non-execuive directors on earnings management. </w:t>
      </w:r>
      <w:r w:rsidRPr="000372E7">
        <w:rPr>
          <w:rFonts w:ascii="Times New Roman" w:hAnsi="Times New Roman" w:cs="Times New Roman"/>
          <w:noProof/>
          <w:color w:val="000000" w:themeColor="text1"/>
          <w:sz w:val="24"/>
        </w:rPr>
        <w:lastRenderedPageBreak/>
        <w:t xml:space="preserve">A negative relationship between these two items has been found out, </w:t>
      </w:r>
      <w:r w:rsidRPr="000372E7">
        <w:rPr>
          <w:rFonts w:ascii="Times New Roman" w:eastAsiaTheme="minorEastAsia" w:hAnsi="Times New Roman" w:cs="Times New Roman"/>
          <w:noProof/>
          <w:color w:val="000000" w:themeColor="text1"/>
          <w:sz w:val="24"/>
          <w:lang w:eastAsia="zh-CN"/>
        </w:rPr>
        <w:t>meaning that</w:t>
      </w:r>
      <w:r w:rsidRPr="000372E7">
        <w:rPr>
          <w:rFonts w:ascii="Times New Roman" w:hAnsi="Times New Roman" w:cs="Times New Roman"/>
          <w:noProof/>
          <w:color w:val="000000" w:themeColor="text1"/>
          <w:sz w:val="24"/>
        </w:rPr>
        <w:t xml:space="preserve"> large</w:t>
      </w:r>
      <w:r w:rsidRPr="000372E7">
        <w:rPr>
          <w:rFonts w:ascii="Times New Roman" w:eastAsiaTheme="minorEastAsia" w:hAnsi="Times New Roman" w:cs="Times New Roman"/>
          <w:noProof/>
          <w:color w:val="000000" w:themeColor="text1"/>
          <w:sz w:val="24"/>
          <w:lang w:eastAsia="zh-CN"/>
        </w:rPr>
        <w:t>r</w:t>
      </w:r>
      <w:r w:rsidRPr="000372E7">
        <w:rPr>
          <w:rFonts w:ascii="Times New Roman" w:hAnsi="Times New Roman" w:cs="Times New Roman"/>
          <w:noProof/>
          <w:color w:val="000000" w:themeColor="text1"/>
          <w:sz w:val="24"/>
        </w:rPr>
        <w:t xml:space="preserve"> size of non-exective directors is accosicated with lower</w:t>
      </w:r>
      <w:r w:rsidRPr="000372E7">
        <w:rPr>
          <w:rFonts w:ascii="Times New Roman" w:eastAsiaTheme="minorEastAsia" w:hAnsi="Times New Roman" w:cs="Times New Roman"/>
          <w:noProof/>
          <w:color w:val="000000" w:themeColor="text1"/>
          <w:sz w:val="24"/>
          <w:lang w:eastAsia="zh-CN"/>
        </w:rPr>
        <w:t xml:space="preserve"> </w:t>
      </w:r>
      <w:r w:rsidRPr="000372E7">
        <w:rPr>
          <w:rFonts w:ascii="Times New Roman" w:hAnsi="Times New Roman" w:cs="Times New Roman"/>
          <w:noProof/>
          <w:color w:val="000000" w:themeColor="text1"/>
          <w:sz w:val="24"/>
        </w:rPr>
        <w:t xml:space="preserve">level of earnings management activities. </w:t>
      </w:r>
    </w:p>
    <w:p w:rsidR="00E02AB1" w:rsidRPr="000372E7" w:rsidRDefault="00E02AB1" w:rsidP="00E02AB1">
      <w:pPr>
        <w:pStyle w:val="ListParagraph"/>
        <w:spacing w:before="120" w:after="0" w:line="360" w:lineRule="auto"/>
        <w:ind w:left="0"/>
        <w:jc w:val="both"/>
        <w:rPr>
          <w:rFonts w:ascii="Times New Roman" w:hAnsi="Times New Roman" w:cs="Times New Roman"/>
          <w:noProof/>
          <w:color w:val="000000" w:themeColor="text1"/>
          <w:sz w:val="24"/>
          <w:lang w:eastAsia="zh-CN"/>
        </w:rPr>
      </w:pPr>
      <w:r w:rsidRPr="000372E7">
        <w:rPr>
          <w:rFonts w:ascii="Times New Roman" w:hAnsi="Times New Roman" w:cs="Times New Roman"/>
          <w:noProof/>
          <w:color w:val="000000" w:themeColor="text1"/>
          <w:sz w:val="24"/>
        </w:rPr>
        <w:t>According to the above arguments, a negative</w:t>
      </w:r>
      <w:r w:rsidRPr="000372E7">
        <w:rPr>
          <w:rFonts w:ascii="Times New Roman" w:hAnsi="Times New Roman" w:cs="Times New Roman"/>
          <w:noProof/>
          <w:color w:val="000000" w:themeColor="text1"/>
          <w:sz w:val="24"/>
          <w:lang w:eastAsia="zh-CN"/>
        </w:rPr>
        <w:t xml:space="preserve"> </w:t>
      </w:r>
      <w:r w:rsidRPr="000372E7">
        <w:rPr>
          <w:rFonts w:ascii="Times New Roman" w:hAnsi="Times New Roman" w:cs="Times New Roman"/>
          <w:noProof/>
          <w:color w:val="000000" w:themeColor="text1"/>
          <w:sz w:val="24"/>
        </w:rPr>
        <w:t>(positive) correlation</w:t>
      </w:r>
      <w:r w:rsidRPr="000372E7">
        <w:rPr>
          <w:rFonts w:ascii="Times New Roman" w:hAnsi="Times New Roman" w:cs="Times New Roman"/>
          <w:noProof/>
          <w:color w:val="000000" w:themeColor="text1"/>
          <w:sz w:val="24"/>
          <w:lang w:eastAsia="zh-CN"/>
        </w:rPr>
        <w:t xml:space="preserve"> </w:t>
      </w:r>
      <w:r w:rsidRPr="000372E7">
        <w:rPr>
          <w:rFonts w:ascii="Times New Roman" w:hAnsi="Times New Roman" w:cs="Times New Roman"/>
          <w:noProof/>
          <w:color w:val="000000" w:themeColor="text1"/>
          <w:sz w:val="24"/>
        </w:rPr>
        <w:t>between non-executive directors (executive directors) and earnings management</w:t>
      </w:r>
      <w:r w:rsidRPr="000372E7">
        <w:rPr>
          <w:rFonts w:ascii="Times New Roman" w:hAnsi="Times New Roman" w:cs="Times New Roman"/>
          <w:noProof/>
          <w:color w:val="000000" w:themeColor="text1"/>
          <w:sz w:val="24"/>
          <w:lang w:eastAsia="zh-CN"/>
        </w:rPr>
        <w:t xml:space="preserve"> is expected</w:t>
      </w:r>
      <w:r w:rsidRPr="000372E7">
        <w:rPr>
          <w:rFonts w:ascii="Times New Roman" w:hAnsi="Times New Roman" w:cs="Times New Roman"/>
          <w:noProof/>
          <w:color w:val="000000" w:themeColor="text1"/>
          <w:sz w:val="24"/>
        </w:rPr>
        <w:t>. Non-executive directors (</w:t>
      </w:r>
      <m:oMath>
        <m:sSub>
          <m:sSubPr>
            <m:ctrlPr>
              <w:rPr>
                <w:rFonts w:ascii="Cambria Math" w:hAnsi="Cambria Math" w:cs="Times New Roman"/>
                <w:i/>
                <w:sz w:val="24"/>
                <w:szCs w:val="24"/>
              </w:rPr>
            </m:ctrlPr>
          </m:sSubPr>
          <m:e>
            <m:r>
              <w:rPr>
                <w:rFonts w:ascii="Cambria Math" w:hAnsi="Cambria Math" w:cs="Times New Roman"/>
                <w:sz w:val="24"/>
                <w:szCs w:val="24"/>
              </w:rPr>
              <m:t>NEDS</m:t>
            </m:r>
          </m:e>
          <m:sub>
            <m:r>
              <w:rPr>
                <w:rFonts w:ascii="Cambria Math" w:hAnsi="Cambria Math" w:cs="Times New Roman"/>
                <w:sz w:val="24"/>
                <w:szCs w:val="24"/>
              </w:rPr>
              <m:t>i,t</m:t>
            </m:r>
          </m:sub>
        </m:sSub>
      </m:oMath>
      <w:r w:rsidRPr="000372E7">
        <w:rPr>
          <w:rFonts w:ascii="Times New Roman" w:hAnsi="Times New Roman" w:cs="Times New Roman"/>
          <w:noProof/>
          <w:color w:val="000000" w:themeColor="text1"/>
          <w:sz w:val="24"/>
        </w:rPr>
        <w:t xml:space="preserve">) </w:t>
      </w:r>
      <w:r w:rsidRPr="000372E7">
        <w:rPr>
          <w:rFonts w:ascii="Times New Roman" w:hAnsi="Times New Roman" w:cs="Times New Roman"/>
          <w:noProof/>
          <w:color w:val="000000" w:themeColor="text1"/>
          <w:sz w:val="24"/>
          <w:lang w:eastAsia="zh-CN"/>
        </w:rPr>
        <w:t xml:space="preserve">and </w:t>
      </w:r>
      <w:r w:rsidRPr="000372E7">
        <w:rPr>
          <w:rFonts w:ascii="Times New Roman" w:hAnsi="Times New Roman" w:cs="Times New Roman"/>
          <w:noProof/>
          <w:color w:val="000000" w:themeColor="text1"/>
          <w:sz w:val="24"/>
        </w:rPr>
        <w:t xml:space="preserve">executive directors </w:t>
      </w:r>
      <w:r w:rsidRPr="000372E7">
        <w:rPr>
          <w:rFonts w:ascii="Times New Roman" w:hAnsi="Times New Roman" w:cs="Times New Roman"/>
          <w:i/>
          <w:noProof/>
          <w:color w:val="000000" w:themeColor="text1"/>
          <w:sz w:val="24"/>
        </w:rPr>
        <w:t>(</w:t>
      </w:r>
      <m:oMath>
        <m:sSub>
          <m:sSubPr>
            <m:ctrlPr>
              <w:rPr>
                <w:rFonts w:ascii="Cambria Math" w:hAnsi="Cambria Math" w:cs="Times New Roman"/>
                <w:i/>
                <w:sz w:val="24"/>
                <w:szCs w:val="24"/>
              </w:rPr>
            </m:ctrlPr>
          </m:sSubPr>
          <m:e>
            <m:r>
              <w:rPr>
                <w:rFonts w:ascii="Cambria Math" w:hAnsi="Cambria Math" w:cs="Times New Roman"/>
                <w:sz w:val="24"/>
                <w:szCs w:val="24"/>
              </w:rPr>
              <m:t>EDS</m:t>
            </m:r>
          </m:e>
          <m:sub>
            <m:r>
              <w:rPr>
                <w:rFonts w:ascii="Cambria Math" w:hAnsi="Cambria Math" w:cs="Times New Roman"/>
                <w:sz w:val="24"/>
                <w:szCs w:val="24"/>
              </w:rPr>
              <m:t>i,t</m:t>
            </m:r>
          </m:sub>
        </m:sSub>
      </m:oMath>
      <w:r w:rsidRPr="000372E7">
        <w:rPr>
          <w:rFonts w:ascii="Times New Roman" w:hAnsi="Times New Roman" w:cs="Times New Roman"/>
          <w:i/>
          <w:noProof/>
          <w:color w:val="000000" w:themeColor="text1"/>
          <w:sz w:val="24"/>
        </w:rPr>
        <w:t>)</w:t>
      </w:r>
      <w:r w:rsidRPr="000372E7">
        <w:rPr>
          <w:rFonts w:ascii="Times New Roman" w:hAnsi="Times New Roman" w:cs="Times New Roman"/>
          <w:i/>
          <w:noProof/>
          <w:color w:val="000000" w:themeColor="text1"/>
          <w:sz w:val="24"/>
          <w:lang w:eastAsia="zh-CN"/>
        </w:rPr>
        <w:t xml:space="preserve"> </w:t>
      </w:r>
      <w:r w:rsidRPr="000372E7">
        <w:rPr>
          <w:rFonts w:ascii="Times New Roman" w:hAnsi="Times New Roman" w:cs="Times New Roman"/>
          <w:noProof/>
          <w:color w:val="000000" w:themeColor="text1"/>
          <w:sz w:val="24"/>
          <w:lang w:eastAsia="zh-CN"/>
        </w:rPr>
        <w:t>are</w:t>
      </w:r>
      <w:r w:rsidRPr="000372E7">
        <w:rPr>
          <w:rFonts w:ascii="Times New Roman" w:hAnsi="Times New Roman" w:cs="Times New Roman"/>
          <w:noProof/>
          <w:color w:val="000000" w:themeColor="text1"/>
          <w:sz w:val="24"/>
        </w:rPr>
        <w:t xml:space="preserve"> </w:t>
      </w:r>
      <w:r w:rsidRPr="000372E7">
        <w:rPr>
          <w:rFonts w:ascii="Times New Roman" w:hAnsi="Times New Roman" w:cs="Times New Roman"/>
          <w:noProof/>
          <w:color w:val="000000" w:themeColor="text1"/>
          <w:sz w:val="24"/>
          <w:lang w:eastAsia="zh-CN"/>
        </w:rPr>
        <w:t xml:space="preserve">measured </w:t>
      </w:r>
      <w:r w:rsidRPr="000372E7">
        <w:rPr>
          <w:rFonts w:ascii="Times New Roman" w:hAnsi="Times New Roman" w:cs="Times New Roman"/>
          <w:noProof/>
          <w:color w:val="000000" w:themeColor="text1"/>
          <w:sz w:val="24"/>
        </w:rPr>
        <w:t>by total number</w:t>
      </w:r>
      <w:r w:rsidRPr="000372E7">
        <w:rPr>
          <w:rFonts w:ascii="Times New Roman" w:hAnsi="Times New Roman" w:cs="Times New Roman"/>
          <w:noProof/>
          <w:color w:val="000000" w:themeColor="text1"/>
          <w:sz w:val="24"/>
          <w:lang w:eastAsia="zh-CN"/>
        </w:rPr>
        <w:t>s</w:t>
      </w:r>
      <w:r w:rsidRPr="000372E7">
        <w:rPr>
          <w:rFonts w:ascii="Times New Roman" w:hAnsi="Times New Roman" w:cs="Times New Roman"/>
          <w:noProof/>
          <w:color w:val="000000" w:themeColor="text1"/>
          <w:sz w:val="24"/>
        </w:rPr>
        <w:t xml:space="preserve"> of non-executive directors </w:t>
      </w:r>
      <w:r w:rsidRPr="000372E7">
        <w:rPr>
          <w:rFonts w:ascii="Times New Roman" w:hAnsi="Times New Roman" w:cs="Times New Roman"/>
          <w:noProof/>
          <w:color w:val="000000" w:themeColor="text1"/>
          <w:sz w:val="24"/>
          <w:lang w:eastAsia="zh-CN"/>
        </w:rPr>
        <w:t xml:space="preserve">and </w:t>
      </w:r>
      <w:r w:rsidRPr="000372E7">
        <w:rPr>
          <w:rFonts w:ascii="Times New Roman" w:hAnsi="Times New Roman" w:cs="Times New Roman"/>
          <w:noProof/>
          <w:color w:val="000000" w:themeColor="text1"/>
          <w:sz w:val="24"/>
        </w:rPr>
        <w:t>executive directors in sample firms</w:t>
      </w:r>
      <w:r w:rsidRPr="000372E7">
        <w:rPr>
          <w:rFonts w:ascii="Times New Roman" w:hAnsi="Times New Roman" w:cs="Times New Roman"/>
          <w:noProof/>
          <w:color w:val="000000" w:themeColor="text1"/>
          <w:sz w:val="24"/>
          <w:lang w:eastAsia="zh-CN"/>
        </w:rPr>
        <w:t>, respectively.</w:t>
      </w:r>
    </w:p>
    <w:p w:rsidR="00E02AB1" w:rsidRPr="000372E7" w:rsidRDefault="00E02AB1" w:rsidP="00E02AB1">
      <w:pPr>
        <w:pStyle w:val="ListParagraph"/>
        <w:spacing w:before="120" w:after="0" w:line="360" w:lineRule="auto"/>
        <w:ind w:left="0"/>
        <w:jc w:val="both"/>
        <w:rPr>
          <w:rFonts w:ascii="Times New Roman" w:hAnsi="Times New Roman" w:cs="Times New Roman"/>
          <w:b/>
          <w:color w:val="000000" w:themeColor="text1"/>
          <w:sz w:val="24"/>
          <w:szCs w:val="28"/>
        </w:rPr>
      </w:pPr>
      <w:r w:rsidRPr="000372E7">
        <w:rPr>
          <w:rFonts w:ascii="Times New Roman" w:hAnsi="Times New Roman" w:cs="Times New Roman"/>
          <w:b/>
          <w:color w:val="000000" w:themeColor="text1"/>
          <w:sz w:val="24"/>
          <w:szCs w:val="28"/>
        </w:rPr>
        <w:t>Independent directors</w:t>
      </w:r>
    </w:p>
    <w:p w:rsidR="00E02AB1" w:rsidRPr="000372E7" w:rsidRDefault="00E02AB1" w:rsidP="00E02AB1">
      <w:pPr>
        <w:spacing w:after="0"/>
        <w:rPr>
          <w:rFonts w:cs="Times New Roman"/>
          <w:color w:val="000000" w:themeColor="text1"/>
          <w:szCs w:val="24"/>
        </w:rPr>
      </w:pPr>
      <w:r w:rsidRPr="000372E7">
        <w:rPr>
          <w:rFonts w:cs="Times New Roman"/>
          <w:color w:val="000000" w:themeColor="text1"/>
          <w:szCs w:val="24"/>
        </w:rPr>
        <w:t>Independent directors play a</w:t>
      </w:r>
      <w:r w:rsidR="00E70433">
        <w:rPr>
          <w:rFonts w:cs="Times New Roman"/>
          <w:color w:val="000000" w:themeColor="text1"/>
          <w:szCs w:val="24"/>
        </w:rPr>
        <w:t>n</w:t>
      </w:r>
      <w:r w:rsidRPr="000372E7">
        <w:rPr>
          <w:rFonts w:cs="Times New Roman"/>
          <w:color w:val="000000" w:themeColor="text1"/>
          <w:szCs w:val="24"/>
        </w:rPr>
        <w:t xml:space="preserve"> </w:t>
      </w:r>
      <w:r w:rsidR="00366E38" w:rsidRPr="000372E7">
        <w:rPr>
          <w:rFonts w:cs="Times New Roman"/>
          <w:color w:val="000000" w:themeColor="text1"/>
          <w:szCs w:val="24"/>
        </w:rPr>
        <w:t>important</w:t>
      </w:r>
      <w:r w:rsidRPr="000372E7">
        <w:rPr>
          <w:rFonts w:cs="Times New Roman"/>
          <w:color w:val="000000" w:themeColor="text1"/>
          <w:szCs w:val="24"/>
        </w:rPr>
        <w:t xml:space="preserve"> role in monitoring the actions of management and protecting the interests of shareholders. Some researchers argued that higher proportion of independent directors tends to have lower level of earnings manipulations (Peasnell</w:t>
      </w:r>
      <w:r w:rsidR="009E5AD4">
        <w:rPr>
          <w:rFonts w:cs="Times New Roman"/>
          <w:color w:val="000000" w:themeColor="text1"/>
          <w:szCs w:val="24"/>
        </w:rPr>
        <w:t xml:space="preserve"> </w:t>
      </w:r>
      <w:r w:rsidRPr="000372E7">
        <w:rPr>
          <w:rFonts w:cs="Times New Roman"/>
          <w:i/>
          <w:color w:val="000000" w:themeColor="text1"/>
          <w:szCs w:val="24"/>
        </w:rPr>
        <w:t>et al</w:t>
      </w:r>
      <w:r w:rsidR="009C7C4B">
        <w:rPr>
          <w:rFonts w:cs="Times New Roman"/>
          <w:color w:val="000000" w:themeColor="text1"/>
          <w:szCs w:val="24"/>
        </w:rPr>
        <w:t xml:space="preserve">., 2006; Ebrahim </w:t>
      </w:r>
      <w:r w:rsidRPr="000372E7">
        <w:rPr>
          <w:rFonts w:cs="Times New Roman"/>
          <w:color w:val="000000" w:themeColor="text1"/>
          <w:szCs w:val="24"/>
        </w:rPr>
        <w:t xml:space="preserve">2007). On the other hand, some researchers gave an opposite argument - independent directors might not have a significant and effective impact on reducing earnings management activities (Park </w:t>
      </w:r>
      <w:r w:rsidRPr="000372E7">
        <w:rPr>
          <w:rFonts w:cs="Times New Roman"/>
          <w:i/>
          <w:color w:val="000000" w:themeColor="text1"/>
          <w:szCs w:val="24"/>
        </w:rPr>
        <w:t>et al.,</w:t>
      </w:r>
      <w:r w:rsidR="009C7C4B">
        <w:rPr>
          <w:rFonts w:cs="Times New Roman"/>
          <w:i/>
          <w:color w:val="000000" w:themeColor="text1"/>
          <w:szCs w:val="24"/>
        </w:rPr>
        <w:t xml:space="preserve"> </w:t>
      </w:r>
      <w:r w:rsidRPr="000372E7">
        <w:rPr>
          <w:rFonts w:cs="Times New Roman"/>
          <w:color w:val="000000" w:themeColor="text1"/>
          <w:szCs w:val="24"/>
        </w:rPr>
        <w:t xml:space="preserve">2004). Apparently, prior research conclusions of the relationships between independent directors and earnings management are conflicting. Therefore, it is difficult to draw a certain statement related to independent directors and earnings management. But, it expects a negative relationship between those two items which follows the studies of Peasnell </w:t>
      </w:r>
      <w:r w:rsidRPr="000372E7">
        <w:rPr>
          <w:rFonts w:cs="Times New Roman"/>
          <w:i/>
          <w:color w:val="000000" w:themeColor="text1"/>
          <w:szCs w:val="24"/>
        </w:rPr>
        <w:t>et al</w:t>
      </w:r>
      <w:r w:rsidR="00D1784F">
        <w:rPr>
          <w:rFonts w:cs="Times New Roman"/>
          <w:i/>
          <w:color w:val="000000" w:themeColor="text1"/>
          <w:szCs w:val="24"/>
        </w:rPr>
        <w:t>.</w:t>
      </w:r>
      <w:r w:rsidR="005206FA">
        <w:rPr>
          <w:rFonts w:cs="Times New Roman"/>
          <w:color w:val="000000" w:themeColor="text1"/>
          <w:szCs w:val="24"/>
        </w:rPr>
        <w:t xml:space="preserve"> (2006) and Ebrahim </w:t>
      </w:r>
      <w:r w:rsidR="00366E38">
        <w:rPr>
          <w:rFonts w:cs="Times New Roman"/>
          <w:color w:val="000000" w:themeColor="text1"/>
          <w:szCs w:val="24"/>
        </w:rPr>
        <w:t>(</w:t>
      </w:r>
      <w:r w:rsidRPr="000372E7">
        <w:rPr>
          <w:rFonts w:cs="Times New Roman"/>
          <w:color w:val="000000" w:themeColor="text1"/>
          <w:szCs w:val="24"/>
        </w:rPr>
        <w:t xml:space="preserve">2007). Independent directors </w:t>
      </w:r>
      <w:r w:rsidRPr="00366E38">
        <w:rPr>
          <w:rFonts w:cs="Times New Roman"/>
          <w:color w:val="000000" w:themeColor="text1"/>
          <w:szCs w:val="24"/>
        </w:rPr>
        <w:t>(</w:t>
      </w:r>
      <m:oMath>
        <m:sSub>
          <m:sSubPr>
            <m:ctrlPr>
              <w:rPr>
                <w:rFonts w:ascii="Cambria Math" w:hAnsi="Cambria Math" w:cs="Times New Roman"/>
                <w:i/>
                <w:szCs w:val="24"/>
                <w:lang w:eastAsia="en-US"/>
              </w:rPr>
            </m:ctrlPr>
          </m:sSubPr>
          <m:e>
            <m:r>
              <w:rPr>
                <w:rFonts w:ascii="Cambria Math" w:hAnsi="Cambria Math" w:cs="Times New Roman"/>
                <w:szCs w:val="24"/>
              </w:rPr>
              <m:t>BI</m:t>
            </m:r>
          </m:e>
          <m:sub>
            <m:r>
              <w:rPr>
                <w:rFonts w:ascii="Cambria Math" w:hAnsi="Cambria Math" w:cs="Times New Roman"/>
                <w:szCs w:val="24"/>
              </w:rPr>
              <m:t>i,t</m:t>
            </m:r>
          </m:sub>
        </m:sSub>
      </m:oMath>
      <w:r w:rsidRPr="00366E38">
        <w:rPr>
          <w:rFonts w:cs="Times New Roman"/>
          <w:color w:val="000000" w:themeColor="text1"/>
          <w:szCs w:val="24"/>
        </w:rPr>
        <w:t>)</w:t>
      </w:r>
      <w:r w:rsidRPr="000372E7">
        <w:rPr>
          <w:rFonts w:cs="Times New Roman"/>
          <w:color w:val="000000" w:themeColor="text1"/>
          <w:szCs w:val="24"/>
        </w:rPr>
        <w:t xml:space="preserve"> is measured by the ratio of independent directors to total board size.</w:t>
      </w:r>
    </w:p>
    <w:p w:rsidR="00E02AB1" w:rsidRPr="005E7221" w:rsidRDefault="00E02AB1" w:rsidP="00E02AB1">
      <w:pPr>
        <w:pStyle w:val="ListParagraph"/>
        <w:spacing w:before="120" w:after="0" w:line="360" w:lineRule="auto"/>
        <w:ind w:left="0"/>
        <w:jc w:val="both"/>
        <w:rPr>
          <w:rFonts w:ascii="Times New Roman" w:hAnsi="Times New Roman" w:cs="Times New Roman"/>
          <w:b/>
          <w:color w:val="000000" w:themeColor="text1"/>
          <w:sz w:val="24"/>
          <w:szCs w:val="28"/>
          <w:lang w:val="en-GB"/>
        </w:rPr>
      </w:pPr>
      <w:r w:rsidRPr="000372E7">
        <w:rPr>
          <w:rFonts w:ascii="Times New Roman" w:hAnsi="Times New Roman" w:cs="Times New Roman"/>
          <w:b/>
          <w:color w:val="000000" w:themeColor="text1"/>
          <w:sz w:val="24"/>
          <w:szCs w:val="28"/>
        </w:rPr>
        <w:t>CEO duality</w:t>
      </w:r>
    </w:p>
    <w:p w:rsidR="00E02AB1" w:rsidRPr="000372E7" w:rsidRDefault="00E02AB1" w:rsidP="00E02AB1">
      <w:pPr>
        <w:spacing w:after="0"/>
        <w:rPr>
          <w:rFonts w:cs="Times New Roman"/>
          <w:color w:val="000000" w:themeColor="text1"/>
          <w:szCs w:val="24"/>
        </w:rPr>
      </w:pPr>
      <w:r w:rsidRPr="000372E7">
        <w:rPr>
          <w:rFonts w:cs="Times New Roman"/>
          <w:color w:val="000000" w:themeColor="text1"/>
          <w:szCs w:val="24"/>
        </w:rPr>
        <w:t xml:space="preserve">Although few research studies argued that the combined roles of CEO and Chairman might benefit the company, a great number of other empirical studies disagree with this statement. Chen </w:t>
      </w:r>
      <w:r w:rsidRPr="000372E7">
        <w:rPr>
          <w:rFonts w:cs="Times New Roman"/>
          <w:i/>
          <w:color w:val="000000" w:themeColor="text1"/>
          <w:szCs w:val="24"/>
        </w:rPr>
        <w:t>et al.</w:t>
      </w:r>
      <w:r w:rsidRPr="000372E7">
        <w:rPr>
          <w:rFonts w:cs="Times New Roman"/>
          <w:color w:val="000000" w:themeColor="text1"/>
          <w:szCs w:val="24"/>
        </w:rPr>
        <w:t xml:space="preserve"> (2006) stated that one person holding the positions of CEO and Chairman is more likely to manage earnings because this will decrease the monitoring function of the board. This leads to higher level of manipulation behaviors. The Malaysian Code on Corporate Governance (MCCG) 2000 recommends separating the roles of CEO and Chairman to reduce the likelihood of concentration of power in one person</w:t>
      </w:r>
      <w:r w:rsidR="00305FE0">
        <w:rPr>
          <w:rFonts w:cs="Times New Roman"/>
          <w:color w:val="000000" w:themeColor="text1"/>
          <w:szCs w:val="24"/>
        </w:rPr>
        <w:t xml:space="preserve"> (Hashim, </w:t>
      </w:r>
      <w:r w:rsidRPr="000372E7">
        <w:rPr>
          <w:rFonts w:cs="Times New Roman"/>
          <w:color w:val="000000" w:themeColor="text1"/>
          <w:szCs w:val="24"/>
        </w:rPr>
        <w:t xml:space="preserve">2008). In this thesis, it predicts the relationship between earnings management and CEO duality as positive, </w:t>
      </w:r>
      <w:r w:rsidR="00E70433" w:rsidRPr="000372E7">
        <w:rPr>
          <w:rFonts w:cs="Times New Roman"/>
          <w:color w:val="000000" w:themeColor="text1"/>
          <w:szCs w:val="24"/>
        </w:rPr>
        <w:t>implying CEO</w:t>
      </w:r>
      <w:r w:rsidRPr="000372E7">
        <w:rPr>
          <w:rFonts w:cs="Times New Roman"/>
          <w:color w:val="000000" w:themeColor="text1"/>
          <w:szCs w:val="24"/>
        </w:rPr>
        <w:t xml:space="preserve"> as Chairman will do more earnings management activities. A dummy variable is adopted </w:t>
      </w:r>
      <w:r w:rsidRPr="000372E7">
        <w:rPr>
          <w:rFonts w:cs="Times New Roman"/>
          <w:color w:val="000000" w:themeColor="text1"/>
          <w:szCs w:val="24"/>
        </w:rPr>
        <w:lastRenderedPageBreak/>
        <w:t>to measure CEO-duality (</w:t>
      </w:r>
      <w:r w:rsidRPr="000372E7">
        <w:rPr>
          <w:rFonts w:cs="Times New Roman"/>
          <w:i/>
          <w:color w:val="000000" w:themeColor="text1"/>
          <w:szCs w:val="24"/>
        </w:rPr>
        <w:t>CEO-dummy</w:t>
      </w:r>
      <w:r w:rsidRPr="000372E7">
        <w:rPr>
          <w:rFonts w:cs="Times New Roman"/>
          <w:i/>
          <w:color w:val="000000" w:themeColor="text1"/>
          <w:szCs w:val="24"/>
          <w:vertAlign w:val="subscript"/>
        </w:rPr>
        <w:t>i,t</w:t>
      </w:r>
      <w:r w:rsidRPr="000372E7">
        <w:rPr>
          <w:rFonts w:cs="Times New Roman"/>
          <w:color w:val="000000" w:themeColor="text1"/>
          <w:szCs w:val="24"/>
        </w:rPr>
        <w:t>), which is equal to 1 when the position of CEO and Chairman is combined and equal to 0 if otherwise.</w:t>
      </w:r>
    </w:p>
    <w:p w:rsidR="00E02AB1" w:rsidRPr="000372E7" w:rsidRDefault="00E02AB1" w:rsidP="00E02AB1">
      <w:pPr>
        <w:pStyle w:val="ListParagraph"/>
        <w:spacing w:before="120" w:after="0" w:line="360" w:lineRule="auto"/>
        <w:ind w:left="0"/>
        <w:jc w:val="both"/>
        <w:rPr>
          <w:rFonts w:ascii="Times New Roman" w:hAnsi="Times New Roman" w:cs="Times New Roman"/>
          <w:b/>
          <w:color w:val="000000" w:themeColor="text1"/>
          <w:sz w:val="24"/>
          <w:szCs w:val="28"/>
        </w:rPr>
      </w:pPr>
      <w:r w:rsidRPr="000372E7">
        <w:rPr>
          <w:rFonts w:ascii="Times New Roman" w:hAnsi="Times New Roman" w:cs="Times New Roman"/>
          <w:b/>
          <w:color w:val="000000" w:themeColor="text1"/>
          <w:sz w:val="24"/>
          <w:szCs w:val="28"/>
        </w:rPr>
        <w:t>Managerial ownership</w:t>
      </w:r>
    </w:p>
    <w:p w:rsidR="00E02AB1" w:rsidRPr="000372E7" w:rsidRDefault="00E02AB1" w:rsidP="00E02AB1">
      <w:pPr>
        <w:spacing w:after="0"/>
        <w:rPr>
          <w:rFonts w:cs="Times New Roman"/>
          <w:color w:val="000000" w:themeColor="text1"/>
          <w:szCs w:val="24"/>
        </w:rPr>
      </w:pPr>
      <w:r w:rsidRPr="000372E7">
        <w:rPr>
          <w:rFonts w:cs="Times New Roman"/>
          <w:color w:val="000000" w:themeColor="text1"/>
          <w:szCs w:val="24"/>
        </w:rPr>
        <w:t xml:space="preserve">In Chapter 3, it has been argued that there is no general consensus with respect to the impacts of managerial ownership on earnings management. Alves (2012) found a negative relationship between earnings management and managerial ownership based on the Portugal-listed firms. A U-shaped relation between managerial ownership and earnings management was found by Yeo </w:t>
      </w:r>
      <w:r w:rsidRPr="000372E7">
        <w:rPr>
          <w:rFonts w:cs="Times New Roman"/>
          <w:i/>
          <w:color w:val="000000" w:themeColor="text1"/>
          <w:szCs w:val="24"/>
        </w:rPr>
        <w:t>et al</w:t>
      </w:r>
      <w:r w:rsidR="00D1784F">
        <w:rPr>
          <w:rFonts w:cs="Times New Roman"/>
          <w:color w:val="000000" w:themeColor="text1"/>
          <w:szCs w:val="24"/>
        </w:rPr>
        <w:t>.</w:t>
      </w:r>
      <w:r w:rsidRPr="000372E7">
        <w:rPr>
          <w:rFonts w:cs="Times New Roman"/>
          <w:color w:val="000000" w:themeColor="text1"/>
          <w:szCs w:val="24"/>
        </w:rPr>
        <w:t xml:space="preserve"> (2002) based on investigating Singapore-listed companies. Their research results showed that earnings management is reduced when the magnitude of managerial ownership is low, and vice versa. However, Al-Fayoumi </w:t>
      </w:r>
      <w:r w:rsidRPr="000372E7">
        <w:rPr>
          <w:rFonts w:cs="Times New Roman"/>
          <w:i/>
          <w:color w:val="000000" w:themeColor="text1"/>
          <w:szCs w:val="24"/>
        </w:rPr>
        <w:t>et al</w:t>
      </w:r>
      <w:r w:rsidR="00D1784F">
        <w:rPr>
          <w:rFonts w:cs="Times New Roman"/>
          <w:color w:val="000000" w:themeColor="text1"/>
          <w:szCs w:val="24"/>
        </w:rPr>
        <w:t>.</w:t>
      </w:r>
      <w:r w:rsidRPr="00E70433">
        <w:rPr>
          <w:rFonts w:cs="Times New Roman"/>
          <w:color w:val="000000" w:themeColor="text1"/>
          <w:szCs w:val="24"/>
        </w:rPr>
        <w:t xml:space="preserve"> </w:t>
      </w:r>
      <w:r w:rsidRPr="000372E7">
        <w:rPr>
          <w:rFonts w:cs="Times New Roman"/>
          <w:color w:val="000000" w:themeColor="text1"/>
          <w:szCs w:val="24"/>
        </w:rPr>
        <w:t xml:space="preserve">(2010) found a significantly positive relationship between earnings management and managerial ownership, meaning that a company with higher level of managerial ownership engages in more activities of earnings management. It is difficult to conclude a certain statement on the association between managerial ownership and earnings management because of the contradictory findings mentioned before. However, in this thesis the correlation between these two items is expected positive which follows Al-Fayoumi </w:t>
      </w:r>
      <w:r w:rsidRPr="000372E7">
        <w:rPr>
          <w:rFonts w:cs="Times New Roman"/>
          <w:i/>
          <w:color w:val="000000" w:themeColor="text1"/>
          <w:szCs w:val="24"/>
        </w:rPr>
        <w:t>et al</w:t>
      </w:r>
      <w:r w:rsidR="00D1784F">
        <w:rPr>
          <w:rFonts w:cs="Times New Roman"/>
          <w:color w:val="000000" w:themeColor="text1"/>
          <w:szCs w:val="24"/>
        </w:rPr>
        <w:t>.</w:t>
      </w:r>
      <w:r w:rsidRPr="00E70433">
        <w:rPr>
          <w:rFonts w:cs="Times New Roman"/>
          <w:color w:val="000000" w:themeColor="text1"/>
          <w:szCs w:val="24"/>
        </w:rPr>
        <w:t xml:space="preserve"> </w:t>
      </w:r>
      <w:r w:rsidRPr="000372E7">
        <w:rPr>
          <w:rFonts w:cs="Times New Roman"/>
          <w:color w:val="000000" w:themeColor="text1"/>
          <w:szCs w:val="24"/>
        </w:rPr>
        <w:t>(2010). Management ownership (</w:t>
      </w:r>
      <w:r w:rsidRPr="000372E7">
        <w:rPr>
          <w:rFonts w:asciiTheme="majorHAnsi" w:hAnsiTheme="majorHAnsi" w:cs="Times New Roman"/>
          <w:i/>
          <w:color w:val="000000" w:themeColor="text1"/>
          <w:szCs w:val="24"/>
        </w:rPr>
        <w:t>Insider</w:t>
      </w:r>
      <w:r w:rsidRPr="000372E7">
        <w:rPr>
          <w:rFonts w:asciiTheme="majorHAnsi" w:hAnsiTheme="majorHAnsi" w:cs="Times New Roman"/>
          <w:i/>
          <w:color w:val="000000" w:themeColor="text1"/>
          <w:szCs w:val="24"/>
          <w:vertAlign w:val="subscript"/>
        </w:rPr>
        <w:t>i</w:t>
      </w:r>
      <w:r w:rsidRPr="000372E7">
        <w:rPr>
          <w:rFonts w:cs="Times New Roman"/>
          <w:i/>
          <w:color w:val="000000" w:themeColor="text1"/>
          <w:szCs w:val="24"/>
          <w:vertAlign w:val="subscript"/>
        </w:rPr>
        <w:t>,t</w:t>
      </w:r>
      <w:r w:rsidRPr="000372E7">
        <w:rPr>
          <w:rFonts w:cs="Times New Roman"/>
          <w:color w:val="000000" w:themeColor="text1"/>
          <w:szCs w:val="24"/>
        </w:rPr>
        <w:t>) is estimated by the percentages of outstanding shares held by management.</w:t>
      </w:r>
    </w:p>
    <w:p w:rsidR="00E02AB1" w:rsidRPr="00B9756C" w:rsidRDefault="00E02AB1" w:rsidP="00E02AB1">
      <w:pPr>
        <w:pStyle w:val="ListParagraph"/>
        <w:spacing w:before="120" w:after="0" w:line="360" w:lineRule="auto"/>
        <w:ind w:left="0"/>
        <w:jc w:val="both"/>
        <w:rPr>
          <w:rFonts w:ascii="Times New Roman" w:hAnsi="Times New Roman" w:cs="Times New Roman"/>
          <w:b/>
          <w:color w:val="000000" w:themeColor="text1"/>
          <w:sz w:val="24"/>
          <w:szCs w:val="28"/>
        </w:rPr>
      </w:pPr>
      <w:r w:rsidRPr="000372E7">
        <w:rPr>
          <w:rFonts w:ascii="Times New Roman" w:hAnsi="Times New Roman" w:cs="Times New Roman"/>
          <w:b/>
          <w:color w:val="000000" w:themeColor="text1"/>
          <w:sz w:val="24"/>
          <w:szCs w:val="28"/>
        </w:rPr>
        <w:t xml:space="preserve">Block-holders ownership </w:t>
      </w:r>
    </w:p>
    <w:p w:rsidR="00E02AB1" w:rsidRPr="000372E7" w:rsidRDefault="00E02AB1" w:rsidP="00E02AB1">
      <w:pPr>
        <w:pStyle w:val="ListParagraph"/>
        <w:spacing w:after="100" w:afterAutospacing="1" w:line="360" w:lineRule="auto"/>
        <w:ind w:left="0"/>
        <w:jc w:val="both"/>
        <w:rPr>
          <w:rFonts w:ascii="Times New Roman" w:hAnsi="Times New Roman" w:cs="Times New Roman"/>
          <w:color w:val="000000" w:themeColor="text1"/>
          <w:sz w:val="24"/>
          <w:szCs w:val="24"/>
        </w:rPr>
      </w:pPr>
      <w:r w:rsidRPr="000372E7">
        <w:rPr>
          <w:rFonts w:ascii="Times New Roman" w:hAnsi="Times New Roman" w:cs="Times New Roman"/>
          <w:color w:val="000000" w:themeColor="text1"/>
          <w:sz w:val="24"/>
          <w:szCs w:val="24"/>
        </w:rPr>
        <w:t>The academic evidence is various related to the association between block-holders ownership and earnings management. Iqbal</w:t>
      </w:r>
      <w:r w:rsidRPr="000372E7">
        <w:rPr>
          <w:rFonts w:ascii="Times New Roman" w:eastAsiaTheme="minorEastAsia" w:hAnsi="Times New Roman" w:cs="Times New Roman"/>
          <w:color w:val="000000" w:themeColor="text1"/>
          <w:sz w:val="24"/>
          <w:szCs w:val="24"/>
          <w:lang w:eastAsia="zh-CN"/>
        </w:rPr>
        <w:t xml:space="preserve"> </w:t>
      </w:r>
      <w:r w:rsidRPr="000372E7">
        <w:rPr>
          <w:rFonts w:ascii="Times New Roman" w:hAnsi="Times New Roman" w:cs="Times New Roman"/>
          <w:i/>
          <w:color w:val="000000" w:themeColor="text1"/>
          <w:sz w:val="24"/>
          <w:szCs w:val="24"/>
        </w:rPr>
        <w:t>et al</w:t>
      </w:r>
      <w:r w:rsidR="00D1784F">
        <w:rPr>
          <w:rFonts w:ascii="Times New Roman" w:eastAsiaTheme="minorEastAsia" w:hAnsi="Times New Roman" w:cs="Times New Roman"/>
          <w:color w:val="000000" w:themeColor="text1"/>
          <w:sz w:val="24"/>
          <w:szCs w:val="24"/>
          <w:lang w:eastAsia="zh-CN"/>
        </w:rPr>
        <w:t>.</w:t>
      </w:r>
      <w:r w:rsidRPr="000372E7">
        <w:rPr>
          <w:rFonts w:ascii="Times New Roman" w:eastAsiaTheme="minorEastAsia" w:hAnsi="Times New Roman" w:cs="Times New Roman"/>
          <w:color w:val="000000" w:themeColor="text1"/>
          <w:sz w:val="24"/>
          <w:szCs w:val="24"/>
          <w:lang w:eastAsia="zh-CN"/>
        </w:rPr>
        <w:t xml:space="preserve"> </w:t>
      </w:r>
      <w:r w:rsidRPr="000372E7">
        <w:rPr>
          <w:rFonts w:ascii="Times New Roman" w:hAnsi="Times New Roman" w:cs="Times New Roman"/>
          <w:color w:val="000000" w:themeColor="text1"/>
          <w:sz w:val="24"/>
          <w:szCs w:val="24"/>
        </w:rPr>
        <w:t>(2010) indicated a significantly negative relationship between block-holding and earnings management</w:t>
      </w:r>
      <w:r w:rsidRPr="000372E7">
        <w:rPr>
          <w:rFonts w:ascii="Times New Roman" w:eastAsiaTheme="minorEastAsia" w:hAnsi="Times New Roman" w:cs="Times New Roman"/>
          <w:color w:val="000000" w:themeColor="text1"/>
          <w:sz w:val="24"/>
          <w:szCs w:val="24"/>
          <w:lang w:eastAsia="zh-CN"/>
        </w:rPr>
        <w:t xml:space="preserve"> by </w:t>
      </w:r>
      <w:r w:rsidRPr="000372E7">
        <w:rPr>
          <w:rFonts w:ascii="Times New Roman" w:hAnsi="Times New Roman" w:cs="Times New Roman"/>
          <w:color w:val="000000" w:themeColor="text1"/>
          <w:sz w:val="24"/>
          <w:szCs w:val="24"/>
        </w:rPr>
        <w:t>using the data of UK</w:t>
      </w:r>
      <w:r w:rsidRPr="000372E7">
        <w:rPr>
          <w:rFonts w:ascii="Times New Roman" w:eastAsiaTheme="minorEastAsia" w:hAnsi="Times New Roman" w:cs="Times New Roman"/>
          <w:color w:val="000000" w:themeColor="text1"/>
          <w:sz w:val="24"/>
          <w:szCs w:val="24"/>
          <w:lang w:eastAsia="zh-CN"/>
        </w:rPr>
        <w:t xml:space="preserve">, </w:t>
      </w:r>
      <w:r w:rsidRPr="000372E7">
        <w:rPr>
          <w:rFonts w:ascii="Times New Roman" w:hAnsi="Times New Roman" w:cs="Times New Roman"/>
          <w:color w:val="000000" w:themeColor="text1"/>
          <w:sz w:val="24"/>
          <w:szCs w:val="24"/>
        </w:rPr>
        <w:t>suggest</w:t>
      </w:r>
      <w:r w:rsidRPr="000372E7">
        <w:rPr>
          <w:rFonts w:ascii="Times New Roman" w:eastAsiaTheme="minorEastAsia" w:hAnsi="Times New Roman" w:cs="Times New Roman"/>
          <w:color w:val="000000" w:themeColor="text1"/>
          <w:sz w:val="24"/>
          <w:szCs w:val="24"/>
          <w:lang w:eastAsia="zh-CN"/>
        </w:rPr>
        <w:t xml:space="preserve">ing </w:t>
      </w:r>
      <w:r w:rsidRPr="000372E7">
        <w:rPr>
          <w:rFonts w:ascii="Times New Roman" w:hAnsi="Times New Roman" w:cs="Times New Roman"/>
          <w:color w:val="000000" w:themeColor="text1"/>
          <w:sz w:val="24"/>
          <w:szCs w:val="24"/>
        </w:rPr>
        <w:t xml:space="preserve">that a large block-holders ownership forms a low level of earnings management. Similarly, Klein (2002), </w:t>
      </w:r>
      <w:r w:rsidRPr="000372E7">
        <w:rPr>
          <w:rFonts w:ascii="TimesNewRomanPSMT" w:hAnsi="TimesNewRomanPSMT" w:cs="TimesNewRomanPSMT"/>
          <w:color w:val="000000" w:themeColor="text1"/>
          <w:sz w:val="24"/>
          <w:szCs w:val="24"/>
        </w:rPr>
        <w:t xml:space="preserve">Iturriaga and Hoffmann (2005) and </w:t>
      </w:r>
      <w:r w:rsidRPr="000372E7">
        <w:rPr>
          <w:rFonts w:ascii="Times New Roman" w:hAnsi="Times New Roman" w:cs="Times New Roman"/>
          <w:color w:val="000000" w:themeColor="text1"/>
          <w:sz w:val="24"/>
          <w:szCs w:val="24"/>
        </w:rPr>
        <w:t>Sh</w:t>
      </w:r>
      <w:r w:rsidR="005206FA">
        <w:rPr>
          <w:rFonts w:ascii="Times New Roman" w:hAnsi="Times New Roman" w:cs="Times New Roman"/>
          <w:color w:val="000000" w:themeColor="text1"/>
          <w:sz w:val="24"/>
          <w:szCs w:val="24"/>
        </w:rPr>
        <w:t>lei</w:t>
      </w:r>
      <w:r w:rsidRPr="000372E7">
        <w:rPr>
          <w:rFonts w:ascii="Times New Roman" w:hAnsi="Times New Roman" w:cs="Times New Roman"/>
          <w:color w:val="000000" w:themeColor="text1"/>
          <w:sz w:val="24"/>
          <w:szCs w:val="24"/>
        </w:rPr>
        <w:t xml:space="preserve">fer and Vishny (1986) also presented the same conclusions. Obviously, these studies took block-holding as an effective mechanism to monitor management and </w:t>
      </w:r>
      <w:r w:rsidRPr="000372E7">
        <w:rPr>
          <w:rFonts w:ascii="Times New Roman" w:eastAsiaTheme="minorEastAsia" w:hAnsi="Times New Roman" w:cs="Times New Roman"/>
          <w:color w:val="000000" w:themeColor="text1"/>
          <w:sz w:val="24"/>
          <w:szCs w:val="24"/>
          <w:lang w:eastAsia="zh-CN"/>
        </w:rPr>
        <w:t xml:space="preserve">to </w:t>
      </w:r>
      <w:r w:rsidRPr="000372E7">
        <w:rPr>
          <w:rFonts w:ascii="Times New Roman" w:hAnsi="Times New Roman" w:cs="Times New Roman"/>
          <w:color w:val="000000" w:themeColor="text1"/>
          <w:sz w:val="24"/>
          <w:szCs w:val="24"/>
        </w:rPr>
        <w:t>reduce the likelihood of discretionary behaviors. However, few studies stated an opposite view</w:t>
      </w:r>
      <w:r w:rsidRPr="000372E7">
        <w:rPr>
          <w:rFonts w:ascii="Times New Roman" w:eastAsiaTheme="minorEastAsia" w:hAnsi="Times New Roman" w:cs="Times New Roman"/>
          <w:color w:val="000000" w:themeColor="text1"/>
          <w:sz w:val="24"/>
          <w:szCs w:val="24"/>
          <w:lang w:eastAsia="zh-CN"/>
        </w:rPr>
        <w:t>s. For instance,</w:t>
      </w:r>
      <w:r w:rsidRPr="000372E7">
        <w:rPr>
          <w:rFonts w:ascii="Times New Roman" w:hAnsi="Times New Roman" w:cs="Times New Roman"/>
          <w:color w:val="000000" w:themeColor="text1"/>
          <w:sz w:val="24"/>
          <w:szCs w:val="24"/>
        </w:rPr>
        <w:t xml:space="preserve"> Zhong (2007) demonstrated a significantly positive relationship between block-holders ownership and discretionary accruals and stated </w:t>
      </w:r>
      <w:r w:rsidRPr="000372E7">
        <w:rPr>
          <w:rFonts w:ascii="Times New Roman" w:eastAsiaTheme="minorEastAsia" w:hAnsi="Times New Roman" w:cs="Times New Roman"/>
          <w:color w:val="000000" w:themeColor="text1"/>
          <w:sz w:val="24"/>
          <w:szCs w:val="24"/>
          <w:lang w:eastAsia="zh-CN"/>
        </w:rPr>
        <w:t xml:space="preserve">that </w:t>
      </w:r>
      <w:r w:rsidRPr="000372E7">
        <w:rPr>
          <w:rFonts w:ascii="Times New Roman" w:hAnsi="Times New Roman" w:cs="Times New Roman"/>
          <w:color w:val="000000" w:themeColor="text1"/>
          <w:sz w:val="24"/>
          <w:szCs w:val="24"/>
        </w:rPr>
        <w:t>block-holders are ineffective</w:t>
      </w:r>
      <w:r w:rsidRPr="000372E7">
        <w:rPr>
          <w:rFonts w:ascii="Times New Roman" w:eastAsiaTheme="minorEastAsia" w:hAnsi="Times New Roman" w:cs="Times New Roman"/>
          <w:color w:val="000000" w:themeColor="text1"/>
          <w:sz w:val="24"/>
          <w:szCs w:val="24"/>
          <w:lang w:eastAsia="zh-CN"/>
        </w:rPr>
        <w:t xml:space="preserve"> in </w:t>
      </w:r>
      <w:r w:rsidRPr="000372E7">
        <w:rPr>
          <w:rFonts w:ascii="Times New Roman" w:hAnsi="Times New Roman" w:cs="Times New Roman"/>
          <w:color w:val="000000" w:themeColor="text1"/>
          <w:sz w:val="24"/>
          <w:szCs w:val="24"/>
        </w:rPr>
        <w:t xml:space="preserve">monitoring discretionary behaviors. Although the above arguments are contradictory, it is expected that the relationship between block-holding and earnings management </w:t>
      </w:r>
      <w:r w:rsidRPr="000372E7">
        <w:rPr>
          <w:rFonts w:ascii="Times New Roman" w:eastAsiaTheme="minorEastAsia" w:hAnsi="Times New Roman" w:cs="Times New Roman"/>
          <w:color w:val="000000" w:themeColor="text1"/>
          <w:sz w:val="24"/>
          <w:szCs w:val="24"/>
          <w:lang w:eastAsia="zh-CN"/>
        </w:rPr>
        <w:t xml:space="preserve">is </w:t>
      </w:r>
      <w:r w:rsidRPr="000372E7">
        <w:rPr>
          <w:rFonts w:ascii="Times New Roman" w:hAnsi="Times New Roman" w:cs="Times New Roman"/>
          <w:color w:val="000000" w:themeColor="text1"/>
          <w:sz w:val="24"/>
          <w:szCs w:val="24"/>
        </w:rPr>
        <w:t xml:space="preserve">negative. On the other hand, the method of </w:t>
      </w:r>
      <w:r w:rsidRPr="000372E7">
        <w:rPr>
          <w:rFonts w:ascii="Times New Roman" w:hAnsi="Times New Roman" w:cs="Times New Roman"/>
          <w:color w:val="000000" w:themeColor="text1"/>
          <w:sz w:val="24"/>
          <w:szCs w:val="24"/>
        </w:rPr>
        <w:lastRenderedPageBreak/>
        <w:t>measuring block-holders ownership (</w:t>
      </w:r>
      <m:oMath>
        <m:sSub>
          <m:sSubPr>
            <m:ctrlPr>
              <w:rPr>
                <w:rFonts w:ascii="Cambria Math" w:hAnsi="Cambria Math" w:cs="Times New Roman"/>
                <w:i/>
                <w:sz w:val="24"/>
                <w:szCs w:val="24"/>
              </w:rPr>
            </m:ctrlPr>
          </m:sSubPr>
          <m:e>
            <m:r>
              <w:rPr>
                <w:rFonts w:ascii="Cambria Math" w:hAnsi="Cambria Math" w:cs="Times New Roman"/>
                <w:sz w:val="24"/>
                <w:szCs w:val="24"/>
              </w:rPr>
              <m:t>Block-holder</m:t>
            </m:r>
          </m:e>
          <m:sub>
            <m:r>
              <w:rPr>
                <w:rFonts w:ascii="Cambria Math" w:hAnsi="Cambria Math" w:cs="Times New Roman"/>
                <w:sz w:val="24"/>
                <w:szCs w:val="24"/>
              </w:rPr>
              <m:t>i,t</m:t>
            </m:r>
          </m:sub>
        </m:sSub>
      </m:oMath>
      <w:r w:rsidRPr="000372E7">
        <w:rPr>
          <w:rFonts w:ascii="Times New Roman" w:hAnsi="Times New Roman" w:cs="Times New Roman"/>
          <w:color w:val="000000" w:themeColor="text1"/>
          <w:sz w:val="24"/>
          <w:szCs w:val="24"/>
        </w:rPr>
        <w:t xml:space="preserve">) is followed by </w:t>
      </w:r>
      <w:r w:rsidR="00EF1EDC" w:rsidRPr="000372E7">
        <w:rPr>
          <w:rFonts w:ascii="Times New Roman" w:hAnsi="Times New Roman" w:cs="Times New Roman"/>
          <w:color w:val="000000" w:themeColor="text1"/>
          <w:sz w:val="24"/>
          <w:szCs w:val="24"/>
        </w:rPr>
        <w:fldChar w:fldCharType="begin" w:fldLock="1"/>
      </w:r>
      <w:r w:rsidRPr="000372E7">
        <w:rPr>
          <w:rFonts w:ascii="Times New Roman" w:hAnsi="Times New Roman" w:cs="Times New Roman"/>
          <w:color w:val="000000" w:themeColor="text1"/>
          <w:sz w:val="24"/>
          <w:szCs w:val="24"/>
        </w:rPr>
        <w:instrText>ADDIN CSL_CITATION { "citationItems" : [ { "id" : "ITEM-1", "itemData" : { "author" : [ { "dropping-particle" : "", "family" : "Yang", "given" : "Chi-yih", "non-dropping-particle" : "", "parse-names" : false, "suffix" : "" }, { "dropping-particle" : "", "family" : "Lai", "given" : "Hung-neng", "non-dropping-particle" : "", "parse-names" : false, "suffix" : "" }, { "dropping-particle" : "", "family" : "Tan", "given" : "Boon Leing", "non-dropping-particle" : "", "parse-names" : false, "suffix" : "" } ], "container-title" : "Journal of Financial Reporting and Accounting", "id" : "ITEM-1", "issue" : "1", "issued" : { "date-parts" : [ [ "2008" ] ] }, "page" : "35-53", "title" : "Managerial Ownership Structure and Earnings Management", "type" : "article-journal", "volume" : "6" }, "uris" : [ "http://www.mendeley.com/documents/?uuid=57f476ee-d4ab-4638-819f-ed43f98c0f6c" ] } ], "mendeley" : { "manualFormatting" : "Yang et al. (2008)", "previouslyFormattedCitation" : "(Yang, Lai, &amp; Tan, 2008)" }, "properties" : { "noteIndex" : 0 }, "schema" : "https://github.com/citation-style-language/schema/raw/master/csl-citation.json" }</w:instrText>
      </w:r>
      <w:r w:rsidR="00EF1EDC" w:rsidRPr="000372E7">
        <w:rPr>
          <w:rFonts w:ascii="Times New Roman" w:hAnsi="Times New Roman" w:cs="Times New Roman"/>
          <w:color w:val="000000" w:themeColor="text1"/>
          <w:sz w:val="24"/>
          <w:szCs w:val="24"/>
        </w:rPr>
        <w:fldChar w:fldCharType="separate"/>
      </w:r>
      <w:r w:rsidRPr="000372E7">
        <w:rPr>
          <w:rFonts w:ascii="Times New Roman" w:hAnsi="Times New Roman" w:cs="Times New Roman"/>
          <w:noProof/>
          <w:color w:val="000000" w:themeColor="text1"/>
          <w:sz w:val="24"/>
          <w:szCs w:val="24"/>
        </w:rPr>
        <w:t xml:space="preserve">Yang </w:t>
      </w:r>
      <w:r w:rsidRPr="000372E7">
        <w:rPr>
          <w:rFonts w:ascii="Times New Roman" w:hAnsi="Times New Roman" w:cs="Times New Roman"/>
          <w:i/>
          <w:noProof/>
          <w:color w:val="000000" w:themeColor="text1"/>
          <w:sz w:val="24"/>
          <w:szCs w:val="24"/>
        </w:rPr>
        <w:t xml:space="preserve">et al. </w:t>
      </w:r>
      <w:r w:rsidRPr="000372E7">
        <w:rPr>
          <w:rFonts w:ascii="Times New Roman" w:hAnsi="Times New Roman" w:cs="Times New Roman"/>
          <w:noProof/>
          <w:color w:val="000000" w:themeColor="text1"/>
          <w:sz w:val="24"/>
          <w:szCs w:val="24"/>
        </w:rPr>
        <w:t>(2008)</w:t>
      </w:r>
      <w:r w:rsidR="00EF1EDC" w:rsidRPr="000372E7">
        <w:rPr>
          <w:rFonts w:ascii="Times New Roman" w:hAnsi="Times New Roman" w:cs="Times New Roman"/>
          <w:color w:val="000000" w:themeColor="text1"/>
          <w:sz w:val="24"/>
          <w:szCs w:val="24"/>
        </w:rPr>
        <w:fldChar w:fldCharType="end"/>
      </w:r>
      <w:r w:rsidRPr="000372E7">
        <w:rPr>
          <w:rFonts w:ascii="Times New Roman" w:hAnsi="Times New Roman" w:cs="Times New Roman"/>
          <w:color w:val="000000" w:themeColor="text1"/>
          <w:sz w:val="24"/>
          <w:szCs w:val="24"/>
          <w:lang w:eastAsia="zh-CN"/>
        </w:rPr>
        <w:t xml:space="preserve"> </w:t>
      </w:r>
      <w:r w:rsidRPr="000372E7">
        <w:rPr>
          <w:rFonts w:ascii="Times New Roman" w:hAnsi="Times New Roman" w:cs="Times New Roman"/>
          <w:color w:val="000000" w:themeColor="text1"/>
          <w:sz w:val="24"/>
          <w:szCs w:val="24"/>
        </w:rPr>
        <w:t>who use percentages of outstanding shares held by any 5% or greater shareholders to estimate block-holder</w:t>
      </w:r>
      <w:r w:rsidR="00105868">
        <w:rPr>
          <w:rFonts w:ascii="Times New Roman" w:hAnsi="Times New Roman" w:cs="Times New Roman"/>
          <w:color w:val="000000" w:themeColor="text1"/>
          <w:sz w:val="24"/>
          <w:szCs w:val="24"/>
        </w:rPr>
        <w:t>s</w:t>
      </w:r>
      <w:r w:rsidRPr="000372E7">
        <w:rPr>
          <w:rFonts w:ascii="Times New Roman" w:hAnsi="Times New Roman" w:cs="Times New Roman"/>
          <w:color w:val="000000" w:themeColor="text1"/>
          <w:sz w:val="24"/>
          <w:szCs w:val="24"/>
        </w:rPr>
        <w:t xml:space="preserve"> ownership. The summar</w:t>
      </w:r>
      <w:r w:rsidRPr="000372E7">
        <w:rPr>
          <w:rFonts w:ascii="Times New Roman" w:hAnsi="Times New Roman" w:cs="Times New Roman"/>
          <w:color w:val="000000" w:themeColor="text1"/>
          <w:sz w:val="24"/>
          <w:szCs w:val="24"/>
          <w:lang w:eastAsia="zh-CN"/>
        </w:rPr>
        <w:t>y</w:t>
      </w:r>
      <w:r w:rsidRPr="000372E7">
        <w:rPr>
          <w:rFonts w:ascii="Times New Roman" w:hAnsi="Times New Roman" w:cs="Times New Roman"/>
          <w:color w:val="000000" w:themeColor="text1"/>
          <w:sz w:val="24"/>
          <w:szCs w:val="24"/>
        </w:rPr>
        <w:t xml:space="preserve"> of all independent variables will be presented in </w:t>
      </w:r>
      <w:r w:rsidR="00DE0BDE">
        <w:rPr>
          <w:rFonts w:ascii="Times New Roman" w:hAnsi="Times New Roman" w:cs="Times New Roman"/>
          <w:color w:val="000000" w:themeColor="text1"/>
          <w:sz w:val="24"/>
          <w:szCs w:val="24"/>
        </w:rPr>
        <w:t>T</w:t>
      </w:r>
      <w:r w:rsidRPr="000372E7">
        <w:rPr>
          <w:rFonts w:ascii="Times New Roman" w:hAnsi="Times New Roman" w:cs="Times New Roman"/>
          <w:color w:val="000000" w:themeColor="text1"/>
          <w:sz w:val="24"/>
          <w:szCs w:val="24"/>
        </w:rPr>
        <w:t>able 5.1.</w:t>
      </w:r>
    </w:p>
    <w:p w:rsidR="00E02AB1" w:rsidRPr="00710415" w:rsidRDefault="00E02AB1" w:rsidP="00252752">
      <w:pPr>
        <w:pStyle w:val="Heading3"/>
      </w:pPr>
      <w:bookmarkStart w:id="38" w:name="_Toc400916060"/>
      <w:r w:rsidRPr="00710415">
        <w:t>Research regression model</w:t>
      </w:r>
      <w:bookmarkEnd w:id="38"/>
      <w:r w:rsidRPr="00710415">
        <w:t xml:space="preserve"> </w:t>
      </w:r>
    </w:p>
    <w:p w:rsidR="00E02AB1" w:rsidRDefault="00E02AB1" w:rsidP="00E02AB1">
      <w:pPr>
        <w:rPr>
          <w:rFonts w:cs="Times New Roman"/>
          <w:sz w:val="28"/>
          <w:szCs w:val="28"/>
        </w:rPr>
      </w:pPr>
      <w:r>
        <w:rPr>
          <w:rFonts w:cs="Times New Roman"/>
          <w:szCs w:val="24"/>
          <w:lang w:val="en-GB"/>
        </w:rPr>
        <w:t xml:space="preserve">The first </w:t>
      </w:r>
      <w:r>
        <w:rPr>
          <w:rFonts w:cs="Times New Roman"/>
          <w:szCs w:val="24"/>
        </w:rPr>
        <w:t>multivariate regression model is adopted to investigate corporate governance and earnings management based on China dataset. The model presents as follow:</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885"/>
        <w:gridCol w:w="638"/>
      </w:tblGrid>
      <w:tr w:rsidR="00E02AB1" w:rsidTr="00E02AB1">
        <w:trPr>
          <w:trHeight w:val="648"/>
        </w:trPr>
        <w:tc>
          <w:tcPr>
            <w:tcW w:w="4702" w:type="pct"/>
            <w:vAlign w:val="center"/>
            <w:hideMark/>
          </w:tcPr>
          <w:p w:rsidR="00E02AB1" w:rsidRDefault="00EF1EDC">
            <w:pPr>
              <w:spacing w:before="100" w:beforeAutospacing="1" w:after="100" w:afterAutospacing="1"/>
              <w:jc w:val="center"/>
              <w:rPr>
                <w:rFonts w:asciiTheme="majorHAnsi" w:hAnsiTheme="majorHAnsi" w:cs="Times New Roman"/>
                <w:szCs w:val="24"/>
                <w:lang w:val="en-GB" w:eastAsia="en-US"/>
              </w:rPr>
            </w:pPr>
            <m:oMathPara>
              <m:oMath>
                <m:sSub>
                  <m:sSubPr>
                    <m:ctrlPr>
                      <w:rPr>
                        <w:rFonts w:ascii="Cambria Math" w:hAnsi="Cambria Math" w:cs="Times New Roman"/>
                        <w:szCs w:val="24"/>
                        <w:lang w:eastAsia="en-US"/>
                      </w:rPr>
                    </m:ctrlPr>
                  </m:sSubPr>
                  <m:e>
                    <m:r>
                      <w:rPr>
                        <w:rFonts w:ascii="Cambria Math" w:hAnsi="Cambria Math" w:cs="Times New Roman"/>
                        <w:szCs w:val="24"/>
                      </w:rPr>
                      <m:t>DA</m:t>
                    </m:r>
                  </m:e>
                  <m:sub>
                    <m:r>
                      <w:rPr>
                        <w:rFonts w:ascii="Cambria Math" w:hAnsi="Cambria Math" w:cs="Times New Roman"/>
                        <w:szCs w:val="24"/>
                      </w:rPr>
                      <m:t>i,t</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β</m:t>
                    </m:r>
                  </m:e>
                  <m:sub>
                    <m:r>
                      <w:rPr>
                        <w:rFonts w:ascii="Cambria Math" w:hAnsi="Cambria Math" w:cs="Times New Roman"/>
                        <w:szCs w:val="24"/>
                      </w:rPr>
                      <m:t>0</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β</m:t>
                    </m:r>
                  </m:e>
                  <m:sub>
                    <m:r>
                      <w:rPr>
                        <w:rFonts w:ascii="Cambria Math" w:hAnsi="Cambria Math" w:cs="Times New Roman"/>
                        <w:szCs w:val="24"/>
                      </w:rPr>
                      <m:t>1</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BS</m:t>
                    </m:r>
                  </m:e>
                  <m:sub>
                    <m:r>
                      <w:rPr>
                        <w:rFonts w:ascii="Cambria Math" w:hAnsi="Cambria Math" w:cs="Times New Roman"/>
                        <w:szCs w:val="24"/>
                      </w:rPr>
                      <m:t>i,t</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β</m:t>
                    </m:r>
                  </m:e>
                  <m:sub>
                    <m:r>
                      <w:rPr>
                        <w:rFonts w:ascii="Cambria Math" w:hAnsi="Cambria Math" w:cs="Times New Roman"/>
                        <w:szCs w:val="24"/>
                      </w:rPr>
                      <m:t>2</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BI</m:t>
                    </m:r>
                  </m:e>
                  <m:sub>
                    <m:r>
                      <w:rPr>
                        <w:rFonts w:ascii="Cambria Math" w:hAnsi="Cambria Math" w:cs="Times New Roman"/>
                        <w:szCs w:val="24"/>
                      </w:rPr>
                      <m:t>i,t</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β</m:t>
                    </m:r>
                  </m:e>
                  <m:sub>
                    <m:r>
                      <w:rPr>
                        <w:rFonts w:ascii="Cambria Math" w:hAnsi="Cambria Math" w:cs="Times New Roman"/>
                        <w:szCs w:val="24"/>
                      </w:rPr>
                      <m:t>3</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CEO-dummy</m:t>
                    </m:r>
                  </m:e>
                  <m:sub>
                    <m:r>
                      <w:rPr>
                        <w:rFonts w:ascii="Cambria Math" w:hAnsi="Cambria Math" w:cs="Times New Roman"/>
                        <w:szCs w:val="24"/>
                      </w:rPr>
                      <m:t>i,t</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β</m:t>
                    </m:r>
                  </m:e>
                  <m:sub>
                    <m:r>
                      <w:rPr>
                        <w:rFonts w:ascii="Cambria Math" w:hAnsi="Cambria Math" w:cs="Times New Roman"/>
                        <w:szCs w:val="24"/>
                      </w:rPr>
                      <m:t>4</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SBS</m:t>
                    </m:r>
                  </m:e>
                  <m:sub>
                    <m:r>
                      <w:rPr>
                        <w:rFonts w:ascii="Cambria Math" w:hAnsi="Cambria Math" w:cs="Times New Roman"/>
                        <w:szCs w:val="24"/>
                      </w:rPr>
                      <m:t>i,t</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β</m:t>
                    </m:r>
                  </m:e>
                  <m:sub>
                    <m:r>
                      <w:rPr>
                        <w:rFonts w:ascii="Cambria Math" w:hAnsi="Cambria Math" w:cs="Times New Roman"/>
                        <w:szCs w:val="24"/>
                      </w:rPr>
                      <m:t>5</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Insider</m:t>
                    </m:r>
                  </m:e>
                  <m:sub>
                    <m:r>
                      <w:rPr>
                        <w:rFonts w:ascii="Cambria Math" w:hAnsi="Cambria Math" w:cs="Times New Roman"/>
                        <w:szCs w:val="24"/>
                      </w:rPr>
                      <m:t>i,t</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β</m:t>
                    </m:r>
                  </m:e>
                  <m:sub>
                    <m:r>
                      <w:rPr>
                        <w:rFonts w:ascii="Cambria Math" w:hAnsi="Cambria Math" w:cs="Times New Roman"/>
                        <w:szCs w:val="24"/>
                      </w:rPr>
                      <m:t>6</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Block-holder</m:t>
                    </m:r>
                  </m:e>
                  <m:sub>
                    <m:r>
                      <w:rPr>
                        <w:rFonts w:ascii="Cambria Math" w:hAnsi="Cambria Math" w:cs="Times New Roman"/>
                        <w:szCs w:val="24"/>
                      </w:rPr>
                      <m:t>i,t</m:t>
                    </m:r>
                  </m:sub>
                </m:sSub>
                <m:r>
                  <w:rPr>
                    <w:rFonts w:ascii="Cambria Math" w:hAnsi="Cambria Math" w:cs="Times New Roman"/>
                    <w:szCs w:val="24"/>
                  </w:rPr>
                  <m:t>+</m:t>
                </m:r>
                <m:sSub>
                  <m:sSubPr>
                    <m:ctrlPr>
                      <w:rPr>
                        <w:rFonts w:ascii="Cambria Math" w:eastAsiaTheme="minorHAnsi" w:hAnsi="Cambria Math" w:cs="Times New Roman"/>
                        <w:i/>
                        <w:szCs w:val="24"/>
                        <w:lang w:eastAsia="en-US"/>
                      </w:rPr>
                    </m:ctrlPr>
                  </m:sSubPr>
                  <m:e>
                    <m:r>
                      <w:rPr>
                        <w:rFonts w:ascii="Cambria Math" w:hAnsi="Cambria Math" w:cs="Times New Roman"/>
                        <w:szCs w:val="24"/>
                      </w:rPr>
                      <m:t>β</m:t>
                    </m:r>
                  </m:e>
                  <m:sub>
                    <m:r>
                      <w:rPr>
                        <w:rFonts w:ascii="Cambria Math" w:hAnsi="Cambria Math" w:cs="Times New Roman"/>
                        <w:szCs w:val="24"/>
                      </w:rPr>
                      <m:t>7</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FS</m:t>
                    </m:r>
                  </m:e>
                  <m:sub>
                    <m:r>
                      <w:rPr>
                        <w:rFonts w:ascii="Cambria Math" w:hAnsi="Cambria Math" w:cs="Times New Roman"/>
                        <w:szCs w:val="24"/>
                      </w:rPr>
                      <m:t>i,t</m:t>
                    </m:r>
                  </m:sub>
                </m:sSub>
                <m:r>
                  <w:rPr>
                    <w:rFonts w:ascii="Cambria Math" w:hAnsi="Cambria Math" w:cs="Times New Roman"/>
                    <w:szCs w:val="24"/>
                  </w:rPr>
                  <m:t>+</m:t>
                </m:r>
                <m:sSub>
                  <m:sSubPr>
                    <m:ctrlPr>
                      <w:rPr>
                        <w:rFonts w:ascii="Cambria Math" w:eastAsiaTheme="minorHAnsi" w:hAnsi="Cambria Math" w:cs="Times New Roman"/>
                        <w:i/>
                        <w:szCs w:val="24"/>
                        <w:lang w:eastAsia="en-US"/>
                      </w:rPr>
                    </m:ctrlPr>
                  </m:sSubPr>
                  <m:e>
                    <m:r>
                      <w:rPr>
                        <w:rFonts w:ascii="Cambria Math" w:hAnsi="Cambria Math" w:cs="Times New Roman"/>
                        <w:szCs w:val="24"/>
                      </w:rPr>
                      <m:t>β</m:t>
                    </m:r>
                  </m:e>
                  <m:sub>
                    <m:r>
                      <w:rPr>
                        <w:rFonts w:ascii="Cambria Math" w:hAnsi="Cambria Math" w:cs="Times New Roman"/>
                        <w:szCs w:val="24"/>
                      </w:rPr>
                      <m:t>8</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ROE</m:t>
                    </m:r>
                  </m:e>
                  <m:sub>
                    <m:r>
                      <w:rPr>
                        <w:rFonts w:ascii="Cambria Math" w:hAnsi="Cambria Math" w:cs="Times New Roman"/>
                        <w:szCs w:val="24"/>
                      </w:rPr>
                      <m:t>i,t</m:t>
                    </m:r>
                  </m:sub>
                </m:sSub>
                <m:r>
                  <w:rPr>
                    <w:rFonts w:ascii="Cambria Math" w:hAnsi="Cambria Math" w:cs="Times New Roman"/>
                    <w:szCs w:val="24"/>
                  </w:rPr>
                  <m:t>+</m:t>
                </m:r>
                <m:sSub>
                  <m:sSubPr>
                    <m:ctrlPr>
                      <w:rPr>
                        <w:rFonts w:ascii="Cambria Math" w:eastAsiaTheme="minorHAnsi" w:hAnsi="Cambria Math" w:cs="Times New Roman"/>
                        <w:i/>
                        <w:szCs w:val="24"/>
                        <w:lang w:eastAsia="en-US"/>
                      </w:rPr>
                    </m:ctrlPr>
                  </m:sSubPr>
                  <m:e>
                    <m:r>
                      <w:rPr>
                        <w:rFonts w:ascii="Cambria Math" w:hAnsi="Cambria Math" w:cs="Times New Roman"/>
                        <w:szCs w:val="24"/>
                      </w:rPr>
                      <m:t>β</m:t>
                    </m:r>
                  </m:e>
                  <m:sub>
                    <m:r>
                      <w:rPr>
                        <w:rFonts w:ascii="Cambria Math" w:hAnsi="Cambria Math" w:cs="Times New Roman"/>
                        <w:szCs w:val="24"/>
                      </w:rPr>
                      <m:t>9</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Leverage</m:t>
                    </m:r>
                  </m:e>
                  <m:sub>
                    <m:r>
                      <w:rPr>
                        <w:rFonts w:ascii="Cambria Math" w:hAnsi="Cambria Math" w:cs="Times New Roman"/>
                        <w:szCs w:val="24"/>
                      </w:rPr>
                      <m:t>i,t</m:t>
                    </m:r>
                  </m:sub>
                </m:sSub>
                <m:r>
                  <w:rPr>
                    <w:rFonts w:ascii="Cambria Math" w:hAnsi="Cambria Math" w:cs="Times New Roman"/>
                    <w:szCs w:val="24"/>
                  </w:rPr>
                  <m:t>+</m:t>
                </m:r>
                <m:sSub>
                  <m:sSubPr>
                    <m:ctrlPr>
                      <w:rPr>
                        <w:rFonts w:ascii="Cambria Math" w:eastAsiaTheme="minorHAnsi" w:hAnsi="Cambria Math" w:cs="Times New Roman"/>
                        <w:i/>
                        <w:szCs w:val="24"/>
                        <w:lang w:eastAsia="en-US"/>
                      </w:rPr>
                    </m:ctrlPr>
                  </m:sSubPr>
                  <m:e>
                    <m:r>
                      <w:rPr>
                        <w:rFonts w:ascii="Cambria Math" w:hAnsi="Cambria Math" w:cs="Times New Roman"/>
                        <w:szCs w:val="24"/>
                      </w:rPr>
                      <m:t>ε</m:t>
                    </m:r>
                  </m:e>
                  <m:sub>
                    <m:r>
                      <w:rPr>
                        <w:rFonts w:ascii="Cambria Math" w:hAnsi="Cambria Math" w:cs="Times New Roman"/>
                        <w:szCs w:val="24"/>
                      </w:rPr>
                      <m:t>t</m:t>
                    </m:r>
                  </m:sub>
                </m:sSub>
              </m:oMath>
            </m:oMathPara>
          </w:p>
        </w:tc>
        <w:tc>
          <w:tcPr>
            <w:tcW w:w="298" w:type="pct"/>
            <w:vAlign w:val="center"/>
            <w:hideMark/>
          </w:tcPr>
          <w:p w:rsidR="00E02AB1" w:rsidRDefault="00E02AB1">
            <w:pPr>
              <w:spacing w:before="100" w:beforeAutospacing="1" w:after="100" w:afterAutospacing="1"/>
              <w:jc w:val="right"/>
              <w:rPr>
                <w:rFonts w:cs="Times New Roman"/>
                <w:szCs w:val="20"/>
                <w:lang w:val="en-GB" w:eastAsia="en-US"/>
              </w:rPr>
            </w:pPr>
            <w:r>
              <w:rPr>
                <w:rFonts w:cs="Times New Roman"/>
                <w:szCs w:val="20"/>
                <w:lang w:val="en-GB"/>
              </w:rPr>
              <w:t>(5.5)</w:t>
            </w:r>
          </w:p>
        </w:tc>
      </w:tr>
    </w:tbl>
    <w:p w:rsidR="00E02AB1" w:rsidRDefault="00E02AB1" w:rsidP="00E02AB1">
      <w:pPr>
        <w:rPr>
          <w:rFonts w:cs="Times New Roman"/>
          <w:szCs w:val="24"/>
          <w:lang w:eastAsia="en-US"/>
        </w:rPr>
      </w:pPr>
      <w:r>
        <w:rPr>
          <w:rFonts w:cs="Times New Roman"/>
          <w:szCs w:val="24"/>
        </w:rPr>
        <w:t>Where:</w:t>
      </w:r>
    </w:p>
    <w:tbl>
      <w:tblPr>
        <w:tblStyle w:val="TableGrid"/>
        <w:tblW w:w="9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025"/>
        <w:gridCol w:w="375"/>
        <w:gridCol w:w="7207"/>
      </w:tblGrid>
      <w:tr w:rsidR="00E02AB1" w:rsidTr="00E02AB1">
        <w:trPr>
          <w:trHeight w:val="438"/>
        </w:trPr>
        <w:tc>
          <w:tcPr>
            <w:tcW w:w="0" w:type="auto"/>
            <w:vAlign w:val="center"/>
            <w:hideMark/>
          </w:tcPr>
          <w:p w:rsidR="00E02AB1" w:rsidRDefault="00EF1EDC">
            <w:pPr>
              <w:spacing w:after="0"/>
              <w:rPr>
                <w:rFonts w:cs="Times New Roman"/>
                <w:szCs w:val="24"/>
                <w:lang w:eastAsia="en-US"/>
              </w:rPr>
            </w:pPr>
            <m:oMathPara>
              <m:oMath>
                <m:sSub>
                  <m:sSubPr>
                    <m:ctrlPr>
                      <w:rPr>
                        <w:rFonts w:ascii="Cambria Math" w:hAnsi="Cambria Math" w:cs="Times New Roman"/>
                        <w:szCs w:val="24"/>
                        <w:lang w:eastAsia="en-US"/>
                      </w:rPr>
                    </m:ctrlPr>
                  </m:sSubPr>
                  <m:e>
                    <m:r>
                      <w:rPr>
                        <w:rFonts w:ascii="Cambria Math" w:hAnsi="Cambria Math" w:cs="Times New Roman"/>
                        <w:szCs w:val="24"/>
                      </w:rPr>
                      <m:t>DA</m:t>
                    </m:r>
                  </m:e>
                  <m:sub>
                    <m:r>
                      <w:rPr>
                        <w:rFonts w:ascii="Cambria Math" w:hAnsi="Cambria Math" w:cs="Times New Roman"/>
                        <w:szCs w:val="24"/>
                      </w:rPr>
                      <m:t>i,t</m:t>
                    </m:r>
                  </m:sub>
                </m:sSub>
              </m:oMath>
            </m:oMathPara>
          </w:p>
        </w:tc>
        <w:tc>
          <w:tcPr>
            <w:tcW w:w="0" w:type="auto"/>
            <w:hideMark/>
          </w:tcPr>
          <w:p w:rsidR="00E02AB1" w:rsidRDefault="00E02AB1">
            <w:pPr>
              <w:spacing w:after="0"/>
              <w:rPr>
                <w:rFonts w:cs="Times New Roman"/>
                <w:szCs w:val="24"/>
                <w:lang w:eastAsia="en-US"/>
              </w:rPr>
            </w:pPr>
            <w:r>
              <w:rPr>
                <w:rFonts w:cs="Times New Roman"/>
                <w:szCs w:val="24"/>
              </w:rPr>
              <w:t>=</w:t>
            </w:r>
          </w:p>
        </w:tc>
        <w:tc>
          <w:tcPr>
            <w:tcW w:w="0" w:type="auto"/>
            <w:hideMark/>
          </w:tcPr>
          <w:p w:rsidR="00E02AB1" w:rsidRDefault="00E02AB1">
            <w:pPr>
              <w:spacing w:after="0"/>
              <w:rPr>
                <w:rFonts w:cs="Times New Roman"/>
                <w:szCs w:val="24"/>
              </w:rPr>
            </w:pPr>
            <w:r>
              <w:rPr>
                <w:rFonts w:cs="Times New Roman"/>
                <w:szCs w:val="24"/>
              </w:rPr>
              <w:t xml:space="preserve">the absolute value of discretionary accruals </w:t>
            </w:r>
            <w:r w:rsidRPr="000372E7">
              <w:rPr>
                <w:rFonts w:cs="Times New Roman"/>
                <w:szCs w:val="24"/>
              </w:rPr>
              <w:t>scaled by lagged total assets</w:t>
            </w:r>
          </w:p>
        </w:tc>
      </w:tr>
      <w:tr w:rsidR="00E02AB1" w:rsidTr="00E02AB1">
        <w:trPr>
          <w:trHeight w:val="435"/>
        </w:trPr>
        <w:tc>
          <w:tcPr>
            <w:tcW w:w="0" w:type="auto"/>
            <w:vAlign w:val="center"/>
            <w:hideMark/>
          </w:tcPr>
          <w:p w:rsidR="00E02AB1" w:rsidRDefault="00EF1EDC">
            <w:pPr>
              <w:spacing w:after="0"/>
              <w:rPr>
                <w:rFonts w:cs="Times New Roman"/>
                <w:szCs w:val="24"/>
                <w:lang w:eastAsia="en-US"/>
              </w:rPr>
            </w:pPr>
            <m:oMathPara>
              <m:oMath>
                <m:sSub>
                  <m:sSubPr>
                    <m:ctrlPr>
                      <w:rPr>
                        <w:rFonts w:ascii="Cambria Math" w:hAnsi="Cambria Math" w:cs="Times New Roman"/>
                        <w:i/>
                        <w:szCs w:val="24"/>
                        <w:lang w:eastAsia="en-US"/>
                      </w:rPr>
                    </m:ctrlPr>
                  </m:sSubPr>
                  <m:e>
                    <m:r>
                      <w:rPr>
                        <w:rFonts w:ascii="Cambria Math" w:hAnsi="Cambria Math" w:cs="Times New Roman"/>
                        <w:szCs w:val="24"/>
                      </w:rPr>
                      <m:t>BS</m:t>
                    </m:r>
                  </m:e>
                  <m:sub>
                    <m:r>
                      <w:rPr>
                        <w:rFonts w:ascii="Cambria Math" w:hAnsi="Cambria Math" w:cs="Times New Roman"/>
                        <w:szCs w:val="24"/>
                      </w:rPr>
                      <m:t>i,t</m:t>
                    </m:r>
                  </m:sub>
                </m:sSub>
              </m:oMath>
            </m:oMathPara>
          </w:p>
        </w:tc>
        <w:tc>
          <w:tcPr>
            <w:tcW w:w="0" w:type="auto"/>
            <w:hideMark/>
          </w:tcPr>
          <w:p w:rsidR="00E02AB1" w:rsidRDefault="00E02AB1">
            <w:pPr>
              <w:spacing w:after="0"/>
              <w:rPr>
                <w:rFonts w:cs="Times New Roman"/>
                <w:szCs w:val="24"/>
                <w:lang w:eastAsia="en-US"/>
              </w:rPr>
            </w:pPr>
            <w:r>
              <w:rPr>
                <w:rFonts w:cs="Times New Roman"/>
                <w:szCs w:val="24"/>
              </w:rPr>
              <w:t>=</w:t>
            </w:r>
          </w:p>
        </w:tc>
        <w:tc>
          <w:tcPr>
            <w:tcW w:w="0" w:type="auto"/>
            <w:hideMark/>
          </w:tcPr>
          <w:p w:rsidR="00E02AB1" w:rsidRDefault="00E02AB1">
            <w:pPr>
              <w:spacing w:after="0"/>
              <w:rPr>
                <w:rFonts w:cs="Times New Roman"/>
                <w:szCs w:val="24"/>
              </w:rPr>
            </w:pPr>
            <w:r>
              <w:rPr>
                <w:rFonts w:cs="Times New Roman"/>
                <w:szCs w:val="24"/>
              </w:rPr>
              <w:t>the number of board members (</w:t>
            </w:r>
            <w:r w:rsidRPr="000372E7">
              <w:rPr>
                <w:rFonts w:cs="Times New Roman"/>
                <w:szCs w:val="24"/>
              </w:rPr>
              <w:t>supervisory board member is excluded)</w:t>
            </w:r>
          </w:p>
        </w:tc>
      </w:tr>
      <w:tr w:rsidR="00E02AB1" w:rsidTr="00E02AB1">
        <w:trPr>
          <w:trHeight w:val="438"/>
        </w:trPr>
        <w:tc>
          <w:tcPr>
            <w:tcW w:w="0" w:type="auto"/>
            <w:vAlign w:val="center"/>
            <w:hideMark/>
          </w:tcPr>
          <w:p w:rsidR="00E02AB1" w:rsidRDefault="00EF1EDC">
            <w:pPr>
              <w:spacing w:after="0"/>
              <w:rPr>
                <w:rFonts w:cs="Times New Roman"/>
                <w:szCs w:val="24"/>
                <w:lang w:eastAsia="en-US"/>
              </w:rPr>
            </w:pPr>
            <m:oMathPara>
              <m:oMath>
                <m:sSub>
                  <m:sSubPr>
                    <m:ctrlPr>
                      <w:rPr>
                        <w:rFonts w:ascii="Cambria Math" w:hAnsi="Cambria Math" w:cs="Times New Roman"/>
                        <w:i/>
                        <w:szCs w:val="24"/>
                        <w:lang w:eastAsia="en-US"/>
                      </w:rPr>
                    </m:ctrlPr>
                  </m:sSubPr>
                  <m:e>
                    <m:r>
                      <w:rPr>
                        <w:rFonts w:ascii="Cambria Math" w:hAnsi="Cambria Math" w:cs="Times New Roman"/>
                        <w:szCs w:val="24"/>
                      </w:rPr>
                      <m:t>BI</m:t>
                    </m:r>
                  </m:e>
                  <m:sub>
                    <m:r>
                      <w:rPr>
                        <w:rFonts w:ascii="Cambria Math" w:hAnsi="Cambria Math" w:cs="Times New Roman"/>
                        <w:szCs w:val="24"/>
                      </w:rPr>
                      <m:t>i,t</m:t>
                    </m:r>
                  </m:sub>
                </m:sSub>
              </m:oMath>
            </m:oMathPara>
          </w:p>
        </w:tc>
        <w:tc>
          <w:tcPr>
            <w:tcW w:w="0" w:type="auto"/>
            <w:hideMark/>
          </w:tcPr>
          <w:p w:rsidR="00E02AB1" w:rsidRDefault="00E02AB1">
            <w:pPr>
              <w:spacing w:after="0"/>
              <w:rPr>
                <w:rFonts w:cs="Times New Roman"/>
                <w:szCs w:val="24"/>
                <w:lang w:eastAsia="en-US"/>
              </w:rPr>
            </w:pPr>
            <w:r>
              <w:rPr>
                <w:rFonts w:cs="Times New Roman"/>
                <w:szCs w:val="24"/>
              </w:rPr>
              <w:t>=</w:t>
            </w:r>
          </w:p>
        </w:tc>
        <w:tc>
          <w:tcPr>
            <w:tcW w:w="0" w:type="auto"/>
            <w:hideMark/>
          </w:tcPr>
          <w:p w:rsidR="00E02AB1" w:rsidRDefault="00E02AB1">
            <w:pPr>
              <w:spacing w:after="0"/>
              <w:rPr>
                <w:rFonts w:cs="Times New Roman"/>
                <w:szCs w:val="24"/>
                <w:lang w:eastAsia="en-US"/>
              </w:rPr>
            </w:pPr>
            <w:r>
              <w:rPr>
                <w:rFonts w:cs="Times New Roman"/>
                <w:szCs w:val="24"/>
              </w:rPr>
              <w:t>proportion of independent directors to total board size</w:t>
            </w:r>
          </w:p>
        </w:tc>
      </w:tr>
      <w:tr w:rsidR="00E02AB1" w:rsidTr="00E02AB1">
        <w:trPr>
          <w:trHeight w:val="498"/>
        </w:trPr>
        <w:tc>
          <w:tcPr>
            <w:tcW w:w="0" w:type="auto"/>
            <w:vAlign w:val="center"/>
            <w:hideMark/>
          </w:tcPr>
          <w:p w:rsidR="00E02AB1" w:rsidRDefault="00EF1EDC">
            <w:pPr>
              <w:spacing w:after="0"/>
              <w:rPr>
                <w:rFonts w:cs="Times New Roman"/>
                <w:szCs w:val="24"/>
                <w:lang w:eastAsia="en-US"/>
              </w:rPr>
            </w:pPr>
            <m:oMathPara>
              <m:oMath>
                <m:sSub>
                  <m:sSubPr>
                    <m:ctrlPr>
                      <w:rPr>
                        <w:rFonts w:ascii="Cambria Math" w:hAnsi="Cambria Math" w:cs="Times New Roman"/>
                        <w:i/>
                        <w:szCs w:val="24"/>
                        <w:lang w:eastAsia="en-US"/>
                      </w:rPr>
                    </m:ctrlPr>
                  </m:sSubPr>
                  <m:e>
                    <m:r>
                      <w:rPr>
                        <w:rFonts w:ascii="Cambria Math" w:hAnsi="Cambria Math" w:cs="Times New Roman"/>
                        <w:szCs w:val="24"/>
                      </w:rPr>
                      <m:t>CEO-dummy</m:t>
                    </m:r>
                  </m:e>
                  <m:sub>
                    <m:r>
                      <w:rPr>
                        <w:rFonts w:ascii="Cambria Math" w:hAnsi="Cambria Math" w:cs="Times New Roman"/>
                        <w:szCs w:val="24"/>
                      </w:rPr>
                      <m:t>i,t</m:t>
                    </m:r>
                  </m:sub>
                </m:sSub>
              </m:oMath>
            </m:oMathPara>
          </w:p>
        </w:tc>
        <w:tc>
          <w:tcPr>
            <w:tcW w:w="0" w:type="auto"/>
            <w:hideMark/>
          </w:tcPr>
          <w:p w:rsidR="00E02AB1" w:rsidRDefault="00E02AB1">
            <w:pPr>
              <w:spacing w:after="0"/>
              <w:rPr>
                <w:rFonts w:cs="Times New Roman"/>
                <w:szCs w:val="24"/>
                <w:lang w:eastAsia="en-US"/>
              </w:rPr>
            </w:pPr>
            <w:r>
              <w:rPr>
                <w:rFonts w:cs="Times New Roman"/>
                <w:szCs w:val="24"/>
              </w:rPr>
              <w:t>=</w:t>
            </w:r>
          </w:p>
        </w:tc>
        <w:tc>
          <w:tcPr>
            <w:tcW w:w="0" w:type="auto"/>
            <w:hideMark/>
          </w:tcPr>
          <w:p w:rsidR="00E02AB1" w:rsidRDefault="00E02AB1">
            <w:pPr>
              <w:spacing w:after="0"/>
              <w:rPr>
                <w:rFonts w:cs="Times New Roman"/>
                <w:szCs w:val="24"/>
                <w:lang w:eastAsia="en-US"/>
              </w:rPr>
            </w:pPr>
            <w:r>
              <w:rPr>
                <w:rFonts w:cs="Times New Roman"/>
                <w:szCs w:val="24"/>
              </w:rPr>
              <w:t>equal to 1 if CEO is Chairman, equal to 0 if otherwise.</w:t>
            </w:r>
          </w:p>
        </w:tc>
      </w:tr>
      <w:tr w:rsidR="00E02AB1" w:rsidTr="00E02AB1">
        <w:trPr>
          <w:trHeight w:val="438"/>
        </w:trPr>
        <w:tc>
          <w:tcPr>
            <w:tcW w:w="0" w:type="auto"/>
            <w:vAlign w:val="center"/>
            <w:hideMark/>
          </w:tcPr>
          <w:p w:rsidR="00E02AB1" w:rsidRDefault="00EF1EDC">
            <w:pPr>
              <w:spacing w:after="0"/>
              <w:rPr>
                <w:rFonts w:cs="Times New Roman"/>
                <w:szCs w:val="24"/>
                <w:lang w:eastAsia="en-US"/>
              </w:rPr>
            </w:pPr>
            <m:oMathPara>
              <m:oMath>
                <m:sSub>
                  <m:sSubPr>
                    <m:ctrlPr>
                      <w:rPr>
                        <w:rFonts w:ascii="Cambria Math" w:hAnsi="Cambria Math" w:cs="Times New Roman"/>
                        <w:i/>
                        <w:szCs w:val="24"/>
                        <w:lang w:eastAsia="en-US"/>
                      </w:rPr>
                    </m:ctrlPr>
                  </m:sSubPr>
                  <m:e>
                    <m:r>
                      <w:rPr>
                        <w:rFonts w:ascii="Cambria Math" w:hAnsi="Cambria Math" w:cs="Times New Roman"/>
                        <w:szCs w:val="24"/>
                      </w:rPr>
                      <m:t>SBS</m:t>
                    </m:r>
                  </m:e>
                  <m:sub>
                    <m:r>
                      <w:rPr>
                        <w:rFonts w:ascii="Cambria Math" w:hAnsi="Cambria Math" w:cs="Times New Roman"/>
                        <w:szCs w:val="24"/>
                      </w:rPr>
                      <m:t>i,t</m:t>
                    </m:r>
                  </m:sub>
                </m:sSub>
              </m:oMath>
            </m:oMathPara>
          </w:p>
        </w:tc>
        <w:tc>
          <w:tcPr>
            <w:tcW w:w="0" w:type="auto"/>
            <w:hideMark/>
          </w:tcPr>
          <w:p w:rsidR="00E02AB1" w:rsidRDefault="00E02AB1">
            <w:pPr>
              <w:spacing w:after="0"/>
              <w:rPr>
                <w:rFonts w:cs="Times New Roman"/>
                <w:szCs w:val="24"/>
                <w:lang w:eastAsia="en-US"/>
              </w:rPr>
            </w:pPr>
            <w:r>
              <w:rPr>
                <w:rFonts w:cs="Times New Roman"/>
                <w:szCs w:val="24"/>
              </w:rPr>
              <w:t>=</w:t>
            </w:r>
          </w:p>
        </w:tc>
        <w:tc>
          <w:tcPr>
            <w:tcW w:w="0" w:type="auto"/>
            <w:hideMark/>
          </w:tcPr>
          <w:p w:rsidR="00E02AB1" w:rsidRDefault="00E02AB1">
            <w:pPr>
              <w:spacing w:after="0"/>
              <w:rPr>
                <w:rFonts w:cs="Times New Roman"/>
                <w:szCs w:val="24"/>
                <w:lang w:eastAsia="en-US"/>
              </w:rPr>
            </w:pPr>
            <w:r>
              <w:rPr>
                <w:rFonts w:cs="Times New Roman"/>
                <w:szCs w:val="24"/>
              </w:rPr>
              <w:t>the number of supervisory board members</w:t>
            </w:r>
          </w:p>
        </w:tc>
      </w:tr>
      <w:tr w:rsidR="00E02AB1" w:rsidTr="00E02AB1">
        <w:trPr>
          <w:trHeight w:val="438"/>
        </w:trPr>
        <w:tc>
          <w:tcPr>
            <w:tcW w:w="0" w:type="auto"/>
            <w:vAlign w:val="center"/>
            <w:hideMark/>
          </w:tcPr>
          <w:p w:rsidR="00E02AB1" w:rsidRDefault="00EF1EDC">
            <w:pPr>
              <w:spacing w:after="0"/>
              <w:rPr>
                <w:rFonts w:cs="Times New Roman"/>
                <w:szCs w:val="24"/>
                <w:lang w:eastAsia="en-US"/>
              </w:rPr>
            </w:pPr>
            <m:oMathPara>
              <m:oMath>
                <m:sSub>
                  <m:sSubPr>
                    <m:ctrlPr>
                      <w:rPr>
                        <w:rFonts w:ascii="Cambria Math" w:hAnsi="Cambria Math" w:cs="Times New Roman"/>
                        <w:i/>
                        <w:szCs w:val="24"/>
                        <w:lang w:eastAsia="en-US"/>
                      </w:rPr>
                    </m:ctrlPr>
                  </m:sSubPr>
                  <m:e>
                    <m:r>
                      <w:rPr>
                        <w:rFonts w:ascii="Cambria Math" w:hAnsi="Cambria Math" w:cs="Times New Roman"/>
                        <w:szCs w:val="24"/>
                      </w:rPr>
                      <m:t>Insider</m:t>
                    </m:r>
                  </m:e>
                  <m:sub>
                    <m:r>
                      <w:rPr>
                        <w:rFonts w:ascii="Cambria Math" w:hAnsi="Cambria Math" w:cs="Times New Roman"/>
                        <w:szCs w:val="24"/>
                      </w:rPr>
                      <m:t>i,t</m:t>
                    </m:r>
                  </m:sub>
                </m:sSub>
              </m:oMath>
            </m:oMathPara>
          </w:p>
        </w:tc>
        <w:tc>
          <w:tcPr>
            <w:tcW w:w="0" w:type="auto"/>
            <w:hideMark/>
          </w:tcPr>
          <w:p w:rsidR="00E02AB1" w:rsidRDefault="00E02AB1">
            <w:pPr>
              <w:spacing w:after="0"/>
              <w:rPr>
                <w:rFonts w:cs="Times New Roman"/>
                <w:szCs w:val="24"/>
                <w:lang w:eastAsia="en-US"/>
              </w:rPr>
            </w:pPr>
            <w:r>
              <w:rPr>
                <w:rFonts w:cs="Times New Roman"/>
                <w:szCs w:val="24"/>
              </w:rPr>
              <w:t>=</w:t>
            </w:r>
          </w:p>
        </w:tc>
        <w:tc>
          <w:tcPr>
            <w:tcW w:w="0" w:type="auto"/>
            <w:hideMark/>
          </w:tcPr>
          <w:p w:rsidR="00E02AB1" w:rsidRDefault="00E02AB1">
            <w:pPr>
              <w:spacing w:after="0"/>
              <w:rPr>
                <w:rFonts w:cs="Times New Roman"/>
                <w:szCs w:val="24"/>
                <w:lang w:eastAsia="en-US"/>
              </w:rPr>
            </w:pPr>
            <w:r>
              <w:rPr>
                <w:rFonts w:cs="Times New Roman"/>
                <w:szCs w:val="24"/>
              </w:rPr>
              <w:t xml:space="preserve">percentages of shares hold by management </w:t>
            </w:r>
          </w:p>
        </w:tc>
      </w:tr>
      <w:tr w:rsidR="00E02AB1" w:rsidTr="00E02AB1">
        <w:trPr>
          <w:trHeight w:val="438"/>
        </w:trPr>
        <w:tc>
          <w:tcPr>
            <w:tcW w:w="0" w:type="auto"/>
            <w:vAlign w:val="center"/>
            <w:hideMark/>
          </w:tcPr>
          <w:p w:rsidR="00E02AB1" w:rsidRDefault="00EF1EDC">
            <w:pPr>
              <w:spacing w:after="0"/>
              <w:rPr>
                <w:rFonts w:cs="Times New Roman"/>
                <w:szCs w:val="24"/>
                <w:lang w:eastAsia="en-US"/>
              </w:rPr>
            </w:pPr>
            <m:oMathPara>
              <m:oMath>
                <m:sSub>
                  <m:sSubPr>
                    <m:ctrlPr>
                      <w:rPr>
                        <w:rFonts w:ascii="Cambria Math" w:hAnsi="Cambria Math" w:cs="Times New Roman"/>
                        <w:i/>
                        <w:szCs w:val="24"/>
                        <w:lang w:eastAsia="en-US"/>
                      </w:rPr>
                    </m:ctrlPr>
                  </m:sSubPr>
                  <m:e>
                    <m:r>
                      <w:rPr>
                        <w:rFonts w:ascii="Cambria Math" w:hAnsi="Cambria Math" w:cs="Times New Roman"/>
                        <w:szCs w:val="24"/>
                      </w:rPr>
                      <m:t>Block-holder</m:t>
                    </m:r>
                  </m:e>
                  <m:sub>
                    <m:r>
                      <w:rPr>
                        <w:rFonts w:ascii="Cambria Math" w:hAnsi="Cambria Math" w:cs="Times New Roman"/>
                        <w:szCs w:val="24"/>
                      </w:rPr>
                      <m:t>i,t</m:t>
                    </m:r>
                  </m:sub>
                </m:sSub>
              </m:oMath>
            </m:oMathPara>
          </w:p>
        </w:tc>
        <w:tc>
          <w:tcPr>
            <w:tcW w:w="0" w:type="auto"/>
            <w:hideMark/>
          </w:tcPr>
          <w:p w:rsidR="00E02AB1" w:rsidRDefault="00E02AB1">
            <w:pPr>
              <w:spacing w:after="0"/>
              <w:rPr>
                <w:rFonts w:cs="Times New Roman"/>
                <w:szCs w:val="24"/>
                <w:lang w:eastAsia="en-US"/>
              </w:rPr>
            </w:pPr>
            <w:r>
              <w:rPr>
                <w:rFonts w:cs="Times New Roman"/>
                <w:szCs w:val="24"/>
              </w:rPr>
              <w:t>=</w:t>
            </w:r>
          </w:p>
        </w:tc>
        <w:tc>
          <w:tcPr>
            <w:tcW w:w="0" w:type="auto"/>
            <w:hideMark/>
          </w:tcPr>
          <w:p w:rsidR="00E02AB1" w:rsidRDefault="00E02AB1">
            <w:pPr>
              <w:spacing w:after="0"/>
              <w:rPr>
                <w:rFonts w:cs="Times New Roman"/>
                <w:szCs w:val="24"/>
                <w:lang w:eastAsia="en-US"/>
              </w:rPr>
            </w:pPr>
            <w:r>
              <w:rPr>
                <w:rFonts w:cs="Times New Roman"/>
                <w:szCs w:val="24"/>
              </w:rPr>
              <w:t>percentages of shares hold by block-holders</w:t>
            </w:r>
          </w:p>
        </w:tc>
      </w:tr>
      <w:tr w:rsidR="00E02AB1" w:rsidTr="00E02AB1">
        <w:trPr>
          <w:trHeight w:val="438"/>
        </w:trPr>
        <w:tc>
          <w:tcPr>
            <w:tcW w:w="0" w:type="auto"/>
            <w:vAlign w:val="center"/>
            <w:hideMark/>
          </w:tcPr>
          <w:p w:rsidR="00E02AB1" w:rsidRDefault="00EF1EDC">
            <w:pPr>
              <w:spacing w:after="0"/>
              <w:rPr>
                <w:rFonts w:cs="Times New Roman"/>
                <w:szCs w:val="24"/>
                <w:lang w:eastAsia="en-US"/>
              </w:rPr>
            </w:pPr>
            <m:oMathPara>
              <m:oMath>
                <m:sSub>
                  <m:sSubPr>
                    <m:ctrlPr>
                      <w:rPr>
                        <w:rFonts w:ascii="Cambria Math" w:hAnsi="Cambria Math" w:cs="Times New Roman"/>
                        <w:i/>
                        <w:szCs w:val="24"/>
                        <w:lang w:eastAsia="en-US"/>
                      </w:rPr>
                    </m:ctrlPr>
                  </m:sSubPr>
                  <m:e>
                    <m:r>
                      <w:rPr>
                        <w:rFonts w:ascii="Cambria Math" w:hAnsi="Cambria Math" w:cs="Times New Roman"/>
                        <w:szCs w:val="24"/>
                      </w:rPr>
                      <m:t>FS</m:t>
                    </m:r>
                  </m:e>
                  <m:sub>
                    <m:r>
                      <w:rPr>
                        <w:rFonts w:ascii="Cambria Math" w:hAnsi="Cambria Math" w:cs="Times New Roman"/>
                        <w:szCs w:val="24"/>
                      </w:rPr>
                      <m:t>i,t</m:t>
                    </m:r>
                  </m:sub>
                </m:sSub>
              </m:oMath>
            </m:oMathPara>
          </w:p>
        </w:tc>
        <w:tc>
          <w:tcPr>
            <w:tcW w:w="0" w:type="auto"/>
            <w:hideMark/>
          </w:tcPr>
          <w:p w:rsidR="00E02AB1" w:rsidRDefault="00E02AB1">
            <w:pPr>
              <w:spacing w:after="0"/>
              <w:rPr>
                <w:rFonts w:cs="Times New Roman"/>
                <w:szCs w:val="24"/>
                <w:lang w:eastAsia="en-US"/>
              </w:rPr>
            </w:pPr>
            <w:r>
              <w:rPr>
                <w:rFonts w:cs="Times New Roman"/>
                <w:szCs w:val="24"/>
              </w:rPr>
              <w:t>=</w:t>
            </w:r>
          </w:p>
        </w:tc>
        <w:tc>
          <w:tcPr>
            <w:tcW w:w="0" w:type="auto"/>
            <w:hideMark/>
          </w:tcPr>
          <w:p w:rsidR="00E02AB1" w:rsidRDefault="00E02AB1">
            <w:pPr>
              <w:spacing w:after="0"/>
              <w:rPr>
                <w:rFonts w:cs="Times New Roman"/>
                <w:szCs w:val="24"/>
                <w:lang w:eastAsia="en-US"/>
              </w:rPr>
            </w:pPr>
            <w:r>
              <w:rPr>
                <w:rFonts w:cs="Times New Roman"/>
                <w:szCs w:val="24"/>
              </w:rPr>
              <w:t>nature logarithm of total assets as proxy for firm size</w:t>
            </w:r>
          </w:p>
        </w:tc>
      </w:tr>
      <w:tr w:rsidR="00E02AB1" w:rsidTr="00E02AB1">
        <w:trPr>
          <w:trHeight w:val="438"/>
        </w:trPr>
        <w:tc>
          <w:tcPr>
            <w:tcW w:w="0" w:type="auto"/>
            <w:vAlign w:val="center"/>
            <w:hideMark/>
          </w:tcPr>
          <w:p w:rsidR="00E02AB1" w:rsidRDefault="00EF1EDC">
            <w:pPr>
              <w:spacing w:after="0"/>
              <w:rPr>
                <w:rFonts w:cs="Times New Roman"/>
                <w:szCs w:val="24"/>
                <w:lang w:eastAsia="en-US"/>
              </w:rPr>
            </w:pPr>
            <m:oMathPara>
              <m:oMath>
                <m:sSub>
                  <m:sSubPr>
                    <m:ctrlPr>
                      <w:rPr>
                        <w:rFonts w:ascii="Cambria Math" w:hAnsi="Cambria Math" w:cs="Times New Roman"/>
                        <w:i/>
                        <w:szCs w:val="24"/>
                        <w:lang w:eastAsia="en-US"/>
                      </w:rPr>
                    </m:ctrlPr>
                  </m:sSubPr>
                  <m:e>
                    <m:r>
                      <w:rPr>
                        <w:rFonts w:ascii="Cambria Math" w:hAnsi="Cambria Math" w:cs="Times New Roman"/>
                        <w:szCs w:val="24"/>
                      </w:rPr>
                      <m:t>ROE</m:t>
                    </m:r>
                  </m:e>
                  <m:sub>
                    <m:r>
                      <w:rPr>
                        <w:rFonts w:ascii="Cambria Math" w:hAnsi="Cambria Math" w:cs="Times New Roman"/>
                        <w:szCs w:val="24"/>
                      </w:rPr>
                      <m:t>i,t</m:t>
                    </m:r>
                  </m:sub>
                </m:sSub>
              </m:oMath>
            </m:oMathPara>
          </w:p>
        </w:tc>
        <w:tc>
          <w:tcPr>
            <w:tcW w:w="0" w:type="auto"/>
            <w:hideMark/>
          </w:tcPr>
          <w:p w:rsidR="00E02AB1" w:rsidRDefault="00E02AB1">
            <w:pPr>
              <w:spacing w:after="0"/>
              <w:rPr>
                <w:rFonts w:cs="Times New Roman"/>
                <w:szCs w:val="24"/>
                <w:lang w:eastAsia="en-US"/>
              </w:rPr>
            </w:pPr>
            <w:r>
              <w:rPr>
                <w:rFonts w:cs="Times New Roman"/>
                <w:szCs w:val="24"/>
              </w:rPr>
              <w:t>=</w:t>
            </w:r>
          </w:p>
        </w:tc>
        <w:tc>
          <w:tcPr>
            <w:tcW w:w="0" w:type="auto"/>
            <w:hideMark/>
          </w:tcPr>
          <w:p w:rsidR="00E02AB1" w:rsidRDefault="00E02AB1">
            <w:pPr>
              <w:spacing w:after="0"/>
              <w:rPr>
                <w:rFonts w:cs="Times New Roman"/>
                <w:szCs w:val="24"/>
                <w:lang w:eastAsia="en-US"/>
              </w:rPr>
            </w:pPr>
            <w:r>
              <w:rPr>
                <w:rFonts w:cs="Times New Roman"/>
                <w:szCs w:val="24"/>
              </w:rPr>
              <w:t>nature logarithm of return on equity</w:t>
            </w:r>
          </w:p>
        </w:tc>
      </w:tr>
      <w:tr w:rsidR="00E02AB1" w:rsidTr="00E02AB1">
        <w:trPr>
          <w:trHeight w:val="438"/>
        </w:trPr>
        <w:tc>
          <w:tcPr>
            <w:tcW w:w="0" w:type="auto"/>
            <w:vAlign w:val="center"/>
            <w:hideMark/>
          </w:tcPr>
          <w:p w:rsidR="00E02AB1" w:rsidRDefault="00EF1EDC">
            <w:pPr>
              <w:spacing w:after="0"/>
              <w:rPr>
                <w:rFonts w:cs="Times New Roman"/>
                <w:szCs w:val="24"/>
                <w:lang w:eastAsia="en-US"/>
              </w:rPr>
            </w:pPr>
            <m:oMathPara>
              <m:oMath>
                <m:sSub>
                  <m:sSubPr>
                    <m:ctrlPr>
                      <w:rPr>
                        <w:rFonts w:ascii="Cambria Math" w:hAnsi="Cambria Math" w:cs="Times New Roman"/>
                        <w:i/>
                        <w:szCs w:val="24"/>
                        <w:lang w:eastAsia="en-US"/>
                      </w:rPr>
                    </m:ctrlPr>
                  </m:sSubPr>
                  <m:e>
                    <m:r>
                      <w:rPr>
                        <w:rFonts w:ascii="Cambria Math" w:hAnsi="Cambria Math" w:cs="Times New Roman"/>
                        <w:szCs w:val="24"/>
                      </w:rPr>
                      <m:t>Leverage</m:t>
                    </m:r>
                  </m:e>
                  <m:sub>
                    <m:r>
                      <w:rPr>
                        <w:rFonts w:ascii="Cambria Math" w:hAnsi="Cambria Math" w:cs="Times New Roman"/>
                        <w:szCs w:val="24"/>
                      </w:rPr>
                      <m:t>i,t</m:t>
                    </m:r>
                  </m:sub>
                </m:sSub>
              </m:oMath>
            </m:oMathPara>
          </w:p>
        </w:tc>
        <w:tc>
          <w:tcPr>
            <w:tcW w:w="0" w:type="auto"/>
            <w:hideMark/>
          </w:tcPr>
          <w:p w:rsidR="00E02AB1" w:rsidRDefault="00E02AB1">
            <w:pPr>
              <w:spacing w:after="0"/>
              <w:rPr>
                <w:rFonts w:cs="Times New Roman"/>
                <w:szCs w:val="24"/>
                <w:lang w:eastAsia="en-US"/>
              </w:rPr>
            </w:pPr>
            <w:r>
              <w:rPr>
                <w:rFonts w:cs="Times New Roman"/>
                <w:szCs w:val="24"/>
              </w:rPr>
              <w:t>=</w:t>
            </w:r>
          </w:p>
        </w:tc>
        <w:tc>
          <w:tcPr>
            <w:tcW w:w="0" w:type="auto"/>
            <w:hideMark/>
          </w:tcPr>
          <w:p w:rsidR="00E02AB1" w:rsidRDefault="00E02AB1">
            <w:pPr>
              <w:spacing w:after="0"/>
              <w:rPr>
                <w:rFonts w:cs="Times New Roman"/>
                <w:szCs w:val="24"/>
                <w:lang w:eastAsia="en-US"/>
              </w:rPr>
            </w:pPr>
            <w:r>
              <w:rPr>
                <w:rFonts w:cs="Times New Roman"/>
                <w:szCs w:val="24"/>
              </w:rPr>
              <w:t>nature logarithm of leverage</w:t>
            </w:r>
          </w:p>
        </w:tc>
      </w:tr>
      <w:tr w:rsidR="00E02AB1" w:rsidTr="00E02AB1">
        <w:trPr>
          <w:trHeight w:val="438"/>
        </w:trPr>
        <w:tc>
          <w:tcPr>
            <w:tcW w:w="0" w:type="auto"/>
            <w:vAlign w:val="center"/>
            <w:hideMark/>
          </w:tcPr>
          <w:p w:rsidR="00E02AB1" w:rsidRDefault="00EF1EDC">
            <w:pPr>
              <w:spacing w:after="0"/>
              <w:rPr>
                <w:rFonts w:cs="Times New Roman"/>
                <w:szCs w:val="24"/>
                <w:lang w:eastAsia="en-US"/>
              </w:rPr>
            </w:pPr>
            <m:oMathPara>
              <m:oMath>
                <m:sSub>
                  <m:sSubPr>
                    <m:ctrlPr>
                      <w:rPr>
                        <w:rFonts w:ascii="Cambria Math" w:hAnsi="Cambria Math" w:cs="Times New Roman"/>
                        <w:i/>
                        <w:szCs w:val="24"/>
                        <w:lang w:eastAsia="en-US"/>
                      </w:rPr>
                    </m:ctrlPr>
                  </m:sSubPr>
                  <m:e>
                    <m:r>
                      <w:rPr>
                        <w:rFonts w:ascii="Cambria Math" w:hAnsi="Cambria Math" w:cs="Times New Roman"/>
                        <w:szCs w:val="24"/>
                      </w:rPr>
                      <m:t>ε</m:t>
                    </m:r>
                  </m:e>
                  <m:sub>
                    <m:r>
                      <w:rPr>
                        <w:rFonts w:ascii="Cambria Math" w:hAnsi="Cambria Math" w:cs="Times New Roman"/>
                        <w:szCs w:val="24"/>
                      </w:rPr>
                      <m:t>t</m:t>
                    </m:r>
                  </m:sub>
                </m:sSub>
              </m:oMath>
            </m:oMathPara>
          </w:p>
        </w:tc>
        <w:tc>
          <w:tcPr>
            <w:tcW w:w="0" w:type="auto"/>
            <w:hideMark/>
          </w:tcPr>
          <w:p w:rsidR="00E02AB1" w:rsidRDefault="00E02AB1">
            <w:pPr>
              <w:spacing w:after="0"/>
              <w:rPr>
                <w:rFonts w:cs="Times New Roman"/>
                <w:szCs w:val="24"/>
                <w:lang w:eastAsia="en-US"/>
              </w:rPr>
            </w:pPr>
            <w:r>
              <w:rPr>
                <w:rFonts w:cs="Times New Roman"/>
                <w:szCs w:val="24"/>
              </w:rPr>
              <w:t>=</w:t>
            </w:r>
          </w:p>
        </w:tc>
        <w:tc>
          <w:tcPr>
            <w:tcW w:w="0" w:type="auto"/>
            <w:hideMark/>
          </w:tcPr>
          <w:p w:rsidR="00E02AB1" w:rsidRDefault="00E02AB1">
            <w:pPr>
              <w:spacing w:after="0"/>
              <w:rPr>
                <w:rFonts w:cs="Times New Roman"/>
                <w:szCs w:val="24"/>
                <w:lang w:eastAsia="en-US"/>
              </w:rPr>
            </w:pPr>
            <w:r>
              <w:rPr>
                <w:rFonts w:cs="Times New Roman"/>
                <w:szCs w:val="24"/>
              </w:rPr>
              <w:t>error term</w:t>
            </w:r>
          </w:p>
        </w:tc>
      </w:tr>
    </w:tbl>
    <w:p w:rsidR="00E02AB1" w:rsidRDefault="00E02AB1" w:rsidP="00682E45">
      <w:pPr>
        <w:rPr>
          <w:lang w:eastAsia="en-US"/>
        </w:rPr>
      </w:pPr>
      <w:r>
        <w:t>As mentioned before, this thesis</w:t>
      </w:r>
      <w:r w:rsidR="00A162C1">
        <w:t xml:space="preserve"> will compare the results of U.S. </w:t>
      </w:r>
      <w:r>
        <w:t>listed companies and China-listed companies by using the same methodology. Although the US-listed companies have no supervisory board because of one-tier board structure, Tüngler (2000) indicated that the non-executive directors are similar to supervisory board, especially in monitoring function. Therefore, in this research design the board based on the U</w:t>
      </w:r>
      <w:r w:rsidR="00C96F00">
        <w:t>.</w:t>
      </w:r>
      <w:r>
        <w:t>S</w:t>
      </w:r>
      <w:r w:rsidR="00C96F00">
        <w:t xml:space="preserve">. </w:t>
      </w:r>
      <w:r>
        <w:t xml:space="preserve">listed companies is split to two parts: non-executive directors and executive directors. This method is to balance the regression model which is similar to </w:t>
      </w:r>
      <w:r>
        <w:lastRenderedPageBreak/>
        <w:t xml:space="preserve">that base on China dataset. Meanwhile, this design will answer the hypotheses in Chapter 4. </w:t>
      </w:r>
    </w:p>
    <w:p w:rsidR="00E02AB1" w:rsidRDefault="00E02AB1" w:rsidP="00E02AB1">
      <w:pPr>
        <w:rPr>
          <w:rFonts w:cs="Times New Roman"/>
          <w:szCs w:val="24"/>
        </w:rPr>
      </w:pPr>
      <w:r>
        <w:rPr>
          <w:rFonts w:cs="Times New Roman"/>
          <w:szCs w:val="24"/>
        </w:rPr>
        <w:t>The second regression model based on U.S. dataset is formulated as: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885"/>
        <w:gridCol w:w="638"/>
      </w:tblGrid>
      <w:tr w:rsidR="00E02AB1" w:rsidTr="00E02AB1">
        <w:trPr>
          <w:trHeight w:val="648"/>
        </w:trPr>
        <w:tc>
          <w:tcPr>
            <w:tcW w:w="4702" w:type="pct"/>
            <w:vAlign w:val="center"/>
            <w:hideMark/>
          </w:tcPr>
          <w:p w:rsidR="00E02AB1" w:rsidRDefault="00EF1EDC">
            <w:pPr>
              <w:spacing w:before="100" w:beforeAutospacing="1" w:after="100" w:afterAutospacing="1"/>
              <w:jc w:val="center"/>
              <w:rPr>
                <w:rFonts w:asciiTheme="majorHAnsi" w:hAnsiTheme="majorHAnsi" w:cs="Times New Roman"/>
                <w:szCs w:val="24"/>
                <w:lang w:val="en-GB" w:eastAsia="en-US"/>
              </w:rPr>
            </w:pPr>
            <m:oMathPara>
              <m:oMath>
                <m:sSub>
                  <m:sSubPr>
                    <m:ctrlPr>
                      <w:rPr>
                        <w:rFonts w:ascii="Cambria Math" w:hAnsi="Cambria Math" w:cs="Times New Roman"/>
                        <w:szCs w:val="24"/>
                        <w:lang w:eastAsia="en-US"/>
                      </w:rPr>
                    </m:ctrlPr>
                  </m:sSubPr>
                  <m:e>
                    <m:r>
                      <w:rPr>
                        <w:rFonts w:ascii="Cambria Math" w:hAnsi="Cambria Math" w:cs="Times New Roman"/>
                        <w:szCs w:val="24"/>
                      </w:rPr>
                      <m:t>DA</m:t>
                    </m:r>
                  </m:e>
                  <m:sub>
                    <m:r>
                      <w:rPr>
                        <w:rFonts w:ascii="Cambria Math" w:hAnsi="Cambria Math" w:cs="Times New Roman"/>
                        <w:szCs w:val="24"/>
                      </w:rPr>
                      <m:t>i,t</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β</m:t>
                    </m:r>
                  </m:e>
                  <m:sub>
                    <m:r>
                      <w:rPr>
                        <w:rFonts w:ascii="Cambria Math" w:hAnsi="Cambria Math" w:cs="Times New Roman"/>
                        <w:szCs w:val="24"/>
                      </w:rPr>
                      <m:t>0</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β</m:t>
                    </m:r>
                  </m:e>
                  <m:sub>
                    <m:r>
                      <w:rPr>
                        <w:rFonts w:ascii="Cambria Math" w:hAnsi="Cambria Math" w:cs="Times New Roman"/>
                        <w:szCs w:val="24"/>
                      </w:rPr>
                      <m:t>1</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EDS</m:t>
                    </m:r>
                  </m:e>
                  <m:sub>
                    <m:r>
                      <w:rPr>
                        <w:rFonts w:ascii="Cambria Math" w:hAnsi="Cambria Math" w:cs="Times New Roman"/>
                        <w:szCs w:val="24"/>
                      </w:rPr>
                      <m:t>i,t</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β</m:t>
                    </m:r>
                  </m:e>
                  <m:sub>
                    <m:r>
                      <w:rPr>
                        <w:rFonts w:ascii="Cambria Math" w:hAnsi="Cambria Math" w:cs="Times New Roman"/>
                        <w:szCs w:val="24"/>
                      </w:rPr>
                      <m:t>2</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BI</m:t>
                    </m:r>
                  </m:e>
                  <m:sub>
                    <m:r>
                      <w:rPr>
                        <w:rFonts w:ascii="Cambria Math" w:hAnsi="Cambria Math" w:cs="Times New Roman"/>
                        <w:szCs w:val="24"/>
                      </w:rPr>
                      <m:t>i,t</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β</m:t>
                    </m:r>
                  </m:e>
                  <m:sub>
                    <m:r>
                      <w:rPr>
                        <w:rFonts w:ascii="Cambria Math" w:hAnsi="Cambria Math" w:cs="Times New Roman"/>
                        <w:szCs w:val="24"/>
                      </w:rPr>
                      <m:t>3</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CEO-dummy</m:t>
                    </m:r>
                  </m:e>
                  <m:sub>
                    <m:r>
                      <w:rPr>
                        <w:rFonts w:ascii="Cambria Math" w:hAnsi="Cambria Math" w:cs="Times New Roman"/>
                        <w:szCs w:val="24"/>
                      </w:rPr>
                      <m:t>i,t</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β</m:t>
                    </m:r>
                  </m:e>
                  <m:sub>
                    <m:r>
                      <w:rPr>
                        <w:rFonts w:ascii="Cambria Math" w:hAnsi="Cambria Math" w:cs="Times New Roman"/>
                        <w:szCs w:val="24"/>
                      </w:rPr>
                      <m:t>4</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NEDS</m:t>
                    </m:r>
                  </m:e>
                  <m:sub>
                    <m:r>
                      <w:rPr>
                        <w:rFonts w:ascii="Cambria Math" w:hAnsi="Cambria Math" w:cs="Times New Roman"/>
                        <w:szCs w:val="24"/>
                      </w:rPr>
                      <m:t>i,t</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β</m:t>
                    </m:r>
                  </m:e>
                  <m:sub>
                    <m:r>
                      <w:rPr>
                        <w:rFonts w:ascii="Cambria Math" w:hAnsi="Cambria Math" w:cs="Times New Roman"/>
                        <w:szCs w:val="24"/>
                      </w:rPr>
                      <m:t>5</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Insider</m:t>
                    </m:r>
                  </m:e>
                  <m:sub>
                    <m:r>
                      <w:rPr>
                        <w:rFonts w:ascii="Cambria Math" w:hAnsi="Cambria Math" w:cs="Times New Roman"/>
                        <w:szCs w:val="24"/>
                      </w:rPr>
                      <m:t>i,t</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β</m:t>
                    </m:r>
                  </m:e>
                  <m:sub>
                    <m:r>
                      <w:rPr>
                        <w:rFonts w:ascii="Cambria Math" w:hAnsi="Cambria Math" w:cs="Times New Roman"/>
                        <w:szCs w:val="24"/>
                      </w:rPr>
                      <m:t>6</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Block-holder</m:t>
                    </m:r>
                  </m:e>
                  <m:sub>
                    <m:r>
                      <w:rPr>
                        <w:rFonts w:ascii="Cambria Math" w:hAnsi="Cambria Math" w:cs="Times New Roman"/>
                        <w:szCs w:val="24"/>
                      </w:rPr>
                      <m:t>i,t</m:t>
                    </m:r>
                  </m:sub>
                </m:sSub>
                <m:r>
                  <w:rPr>
                    <w:rFonts w:ascii="Cambria Math" w:hAnsi="Cambria Math" w:cs="Times New Roman"/>
                    <w:szCs w:val="24"/>
                  </w:rPr>
                  <m:t>+</m:t>
                </m:r>
                <m:sSub>
                  <m:sSubPr>
                    <m:ctrlPr>
                      <w:rPr>
                        <w:rFonts w:ascii="Cambria Math" w:eastAsiaTheme="minorHAnsi" w:hAnsi="Cambria Math" w:cs="Times New Roman"/>
                        <w:i/>
                        <w:szCs w:val="24"/>
                        <w:lang w:eastAsia="en-US"/>
                      </w:rPr>
                    </m:ctrlPr>
                  </m:sSubPr>
                  <m:e>
                    <m:r>
                      <w:rPr>
                        <w:rFonts w:ascii="Cambria Math" w:hAnsi="Cambria Math" w:cs="Times New Roman"/>
                        <w:szCs w:val="24"/>
                      </w:rPr>
                      <m:t>β</m:t>
                    </m:r>
                  </m:e>
                  <m:sub>
                    <m:r>
                      <w:rPr>
                        <w:rFonts w:ascii="Cambria Math" w:hAnsi="Cambria Math" w:cs="Times New Roman"/>
                        <w:szCs w:val="24"/>
                      </w:rPr>
                      <m:t>7</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FS</m:t>
                    </m:r>
                  </m:e>
                  <m:sub>
                    <m:r>
                      <w:rPr>
                        <w:rFonts w:ascii="Cambria Math" w:hAnsi="Cambria Math" w:cs="Times New Roman"/>
                        <w:szCs w:val="24"/>
                      </w:rPr>
                      <m:t>i,t</m:t>
                    </m:r>
                  </m:sub>
                </m:sSub>
                <m:r>
                  <w:rPr>
                    <w:rFonts w:ascii="Cambria Math" w:hAnsi="Cambria Math" w:cs="Times New Roman"/>
                    <w:szCs w:val="24"/>
                  </w:rPr>
                  <m:t>+</m:t>
                </m:r>
                <m:sSub>
                  <m:sSubPr>
                    <m:ctrlPr>
                      <w:rPr>
                        <w:rFonts w:ascii="Cambria Math" w:eastAsiaTheme="minorHAnsi" w:hAnsi="Cambria Math" w:cs="Times New Roman"/>
                        <w:i/>
                        <w:szCs w:val="24"/>
                        <w:lang w:eastAsia="en-US"/>
                      </w:rPr>
                    </m:ctrlPr>
                  </m:sSubPr>
                  <m:e>
                    <m:r>
                      <w:rPr>
                        <w:rFonts w:ascii="Cambria Math" w:hAnsi="Cambria Math" w:cs="Times New Roman"/>
                        <w:szCs w:val="24"/>
                      </w:rPr>
                      <m:t>β</m:t>
                    </m:r>
                  </m:e>
                  <m:sub>
                    <m:r>
                      <w:rPr>
                        <w:rFonts w:ascii="Cambria Math" w:hAnsi="Cambria Math" w:cs="Times New Roman"/>
                        <w:szCs w:val="24"/>
                      </w:rPr>
                      <m:t>8</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ROE</m:t>
                    </m:r>
                  </m:e>
                  <m:sub>
                    <m:r>
                      <w:rPr>
                        <w:rFonts w:ascii="Cambria Math" w:hAnsi="Cambria Math" w:cs="Times New Roman"/>
                        <w:szCs w:val="24"/>
                      </w:rPr>
                      <m:t>i,t</m:t>
                    </m:r>
                  </m:sub>
                </m:sSub>
                <m:r>
                  <w:rPr>
                    <w:rFonts w:ascii="Cambria Math" w:hAnsi="Cambria Math" w:cs="Times New Roman"/>
                    <w:szCs w:val="24"/>
                  </w:rPr>
                  <m:t>+</m:t>
                </m:r>
                <m:sSub>
                  <m:sSubPr>
                    <m:ctrlPr>
                      <w:rPr>
                        <w:rFonts w:ascii="Cambria Math" w:eastAsiaTheme="minorHAnsi" w:hAnsi="Cambria Math" w:cs="Times New Roman"/>
                        <w:i/>
                        <w:szCs w:val="24"/>
                        <w:lang w:eastAsia="en-US"/>
                      </w:rPr>
                    </m:ctrlPr>
                  </m:sSubPr>
                  <m:e>
                    <m:r>
                      <w:rPr>
                        <w:rFonts w:ascii="Cambria Math" w:hAnsi="Cambria Math" w:cs="Times New Roman"/>
                        <w:szCs w:val="24"/>
                      </w:rPr>
                      <m:t>β</m:t>
                    </m:r>
                  </m:e>
                  <m:sub>
                    <m:r>
                      <w:rPr>
                        <w:rFonts w:ascii="Cambria Math" w:hAnsi="Cambria Math" w:cs="Times New Roman"/>
                        <w:szCs w:val="24"/>
                      </w:rPr>
                      <m:t>9</m:t>
                    </m:r>
                  </m:sub>
                </m:sSub>
                <m:r>
                  <w:rPr>
                    <w:rFonts w:ascii="Cambria Math" w:hAnsi="Cambria Math" w:cs="Times New Roman"/>
                    <w:szCs w:val="24"/>
                  </w:rPr>
                  <m:t>×</m:t>
                </m:r>
                <m:sSub>
                  <m:sSubPr>
                    <m:ctrlPr>
                      <w:rPr>
                        <w:rFonts w:ascii="Cambria Math" w:hAnsi="Cambria Math" w:cs="Times New Roman"/>
                        <w:i/>
                        <w:szCs w:val="24"/>
                        <w:lang w:eastAsia="en-US"/>
                      </w:rPr>
                    </m:ctrlPr>
                  </m:sSubPr>
                  <m:e>
                    <m:r>
                      <w:rPr>
                        <w:rFonts w:ascii="Cambria Math" w:hAnsi="Cambria Math" w:cs="Times New Roman"/>
                        <w:szCs w:val="24"/>
                      </w:rPr>
                      <m:t>Leverage</m:t>
                    </m:r>
                  </m:e>
                  <m:sub>
                    <m:r>
                      <w:rPr>
                        <w:rFonts w:ascii="Cambria Math" w:hAnsi="Cambria Math" w:cs="Times New Roman"/>
                        <w:szCs w:val="24"/>
                      </w:rPr>
                      <m:t>i,t</m:t>
                    </m:r>
                  </m:sub>
                </m:sSub>
                <m:r>
                  <w:rPr>
                    <w:rFonts w:ascii="Cambria Math" w:hAnsi="Cambria Math" w:cs="Times New Roman"/>
                    <w:szCs w:val="24"/>
                  </w:rPr>
                  <m:t>+</m:t>
                </m:r>
                <m:sSub>
                  <m:sSubPr>
                    <m:ctrlPr>
                      <w:rPr>
                        <w:rFonts w:ascii="Cambria Math" w:eastAsiaTheme="minorHAnsi" w:hAnsi="Cambria Math" w:cs="Times New Roman"/>
                        <w:i/>
                        <w:szCs w:val="24"/>
                        <w:lang w:eastAsia="en-US"/>
                      </w:rPr>
                    </m:ctrlPr>
                  </m:sSubPr>
                  <m:e>
                    <m:r>
                      <w:rPr>
                        <w:rFonts w:ascii="Cambria Math" w:hAnsi="Cambria Math" w:cs="Times New Roman"/>
                        <w:szCs w:val="24"/>
                      </w:rPr>
                      <m:t>ε</m:t>
                    </m:r>
                  </m:e>
                  <m:sub>
                    <m:r>
                      <w:rPr>
                        <w:rFonts w:ascii="Cambria Math" w:hAnsi="Cambria Math" w:cs="Times New Roman"/>
                        <w:szCs w:val="24"/>
                      </w:rPr>
                      <m:t>t</m:t>
                    </m:r>
                  </m:sub>
                </m:sSub>
              </m:oMath>
            </m:oMathPara>
          </w:p>
        </w:tc>
        <w:tc>
          <w:tcPr>
            <w:tcW w:w="298" w:type="pct"/>
            <w:vAlign w:val="center"/>
            <w:hideMark/>
          </w:tcPr>
          <w:p w:rsidR="00E02AB1" w:rsidRDefault="00E02AB1">
            <w:pPr>
              <w:spacing w:before="100" w:beforeAutospacing="1" w:after="100" w:afterAutospacing="1"/>
              <w:jc w:val="right"/>
              <w:rPr>
                <w:rFonts w:cs="Times New Roman"/>
                <w:szCs w:val="20"/>
                <w:lang w:val="en-GB" w:eastAsia="en-US"/>
              </w:rPr>
            </w:pPr>
            <w:r>
              <w:rPr>
                <w:rFonts w:cs="Times New Roman"/>
                <w:szCs w:val="20"/>
                <w:lang w:val="en-GB"/>
              </w:rPr>
              <w:t>(5.6)</w:t>
            </w:r>
          </w:p>
        </w:tc>
      </w:tr>
    </w:tbl>
    <w:p w:rsidR="00E02AB1" w:rsidRDefault="00E02AB1" w:rsidP="00E02AB1">
      <w:pPr>
        <w:rPr>
          <w:rFonts w:cs="Times New Roman"/>
          <w:sz w:val="22"/>
          <w:lang w:eastAsia="en-US"/>
        </w:rPr>
      </w:pPr>
      <w:r>
        <w:rPr>
          <w:rFonts w:cs="Times New Roman"/>
        </w:rPr>
        <w:t>Where: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52"/>
        <w:gridCol w:w="341"/>
        <w:gridCol w:w="3576"/>
      </w:tblGrid>
      <w:tr w:rsidR="00E02AB1" w:rsidTr="00E02AB1">
        <w:tc>
          <w:tcPr>
            <w:tcW w:w="0" w:type="auto"/>
            <w:hideMark/>
          </w:tcPr>
          <w:p w:rsidR="00E02AB1" w:rsidRDefault="00EF1EDC">
            <w:pPr>
              <w:spacing w:after="0"/>
              <w:rPr>
                <w:rFonts w:cs="Times New Roman"/>
                <w:szCs w:val="24"/>
                <w:lang w:eastAsia="en-US"/>
              </w:rPr>
            </w:pPr>
            <m:oMathPara>
              <m:oMath>
                <m:sSub>
                  <m:sSubPr>
                    <m:ctrlPr>
                      <w:rPr>
                        <w:rFonts w:ascii="Cambria Math" w:hAnsi="Cambria Math" w:cs="Times New Roman"/>
                        <w:i/>
                        <w:lang w:eastAsia="en-US"/>
                      </w:rPr>
                    </m:ctrlPr>
                  </m:sSubPr>
                  <m:e>
                    <m:r>
                      <w:rPr>
                        <w:rFonts w:ascii="Cambria Math" w:hAnsi="Cambria Math" w:cs="Times New Roman"/>
                      </w:rPr>
                      <m:t>EDS</m:t>
                    </m:r>
                  </m:e>
                  <m:sub>
                    <m:r>
                      <w:rPr>
                        <w:rFonts w:ascii="Cambria Math" w:hAnsi="Cambria Math" w:cs="Times New Roman"/>
                      </w:rPr>
                      <m:t>i,t</m:t>
                    </m:r>
                  </m:sub>
                </m:sSub>
              </m:oMath>
            </m:oMathPara>
          </w:p>
        </w:tc>
        <w:tc>
          <w:tcPr>
            <w:tcW w:w="0" w:type="auto"/>
            <w:hideMark/>
          </w:tcPr>
          <w:p w:rsidR="00E02AB1" w:rsidRDefault="00E02AB1">
            <w:pPr>
              <w:spacing w:after="0"/>
              <w:rPr>
                <w:rFonts w:cs="Times New Roman"/>
                <w:szCs w:val="24"/>
                <w:lang w:eastAsia="en-US"/>
              </w:rPr>
            </w:pPr>
            <w:r>
              <w:rPr>
                <w:rFonts w:cs="Times New Roman"/>
                <w:szCs w:val="24"/>
              </w:rPr>
              <w:t>=</w:t>
            </w:r>
          </w:p>
        </w:tc>
        <w:tc>
          <w:tcPr>
            <w:tcW w:w="0" w:type="auto"/>
            <w:hideMark/>
          </w:tcPr>
          <w:p w:rsidR="00E02AB1" w:rsidRDefault="00E02AB1">
            <w:pPr>
              <w:spacing w:after="0"/>
              <w:rPr>
                <w:rFonts w:cs="Times New Roman"/>
                <w:szCs w:val="24"/>
                <w:lang w:eastAsia="en-US"/>
              </w:rPr>
            </w:pPr>
            <w:r>
              <w:rPr>
                <w:rFonts w:cs="Times New Roman"/>
                <w:szCs w:val="24"/>
              </w:rPr>
              <w:t>the number of executive directors</w:t>
            </w:r>
          </w:p>
        </w:tc>
      </w:tr>
      <w:tr w:rsidR="00E02AB1" w:rsidTr="00E02AB1">
        <w:tc>
          <w:tcPr>
            <w:tcW w:w="0" w:type="auto"/>
            <w:hideMark/>
          </w:tcPr>
          <w:p w:rsidR="00E02AB1" w:rsidRDefault="00EF1EDC">
            <w:pPr>
              <w:spacing w:after="0"/>
              <w:rPr>
                <w:rFonts w:cs="Times New Roman"/>
                <w:szCs w:val="24"/>
                <w:lang w:eastAsia="en-US"/>
              </w:rPr>
            </w:pPr>
            <m:oMathPara>
              <m:oMath>
                <m:sSub>
                  <m:sSubPr>
                    <m:ctrlPr>
                      <w:rPr>
                        <w:rFonts w:ascii="Cambria Math" w:hAnsi="Cambria Math" w:cs="Times New Roman"/>
                        <w:i/>
                        <w:lang w:eastAsia="en-US"/>
                      </w:rPr>
                    </m:ctrlPr>
                  </m:sSubPr>
                  <m:e>
                    <m:r>
                      <w:rPr>
                        <w:rFonts w:ascii="Cambria Math" w:hAnsi="Cambria Math" w:cs="Times New Roman"/>
                      </w:rPr>
                      <m:t>NEDS</m:t>
                    </m:r>
                  </m:e>
                  <m:sub>
                    <m:r>
                      <w:rPr>
                        <w:rFonts w:ascii="Cambria Math" w:hAnsi="Cambria Math" w:cs="Times New Roman"/>
                      </w:rPr>
                      <m:t>i,t</m:t>
                    </m:r>
                  </m:sub>
                </m:sSub>
              </m:oMath>
            </m:oMathPara>
          </w:p>
        </w:tc>
        <w:tc>
          <w:tcPr>
            <w:tcW w:w="0" w:type="auto"/>
            <w:hideMark/>
          </w:tcPr>
          <w:p w:rsidR="00E02AB1" w:rsidRDefault="00E02AB1">
            <w:pPr>
              <w:spacing w:after="0"/>
              <w:rPr>
                <w:rFonts w:cs="Times New Roman"/>
                <w:szCs w:val="24"/>
                <w:lang w:eastAsia="en-US"/>
              </w:rPr>
            </w:pPr>
            <w:r>
              <w:rPr>
                <w:rFonts w:cs="Times New Roman"/>
                <w:szCs w:val="24"/>
              </w:rPr>
              <w:t>=</w:t>
            </w:r>
          </w:p>
        </w:tc>
        <w:tc>
          <w:tcPr>
            <w:tcW w:w="0" w:type="auto"/>
            <w:hideMark/>
          </w:tcPr>
          <w:p w:rsidR="00E02AB1" w:rsidRDefault="00E02AB1">
            <w:pPr>
              <w:spacing w:after="0"/>
              <w:rPr>
                <w:rFonts w:cs="Times New Roman"/>
                <w:szCs w:val="24"/>
                <w:lang w:eastAsia="en-US"/>
              </w:rPr>
            </w:pPr>
            <w:r>
              <w:rPr>
                <w:rFonts w:cs="Times New Roman"/>
                <w:szCs w:val="24"/>
              </w:rPr>
              <w:t>the number of non-executive directors</w:t>
            </w:r>
          </w:p>
        </w:tc>
      </w:tr>
    </w:tbl>
    <w:p w:rsidR="00E02AB1" w:rsidRPr="00B9756C" w:rsidRDefault="00E02AB1" w:rsidP="00E02AB1">
      <w:pPr>
        <w:rPr>
          <w:rFonts w:cs="Times New Roman"/>
          <w:b/>
          <w:szCs w:val="24"/>
          <w:lang w:eastAsia="en-US"/>
        </w:rPr>
      </w:pPr>
      <w:r>
        <w:rPr>
          <w:rFonts w:cs="Times New Roman"/>
          <w:b/>
          <w:szCs w:val="24"/>
        </w:rPr>
        <w:t xml:space="preserve">Control Variables </w:t>
      </w:r>
    </w:p>
    <w:p w:rsidR="00E02AB1" w:rsidRDefault="00E02AB1" w:rsidP="00682E45">
      <w:r>
        <w:t>As observed in both o</w:t>
      </w:r>
      <w:r w:rsidR="00BA23FE">
        <w:t>f regression models, firm size (</w:t>
      </w:r>
      <m:oMath>
        <m:sSub>
          <m:sSubPr>
            <m:ctrlPr>
              <w:rPr>
                <w:rFonts w:ascii="Cambria Math" w:hAnsi="Cambria Math"/>
                <w:i/>
              </w:rPr>
            </m:ctrlPr>
          </m:sSubPr>
          <m:e>
            <m:r>
              <w:rPr>
                <w:rFonts w:ascii="Cambria Math" w:hAnsi="Cambria Math"/>
              </w:rPr>
              <m:t>FS</m:t>
            </m:r>
          </m:e>
          <m:sub>
            <m:r>
              <w:rPr>
                <w:rFonts w:ascii="Cambria Math" w:hAnsi="Cambria Math"/>
              </w:rPr>
              <m:t>i,t</m:t>
            </m:r>
          </m:sub>
        </m:sSub>
      </m:oMath>
      <w:r w:rsidR="00BA23FE">
        <w:t>), return on equity (</w:t>
      </w:r>
      <m:oMath>
        <m:sSub>
          <m:sSubPr>
            <m:ctrlPr>
              <w:rPr>
                <w:rFonts w:ascii="Cambria Math" w:hAnsi="Cambria Math"/>
                <w:i/>
              </w:rPr>
            </m:ctrlPr>
          </m:sSubPr>
          <m:e>
            <m:r>
              <w:rPr>
                <w:rFonts w:ascii="Cambria Math" w:hAnsi="Cambria Math"/>
              </w:rPr>
              <m:t>ROE</m:t>
            </m:r>
          </m:e>
          <m:sub>
            <m:r>
              <w:rPr>
                <w:rFonts w:ascii="Cambria Math" w:hAnsi="Cambria Math"/>
              </w:rPr>
              <m:t>i,t</m:t>
            </m:r>
          </m:sub>
        </m:sSub>
      </m:oMath>
      <w:r w:rsidR="00BA23FE">
        <w:t xml:space="preserve">) </w:t>
      </w:r>
      <w:r>
        <w:t>and leverage</w:t>
      </w:r>
      <w:r w:rsidR="00BA23FE">
        <w:t xml:space="preserve"> (</w:t>
      </w:r>
      <m:oMath>
        <m:sSub>
          <m:sSubPr>
            <m:ctrlPr>
              <w:rPr>
                <w:rFonts w:ascii="Cambria Math" w:hAnsi="Cambria Math" w:cs="Times New Roman"/>
                <w:i/>
                <w:szCs w:val="24"/>
                <w:lang w:eastAsia="en-US"/>
              </w:rPr>
            </m:ctrlPr>
          </m:sSubPr>
          <m:e>
            <m:r>
              <w:rPr>
                <w:rFonts w:ascii="Cambria Math" w:hAnsi="Cambria Math" w:cs="Times New Roman"/>
                <w:szCs w:val="24"/>
              </w:rPr>
              <m:t>Leverage</m:t>
            </m:r>
          </m:e>
          <m:sub>
            <m:r>
              <w:rPr>
                <w:rFonts w:ascii="Cambria Math" w:hAnsi="Cambria Math" w:cs="Times New Roman"/>
                <w:szCs w:val="24"/>
              </w:rPr>
              <m:t>i,t</m:t>
            </m:r>
          </m:sub>
        </m:sSub>
      </m:oMath>
      <w:r w:rsidR="00BA23FE">
        <w:rPr>
          <w:szCs w:val="24"/>
          <w:lang w:eastAsia="en-US"/>
        </w:rPr>
        <w:t xml:space="preserve">) </w:t>
      </w:r>
      <w:r>
        <w:t>are included as control variables, which are included into multivariate regression models as explanatory variables for statistical analysis. The reason of controlling these variables is because they may potentially correlate to both independent va</w:t>
      </w:r>
      <w:r w:rsidR="00FB5106">
        <w:t>riables and dependent variable</w:t>
      </w:r>
      <w:r>
        <w:t>. Without including control variables, it would result in correlated omitted variables bias</w:t>
      </w:r>
      <w:r>
        <w:rPr>
          <w:rStyle w:val="FootnoteReference"/>
          <w:rFonts w:cs="Times New Roman"/>
          <w:szCs w:val="24"/>
        </w:rPr>
        <w:footnoteReference w:id="4"/>
      </w:r>
      <w:r>
        <w:t xml:space="preserve">.  </w:t>
      </w:r>
    </w:p>
    <w:p w:rsidR="00E02AB1" w:rsidRDefault="00E02AB1" w:rsidP="00682E45">
      <w:r>
        <w:t xml:space="preserve">Firm size is a critical control variable in the research of corporate governance and earnings management. Given the large-sized firms potentially are associated to lower information asymmetry and effective external monitoring, the level of earnings management activities may be lower in these companies (Meek </w:t>
      </w:r>
      <w:r>
        <w:rPr>
          <w:i/>
        </w:rPr>
        <w:t>et al.</w:t>
      </w:r>
      <w:r>
        <w:t xml:space="preserve">, 2007).  In contrast, Kim </w:t>
      </w:r>
      <w:r>
        <w:rPr>
          <w:i/>
        </w:rPr>
        <w:t>et al.</w:t>
      </w:r>
      <w:r>
        <w:t xml:space="preserve"> (2003) indicated that large-sized firms are more aggressive in earnings management than small-sized firms since the large-sized firms desire to avoid reporting decreased income which may not meet or beat the analysts’ predictions.  Because of the conflicting literature evidence, no expectations are made for the firm size coefficient. In this thesis, firm size is defined as the nature logarithm of total assets.</w:t>
      </w:r>
    </w:p>
    <w:p w:rsidR="00E02AB1" w:rsidRDefault="00E02AB1" w:rsidP="00682E45">
      <w:r>
        <w:t xml:space="preserve">Return on Equity (ROE) is another important variable which needs to be controlled. In 1996, a guideline issued by China Securities Regulatory Commission (CSRC) </w:t>
      </w:r>
      <w:r>
        <w:lastRenderedPageBreak/>
        <w:t xml:space="preserve">required that the listed firms must achieve a minimum ROE of 10 percentage of each the first three years before rights offering. This may provide management with motivations to manipulate earnings to meet the requirement of ROE (Chen </w:t>
      </w:r>
      <w:r>
        <w:rPr>
          <w:i/>
        </w:rPr>
        <w:t>et al.</w:t>
      </w:r>
      <w:r>
        <w:t>, 2004). In addition,</w:t>
      </w:r>
      <w:r>
        <w:rPr>
          <w:color w:val="FF0000"/>
        </w:rPr>
        <w:t xml:space="preserve"> </w:t>
      </w:r>
      <w:r>
        <w:t xml:space="preserve">Haw </w:t>
      </w:r>
      <w:r>
        <w:rPr>
          <w:i/>
        </w:rPr>
        <w:t>et al</w:t>
      </w:r>
      <w:r w:rsidR="00D1784F">
        <w:t>.</w:t>
      </w:r>
      <w:r w:rsidRPr="00E70433">
        <w:t xml:space="preserve"> </w:t>
      </w:r>
      <w:r>
        <w:t xml:space="preserve">(2005) indicated that rights issuing companies manage reported </w:t>
      </w:r>
      <w:r w:rsidR="00154CDC">
        <w:t xml:space="preserve">incomes to meet ROE benchmarks. </w:t>
      </w:r>
      <w:r>
        <w:t>Therefore, it expects a positive relationship between return on equity and earnings management.</w:t>
      </w:r>
    </w:p>
    <w:p w:rsidR="00E02AB1" w:rsidRDefault="00E02AB1" w:rsidP="00682E45">
      <w:r>
        <w:t>The last control variable is the leverage which is a ratio of total debt to total assets. Klein (2002) demonstrated that leverage may encourage management to engage in earnings management because high level leverage is related to debt covenants violation. Therefore, a positive relation is expected in this thesis between leverage and earnings management.</w:t>
      </w:r>
    </w:p>
    <w:p w:rsidR="00280DE8" w:rsidRDefault="00280DE8" w:rsidP="00280DE8">
      <w:pPr>
        <w:pStyle w:val="Caption"/>
        <w:keepNext/>
      </w:pPr>
      <w:r>
        <w:t>Table</w:t>
      </w:r>
      <w:r w:rsidR="003571CC">
        <w:t xml:space="preserve"> </w:t>
      </w:r>
      <w:r w:rsidR="00EF1EDC">
        <w:fldChar w:fldCharType="begin"/>
      </w:r>
      <w:r w:rsidR="00C60813">
        <w:instrText xml:space="preserve"> STYLEREF 1 \s </w:instrText>
      </w:r>
      <w:r w:rsidR="00EF1EDC">
        <w:fldChar w:fldCharType="separate"/>
      </w:r>
      <w:r>
        <w:rPr>
          <w:noProof/>
        </w:rPr>
        <w:t>5</w:t>
      </w:r>
      <w:r w:rsidR="00EF1EDC">
        <w:rPr>
          <w:noProof/>
        </w:rPr>
        <w:fldChar w:fldCharType="end"/>
      </w:r>
      <w:r>
        <w:t>.</w:t>
      </w:r>
      <w:r w:rsidR="00EF1EDC">
        <w:fldChar w:fldCharType="begin"/>
      </w:r>
      <w:r w:rsidR="00F22E67">
        <w:instrText xml:space="preserve"> SEQ Table \* ARABIC \s 1 </w:instrText>
      </w:r>
      <w:r w:rsidR="00EF1EDC">
        <w:fldChar w:fldCharType="separate"/>
      </w:r>
      <w:r>
        <w:rPr>
          <w:noProof/>
        </w:rPr>
        <w:t>1</w:t>
      </w:r>
      <w:r w:rsidR="00EF1EDC">
        <w:fldChar w:fldCharType="end"/>
      </w:r>
      <w:r>
        <w:t xml:space="preserve">. </w:t>
      </w:r>
      <w:r>
        <w:rPr>
          <w:rFonts w:cs="Times New Roman"/>
          <w:b w:val="0"/>
          <w:szCs w:val="24"/>
        </w:rPr>
        <w:t>Summary of dependent variable, independent variables and control variables</w:t>
      </w:r>
    </w:p>
    <w:tbl>
      <w:tblPr>
        <w:tblStyle w:val="TableGrid"/>
        <w:tblW w:w="5000" w:type="pct"/>
        <w:tblLook w:val="04A0"/>
      </w:tblPr>
      <w:tblGrid>
        <w:gridCol w:w="1623"/>
        <w:gridCol w:w="1273"/>
        <w:gridCol w:w="4425"/>
        <w:gridCol w:w="1202"/>
      </w:tblGrid>
      <w:tr w:rsidR="00E02AB1" w:rsidTr="00280DE8">
        <w:trPr>
          <w:trHeight w:val="279"/>
        </w:trPr>
        <w:tc>
          <w:tcPr>
            <w:tcW w:w="1698" w:type="pct"/>
            <w:gridSpan w:val="2"/>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jc w:val="center"/>
              <w:rPr>
                <w:rFonts w:cs="Times New Roman"/>
                <w:szCs w:val="24"/>
                <w:lang w:eastAsia="en-US"/>
              </w:rPr>
            </w:pPr>
            <w:r>
              <w:rPr>
                <w:rFonts w:cs="Times New Roman"/>
                <w:szCs w:val="24"/>
              </w:rPr>
              <w:t>Variable title</w:t>
            </w:r>
          </w:p>
        </w:tc>
        <w:tc>
          <w:tcPr>
            <w:tcW w:w="2596"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r>
              <w:rPr>
                <w:rFonts w:cs="Times New Roman"/>
                <w:szCs w:val="24"/>
              </w:rPr>
              <w:t xml:space="preserve">Measurement </w:t>
            </w:r>
          </w:p>
        </w:tc>
        <w:tc>
          <w:tcPr>
            <w:tcW w:w="706"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r>
              <w:rPr>
                <w:rFonts w:cs="Times New Roman"/>
                <w:szCs w:val="24"/>
              </w:rPr>
              <w:t>Prediction</w:t>
            </w:r>
          </w:p>
        </w:tc>
      </w:tr>
      <w:tr w:rsidR="00E02AB1" w:rsidTr="00280DE8">
        <w:trPr>
          <w:trHeight w:val="560"/>
        </w:trPr>
        <w:tc>
          <w:tcPr>
            <w:tcW w:w="952"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rPr>
            </w:pPr>
            <w:r>
              <w:rPr>
                <w:rFonts w:cs="Times New Roman"/>
                <w:szCs w:val="24"/>
              </w:rPr>
              <w:t>Dependent</w:t>
            </w:r>
          </w:p>
          <w:p w:rsidR="00E02AB1" w:rsidRDefault="00E02AB1">
            <w:pPr>
              <w:spacing w:after="0" w:line="240" w:lineRule="auto"/>
              <w:rPr>
                <w:rFonts w:cs="Times New Roman"/>
                <w:szCs w:val="24"/>
                <w:lang w:eastAsia="en-US"/>
              </w:rPr>
            </w:pPr>
            <w:r>
              <w:rPr>
                <w:rFonts w:cs="Times New Roman"/>
                <w:szCs w:val="24"/>
              </w:rPr>
              <w:t>variable</w:t>
            </w:r>
          </w:p>
        </w:tc>
        <w:tc>
          <w:tcPr>
            <w:tcW w:w="747" w:type="pct"/>
            <w:tcBorders>
              <w:top w:val="single" w:sz="4" w:space="0" w:color="auto"/>
              <w:left w:val="single" w:sz="4" w:space="0" w:color="auto"/>
              <w:bottom w:val="single" w:sz="4" w:space="0" w:color="auto"/>
              <w:right w:val="single" w:sz="4" w:space="0" w:color="auto"/>
            </w:tcBorders>
            <w:vAlign w:val="center"/>
            <w:hideMark/>
          </w:tcPr>
          <w:p w:rsidR="00E02AB1" w:rsidRPr="00437E84" w:rsidRDefault="00E02AB1">
            <w:pPr>
              <w:spacing w:after="0"/>
              <w:rPr>
                <w:rFonts w:ascii="Cambria Math" w:hAnsi="Cambria Math" w:cs="Times New Roman"/>
                <w:vertAlign w:val="subscript"/>
                <w:lang w:eastAsia="en-US"/>
              </w:rPr>
            </w:pPr>
            <w:r>
              <w:rPr>
                <w:rFonts w:ascii="Cambria Math" w:hAnsi="Cambria Math" w:cs="Times New Roman"/>
                <w:i/>
              </w:rPr>
              <w:t>DA</w:t>
            </w:r>
            <w:r w:rsidR="00437E84" w:rsidRPr="00437E84">
              <w:rPr>
                <w:i/>
                <w:vertAlign w:val="subscript"/>
              </w:rPr>
              <w:t>i,t</w:t>
            </w:r>
          </w:p>
        </w:tc>
        <w:tc>
          <w:tcPr>
            <w:tcW w:w="2596"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r>
              <w:rPr>
                <w:rFonts w:cs="Times New Roman"/>
                <w:szCs w:val="24"/>
              </w:rPr>
              <w:t>Absolute value of discretionary accruals</w:t>
            </w:r>
          </w:p>
        </w:tc>
        <w:tc>
          <w:tcPr>
            <w:tcW w:w="706" w:type="pct"/>
            <w:tcBorders>
              <w:top w:val="single" w:sz="4" w:space="0" w:color="auto"/>
              <w:left w:val="single" w:sz="4" w:space="0" w:color="auto"/>
              <w:bottom w:val="single" w:sz="4" w:space="0" w:color="auto"/>
              <w:right w:val="single" w:sz="4" w:space="0" w:color="auto"/>
            </w:tcBorders>
          </w:tcPr>
          <w:p w:rsidR="00E02AB1" w:rsidRDefault="00E02AB1">
            <w:pPr>
              <w:spacing w:after="0" w:line="240" w:lineRule="auto"/>
              <w:rPr>
                <w:rFonts w:cs="Times New Roman"/>
                <w:szCs w:val="24"/>
                <w:lang w:eastAsia="en-US"/>
              </w:rPr>
            </w:pPr>
          </w:p>
        </w:tc>
      </w:tr>
      <w:tr w:rsidR="00E02AB1" w:rsidTr="00280DE8">
        <w:trPr>
          <w:trHeight w:val="295"/>
        </w:trPr>
        <w:tc>
          <w:tcPr>
            <w:tcW w:w="952" w:type="pct"/>
            <w:vMerge w:val="restar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r>
              <w:rPr>
                <w:rFonts w:cs="Times New Roman"/>
                <w:szCs w:val="24"/>
              </w:rPr>
              <w:t>Independent variables</w:t>
            </w:r>
          </w:p>
        </w:tc>
        <w:tc>
          <w:tcPr>
            <w:tcW w:w="747"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ascii="Cambria Math" w:hAnsi="Cambria Math" w:cs="Times New Roman"/>
                <w:b/>
                <w:i/>
                <w:lang w:val="nl-NL" w:eastAsia="en-US"/>
              </w:rPr>
            </w:pPr>
            <w:r>
              <w:rPr>
                <w:rFonts w:ascii="Cambria Math" w:hAnsi="Cambria Math" w:cs="Times New Roman"/>
                <w:i/>
              </w:rPr>
              <w:t>BS</w:t>
            </w:r>
            <w:r>
              <w:rPr>
                <w:rFonts w:ascii="Cambria Math" w:hAnsi="Cambria Math" w:cs="Times New Roman"/>
                <w:i/>
                <w:vertAlign w:val="subscript"/>
              </w:rPr>
              <w:t>i,t</w:t>
            </w:r>
          </w:p>
        </w:tc>
        <w:tc>
          <w:tcPr>
            <w:tcW w:w="2596"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r>
              <w:rPr>
                <w:rFonts w:cs="Times New Roman"/>
                <w:szCs w:val="24"/>
              </w:rPr>
              <w:t>Total number of board directors</w:t>
            </w:r>
          </w:p>
        </w:tc>
        <w:tc>
          <w:tcPr>
            <w:tcW w:w="706" w:type="pct"/>
            <w:tcBorders>
              <w:top w:val="single" w:sz="4" w:space="0" w:color="auto"/>
              <w:left w:val="single" w:sz="4" w:space="0" w:color="auto"/>
              <w:bottom w:val="single" w:sz="4" w:space="0" w:color="auto"/>
              <w:right w:val="single" w:sz="4" w:space="0" w:color="auto"/>
            </w:tcBorders>
            <w:hideMark/>
          </w:tcPr>
          <w:p w:rsidR="00E02AB1" w:rsidRDefault="00E02AB1">
            <w:pPr>
              <w:spacing w:after="0" w:line="240" w:lineRule="auto"/>
              <w:rPr>
                <w:rFonts w:cs="Times New Roman"/>
                <w:szCs w:val="24"/>
                <w:lang w:eastAsia="en-US"/>
              </w:rPr>
            </w:pPr>
            <w:r>
              <w:rPr>
                <w:rFonts w:cs="Times New Roman"/>
                <w:szCs w:val="24"/>
              </w:rPr>
              <w:t>-</w:t>
            </w:r>
          </w:p>
        </w:tc>
      </w:tr>
      <w:tr w:rsidR="00E02AB1" w:rsidTr="00280DE8">
        <w:trPr>
          <w:trHeight w:val="150"/>
        </w:trPr>
        <w:tc>
          <w:tcPr>
            <w:tcW w:w="952" w:type="pct"/>
            <w:vMerge/>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p>
        </w:tc>
        <w:tc>
          <w:tcPr>
            <w:tcW w:w="747"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ascii="Cambria Math" w:hAnsi="Cambria Math" w:cs="Times New Roman"/>
                <w:b/>
                <w:vertAlign w:val="subscript"/>
                <w:lang w:eastAsia="en-US"/>
              </w:rPr>
            </w:pPr>
            <w:r>
              <w:rPr>
                <w:rFonts w:ascii="Cambria Math" w:hAnsi="Cambria Math" w:cs="Times New Roman"/>
                <w:i/>
              </w:rPr>
              <w:t>BI</w:t>
            </w:r>
            <w:r>
              <w:rPr>
                <w:rFonts w:ascii="Cambria Math" w:hAnsi="Cambria Math" w:cs="Times New Roman"/>
                <w:i/>
                <w:vertAlign w:val="subscript"/>
              </w:rPr>
              <w:t>i,t</w:t>
            </w:r>
          </w:p>
        </w:tc>
        <w:tc>
          <w:tcPr>
            <w:tcW w:w="2596"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r>
              <w:rPr>
                <w:rFonts w:cs="Times New Roman"/>
                <w:szCs w:val="24"/>
              </w:rPr>
              <w:t>Ratio of number of independent directors to total number of board directors</w:t>
            </w:r>
          </w:p>
        </w:tc>
        <w:tc>
          <w:tcPr>
            <w:tcW w:w="706" w:type="pct"/>
            <w:tcBorders>
              <w:top w:val="single" w:sz="4" w:space="0" w:color="auto"/>
              <w:left w:val="single" w:sz="4" w:space="0" w:color="auto"/>
              <w:bottom w:val="single" w:sz="4" w:space="0" w:color="auto"/>
              <w:right w:val="single" w:sz="4" w:space="0" w:color="auto"/>
            </w:tcBorders>
            <w:hideMark/>
          </w:tcPr>
          <w:p w:rsidR="00E02AB1" w:rsidRDefault="00E02AB1">
            <w:pPr>
              <w:spacing w:after="0" w:line="240" w:lineRule="auto"/>
              <w:rPr>
                <w:rFonts w:cs="Times New Roman"/>
                <w:szCs w:val="24"/>
                <w:lang w:eastAsia="en-US"/>
              </w:rPr>
            </w:pPr>
            <w:r>
              <w:rPr>
                <w:rFonts w:cs="Times New Roman"/>
                <w:szCs w:val="24"/>
              </w:rPr>
              <w:t>-</w:t>
            </w:r>
          </w:p>
        </w:tc>
      </w:tr>
      <w:tr w:rsidR="00E02AB1" w:rsidTr="00280DE8">
        <w:trPr>
          <w:trHeight w:val="150"/>
        </w:trPr>
        <w:tc>
          <w:tcPr>
            <w:tcW w:w="952" w:type="pct"/>
            <w:vMerge/>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p>
        </w:tc>
        <w:tc>
          <w:tcPr>
            <w:tcW w:w="747"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ascii="Cambria Math" w:hAnsi="Cambria Math" w:cs="Times New Roman"/>
                <w:i/>
                <w:vertAlign w:val="subscript"/>
                <w:lang w:eastAsia="en-US"/>
              </w:rPr>
            </w:pPr>
            <w:r>
              <w:rPr>
                <w:rFonts w:ascii="Cambria Math" w:hAnsi="Cambria Math" w:cs="Times New Roman"/>
                <w:i/>
              </w:rPr>
              <w:t>CEO-dummy</w:t>
            </w:r>
            <w:r>
              <w:rPr>
                <w:rFonts w:ascii="Cambria Math" w:hAnsi="Cambria Math" w:cs="Times New Roman"/>
                <w:i/>
                <w:vertAlign w:val="subscript"/>
              </w:rPr>
              <w:t>i,t</w:t>
            </w:r>
          </w:p>
        </w:tc>
        <w:tc>
          <w:tcPr>
            <w:tcW w:w="2596"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r>
              <w:rPr>
                <w:rFonts w:cs="Times New Roman"/>
                <w:szCs w:val="24"/>
              </w:rPr>
              <w:t>Dummy variable equal to 1, if CEO and Chairman is the same individual, otherwise equal to 0</w:t>
            </w:r>
          </w:p>
        </w:tc>
        <w:tc>
          <w:tcPr>
            <w:tcW w:w="706"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r>
              <w:rPr>
                <w:rFonts w:cs="Times New Roman"/>
                <w:szCs w:val="24"/>
              </w:rPr>
              <w:t>+</w:t>
            </w:r>
          </w:p>
        </w:tc>
      </w:tr>
      <w:tr w:rsidR="00E02AB1" w:rsidTr="00280DE8">
        <w:trPr>
          <w:trHeight w:val="150"/>
        </w:trPr>
        <w:tc>
          <w:tcPr>
            <w:tcW w:w="952" w:type="pct"/>
            <w:vMerge/>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p>
        </w:tc>
        <w:tc>
          <w:tcPr>
            <w:tcW w:w="747"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ascii="Cambria Math" w:hAnsi="Cambria Math" w:cs="Times New Roman"/>
                <w:i/>
                <w:lang w:eastAsia="en-US"/>
              </w:rPr>
            </w:pPr>
            <w:r>
              <w:rPr>
                <w:rFonts w:ascii="Cambria Math" w:hAnsi="Cambria Math" w:cs="Times New Roman"/>
                <w:i/>
              </w:rPr>
              <w:t>SBS</w:t>
            </w:r>
            <w:r>
              <w:rPr>
                <w:rFonts w:ascii="Cambria Math" w:hAnsi="Cambria Math" w:cs="Times New Roman"/>
                <w:i/>
                <w:vertAlign w:val="subscript"/>
              </w:rPr>
              <w:t>i,t</w:t>
            </w:r>
          </w:p>
        </w:tc>
        <w:tc>
          <w:tcPr>
            <w:tcW w:w="2596"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r>
              <w:rPr>
                <w:rFonts w:cs="Times New Roman"/>
                <w:szCs w:val="24"/>
              </w:rPr>
              <w:t>Total number of supervisory board directors</w:t>
            </w:r>
          </w:p>
        </w:tc>
        <w:tc>
          <w:tcPr>
            <w:tcW w:w="706"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r>
              <w:rPr>
                <w:rFonts w:cs="Times New Roman"/>
                <w:szCs w:val="24"/>
              </w:rPr>
              <w:t>-</w:t>
            </w:r>
          </w:p>
        </w:tc>
      </w:tr>
      <w:tr w:rsidR="00E02AB1" w:rsidTr="00280DE8">
        <w:trPr>
          <w:trHeight w:val="150"/>
        </w:trPr>
        <w:tc>
          <w:tcPr>
            <w:tcW w:w="952" w:type="pct"/>
            <w:vMerge/>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p>
        </w:tc>
        <w:tc>
          <w:tcPr>
            <w:tcW w:w="747"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ascii="Cambria Math" w:hAnsi="Cambria Math" w:cs="Times New Roman"/>
                <w:i/>
                <w:vertAlign w:val="subscript"/>
                <w:lang w:eastAsia="en-US"/>
              </w:rPr>
            </w:pPr>
            <w:r>
              <w:rPr>
                <w:rFonts w:ascii="Cambria Math" w:hAnsi="Cambria Math" w:cs="Times New Roman"/>
                <w:i/>
              </w:rPr>
              <w:t>Insider</w:t>
            </w:r>
            <w:r>
              <w:rPr>
                <w:rFonts w:ascii="Cambria Math" w:hAnsi="Cambria Math" w:cs="Times New Roman"/>
                <w:i/>
                <w:vertAlign w:val="subscript"/>
              </w:rPr>
              <w:t>i,t</w:t>
            </w:r>
          </w:p>
        </w:tc>
        <w:tc>
          <w:tcPr>
            <w:tcW w:w="2596"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r>
              <w:rPr>
                <w:rFonts w:cs="Times New Roman"/>
                <w:szCs w:val="24"/>
              </w:rPr>
              <w:t>Percentages of outstanding shares hold by management.</w:t>
            </w:r>
          </w:p>
        </w:tc>
        <w:tc>
          <w:tcPr>
            <w:tcW w:w="706"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r>
              <w:rPr>
                <w:rFonts w:cs="Times New Roman"/>
                <w:szCs w:val="24"/>
              </w:rPr>
              <w:t>+</w:t>
            </w:r>
          </w:p>
        </w:tc>
      </w:tr>
      <w:tr w:rsidR="00E02AB1" w:rsidTr="00280DE8">
        <w:trPr>
          <w:trHeight w:val="150"/>
        </w:trPr>
        <w:tc>
          <w:tcPr>
            <w:tcW w:w="952" w:type="pct"/>
            <w:vMerge/>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p>
        </w:tc>
        <w:tc>
          <w:tcPr>
            <w:tcW w:w="747"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ascii="Cambria Math" w:hAnsi="Cambria Math" w:cs="Times New Roman"/>
                <w:i/>
                <w:vertAlign w:val="subscript"/>
                <w:lang w:eastAsia="en-US"/>
              </w:rPr>
            </w:pPr>
            <w:r>
              <w:rPr>
                <w:rFonts w:ascii="Cambria Math" w:hAnsi="Cambria Math" w:cs="Times New Roman"/>
                <w:i/>
              </w:rPr>
              <w:t>Block- holder</w:t>
            </w:r>
            <w:r>
              <w:rPr>
                <w:rFonts w:ascii="Cambria Math" w:hAnsi="Cambria Math" w:cs="Times New Roman"/>
                <w:i/>
                <w:vertAlign w:val="subscript"/>
              </w:rPr>
              <w:t>i,t</w:t>
            </w:r>
          </w:p>
        </w:tc>
        <w:tc>
          <w:tcPr>
            <w:tcW w:w="2596"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r>
              <w:rPr>
                <w:rFonts w:cs="Times New Roman"/>
                <w:szCs w:val="24"/>
              </w:rPr>
              <w:t>Percentages of outstanding shares hold by any 5% or greater shareholders</w:t>
            </w:r>
          </w:p>
        </w:tc>
        <w:tc>
          <w:tcPr>
            <w:tcW w:w="706"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r>
              <w:rPr>
                <w:rFonts w:cs="Times New Roman"/>
                <w:szCs w:val="24"/>
              </w:rPr>
              <w:t>-</w:t>
            </w:r>
          </w:p>
        </w:tc>
      </w:tr>
      <w:tr w:rsidR="00E02AB1" w:rsidTr="00280DE8">
        <w:trPr>
          <w:trHeight w:val="150"/>
        </w:trPr>
        <w:tc>
          <w:tcPr>
            <w:tcW w:w="952" w:type="pct"/>
            <w:vMerge/>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p>
        </w:tc>
        <w:tc>
          <w:tcPr>
            <w:tcW w:w="747"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ascii="Cambria Math" w:hAnsi="Cambria Math" w:cs="Times New Roman"/>
                <w:i/>
                <w:lang w:eastAsia="en-US"/>
              </w:rPr>
            </w:pPr>
            <w:r>
              <w:rPr>
                <w:rFonts w:ascii="Cambria Math" w:hAnsi="Cambria Math" w:cs="Times New Roman"/>
                <w:i/>
              </w:rPr>
              <w:t>NEDS</w:t>
            </w:r>
            <w:r>
              <w:rPr>
                <w:rFonts w:ascii="Cambria Math" w:hAnsi="Cambria Math" w:cs="Times New Roman"/>
                <w:i/>
                <w:vertAlign w:val="subscript"/>
              </w:rPr>
              <w:t>i,t</w:t>
            </w:r>
          </w:p>
        </w:tc>
        <w:tc>
          <w:tcPr>
            <w:tcW w:w="2596"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rPr>
            </w:pPr>
            <w:r>
              <w:rPr>
                <w:rFonts w:cs="Times New Roman"/>
                <w:szCs w:val="24"/>
              </w:rPr>
              <w:t>Total number of non-executive directors</w:t>
            </w:r>
          </w:p>
        </w:tc>
        <w:tc>
          <w:tcPr>
            <w:tcW w:w="706"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r>
              <w:rPr>
                <w:rFonts w:cs="Times New Roman"/>
                <w:szCs w:val="24"/>
              </w:rPr>
              <w:t>-</w:t>
            </w:r>
          </w:p>
        </w:tc>
      </w:tr>
      <w:tr w:rsidR="00E02AB1" w:rsidTr="00280DE8">
        <w:trPr>
          <w:trHeight w:val="150"/>
        </w:trPr>
        <w:tc>
          <w:tcPr>
            <w:tcW w:w="952" w:type="pct"/>
            <w:vMerge/>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p>
        </w:tc>
        <w:tc>
          <w:tcPr>
            <w:tcW w:w="747"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ascii="Cambria Math" w:hAnsi="Cambria Math" w:cs="Times New Roman"/>
                <w:i/>
                <w:lang w:eastAsia="en-US"/>
              </w:rPr>
            </w:pPr>
            <w:r>
              <w:rPr>
                <w:rFonts w:ascii="Cambria Math" w:hAnsi="Cambria Math" w:cs="Times New Roman"/>
                <w:i/>
              </w:rPr>
              <w:t>EDS</w:t>
            </w:r>
            <w:r>
              <w:rPr>
                <w:rFonts w:ascii="Cambria Math" w:hAnsi="Cambria Math" w:cs="Times New Roman"/>
                <w:i/>
                <w:vertAlign w:val="subscript"/>
              </w:rPr>
              <w:t>i,t</w:t>
            </w:r>
          </w:p>
        </w:tc>
        <w:tc>
          <w:tcPr>
            <w:tcW w:w="2596"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rPr>
            </w:pPr>
            <w:r>
              <w:rPr>
                <w:rFonts w:cs="Times New Roman"/>
                <w:szCs w:val="24"/>
              </w:rPr>
              <w:t>Total number of  executive directors</w:t>
            </w:r>
          </w:p>
        </w:tc>
        <w:tc>
          <w:tcPr>
            <w:tcW w:w="706"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r>
              <w:rPr>
                <w:rFonts w:cs="Times New Roman"/>
                <w:szCs w:val="24"/>
              </w:rPr>
              <w:t>+</w:t>
            </w:r>
          </w:p>
        </w:tc>
      </w:tr>
      <w:tr w:rsidR="00E02AB1" w:rsidTr="00280DE8">
        <w:trPr>
          <w:trHeight w:val="279"/>
        </w:trPr>
        <w:tc>
          <w:tcPr>
            <w:tcW w:w="952" w:type="pct"/>
            <w:vMerge w:val="restar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r>
              <w:rPr>
                <w:rFonts w:cs="Times New Roman"/>
                <w:szCs w:val="24"/>
              </w:rPr>
              <w:t>Control variables</w:t>
            </w:r>
          </w:p>
        </w:tc>
        <w:tc>
          <w:tcPr>
            <w:tcW w:w="747"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ascii="Cambria Math" w:hAnsi="Cambria Math" w:cs="Times New Roman"/>
                <w:i/>
                <w:lang w:eastAsia="en-US"/>
              </w:rPr>
            </w:pPr>
            <w:r>
              <w:rPr>
                <w:rFonts w:ascii="Cambria Math" w:hAnsi="Cambria Math" w:cs="Times New Roman"/>
                <w:i/>
              </w:rPr>
              <w:t>FS</w:t>
            </w:r>
            <w:r>
              <w:rPr>
                <w:rFonts w:ascii="Cambria Math" w:hAnsi="Cambria Math" w:cs="Times New Roman"/>
                <w:i/>
                <w:vertAlign w:val="subscript"/>
              </w:rPr>
              <w:t>i,t</w:t>
            </w:r>
          </w:p>
        </w:tc>
        <w:tc>
          <w:tcPr>
            <w:tcW w:w="2596"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r>
              <w:rPr>
                <w:rFonts w:cs="Times New Roman"/>
                <w:szCs w:val="24"/>
              </w:rPr>
              <w:t>Nature logarithm of total assets</w:t>
            </w:r>
          </w:p>
        </w:tc>
        <w:tc>
          <w:tcPr>
            <w:tcW w:w="706"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r>
              <w:rPr>
                <w:rFonts w:cs="Times New Roman"/>
                <w:szCs w:val="24"/>
              </w:rPr>
              <w:t>N/A</w:t>
            </w:r>
          </w:p>
        </w:tc>
      </w:tr>
      <w:tr w:rsidR="00E02AB1" w:rsidTr="00280DE8">
        <w:trPr>
          <w:trHeight w:val="150"/>
        </w:trPr>
        <w:tc>
          <w:tcPr>
            <w:tcW w:w="952" w:type="pct"/>
            <w:vMerge/>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p>
        </w:tc>
        <w:tc>
          <w:tcPr>
            <w:tcW w:w="747"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ascii="Cambria Math" w:hAnsi="Cambria Math" w:cs="Times New Roman"/>
                <w:i/>
                <w:lang w:eastAsia="en-US"/>
              </w:rPr>
            </w:pPr>
            <w:r>
              <w:rPr>
                <w:rFonts w:ascii="Cambria Math" w:hAnsi="Cambria Math" w:cs="Times New Roman"/>
                <w:i/>
              </w:rPr>
              <w:t>ROE</w:t>
            </w:r>
            <w:r>
              <w:rPr>
                <w:rFonts w:ascii="Cambria Math" w:hAnsi="Cambria Math" w:cs="Times New Roman"/>
                <w:i/>
                <w:vertAlign w:val="subscript"/>
              </w:rPr>
              <w:t>i,t</w:t>
            </w:r>
          </w:p>
        </w:tc>
        <w:tc>
          <w:tcPr>
            <w:tcW w:w="2596"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r>
              <w:rPr>
                <w:rFonts w:cs="Times New Roman"/>
                <w:szCs w:val="24"/>
              </w:rPr>
              <w:t xml:space="preserve">Nature logarithm of net income divide total equity </w:t>
            </w:r>
          </w:p>
        </w:tc>
        <w:tc>
          <w:tcPr>
            <w:tcW w:w="706"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r>
              <w:rPr>
                <w:rFonts w:cs="Times New Roman"/>
                <w:szCs w:val="24"/>
              </w:rPr>
              <w:t>+</w:t>
            </w:r>
          </w:p>
        </w:tc>
      </w:tr>
      <w:tr w:rsidR="00E02AB1" w:rsidTr="00280DE8">
        <w:trPr>
          <w:trHeight w:val="20"/>
        </w:trPr>
        <w:tc>
          <w:tcPr>
            <w:tcW w:w="952" w:type="pct"/>
            <w:vMerge/>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p>
        </w:tc>
        <w:tc>
          <w:tcPr>
            <w:tcW w:w="747"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ascii="Cambria Math" w:hAnsi="Cambria Math" w:cs="Times New Roman"/>
                <w:i/>
                <w:vertAlign w:val="subscript"/>
                <w:lang w:eastAsia="en-US"/>
              </w:rPr>
            </w:pPr>
            <w:r>
              <w:rPr>
                <w:rFonts w:ascii="Cambria Math" w:hAnsi="Cambria Math" w:cs="Times New Roman"/>
                <w:i/>
              </w:rPr>
              <w:t>Leverage</w:t>
            </w:r>
            <w:r>
              <w:rPr>
                <w:rFonts w:ascii="Cambria Math" w:hAnsi="Cambria Math" w:cs="Times New Roman"/>
                <w:i/>
                <w:vertAlign w:val="subscript"/>
              </w:rPr>
              <w:t>i,t</w:t>
            </w:r>
          </w:p>
        </w:tc>
        <w:tc>
          <w:tcPr>
            <w:tcW w:w="2596"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r>
              <w:rPr>
                <w:rFonts w:cs="Times New Roman"/>
                <w:szCs w:val="24"/>
              </w:rPr>
              <w:t>Nature logarithm of the ratio total debt divide total assets</w:t>
            </w:r>
          </w:p>
        </w:tc>
        <w:tc>
          <w:tcPr>
            <w:tcW w:w="706"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szCs w:val="24"/>
                <w:lang w:eastAsia="en-US"/>
              </w:rPr>
            </w:pPr>
            <w:r>
              <w:rPr>
                <w:rFonts w:cs="Times New Roman"/>
                <w:szCs w:val="24"/>
              </w:rPr>
              <w:t>+</w:t>
            </w:r>
          </w:p>
        </w:tc>
      </w:tr>
    </w:tbl>
    <w:p w:rsidR="00E02AB1" w:rsidRDefault="00E02AB1" w:rsidP="00682E45">
      <w:r>
        <w:t xml:space="preserve">In order to show a clear research picture of this thesis, a predictive validity framework which is also known as Libby Boxes is provided below. This is a very helpful tool to </w:t>
      </w:r>
      <w:r>
        <w:lastRenderedPageBreak/>
        <w:t>illustrate the process and design of research thesis (Libby, 1981). In this framework, the theoretical concepts, measurements of the concepts, process and design of this research thesis will be indicated.</w:t>
      </w:r>
    </w:p>
    <w:p w:rsidR="006D352E" w:rsidRDefault="006D352E" w:rsidP="006D352E">
      <w:pPr>
        <w:keepNext/>
      </w:pPr>
      <w:r>
        <w:rPr>
          <w:noProof/>
        </w:rPr>
        <w:drawing>
          <wp:inline distT="0" distB="0" distL="0" distR="0">
            <wp:extent cx="5260975" cy="185229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60975" cy="1852295"/>
                    </a:xfrm>
                    <a:prstGeom prst="rect">
                      <a:avLst/>
                    </a:prstGeom>
                    <a:noFill/>
                    <a:ln>
                      <a:noFill/>
                    </a:ln>
                  </pic:spPr>
                </pic:pic>
              </a:graphicData>
            </a:graphic>
          </wp:inline>
        </w:drawing>
      </w:r>
    </w:p>
    <w:p w:rsidR="006D352E" w:rsidRDefault="006D352E" w:rsidP="006D352E">
      <w:pPr>
        <w:pStyle w:val="Caption"/>
      </w:pPr>
      <w:r>
        <w:t xml:space="preserve">Fig. </w:t>
      </w:r>
      <w:r w:rsidR="00EF1EDC">
        <w:fldChar w:fldCharType="begin"/>
      </w:r>
      <w:r w:rsidR="00C60813">
        <w:instrText xml:space="preserve"> STYLEREF 1 \s </w:instrText>
      </w:r>
      <w:r w:rsidR="00EF1EDC">
        <w:fldChar w:fldCharType="separate"/>
      </w:r>
      <w:r>
        <w:rPr>
          <w:noProof/>
        </w:rPr>
        <w:t>5</w:t>
      </w:r>
      <w:r w:rsidR="00EF1EDC">
        <w:rPr>
          <w:noProof/>
        </w:rPr>
        <w:fldChar w:fldCharType="end"/>
      </w:r>
      <w:r>
        <w:t>.</w:t>
      </w:r>
      <w:r w:rsidR="00EF1EDC">
        <w:fldChar w:fldCharType="begin"/>
      </w:r>
      <w:r w:rsidR="00C60813">
        <w:instrText xml:space="preserve"> SEQ Fig. \* ARABIC \s 1 </w:instrText>
      </w:r>
      <w:r w:rsidR="00EF1EDC">
        <w:fldChar w:fldCharType="separate"/>
      </w:r>
      <w:r>
        <w:rPr>
          <w:noProof/>
        </w:rPr>
        <w:t>1</w:t>
      </w:r>
      <w:r w:rsidR="00EF1EDC">
        <w:rPr>
          <w:noProof/>
        </w:rPr>
        <w:fldChar w:fldCharType="end"/>
      </w:r>
      <w:r>
        <w:t xml:space="preserve">. </w:t>
      </w:r>
      <w:r>
        <w:rPr>
          <w:rFonts w:cs="Times New Roman"/>
        </w:rPr>
        <w:t>Predictive validity framework</w:t>
      </w:r>
      <w:r>
        <w:rPr>
          <w:rStyle w:val="FootnoteReference"/>
          <w:rFonts w:cs="Times New Roman"/>
        </w:rPr>
        <w:footnoteReference w:id="5"/>
      </w:r>
    </w:p>
    <w:p w:rsidR="00E02AB1" w:rsidRPr="00682E45" w:rsidRDefault="00E02AB1" w:rsidP="00252752">
      <w:pPr>
        <w:pStyle w:val="Heading2"/>
      </w:pPr>
      <w:bookmarkStart w:id="39" w:name="_Toc400916061"/>
      <w:r w:rsidRPr="00682E45">
        <w:t xml:space="preserve">Sample </w:t>
      </w:r>
      <w:r w:rsidR="00435A93">
        <w:t>s</w:t>
      </w:r>
      <w:r w:rsidRPr="00682E45">
        <w:t>election</w:t>
      </w:r>
      <w:bookmarkEnd w:id="39"/>
    </w:p>
    <w:p w:rsidR="00E02AB1" w:rsidRPr="00682E45" w:rsidRDefault="00E02AB1" w:rsidP="00252752">
      <w:pPr>
        <w:pStyle w:val="Heading3"/>
      </w:pPr>
      <w:bookmarkStart w:id="40" w:name="_Toc400916062"/>
      <w:r w:rsidRPr="00682E45">
        <w:t>Dataset of China</w:t>
      </w:r>
      <w:bookmarkEnd w:id="40"/>
    </w:p>
    <w:p w:rsidR="00E02AB1" w:rsidRPr="00102926" w:rsidRDefault="00E02AB1" w:rsidP="00E02AB1">
      <w:pPr>
        <w:rPr>
          <w:rFonts w:cs="Times New Roman"/>
          <w:color w:val="FF0000"/>
          <w:szCs w:val="24"/>
        </w:rPr>
      </w:pPr>
      <w:r>
        <w:rPr>
          <w:rFonts w:cs="Times New Roman"/>
          <w:szCs w:val="24"/>
        </w:rPr>
        <w:t xml:space="preserve">The dataset of China is collected from China Stock Market &amp; Accounting Research Database (CSMAR), which is a comprehensive databank for Chinese business research. CSMAR database covers data on the Chinese stock market, financial statements, fund market data and listed firms corporate governance information and so on. </w:t>
      </w:r>
      <w:r w:rsidRPr="004636DB">
        <w:rPr>
          <w:rFonts w:cs="Times New Roman"/>
          <w:szCs w:val="24"/>
        </w:rPr>
        <w:t>The re</w:t>
      </w:r>
      <w:r w:rsidR="00102926" w:rsidRPr="004636DB">
        <w:rPr>
          <w:rFonts w:cs="Times New Roman"/>
          <w:szCs w:val="24"/>
        </w:rPr>
        <w:t xml:space="preserve">search period is draw from 2007 </w:t>
      </w:r>
      <w:r w:rsidRPr="004636DB">
        <w:rPr>
          <w:rFonts w:cs="Times New Roman"/>
          <w:szCs w:val="24"/>
        </w:rPr>
        <w:t xml:space="preserve">to 2011. </w:t>
      </w:r>
      <w:r w:rsidR="00102926" w:rsidRPr="004636DB">
        <w:rPr>
          <w:rFonts w:cs="Times New Roman"/>
          <w:szCs w:val="24"/>
        </w:rPr>
        <w:t>The reason of choosing these years as a research period is because new Chinese accounting standards are issued by the Ministry of Finance of the People’s Repu</w:t>
      </w:r>
      <w:r w:rsidR="00B61B59">
        <w:rPr>
          <w:rFonts w:cs="Times New Roman"/>
          <w:szCs w:val="24"/>
        </w:rPr>
        <w:t>blic of China in 2006 (Wang and Campbell, 2012</w:t>
      </w:r>
      <w:r w:rsidR="00102926" w:rsidRPr="004636DB">
        <w:rPr>
          <w:rFonts w:cs="Times New Roman"/>
          <w:szCs w:val="24"/>
        </w:rPr>
        <w:t>). This new accounting standards are substantially in line with International Financial Reporting Standards (IFRSs) and mandatory for  all listed Chinese enterprises from 1 January 2007. In addition, the observations of 2006 are included in the dataset because the calculation of several variables requires data from the previous year.</w:t>
      </w:r>
      <w:r w:rsidRPr="004636DB">
        <w:rPr>
          <w:rFonts w:cs="Times New Roman"/>
          <w:szCs w:val="24"/>
        </w:rPr>
        <w:t xml:space="preserve"> </w:t>
      </w:r>
    </w:p>
    <w:p w:rsidR="00E02AB1" w:rsidRDefault="00E02AB1" w:rsidP="00E02AB1">
      <w:pPr>
        <w:spacing w:after="0"/>
        <w:rPr>
          <w:rFonts w:cs="Times New Roman"/>
          <w:szCs w:val="24"/>
        </w:rPr>
      </w:pPr>
      <w:r>
        <w:rPr>
          <w:rFonts w:cs="Times New Roman"/>
          <w:szCs w:val="24"/>
        </w:rPr>
        <w:t xml:space="preserve">The initial data consist of 2396 A-Shares listed companies which are listed in Shanghai Stock Exchange and Shenzhen Stock Exchange. In China, there are generally four types of shares: A, B, H and N shares. Class A-shares are only issued to Chinese citizens and using the Chinese Yuan (RMB) for trading. B-shares are </w:t>
      </w:r>
      <w:r>
        <w:rPr>
          <w:rFonts w:cs="Times New Roman"/>
          <w:szCs w:val="24"/>
        </w:rPr>
        <w:lastRenderedPageBreak/>
        <w:t>issued to Chinese people and foreigners, for which the Hong Kong dollar or U.S. dollar are used for trading. H-shares companies are incorporated in China, but listed in Hong Kong Stock Exchange and using Hong Kong dollar as transaction currency. N-shares firms are listed in New York Stock Exchange and using U.S. dollar as trading currency (source: CSRC). This thesis selects A-shares listed firms as samples due to the limitation of data on B-, H- and N-shares listed firms. For instance, in the CSMAR database, the number of all B-shares listed firms is 114, which is not sufficient for an empirical research.</w:t>
      </w:r>
    </w:p>
    <w:p w:rsidR="00E02AB1" w:rsidRDefault="00E02AB1" w:rsidP="00E02AB1">
      <w:pPr>
        <w:spacing w:after="0"/>
        <w:jc w:val="center"/>
        <w:rPr>
          <w:rFonts w:cs="Times New Roman"/>
          <w:b/>
          <w:szCs w:val="24"/>
          <w:lang w:eastAsia="en-US"/>
        </w:rPr>
      </w:pPr>
      <w:r>
        <w:rPr>
          <w:rFonts w:cs="Times New Roman"/>
          <w:b/>
          <w:szCs w:val="24"/>
        </w:rPr>
        <w:t xml:space="preserve">Table </w:t>
      </w:r>
      <w:r w:rsidR="00EF1EDC">
        <w:rPr>
          <w:rFonts w:cs="Times New Roman"/>
          <w:b/>
          <w:szCs w:val="24"/>
        </w:rPr>
        <w:fldChar w:fldCharType="begin"/>
      </w:r>
      <w:r w:rsidR="00280DE8">
        <w:rPr>
          <w:rFonts w:cs="Times New Roman"/>
          <w:b/>
          <w:szCs w:val="24"/>
        </w:rPr>
        <w:instrText xml:space="preserve"> STYLEREF 1 \s </w:instrText>
      </w:r>
      <w:r w:rsidR="00EF1EDC">
        <w:rPr>
          <w:rFonts w:cs="Times New Roman"/>
          <w:b/>
          <w:szCs w:val="24"/>
        </w:rPr>
        <w:fldChar w:fldCharType="separate"/>
      </w:r>
      <w:r w:rsidR="00280DE8">
        <w:rPr>
          <w:rFonts w:cs="Times New Roman"/>
          <w:b/>
          <w:noProof/>
          <w:szCs w:val="24"/>
        </w:rPr>
        <w:t>5</w:t>
      </w:r>
      <w:r w:rsidR="00EF1EDC">
        <w:rPr>
          <w:rFonts w:cs="Times New Roman"/>
          <w:b/>
          <w:szCs w:val="24"/>
        </w:rPr>
        <w:fldChar w:fldCharType="end"/>
      </w:r>
      <w:r w:rsidR="00280DE8">
        <w:rPr>
          <w:rFonts w:cs="Times New Roman"/>
          <w:b/>
          <w:szCs w:val="24"/>
        </w:rPr>
        <w:t>.</w:t>
      </w:r>
      <w:r w:rsidR="00EF1EDC">
        <w:rPr>
          <w:rFonts w:cs="Times New Roman"/>
          <w:b/>
          <w:szCs w:val="24"/>
        </w:rPr>
        <w:fldChar w:fldCharType="begin"/>
      </w:r>
      <w:r w:rsidR="00280DE8">
        <w:rPr>
          <w:rFonts w:cs="Times New Roman"/>
          <w:b/>
          <w:szCs w:val="24"/>
        </w:rPr>
        <w:instrText xml:space="preserve"> SEQ Table \* ARABIC \s 1 </w:instrText>
      </w:r>
      <w:r w:rsidR="00EF1EDC">
        <w:rPr>
          <w:rFonts w:cs="Times New Roman"/>
          <w:b/>
          <w:szCs w:val="24"/>
        </w:rPr>
        <w:fldChar w:fldCharType="separate"/>
      </w:r>
      <w:r w:rsidR="00280DE8">
        <w:rPr>
          <w:rFonts w:cs="Times New Roman"/>
          <w:b/>
          <w:noProof/>
          <w:szCs w:val="24"/>
        </w:rPr>
        <w:t>2</w:t>
      </w:r>
      <w:r w:rsidR="00EF1EDC">
        <w:rPr>
          <w:rFonts w:cs="Times New Roman"/>
          <w:b/>
          <w:szCs w:val="24"/>
        </w:rPr>
        <w:fldChar w:fldCharType="end"/>
      </w:r>
      <w:r>
        <w:rPr>
          <w:rFonts w:cs="Times New Roman"/>
          <w:b/>
          <w:szCs w:val="24"/>
        </w:rPr>
        <w:t>. Summary of shares classifications in China</w:t>
      </w:r>
    </w:p>
    <w:tbl>
      <w:tblPr>
        <w:tblStyle w:val="TableGrid"/>
        <w:tblW w:w="5000" w:type="pct"/>
        <w:tblLook w:val="04A0"/>
      </w:tblPr>
      <w:tblGrid>
        <w:gridCol w:w="1278"/>
        <w:gridCol w:w="1705"/>
        <w:gridCol w:w="3409"/>
        <w:gridCol w:w="2131"/>
      </w:tblGrid>
      <w:tr w:rsidR="00E02AB1" w:rsidTr="00E02AB1">
        <w:tc>
          <w:tcPr>
            <w:tcW w:w="750"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jc w:val="center"/>
              <w:rPr>
                <w:rFonts w:cs="Times New Roman"/>
                <w:b/>
                <w:lang w:eastAsia="en-US"/>
              </w:rPr>
            </w:pPr>
            <w:r>
              <w:rPr>
                <w:rFonts w:cs="Times New Roman"/>
                <w:b/>
              </w:rPr>
              <w:t>Type</w:t>
            </w:r>
          </w:p>
        </w:tc>
        <w:tc>
          <w:tcPr>
            <w:tcW w:w="1000"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jc w:val="center"/>
              <w:rPr>
                <w:rFonts w:cs="Times New Roman"/>
                <w:b/>
                <w:lang w:eastAsia="en-US"/>
              </w:rPr>
            </w:pPr>
            <w:r>
              <w:rPr>
                <w:rFonts w:cs="Times New Roman"/>
                <w:b/>
              </w:rPr>
              <w:t>Listing in</w:t>
            </w:r>
          </w:p>
        </w:tc>
        <w:tc>
          <w:tcPr>
            <w:tcW w:w="2000"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jc w:val="center"/>
              <w:rPr>
                <w:rFonts w:cs="Times New Roman"/>
                <w:b/>
                <w:lang w:eastAsia="en-US"/>
              </w:rPr>
            </w:pPr>
            <w:r>
              <w:rPr>
                <w:rFonts w:cs="Times New Roman"/>
                <w:b/>
              </w:rPr>
              <w:t>Investors</w:t>
            </w:r>
          </w:p>
        </w:tc>
        <w:tc>
          <w:tcPr>
            <w:tcW w:w="1250"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jc w:val="center"/>
              <w:rPr>
                <w:rFonts w:cs="Times New Roman"/>
                <w:b/>
                <w:lang w:eastAsia="en-US"/>
              </w:rPr>
            </w:pPr>
            <w:r>
              <w:rPr>
                <w:rFonts w:cs="Times New Roman"/>
                <w:b/>
              </w:rPr>
              <w:t>Transaction currency</w:t>
            </w:r>
          </w:p>
        </w:tc>
      </w:tr>
      <w:tr w:rsidR="00E02AB1" w:rsidTr="00E02AB1">
        <w:tc>
          <w:tcPr>
            <w:tcW w:w="750"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jc w:val="center"/>
              <w:rPr>
                <w:rFonts w:cs="Times New Roman"/>
                <w:lang w:eastAsia="en-US"/>
              </w:rPr>
            </w:pPr>
            <w:r>
              <w:rPr>
                <w:rFonts w:cs="Times New Roman"/>
              </w:rPr>
              <w:t>A-shares</w:t>
            </w:r>
          </w:p>
        </w:tc>
        <w:tc>
          <w:tcPr>
            <w:tcW w:w="1000"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jc w:val="center"/>
              <w:rPr>
                <w:rFonts w:cs="Times New Roman"/>
              </w:rPr>
            </w:pPr>
            <w:r>
              <w:rPr>
                <w:rFonts w:cs="Times New Roman"/>
              </w:rPr>
              <w:t>Shanghai</w:t>
            </w:r>
          </w:p>
          <w:p w:rsidR="00E02AB1" w:rsidRDefault="00E02AB1">
            <w:pPr>
              <w:spacing w:after="0" w:line="240" w:lineRule="auto"/>
              <w:jc w:val="center"/>
              <w:rPr>
                <w:rFonts w:cs="Times New Roman"/>
                <w:lang w:eastAsia="en-US"/>
              </w:rPr>
            </w:pPr>
            <w:r>
              <w:rPr>
                <w:rFonts w:cs="Times New Roman"/>
              </w:rPr>
              <w:t>or Shenzhen</w:t>
            </w:r>
          </w:p>
        </w:tc>
        <w:tc>
          <w:tcPr>
            <w:tcW w:w="2000" w:type="pct"/>
            <w:tcBorders>
              <w:top w:val="single" w:sz="4" w:space="0" w:color="auto"/>
              <w:left w:val="single" w:sz="4" w:space="0" w:color="auto"/>
              <w:bottom w:val="single" w:sz="4" w:space="0" w:color="auto"/>
              <w:right w:val="single" w:sz="4" w:space="0" w:color="auto"/>
            </w:tcBorders>
            <w:vAlign w:val="center"/>
            <w:hideMark/>
          </w:tcPr>
          <w:p w:rsidR="00E02AB1" w:rsidRDefault="00AE54DB">
            <w:pPr>
              <w:spacing w:after="0" w:line="240" w:lineRule="auto"/>
              <w:rPr>
                <w:rFonts w:cs="Times New Roman"/>
                <w:lang w:eastAsia="en-US"/>
              </w:rPr>
            </w:pPr>
            <w:r>
              <w:rPr>
                <w:rFonts w:cs="Times New Roman"/>
              </w:rPr>
              <w:t xml:space="preserve">Chinese citizen (excluding </w:t>
            </w:r>
            <w:r w:rsidR="00E02AB1">
              <w:rPr>
                <w:rFonts w:cs="Times New Roman"/>
              </w:rPr>
              <w:t>Hong Kong)</w:t>
            </w:r>
          </w:p>
        </w:tc>
        <w:tc>
          <w:tcPr>
            <w:tcW w:w="1250" w:type="pct"/>
            <w:tcBorders>
              <w:top w:val="single" w:sz="4" w:space="0" w:color="auto"/>
              <w:left w:val="single" w:sz="4" w:space="0" w:color="auto"/>
              <w:bottom w:val="single" w:sz="4" w:space="0" w:color="auto"/>
              <w:right w:val="single" w:sz="4" w:space="0" w:color="auto"/>
            </w:tcBorders>
            <w:vAlign w:val="center"/>
            <w:hideMark/>
          </w:tcPr>
          <w:p w:rsidR="00E02AB1" w:rsidRPr="00AE54DB" w:rsidRDefault="00AE54DB">
            <w:pPr>
              <w:spacing w:after="0" w:line="240" w:lineRule="auto"/>
              <w:rPr>
                <w:rFonts w:cs="Times New Roman"/>
                <w:sz w:val="21"/>
                <w:szCs w:val="21"/>
                <w:lang w:eastAsia="en-US"/>
              </w:rPr>
            </w:pPr>
            <w:r w:rsidRPr="00AE54DB">
              <w:rPr>
                <w:rFonts w:cs="Times New Roman"/>
                <w:sz w:val="21"/>
                <w:szCs w:val="21"/>
              </w:rPr>
              <w:t>Chinese Yuan (</w:t>
            </w:r>
            <w:r w:rsidR="00E02AB1" w:rsidRPr="00AE54DB">
              <w:rPr>
                <w:rFonts w:cs="Times New Roman"/>
                <w:sz w:val="21"/>
                <w:szCs w:val="21"/>
              </w:rPr>
              <w:t>RMB</w:t>
            </w:r>
            <w:r w:rsidRPr="00AE54DB">
              <w:rPr>
                <w:rFonts w:cs="Times New Roman"/>
                <w:sz w:val="21"/>
                <w:szCs w:val="21"/>
              </w:rPr>
              <w:t>)</w:t>
            </w:r>
          </w:p>
        </w:tc>
      </w:tr>
      <w:tr w:rsidR="00E02AB1" w:rsidTr="00E02AB1">
        <w:tc>
          <w:tcPr>
            <w:tcW w:w="750"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jc w:val="center"/>
              <w:rPr>
                <w:rFonts w:cs="Times New Roman"/>
                <w:lang w:eastAsia="en-US"/>
              </w:rPr>
            </w:pPr>
            <w:r>
              <w:rPr>
                <w:rFonts w:cs="Times New Roman"/>
              </w:rPr>
              <w:t>B-shares</w:t>
            </w:r>
          </w:p>
        </w:tc>
        <w:tc>
          <w:tcPr>
            <w:tcW w:w="1000"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jc w:val="center"/>
              <w:rPr>
                <w:rFonts w:cs="Times New Roman"/>
              </w:rPr>
            </w:pPr>
            <w:r>
              <w:rPr>
                <w:rFonts w:cs="Times New Roman"/>
              </w:rPr>
              <w:t>Shanghai</w:t>
            </w:r>
          </w:p>
          <w:p w:rsidR="00E02AB1" w:rsidRDefault="00E02AB1">
            <w:pPr>
              <w:spacing w:after="0" w:line="240" w:lineRule="auto"/>
              <w:jc w:val="center"/>
              <w:rPr>
                <w:rFonts w:cs="Times New Roman"/>
                <w:lang w:eastAsia="en-US"/>
              </w:rPr>
            </w:pPr>
            <w:r>
              <w:rPr>
                <w:rFonts w:cs="Times New Roman"/>
              </w:rPr>
              <w:t>or Shenzhen</w:t>
            </w:r>
          </w:p>
        </w:tc>
        <w:tc>
          <w:tcPr>
            <w:tcW w:w="2000"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lang w:eastAsia="en-US"/>
              </w:rPr>
            </w:pPr>
            <w:r>
              <w:rPr>
                <w:rFonts w:cs="Times New Roman"/>
              </w:rPr>
              <w:t>Chinese citizen and foreign investors</w:t>
            </w:r>
          </w:p>
        </w:tc>
        <w:tc>
          <w:tcPr>
            <w:tcW w:w="1250"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lang w:eastAsia="en-US"/>
              </w:rPr>
            </w:pPr>
            <w:r>
              <w:rPr>
                <w:rFonts w:cs="Times New Roman"/>
              </w:rPr>
              <w:t xml:space="preserve">Hong Kong dollar  or U.S. dollar </w:t>
            </w:r>
          </w:p>
        </w:tc>
      </w:tr>
      <w:tr w:rsidR="00E02AB1" w:rsidTr="00E02AB1">
        <w:trPr>
          <w:trHeight w:val="467"/>
        </w:trPr>
        <w:tc>
          <w:tcPr>
            <w:tcW w:w="750"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jc w:val="center"/>
              <w:rPr>
                <w:rFonts w:cs="Times New Roman"/>
                <w:lang w:eastAsia="en-US"/>
              </w:rPr>
            </w:pPr>
            <w:r>
              <w:rPr>
                <w:rFonts w:cs="Times New Roman"/>
              </w:rPr>
              <w:t>H-shares</w:t>
            </w:r>
          </w:p>
        </w:tc>
        <w:tc>
          <w:tcPr>
            <w:tcW w:w="1000"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jc w:val="center"/>
              <w:rPr>
                <w:rFonts w:cs="Times New Roman"/>
                <w:lang w:eastAsia="en-US"/>
              </w:rPr>
            </w:pPr>
            <w:r>
              <w:rPr>
                <w:rFonts w:cs="Times New Roman"/>
              </w:rPr>
              <w:t>Hong Kong</w:t>
            </w:r>
          </w:p>
        </w:tc>
        <w:tc>
          <w:tcPr>
            <w:tcW w:w="2000"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b/>
                <w:szCs w:val="24"/>
                <w:lang w:eastAsia="en-US"/>
              </w:rPr>
            </w:pPr>
            <w:r>
              <w:rPr>
                <w:rFonts w:cs="Times New Roman"/>
              </w:rPr>
              <w:t>Chinese citizen and foreign investors</w:t>
            </w:r>
          </w:p>
        </w:tc>
        <w:tc>
          <w:tcPr>
            <w:tcW w:w="1250"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b/>
                <w:szCs w:val="24"/>
                <w:lang w:eastAsia="en-US"/>
              </w:rPr>
            </w:pPr>
            <w:r>
              <w:rPr>
                <w:rFonts w:cs="Times New Roman"/>
              </w:rPr>
              <w:t xml:space="preserve">Hong Kong dollar  </w:t>
            </w:r>
          </w:p>
        </w:tc>
      </w:tr>
      <w:tr w:rsidR="00E02AB1" w:rsidTr="00E02AB1">
        <w:trPr>
          <w:trHeight w:val="440"/>
        </w:trPr>
        <w:tc>
          <w:tcPr>
            <w:tcW w:w="750"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jc w:val="center"/>
              <w:rPr>
                <w:rFonts w:cs="Times New Roman"/>
                <w:lang w:eastAsia="en-US"/>
              </w:rPr>
            </w:pPr>
            <w:r>
              <w:rPr>
                <w:rFonts w:cs="Times New Roman"/>
              </w:rPr>
              <w:t>N-shares</w:t>
            </w:r>
          </w:p>
        </w:tc>
        <w:tc>
          <w:tcPr>
            <w:tcW w:w="1000"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jc w:val="center"/>
              <w:rPr>
                <w:rFonts w:cs="Times New Roman"/>
                <w:lang w:eastAsia="en-US"/>
              </w:rPr>
            </w:pPr>
            <w:r>
              <w:rPr>
                <w:rFonts w:cs="Times New Roman"/>
              </w:rPr>
              <w:t>New York</w:t>
            </w:r>
          </w:p>
        </w:tc>
        <w:tc>
          <w:tcPr>
            <w:tcW w:w="2000"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b/>
                <w:szCs w:val="24"/>
                <w:lang w:eastAsia="en-US"/>
              </w:rPr>
            </w:pPr>
            <w:r>
              <w:rPr>
                <w:rFonts w:cs="Times New Roman"/>
              </w:rPr>
              <w:t>Chinese citizen and foreign investors</w:t>
            </w:r>
          </w:p>
        </w:tc>
        <w:tc>
          <w:tcPr>
            <w:tcW w:w="1250" w:type="pct"/>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line="240" w:lineRule="auto"/>
              <w:rPr>
                <w:rFonts w:cs="Times New Roman"/>
                <w:b/>
                <w:szCs w:val="24"/>
                <w:lang w:eastAsia="en-US"/>
              </w:rPr>
            </w:pPr>
            <w:r>
              <w:rPr>
                <w:rFonts w:cs="Times New Roman"/>
              </w:rPr>
              <w:t>U.S. dollar</w:t>
            </w:r>
          </w:p>
        </w:tc>
      </w:tr>
    </w:tbl>
    <w:p w:rsidR="00E02AB1" w:rsidRDefault="0093488B" w:rsidP="00E02AB1">
      <w:pPr>
        <w:rPr>
          <w:rFonts w:cs="Times New Roman"/>
          <w:sz w:val="20"/>
          <w:szCs w:val="20"/>
          <w:lang w:eastAsia="en-US"/>
        </w:rPr>
      </w:pPr>
      <w:r>
        <w:rPr>
          <w:rFonts w:cs="Times New Roman"/>
          <w:sz w:val="20"/>
          <w:szCs w:val="20"/>
        </w:rPr>
        <w:t xml:space="preserve">Source: </w:t>
      </w:r>
      <w:r w:rsidR="00E02AB1">
        <w:rPr>
          <w:rFonts w:cs="Times New Roman"/>
          <w:sz w:val="20"/>
          <w:szCs w:val="20"/>
        </w:rPr>
        <w:t>China Securities Regulatory Commission (CSRC).</w:t>
      </w:r>
    </w:p>
    <w:p w:rsidR="00E02AB1" w:rsidRDefault="00E02AB1" w:rsidP="00682E45">
      <w:r>
        <w:t xml:space="preserve">According to previous literature evidence, several collection criteria need to be considered. Firstly, Becker </w:t>
      </w:r>
      <w:r>
        <w:rPr>
          <w:i/>
        </w:rPr>
        <w:t>et al.</w:t>
      </w:r>
      <w:r>
        <w:t xml:space="preserve"> (1998) indicated that financial institutions (</w:t>
      </w:r>
      <w:r w:rsidR="00A943E1">
        <w:rPr>
          <w:rFonts w:cs="Times New Roman"/>
        </w:rPr>
        <w:t>Standard Industrial Classifications (</w:t>
      </w:r>
      <w:r>
        <w:t>SICs</w:t>
      </w:r>
      <w:r w:rsidR="00A943E1">
        <w:t>)</w:t>
      </w:r>
      <w:r>
        <w:t xml:space="preserve"> between 6000 and 6999) and public utility firms (SICs between 4000 and 4999) have to be removed when calculating discretionary accruals. This is because these industries have specific regulations which affect discretionary accruals. Moreover, China Securities Regulatory Commission (CSRC) provides the guideline of industry code of Chinese listed firms. There are nineteen (A-S) industries classifications in the CSRC guideline such as</w:t>
      </w:r>
      <w:r>
        <w:rPr>
          <w:color w:val="FF0000"/>
        </w:rPr>
        <w:t xml:space="preserve"> </w:t>
      </w:r>
      <w:r>
        <w:t>agriculture (A), mining industry (B), manufacturing (C), education (P) and so on. All listed firms on industry category G (public utilities) and J</w:t>
      </w:r>
      <w:r w:rsidR="00A943E1">
        <w:t xml:space="preserve"> </w:t>
      </w:r>
      <w:r>
        <w:t>(financial industries)</w:t>
      </w:r>
      <w:r>
        <w:rPr>
          <w:rStyle w:val="FootnoteReference"/>
          <w:rFonts w:cs="Times New Roman"/>
          <w:szCs w:val="24"/>
        </w:rPr>
        <w:footnoteReference w:id="6"/>
      </w:r>
      <w:r>
        <w:t xml:space="preserve"> will be removed from the sample set</w:t>
      </w:r>
      <w:r>
        <w:rPr>
          <w:color w:val="FF0000"/>
        </w:rPr>
        <w:t xml:space="preserve"> </w:t>
      </w:r>
      <w:r>
        <w:t>based on</w:t>
      </w:r>
      <w:r>
        <w:rPr>
          <w:color w:val="FF0000"/>
        </w:rPr>
        <w:t xml:space="preserve"> </w:t>
      </w:r>
      <w:r>
        <w:t xml:space="preserve">Becker </w:t>
      </w:r>
      <w:r>
        <w:rPr>
          <w:i/>
        </w:rPr>
        <w:t>et al.</w:t>
      </w:r>
      <w:r>
        <w:t xml:space="preserve"> (1998). Furthermore, the IPO firms in the period of 2005-2011 are eliminated as they may manipulate earnings due to the incentives of </w:t>
      </w:r>
      <w:r>
        <w:lastRenderedPageBreak/>
        <w:t>going to public. In addition, in the collection process, some listed firms with missing data during the research period will be removed. In the end, 1105 listed firms of China have been selected for</w:t>
      </w:r>
      <w:r w:rsidR="00110061">
        <w:t xml:space="preserve"> this empirical research. Table 5.</w:t>
      </w:r>
      <w:r>
        <w:t>3 provides a summary of the data selection process of Chinese listed firms.</w:t>
      </w:r>
    </w:p>
    <w:p w:rsidR="00E02AB1" w:rsidRDefault="00E02AB1" w:rsidP="00E02AB1">
      <w:pPr>
        <w:jc w:val="center"/>
        <w:rPr>
          <w:rFonts w:cs="Times New Roman"/>
          <w:b/>
          <w:szCs w:val="24"/>
        </w:rPr>
      </w:pPr>
      <w:r>
        <w:rPr>
          <w:rFonts w:cs="Times New Roman"/>
          <w:b/>
          <w:szCs w:val="24"/>
        </w:rPr>
        <w:t xml:space="preserve">Table </w:t>
      </w:r>
      <w:r w:rsidR="00EF1EDC">
        <w:rPr>
          <w:rFonts w:cs="Times New Roman"/>
          <w:b/>
          <w:szCs w:val="24"/>
        </w:rPr>
        <w:fldChar w:fldCharType="begin"/>
      </w:r>
      <w:r w:rsidR="00280DE8">
        <w:rPr>
          <w:rFonts w:cs="Times New Roman"/>
          <w:b/>
          <w:szCs w:val="24"/>
        </w:rPr>
        <w:instrText xml:space="preserve"> STYLEREF 1 \s </w:instrText>
      </w:r>
      <w:r w:rsidR="00EF1EDC">
        <w:rPr>
          <w:rFonts w:cs="Times New Roman"/>
          <w:b/>
          <w:szCs w:val="24"/>
        </w:rPr>
        <w:fldChar w:fldCharType="separate"/>
      </w:r>
      <w:r w:rsidR="00280DE8">
        <w:rPr>
          <w:rFonts w:cs="Times New Roman"/>
          <w:b/>
          <w:noProof/>
          <w:szCs w:val="24"/>
        </w:rPr>
        <w:t>5</w:t>
      </w:r>
      <w:r w:rsidR="00EF1EDC">
        <w:rPr>
          <w:rFonts w:cs="Times New Roman"/>
          <w:b/>
          <w:szCs w:val="24"/>
        </w:rPr>
        <w:fldChar w:fldCharType="end"/>
      </w:r>
      <w:r w:rsidR="00280DE8">
        <w:rPr>
          <w:rFonts w:cs="Times New Roman"/>
          <w:b/>
          <w:szCs w:val="24"/>
        </w:rPr>
        <w:t>.</w:t>
      </w:r>
      <w:r w:rsidR="00EF1EDC">
        <w:rPr>
          <w:rFonts w:cs="Times New Roman"/>
          <w:b/>
          <w:szCs w:val="24"/>
        </w:rPr>
        <w:fldChar w:fldCharType="begin"/>
      </w:r>
      <w:r w:rsidR="00280DE8">
        <w:rPr>
          <w:rFonts w:cs="Times New Roman"/>
          <w:b/>
          <w:szCs w:val="24"/>
        </w:rPr>
        <w:instrText xml:space="preserve"> SEQ Table \* ARABIC \s 1 </w:instrText>
      </w:r>
      <w:r w:rsidR="00EF1EDC">
        <w:rPr>
          <w:rFonts w:cs="Times New Roman"/>
          <w:b/>
          <w:szCs w:val="24"/>
        </w:rPr>
        <w:fldChar w:fldCharType="separate"/>
      </w:r>
      <w:r w:rsidR="00280DE8">
        <w:rPr>
          <w:rFonts w:cs="Times New Roman"/>
          <w:b/>
          <w:noProof/>
          <w:szCs w:val="24"/>
        </w:rPr>
        <w:t>3</w:t>
      </w:r>
      <w:r w:rsidR="00EF1EDC">
        <w:rPr>
          <w:rFonts w:cs="Times New Roman"/>
          <w:b/>
          <w:szCs w:val="24"/>
        </w:rPr>
        <w:fldChar w:fldCharType="end"/>
      </w:r>
      <w:r>
        <w:rPr>
          <w:rFonts w:cs="Times New Roman"/>
          <w:b/>
          <w:szCs w:val="24"/>
        </w:rPr>
        <w:t>. Summary of data selection process of Chinese listed firms</w:t>
      </w:r>
    </w:p>
    <w:tbl>
      <w:tblPr>
        <w:tblStyle w:val="TableGrid"/>
        <w:tblW w:w="0" w:type="auto"/>
        <w:jc w:val="center"/>
        <w:tblLook w:val="04A0"/>
      </w:tblPr>
      <w:tblGrid>
        <w:gridCol w:w="6131"/>
        <w:gridCol w:w="1744"/>
      </w:tblGrid>
      <w:tr w:rsidR="00E02AB1" w:rsidTr="00E02AB1">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rPr>
                <w:rFonts w:cs="Times New Roman"/>
              </w:rPr>
            </w:pPr>
            <w:r>
              <w:rPr>
                <w:rFonts w:cs="Times New Roman"/>
              </w:rPr>
              <w:t>Chinese A-shares listed firms</w:t>
            </w:r>
          </w:p>
        </w:tc>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jc w:val="center"/>
              <w:rPr>
                <w:rFonts w:cs="Times New Roman"/>
              </w:rPr>
            </w:pPr>
            <w:r>
              <w:rPr>
                <w:rFonts w:cs="Times New Roman"/>
              </w:rPr>
              <w:t>Number of Firms</w:t>
            </w:r>
          </w:p>
        </w:tc>
      </w:tr>
      <w:tr w:rsidR="00E02AB1" w:rsidTr="00E02AB1">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rPr>
                <w:rFonts w:cs="Times New Roman"/>
              </w:rPr>
            </w:pPr>
            <w:r>
              <w:rPr>
                <w:rFonts w:cs="Times New Roman"/>
              </w:rPr>
              <w:t>Initial data  set</w:t>
            </w:r>
          </w:p>
        </w:tc>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jc w:val="center"/>
              <w:rPr>
                <w:rFonts w:cs="Times New Roman"/>
              </w:rPr>
            </w:pPr>
            <w:r>
              <w:rPr>
                <w:rFonts w:cs="Times New Roman"/>
              </w:rPr>
              <w:t>2396</w:t>
            </w:r>
          </w:p>
        </w:tc>
      </w:tr>
      <w:tr w:rsidR="00E02AB1" w:rsidTr="00E02AB1">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rPr>
                <w:rFonts w:cs="Times New Roman"/>
              </w:rPr>
            </w:pPr>
            <w:r>
              <w:rPr>
                <w:rFonts w:cs="Times New Roman"/>
              </w:rPr>
              <w:t>Less: listed firms which are financial industries and public utilities.</w:t>
            </w:r>
          </w:p>
        </w:tc>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jc w:val="center"/>
              <w:rPr>
                <w:rFonts w:cs="Times New Roman"/>
              </w:rPr>
            </w:pPr>
            <w:r>
              <w:rPr>
                <w:rFonts w:cs="Times New Roman"/>
              </w:rPr>
              <w:t>-437</w:t>
            </w:r>
          </w:p>
        </w:tc>
      </w:tr>
      <w:tr w:rsidR="00E02AB1" w:rsidTr="00E02AB1">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rPr>
                <w:rFonts w:cs="Times New Roman"/>
              </w:rPr>
            </w:pPr>
            <w:r>
              <w:rPr>
                <w:rFonts w:cs="Times New Roman"/>
              </w:rPr>
              <w:t>Less:  IPO firms from 2005 to 2011</w:t>
            </w:r>
          </w:p>
        </w:tc>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jc w:val="center"/>
              <w:rPr>
                <w:rFonts w:cs="Times New Roman"/>
              </w:rPr>
            </w:pPr>
            <w:r>
              <w:rPr>
                <w:rFonts w:cs="Times New Roman"/>
              </w:rPr>
              <w:t>-809</w:t>
            </w:r>
          </w:p>
        </w:tc>
      </w:tr>
      <w:tr w:rsidR="00E02AB1" w:rsidTr="00E02AB1">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rPr>
                <w:rFonts w:cs="Times New Roman"/>
              </w:rPr>
            </w:pPr>
            <w:r>
              <w:rPr>
                <w:rFonts w:cs="Times New Roman"/>
              </w:rPr>
              <w:t>Less: missing data of financial statements</w:t>
            </w:r>
          </w:p>
        </w:tc>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jc w:val="center"/>
              <w:rPr>
                <w:rFonts w:cs="Times New Roman"/>
              </w:rPr>
            </w:pPr>
            <w:r>
              <w:rPr>
                <w:rFonts w:cs="Times New Roman"/>
              </w:rPr>
              <w:t>-11</w:t>
            </w:r>
          </w:p>
        </w:tc>
      </w:tr>
      <w:tr w:rsidR="00E02AB1" w:rsidTr="00E02AB1">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rPr>
                <w:rFonts w:cs="Times New Roman"/>
              </w:rPr>
            </w:pPr>
            <w:r>
              <w:rPr>
                <w:rFonts w:cs="Times New Roman"/>
              </w:rPr>
              <w:t>Less:  missing data of corporate governance</w:t>
            </w:r>
          </w:p>
        </w:tc>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3571CC">
            <w:pPr>
              <w:spacing w:after="0"/>
              <w:jc w:val="center"/>
              <w:rPr>
                <w:rFonts w:cs="Times New Roman"/>
              </w:rPr>
            </w:pPr>
            <w:r>
              <w:rPr>
                <w:rFonts w:cs="Times New Roman"/>
              </w:rPr>
              <w:t>-34</w:t>
            </w:r>
          </w:p>
        </w:tc>
      </w:tr>
      <w:tr w:rsidR="00E02AB1" w:rsidTr="00E02AB1">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rPr>
                <w:rFonts w:cs="Times New Roman"/>
              </w:rPr>
            </w:pPr>
            <w:r>
              <w:rPr>
                <w:rFonts w:cs="Times New Roman"/>
              </w:rPr>
              <w:t>Final number of listed firms</w:t>
            </w:r>
          </w:p>
        </w:tc>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jc w:val="center"/>
              <w:rPr>
                <w:rFonts w:cs="Times New Roman"/>
              </w:rPr>
            </w:pPr>
            <w:r>
              <w:rPr>
                <w:rFonts w:cs="Times New Roman"/>
              </w:rPr>
              <w:t>1105</w:t>
            </w:r>
          </w:p>
        </w:tc>
      </w:tr>
    </w:tbl>
    <w:p w:rsidR="00E02AB1" w:rsidRDefault="00E02AB1" w:rsidP="00E02AB1">
      <w:pPr>
        <w:rPr>
          <w:rFonts w:cs="Times New Roman"/>
          <w:szCs w:val="24"/>
        </w:rPr>
      </w:pPr>
    </w:p>
    <w:p w:rsidR="00E02AB1" w:rsidRPr="00682E45" w:rsidRDefault="00435A93" w:rsidP="00252752">
      <w:pPr>
        <w:pStyle w:val="Heading3"/>
      </w:pPr>
      <w:bookmarkStart w:id="41" w:name="_Toc400916063"/>
      <w:r>
        <w:t>Data</w:t>
      </w:r>
      <w:r w:rsidR="00E02AB1" w:rsidRPr="00682E45">
        <w:t>set of U.S.</w:t>
      </w:r>
      <w:bookmarkEnd w:id="41"/>
    </w:p>
    <w:p w:rsidR="00E02AB1" w:rsidRDefault="00E02AB1" w:rsidP="00682E45">
      <w:pPr>
        <w:rPr>
          <w:sz w:val="28"/>
          <w:szCs w:val="28"/>
          <w:lang w:eastAsia="en-US"/>
        </w:rPr>
      </w:pPr>
      <w:r>
        <w:t>The research data for analyzing the relationship between corporate governance and earnings management of U.S. are selected from Compustat North America, GMI Ratings and Risk Metrics database. Compustat North America is a database covering the market information and financial reporting</w:t>
      </w:r>
      <w:r w:rsidR="00ED7E25">
        <w:t>s</w:t>
      </w:r>
      <w:r>
        <w:t xml:space="preserve"> of U.S. and Canada. The data for calculating discretionary accruals are collected from this database. GMI Ratings and Risk Metrics database provide the data related to corporate governance such as board, shareholder, voting, director information and ownership and so on.  To match the data set of China, the research </w:t>
      </w:r>
      <w:r w:rsidR="0039585F">
        <w:t>period of U.S. is also from 2007</w:t>
      </w:r>
      <w:r>
        <w:t xml:space="preserve"> to 2011.</w:t>
      </w:r>
    </w:p>
    <w:p w:rsidR="00E02AB1" w:rsidRDefault="00E02AB1" w:rsidP="00682E45">
      <w:r>
        <w:t>For selection, it needs to first obtain the stock tickers of listed firms. The tickers are collected from website of NASDAQ Company List</w:t>
      </w:r>
      <w:r>
        <w:rPr>
          <w:rStyle w:val="FootnoteReference"/>
          <w:rFonts w:cs="Times New Roman"/>
          <w:szCs w:val="24"/>
        </w:rPr>
        <w:footnoteReference w:id="7"/>
      </w:r>
      <w:r>
        <w:t xml:space="preserve">, which includes firms listed on NASDAQ, NYSE, and AMEX. Following the introduction of website, 4614 tickers of U.S. listed firm are downloaded. Then, the 610 new IPO firms during the research period of 2005 to 2011 are excluded from the data set since these companies have high likelihood of motivations on manipulating earnings. Similarly to the data set of China, the financial institutions and public utilities listed firms are eliminated. </w:t>
      </w:r>
      <w:r>
        <w:lastRenderedPageBreak/>
        <w:t>Therefore, the listed firms with SIC code from 4000 to 4999 and SIC code from 6000 to 6999 are excluded. Some listed firms without industry information ar</w:t>
      </w:r>
      <w:r w:rsidR="00251D5B">
        <w:t>e also eliminated from the data</w:t>
      </w:r>
      <w:r>
        <w:t xml:space="preserve">set. In the end, the total numbers of tickers of U.S. listed firms are 2026. </w:t>
      </w:r>
      <w:r w:rsidRPr="00102926">
        <w:t xml:space="preserve">Although 2026 tickers are found, the Compustat North America database merely provides the data of 1091 listed firms. This might be because some tickers are invalid. </w:t>
      </w:r>
      <w:r>
        <w:t>Subsequently, the listed firms which miss the data of financial reporting</w:t>
      </w:r>
      <w:r w:rsidR="00283A07">
        <w:t>s</w:t>
      </w:r>
      <w:r>
        <w:t xml:space="preserve"> and corporate governance have to be removed. Therefore, the total numbers of listed firms of U.S. applyin</w:t>
      </w:r>
      <w:r w:rsidR="00110061">
        <w:t>g to this thesis are 752. Table 5.</w:t>
      </w:r>
      <w:r>
        <w:t>4 summarizes the data collection process of U.S.</w:t>
      </w:r>
    </w:p>
    <w:p w:rsidR="00E02AB1" w:rsidRDefault="00E02AB1" w:rsidP="00E02AB1">
      <w:pPr>
        <w:spacing w:after="0"/>
        <w:jc w:val="center"/>
        <w:rPr>
          <w:rFonts w:cs="Times New Roman"/>
          <w:b/>
          <w:szCs w:val="24"/>
          <w:lang w:eastAsia="en-US"/>
        </w:rPr>
      </w:pPr>
      <w:r>
        <w:rPr>
          <w:rFonts w:cs="Times New Roman"/>
          <w:b/>
          <w:szCs w:val="24"/>
        </w:rPr>
        <w:t xml:space="preserve">Table </w:t>
      </w:r>
      <w:r w:rsidR="00EF1EDC">
        <w:rPr>
          <w:rFonts w:cs="Times New Roman"/>
          <w:b/>
          <w:szCs w:val="24"/>
        </w:rPr>
        <w:fldChar w:fldCharType="begin"/>
      </w:r>
      <w:r w:rsidR="00280DE8">
        <w:rPr>
          <w:rFonts w:cs="Times New Roman"/>
          <w:b/>
          <w:szCs w:val="24"/>
        </w:rPr>
        <w:instrText xml:space="preserve"> STYLEREF 1 \s </w:instrText>
      </w:r>
      <w:r w:rsidR="00EF1EDC">
        <w:rPr>
          <w:rFonts w:cs="Times New Roman"/>
          <w:b/>
          <w:szCs w:val="24"/>
        </w:rPr>
        <w:fldChar w:fldCharType="separate"/>
      </w:r>
      <w:r w:rsidR="00280DE8">
        <w:rPr>
          <w:rFonts w:cs="Times New Roman"/>
          <w:b/>
          <w:noProof/>
          <w:szCs w:val="24"/>
        </w:rPr>
        <w:t>5</w:t>
      </w:r>
      <w:r w:rsidR="00EF1EDC">
        <w:rPr>
          <w:rFonts w:cs="Times New Roman"/>
          <w:b/>
          <w:szCs w:val="24"/>
        </w:rPr>
        <w:fldChar w:fldCharType="end"/>
      </w:r>
      <w:r w:rsidR="00280DE8">
        <w:rPr>
          <w:rFonts w:cs="Times New Roman"/>
          <w:b/>
          <w:szCs w:val="24"/>
        </w:rPr>
        <w:t>.</w:t>
      </w:r>
      <w:r w:rsidR="00EF1EDC">
        <w:rPr>
          <w:rFonts w:cs="Times New Roman"/>
          <w:b/>
          <w:szCs w:val="24"/>
        </w:rPr>
        <w:fldChar w:fldCharType="begin"/>
      </w:r>
      <w:r w:rsidR="00280DE8">
        <w:rPr>
          <w:rFonts w:cs="Times New Roman"/>
          <w:b/>
          <w:szCs w:val="24"/>
        </w:rPr>
        <w:instrText xml:space="preserve"> SEQ Table \* ARABIC \s 1 </w:instrText>
      </w:r>
      <w:r w:rsidR="00EF1EDC">
        <w:rPr>
          <w:rFonts w:cs="Times New Roman"/>
          <w:b/>
          <w:szCs w:val="24"/>
        </w:rPr>
        <w:fldChar w:fldCharType="separate"/>
      </w:r>
      <w:r w:rsidR="00280DE8">
        <w:rPr>
          <w:rFonts w:cs="Times New Roman"/>
          <w:b/>
          <w:noProof/>
          <w:szCs w:val="24"/>
        </w:rPr>
        <w:t>4</w:t>
      </w:r>
      <w:r w:rsidR="00EF1EDC">
        <w:rPr>
          <w:rFonts w:cs="Times New Roman"/>
          <w:b/>
          <w:szCs w:val="24"/>
        </w:rPr>
        <w:fldChar w:fldCharType="end"/>
      </w:r>
      <w:r>
        <w:rPr>
          <w:rFonts w:cs="Times New Roman"/>
          <w:b/>
          <w:szCs w:val="24"/>
        </w:rPr>
        <w:t>. Summary of data selection process of U.S.</w:t>
      </w:r>
    </w:p>
    <w:tbl>
      <w:tblPr>
        <w:tblStyle w:val="TableGrid"/>
        <w:tblW w:w="0" w:type="auto"/>
        <w:jc w:val="center"/>
        <w:tblLook w:val="04A0"/>
      </w:tblPr>
      <w:tblGrid>
        <w:gridCol w:w="6131"/>
        <w:gridCol w:w="1744"/>
      </w:tblGrid>
      <w:tr w:rsidR="00E02AB1" w:rsidTr="00E02AB1">
        <w:trPr>
          <w:jc w:val="center"/>
        </w:trPr>
        <w:tc>
          <w:tcPr>
            <w:tcW w:w="0" w:type="auto"/>
            <w:tcBorders>
              <w:top w:val="single" w:sz="4" w:space="0" w:color="auto"/>
              <w:left w:val="single" w:sz="4" w:space="0" w:color="auto"/>
              <w:bottom w:val="single" w:sz="4" w:space="0" w:color="auto"/>
              <w:right w:val="single" w:sz="4" w:space="0" w:color="auto"/>
            </w:tcBorders>
            <w:vAlign w:val="center"/>
          </w:tcPr>
          <w:p w:rsidR="00E02AB1" w:rsidRDefault="00E02AB1">
            <w:pPr>
              <w:spacing w:after="0"/>
              <w:rPr>
                <w:rFonts w:cs="Times New Roman"/>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jc w:val="center"/>
              <w:rPr>
                <w:rFonts w:cs="Times New Roman"/>
              </w:rPr>
            </w:pPr>
            <w:r>
              <w:rPr>
                <w:rFonts w:cs="Times New Roman"/>
              </w:rPr>
              <w:t>Number of Firms</w:t>
            </w:r>
          </w:p>
        </w:tc>
      </w:tr>
      <w:tr w:rsidR="00E02AB1" w:rsidTr="00E02AB1">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rPr>
                <w:rFonts w:cs="Times New Roman"/>
                <w:lang w:eastAsia="en-US"/>
              </w:rPr>
            </w:pPr>
            <w:r>
              <w:rPr>
                <w:rFonts w:cs="Times New Roman"/>
              </w:rPr>
              <w:t>Initial  tickers from NASDAQ</w:t>
            </w:r>
          </w:p>
        </w:tc>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jc w:val="center"/>
              <w:rPr>
                <w:rFonts w:cs="Times New Roman"/>
              </w:rPr>
            </w:pPr>
            <w:r>
              <w:rPr>
                <w:rFonts w:cs="Times New Roman"/>
                <w:szCs w:val="24"/>
              </w:rPr>
              <w:t>4614</w:t>
            </w:r>
          </w:p>
        </w:tc>
      </w:tr>
      <w:tr w:rsidR="00E02AB1" w:rsidTr="00E02AB1">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rPr>
                <w:rFonts w:cs="Times New Roman"/>
                <w:lang w:eastAsia="en-US"/>
              </w:rPr>
            </w:pPr>
            <w:r>
              <w:rPr>
                <w:rFonts w:cs="Times New Roman"/>
              </w:rPr>
              <w:t>Less: listed firms which are financial industries and public utilities.</w:t>
            </w:r>
          </w:p>
        </w:tc>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jc w:val="center"/>
              <w:rPr>
                <w:rFonts w:cs="Times New Roman"/>
              </w:rPr>
            </w:pPr>
            <w:r>
              <w:rPr>
                <w:rFonts w:cs="Times New Roman"/>
                <w:szCs w:val="24"/>
              </w:rPr>
              <w:t>-1125</w:t>
            </w:r>
          </w:p>
        </w:tc>
      </w:tr>
      <w:tr w:rsidR="00E02AB1" w:rsidTr="00E02AB1">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rPr>
                <w:rFonts w:cs="Times New Roman"/>
                <w:lang w:eastAsia="en-US"/>
              </w:rPr>
            </w:pPr>
            <w:r>
              <w:rPr>
                <w:rFonts w:cs="Times New Roman"/>
              </w:rPr>
              <w:t>Less:  IPO firms from 2005 to 2011</w:t>
            </w:r>
          </w:p>
        </w:tc>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jc w:val="center"/>
              <w:rPr>
                <w:rFonts w:cs="Times New Roman"/>
              </w:rPr>
            </w:pPr>
            <w:r>
              <w:rPr>
                <w:rFonts w:cs="Times New Roman"/>
                <w:szCs w:val="24"/>
              </w:rPr>
              <w:t>-610</w:t>
            </w:r>
          </w:p>
        </w:tc>
      </w:tr>
      <w:tr w:rsidR="00E02AB1" w:rsidTr="00E02AB1">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rPr>
                <w:rFonts w:cs="Times New Roman"/>
                <w:lang w:eastAsia="en-US"/>
              </w:rPr>
            </w:pPr>
            <w:r>
              <w:rPr>
                <w:rFonts w:cs="Times New Roman"/>
              </w:rPr>
              <w:t>Less: listed firms of no industry information</w:t>
            </w:r>
          </w:p>
        </w:tc>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jc w:val="center"/>
              <w:rPr>
                <w:rFonts w:cs="Times New Roman"/>
                <w:szCs w:val="24"/>
                <w:lang w:eastAsia="en-US"/>
              </w:rPr>
            </w:pPr>
            <w:r>
              <w:rPr>
                <w:rFonts w:cs="Times New Roman"/>
                <w:szCs w:val="24"/>
              </w:rPr>
              <w:t>-853</w:t>
            </w:r>
          </w:p>
        </w:tc>
      </w:tr>
      <w:tr w:rsidR="00E02AB1" w:rsidTr="00E02AB1">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rPr>
                <w:rFonts w:cs="Times New Roman"/>
                <w:lang w:eastAsia="en-US"/>
              </w:rPr>
            </w:pPr>
            <w:r>
              <w:rPr>
                <w:rFonts w:cs="Times New Roman"/>
              </w:rPr>
              <w:t>Final  tickers</w:t>
            </w:r>
          </w:p>
        </w:tc>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jc w:val="center"/>
              <w:rPr>
                <w:rFonts w:cs="Times New Roman"/>
                <w:szCs w:val="24"/>
                <w:lang w:eastAsia="en-US"/>
              </w:rPr>
            </w:pPr>
            <w:r>
              <w:rPr>
                <w:rFonts w:cs="Times New Roman"/>
                <w:szCs w:val="24"/>
              </w:rPr>
              <w:t>2026</w:t>
            </w:r>
          </w:p>
        </w:tc>
      </w:tr>
      <w:tr w:rsidR="00E02AB1" w:rsidTr="00E02AB1">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rPr>
                <w:rFonts w:cs="Times New Roman"/>
                <w:lang w:eastAsia="en-US"/>
              </w:rPr>
            </w:pPr>
            <w:r>
              <w:rPr>
                <w:rFonts w:cs="Times New Roman"/>
              </w:rPr>
              <w:t>Initial data collection</w:t>
            </w:r>
          </w:p>
        </w:tc>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jc w:val="center"/>
              <w:rPr>
                <w:rFonts w:cs="Times New Roman"/>
                <w:szCs w:val="24"/>
                <w:lang w:eastAsia="en-US"/>
              </w:rPr>
            </w:pPr>
            <w:r>
              <w:rPr>
                <w:rFonts w:cs="Times New Roman"/>
                <w:szCs w:val="24"/>
              </w:rPr>
              <w:t>1091</w:t>
            </w:r>
          </w:p>
        </w:tc>
      </w:tr>
      <w:tr w:rsidR="00E02AB1" w:rsidTr="00E02AB1">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rPr>
                <w:rFonts w:cs="Times New Roman"/>
                <w:lang w:eastAsia="en-US"/>
              </w:rPr>
            </w:pPr>
            <w:r>
              <w:rPr>
                <w:rFonts w:cs="Times New Roman"/>
              </w:rPr>
              <w:t>Less: missing data of financial statements</w:t>
            </w:r>
          </w:p>
        </w:tc>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jc w:val="center"/>
              <w:rPr>
                <w:rFonts w:cs="Times New Roman"/>
              </w:rPr>
            </w:pPr>
            <w:r>
              <w:rPr>
                <w:rFonts w:cs="Times New Roman"/>
              </w:rPr>
              <w:t>-130</w:t>
            </w:r>
          </w:p>
        </w:tc>
      </w:tr>
      <w:tr w:rsidR="00E02AB1" w:rsidTr="00E02AB1">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rPr>
                <w:rFonts w:cs="Times New Roman"/>
                <w:lang w:eastAsia="en-US"/>
              </w:rPr>
            </w:pPr>
            <w:r>
              <w:rPr>
                <w:rFonts w:cs="Times New Roman"/>
              </w:rPr>
              <w:t>Less: missing data of corporate governance</w:t>
            </w:r>
          </w:p>
        </w:tc>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jc w:val="center"/>
              <w:rPr>
                <w:rFonts w:cs="Times New Roman"/>
              </w:rPr>
            </w:pPr>
            <w:r>
              <w:rPr>
                <w:rFonts w:cs="Times New Roman"/>
              </w:rPr>
              <w:t>-209</w:t>
            </w:r>
          </w:p>
        </w:tc>
      </w:tr>
      <w:tr w:rsidR="00E02AB1" w:rsidTr="00E02AB1">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rPr>
                <w:rFonts w:cs="Times New Roman"/>
                <w:lang w:eastAsia="en-US"/>
              </w:rPr>
            </w:pPr>
            <w:r>
              <w:rPr>
                <w:rFonts w:cs="Times New Roman"/>
              </w:rPr>
              <w:t>Final number of listed firms</w:t>
            </w:r>
          </w:p>
        </w:tc>
        <w:tc>
          <w:tcPr>
            <w:tcW w:w="0" w:type="auto"/>
            <w:tcBorders>
              <w:top w:val="single" w:sz="4" w:space="0" w:color="auto"/>
              <w:left w:val="single" w:sz="4" w:space="0" w:color="auto"/>
              <w:bottom w:val="single" w:sz="4" w:space="0" w:color="auto"/>
              <w:right w:val="single" w:sz="4" w:space="0" w:color="auto"/>
            </w:tcBorders>
            <w:vAlign w:val="center"/>
            <w:hideMark/>
          </w:tcPr>
          <w:p w:rsidR="00E02AB1" w:rsidRDefault="00E02AB1">
            <w:pPr>
              <w:spacing w:after="0"/>
              <w:jc w:val="center"/>
              <w:rPr>
                <w:rFonts w:cs="Times New Roman"/>
              </w:rPr>
            </w:pPr>
            <w:r>
              <w:rPr>
                <w:rFonts w:cs="Times New Roman"/>
              </w:rPr>
              <w:t>752</w:t>
            </w:r>
          </w:p>
        </w:tc>
      </w:tr>
    </w:tbl>
    <w:p w:rsidR="00E02AB1" w:rsidRDefault="00E02AB1" w:rsidP="00E02AB1">
      <w:pPr>
        <w:rPr>
          <w:rFonts w:cs="Times New Roman"/>
          <w:sz w:val="28"/>
          <w:szCs w:val="28"/>
        </w:rPr>
      </w:pPr>
    </w:p>
    <w:p w:rsidR="00E02AB1" w:rsidRPr="00682E45" w:rsidRDefault="00E02AB1" w:rsidP="00252752">
      <w:pPr>
        <w:pStyle w:val="Heading2"/>
      </w:pPr>
      <w:bookmarkStart w:id="42" w:name="_Toc400916064"/>
      <w:r w:rsidRPr="00682E45">
        <w:t>Statistical tests</w:t>
      </w:r>
      <w:bookmarkEnd w:id="42"/>
    </w:p>
    <w:p w:rsidR="00E02AB1" w:rsidRDefault="00E02AB1" w:rsidP="00E02AB1">
      <w:pPr>
        <w:rPr>
          <w:rFonts w:cs="Times New Roman"/>
          <w:szCs w:val="24"/>
        </w:rPr>
      </w:pPr>
      <w:r>
        <w:rPr>
          <w:rFonts w:cs="Times New Roman"/>
          <w:szCs w:val="24"/>
        </w:rPr>
        <w:t>Once all the variables are obtained,</w:t>
      </w:r>
      <w:r w:rsidR="002A1071">
        <w:rPr>
          <w:rFonts w:cs="Times New Roman"/>
          <w:szCs w:val="24"/>
        </w:rPr>
        <w:t xml:space="preserve"> by using SPSS,</w:t>
      </w:r>
      <w:r>
        <w:rPr>
          <w:rFonts w:cs="Times New Roman"/>
          <w:szCs w:val="24"/>
        </w:rPr>
        <w:t xml:space="preserve"> the descriptive statistics test is implemented firstly in order to obtain a general overview of all variables. This test provides the mean, maximum and minimum values and the standard deviation of dependent, independent and control variables. After that, Normality test will be performed t</w:t>
      </w:r>
      <w:r w:rsidR="001A6DB5">
        <w:rPr>
          <w:rFonts w:cs="Times New Roman"/>
          <w:szCs w:val="24"/>
        </w:rPr>
        <w:t>o verify the distribution of dependent variable</w:t>
      </w:r>
      <w:r>
        <w:rPr>
          <w:rFonts w:cs="Times New Roman"/>
          <w:szCs w:val="24"/>
        </w:rPr>
        <w:t xml:space="preserve">. Then, Pearson correlation test will be carried out to </w:t>
      </w:r>
      <w:r w:rsidR="000753E1">
        <w:rPr>
          <w:rFonts w:cs="Times New Roman"/>
          <w:szCs w:val="24"/>
        </w:rPr>
        <w:t>test whether dependent variable</w:t>
      </w:r>
      <w:r>
        <w:rPr>
          <w:rFonts w:cs="Times New Roman"/>
          <w:szCs w:val="24"/>
        </w:rPr>
        <w:t xml:space="preserve"> and independent variables are influenced by each other. Furthermore, to reduce the probability of multicol</w:t>
      </w:r>
      <w:r w:rsidR="00A943E1">
        <w:rPr>
          <w:rFonts w:cs="Times New Roman"/>
          <w:szCs w:val="24"/>
        </w:rPr>
        <w:t>l</w:t>
      </w:r>
      <w:r>
        <w:rPr>
          <w:rFonts w:cs="Times New Roman"/>
          <w:szCs w:val="24"/>
        </w:rPr>
        <w:t xml:space="preserve">inearity between independent variables, the collinearity diagnostics test will </w:t>
      </w:r>
      <w:r>
        <w:rPr>
          <w:rFonts w:cs="Times New Roman"/>
          <w:szCs w:val="24"/>
        </w:rPr>
        <w:lastRenderedPageBreak/>
        <w:t xml:space="preserve">be performed. In </w:t>
      </w:r>
      <w:r w:rsidR="007A513E">
        <w:rPr>
          <w:rFonts w:cs="Times New Roman"/>
          <w:szCs w:val="24"/>
        </w:rPr>
        <w:t xml:space="preserve">the end, ordinary least squares (OLS) </w:t>
      </w:r>
      <w:r>
        <w:rPr>
          <w:rFonts w:cs="Times New Roman"/>
          <w:szCs w:val="24"/>
        </w:rPr>
        <w:t>regression which estimates the association between earnings management and other independent</w:t>
      </w:r>
      <w:r w:rsidR="007A513E">
        <w:rPr>
          <w:rFonts w:cs="Times New Roman"/>
          <w:szCs w:val="24"/>
        </w:rPr>
        <w:t xml:space="preserve"> and control</w:t>
      </w:r>
      <w:r>
        <w:rPr>
          <w:rFonts w:cs="Times New Roman"/>
          <w:szCs w:val="24"/>
        </w:rPr>
        <w:t xml:space="preserve"> variable</w:t>
      </w:r>
      <w:r w:rsidR="007A513E">
        <w:rPr>
          <w:rFonts w:cs="Times New Roman"/>
          <w:szCs w:val="24"/>
        </w:rPr>
        <w:t>s</w:t>
      </w:r>
      <w:r>
        <w:rPr>
          <w:rFonts w:cs="Times New Roman"/>
          <w:szCs w:val="24"/>
        </w:rPr>
        <w:t xml:space="preserve"> will be performed by usi</w:t>
      </w:r>
      <w:r w:rsidR="002A1071">
        <w:rPr>
          <w:rFonts w:cs="Times New Roman"/>
          <w:szCs w:val="24"/>
        </w:rPr>
        <w:t>ng the statistical software Eviews</w:t>
      </w:r>
      <w:r>
        <w:rPr>
          <w:rFonts w:cs="Times New Roman"/>
          <w:szCs w:val="24"/>
        </w:rPr>
        <w:t>.</w:t>
      </w:r>
    </w:p>
    <w:p w:rsidR="00E02AB1" w:rsidRPr="005B62E9" w:rsidRDefault="00396A82" w:rsidP="00011443">
      <w:pPr>
        <w:rPr>
          <w:rFonts w:cs="Times New Roman"/>
          <w:color w:val="FF0000"/>
          <w:szCs w:val="24"/>
        </w:rPr>
      </w:pPr>
      <w:r w:rsidRPr="004636DB">
        <w:rPr>
          <w:rFonts w:cs="Times New Roman"/>
          <w:szCs w:val="24"/>
        </w:rPr>
        <w:t>Panel data (also called longitudinal or cross-sectio</w:t>
      </w:r>
      <w:r w:rsidR="006000E7">
        <w:rPr>
          <w:rFonts w:cs="Times New Roman"/>
          <w:szCs w:val="24"/>
        </w:rPr>
        <w:t>nal time-series data) is a data</w:t>
      </w:r>
      <w:r w:rsidRPr="004636DB">
        <w:rPr>
          <w:rFonts w:cs="Times New Roman"/>
          <w:szCs w:val="24"/>
        </w:rPr>
        <w:t xml:space="preserve">set in which the behaviors of entities are observed across time (Hsiao, 2003). </w:t>
      </w:r>
      <w:r w:rsidR="00E02AB1" w:rsidRPr="004636DB">
        <w:rPr>
          <w:rFonts w:cs="Times New Roman"/>
          <w:szCs w:val="24"/>
        </w:rPr>
        <w:t xml:space="preserve">Since this empirical research adopts panel data analysis for investigating the relationship between earnings management and corporate governance, fixed effect approach or random effect approach needs to be </w:t>
      </w:r>
      <w:r w:rsidR="005B62E9" w:rsidRPr="004636DB">
        <w:rPr>
          <w:rFonts w:cs="Times New Roman"/>
          <w:szCs w:val="24"/>
        </w:rPr>
        <w:t xml:space="preserve">considered </w:t>
      </w:r>
      <w:r w:rsidR="00E02AB1" w:rsidRPr="004636DB">
        <w:rPr>
          <w:rFonts w:cs="Times New Roman"/>
          <w:szCs w:val="24"/>
        </w:rPr>
        <w:t xml:space="preserve">into the statistical test. </w:t>
      </w:r>
      <w:r w:rsidR="00072139" w:rsidRPr="004636DB">
        <w:rPr>
          <w:rFonts w:cs="Times New Roman"/>
          <w:szCs w:val="24"/>
        </w:rPr>
        <w:t>The</w:t>
      </w:r>
      <w:r w:rsidR="00E02AB1" w:rsidRPr="004636DB">
        <w:rPr>
          <w:rFonts w:cs="Times New Roman"/>
          <w:szCs w:val="24"/>
        </w:rPr>
        <w:t xml:space="preserve"> fixed effect model also known as least squares dummy variable (LSDV) model, has constant s</w:t>
      </w:r>
      <w:r w:rsidR="005B62E9" w:rsidRPr="004636DB">
        <w:rPr>
          <w:rFonts w:cs="Times New Roman"/>
          <w:szCs w:val="24"/>
        </w:rPr>
        <w:t xml:space="preserve">lopes but different intercepts. It assumes that each entity has special or individual characteristics, which may affect the explanatory variables. </w:t>
      </w:r>
      <w:r w:rsidR="00072139" w:rsidRPr="004636DB">
        <w:rPr>
          <w:rFonts w:cs="Times New Roman"/>
          <w:szCs w:val="24"/>
        </w:rPr>
        <w:t xml:space="preserve">The </w:t>
      </w:r>
      <w:r w:rsidR="00E02AB1" w:rsidRPr="004636DB">
        <w:rPr>
          <w:rFonts w:cs="Times New Roman"/>
          <w:szCs w:val="24"/>
        </w:rPr>
        <w:t xml:space="preserve">random effect model is estimated according to Generalized Least Squares (GLS) model, which treats time and individuals specific as random (Greene, 2002). </w:t>
      </w:r>
      <w:r w:rsidR="00B21820" w:rsidRPr="004636DB">
        <w:rPr>
          <w:rFonts w:cs="Times New Roman"/>
          <w:szCs w:val="24"/>
        </w:rPr>
        <w:t>Correlated random effects-</w:t>
      </w:r>
      <w:r w:rsidR="00E02AB1" w:rsidRPr="004636DB">
        <w:rPr>
          <w:rFonts w:cs="Times New Roman"/>
          <w:szCs w:val="24"/>
        </w:rPr>
        <w:t>Hausman test will be conducted by software Eviews to determine which effect–fixed or random can better explain the panel regression model.</w:t>
      </w:r>
      <w:r w:rsidR="00B21820" w:rsidRPr="004636DB">
        <w:rPr>
          <w:rFonts w:cs="Times New Roman"/>
          <w:szCs w:val="24"/>
        </w:rPr>
        <w:t xml:space="preserve"> This test is under the null hypothesis that the individual effects are not associated with the other predictors in the model (Hausman, 1978). If the null hypothesis is rejected, </w:t>
      </w:r>
      <w:r w:rsidR="00B21820" w:rsidRPr="004636DB">
        <w:rPr>
          <w:rFonts w:cs="Times New Roman" w:hint="eastAsia"/>
          <w:szCs w:val="24"/>
        </w:rPr>
        <w:t xml:space="preserve">the </w:t>
      </w:r>
      <w:r w:rsidR="00B21820" w:rsidRPr="004636DB">
        <w:rPr>
          <w:rFonts w:cs="Times New Roman"/>
          <w:szCs w:val="24"/>
        </w:rPr>
        <w:t>fixed effect model is preferred than random effect model.</w:t>
      </w:r>
    </w:p>
    <w:p w:rsidR="00396A82" w:rsidRDefault="00396A82" w:rsidP="00011443">
      <w:pPr>
        <w:rPr>
          <w:lang w:eastAsia="en-US"/>
        </w:rPr>
      </w:pPr>
    </w:p>
    <w:p w:rsidR="00B21820" w:rsidRDefault="00B21820" w:rsidP="00011443">
      <w:pPr>
        <w:rPr>
          <w:lang w:eastAsia="en-US"/>
        </w:rPr>
        <w:sectPr w:rsidR="00B21820" w:rsidSect="00280DE8">
          <w:pgSz w:w="11907" w:h="16839" w:code="9"/>
          <w:pgMar w:top="1440" w:right="1800" w:bottom="1440" w:left="1800" w:header="720" w:footer="720" w:gutter="0"/>
          <w:cols w:space="720"/>
          <w:docGrid w:linePitch="360"/>
        </w:sectPr>
      </w:pPr>
    </w:p>
    <w:p w:rsidR="00A31FB3" w:rsidRPr="00682E45" w:rsidRDefault="00A31FB3" w:rsidP="00252752">
      <w:pPr>
        <w:pStyle w:val="Heading1"/>
      </w:pPr>
      <w:bookmarkStart w:id="43" w:name="_Toc400916065"/>
      <w:r w:rsidRPr="00682E45">
        <w:lastRenderedPageBreak/>
        <w:t xml:space="preserve">Results and </w:t>
      </w:r>
      <w:r w:rsidRPr="00682E45">
        <w:rPr>
          <w:rFonts w:hint="eastAsia"/>
        </w:rPr>
        <w:t>A</w:t>
      </w:r>
      <w:r w:rsidRPr="00682E45">
        <w:t>nalysis</w:t>
      </w:r>
      <w:bookmarkEnd w:id="43"/>
    </w:p>
    <w:p w:rsidR="004F1A6B" w:rsidRPr="0023664E" w:rsidRDefault="004F1A6B" w:rsidP="004F1A6B">
      <w:pPr>
        <w:rPr>
          <w:rFonts w:cs="Times New Roman"/>
          <w:szCs w:val="24"/>
        </w:rPr>
      </w:pPr>
      <w:r>
        <w:t xml:space="preserve">In this chapter, the </w:t>
      </w:r>
      <w:r w:rsidR="009F4A06">
        <w:t xml:space="preserve">results of tests and analyses </w:t>
      </w:r>
      <w:r w:rsidRPr="00F52CE0">
        <w:t xml:space="preserve">will be presented. At first, the descriptive statistics </w:t>
      </w:r>
      <w:r>
        <w:t>of all variables’ mean</w:t>
      </w:r>
      <w:r w:rsidRPr="00A73AD8">
        <w:t>, standard deviation, etc.</w:t>
      </w:r>
      <w:r w:rsidRPr="00F52CE0">
        <w:t xml:space="preserve"> will be introduced. </w:t>
      </w:r>
      <w:r w:rsidRPr="00A73AD8">
        <w:t xml:space="preserve">Then, it </w:t>
      </w:r>
      <w:r w:rsidRPr="00F52CE0">
        <w:t xml:space="preserve">will provide correlation matrix analysis </w:t>
      </w:r>
      <w:r w:rsidRPr="00A73AD8">
        <w:t>in order to show</w:t>
      </w:r>
      <w:r>
        <w:t xml:space="preserve"> </w:t>
      </w:r>
      <w:r w:rsidRPr="00F52CE0">
        <w:t>the correlation of all varia</w:t>
      </w:r>
      <w:r>
        <w:t>bles.</w:t>
      </w:r>
      <w:r w:rsidRPr="0023664E">
        <w:rPr>
          <w:rFonts w:cs="Times New Roman"/>
          <w:szCs w:val="24"/>
        </w:rPr>
        <w:t xml:space="preserve"> </w:t>
      </w:r>
      <w:r>
        <w:rPr>
          <w:rFonts w:cs="Times New Roman"/>
          <w:szCs w:val="24"/>
        </w:rPr>
        <w:t>After that, the o</w:t>
      </w:r>
      <w:r w:rsidRPr="00F52CE0">
        <w:rPr>
          <w:rFonts w:cs="Times New Roman"/>
          <w:szCs w:val="24"/>
        </w:rPr>
        <w:t xml:space="preserve">rdinary leased squared (OLS) regression, </w:t>
      </w:r>
      <w:r>
        <w:rPr>
          <w:rFonts w:cs="Times New Roman"/>
          <w:szCs w:val="24"/>
        </w:rPr>
        <w:t xml:space="preserve">Hausman test with </w:t>
      </w:r>
      <w:r w:rsidRPr="00F52CE0">
        <w:rPr>
          <w:rFonts w:cs="Times New Roman"/>
          <w:szCs w:val="24"/>
        </w:rPr>
        <w:t>random effect model</w:t>
      </w:r>
      <w:r>
        <w:rPr>
          <w:rFonts w:cs="Times New Roman"/>
          <w:szCs w:val="24"/>
        </w:rPr>
        <w:t>, two-way fixed effect model will be implemented step by step.</w:t>
      </w:r>
    </w:p>
    <w:p w:rsidR="00A31FB3" w:rsidRPr="00A31FB3" w:rsidRDefault="00A31FB3" w:rsidP="00252752">
      <w:pPr>
        <w:pStyle w:val="Heading2"/>
      </w:pPr>
      <w:bookmarkStart w:id="44" w:name="_Toc400916066"/>
      <w:r w:rsidRPr="00A31FB3">
        <w:t xml:space="preserve">Descriptive </w:t>
      </w:r>
      <w:r w:rsidR="00682E45">
        <w:t>s</w:t>
      </w:r>
      <w:r w:rsidRPr="00A31FB3">
        <w:t>tatistics</w:t>
      </w:r>
      <w:bookmarkEnd w:id="44"/>
    </w:p>
    <w:p w:rsidR="004F1A6B" w:rsidRDefault="004F1A6B" w:rsidP="004F1A6B">
      <w:r>
        <w:rPr>
          <w:rFonts w:hint="eastAsia"/>
        </w:rPr>
        <w:t>T</w:t>
      </w:r>
      <w:r w:rsidRPr="004B164C">
        <w:t xml:space="preserve">he descriptive statistics of </w:t>
      </w:r>
      <w:r>
        <w:t xml:space="preserve">dependent variable, independent </w:t>
      </w:r>
      <w:r w:rsidRPr="004B164C">
        <w:t>v</w:t>
      </w:r>
      <w:r>
        <w:t>ariables and control variables</w:t>
      </w:r>
      <w:r>
        <w:rPr>
          <w:rFonts w:hint="eastAsia"/>
        </w:rPr>
        <w:t xml:space="preserve"> </w:t>
      </w:r>
      <w:r w:rsidRPr="00793D8A">
        <w:t>are</w:t>
      </w:r>
      <w:r>
        <w:t xml:space="preserve"> </w:t>
      </w:r>
      <w:r>
        <w:rPr>
          <w:rFonts w:hint="eastAsia"/>
        </w:rPr>
        <w:t xml:space="preserve">provided in </w:t>
      </w:r>
      <w:r>
        <w:t>T</w:t>
      </w:r>
      <w:r w:rsidRPr="0023664E">
        <w:t>able 6.1</w:t>
      </w:r>
      <w:r>
        <w:t>. The total numbers of firm-observations of China and U.S</w:t>
      </w:r>
      <w:r>
        <w:rPr>
          <w:rFonts w:hint="eastAsia"/>
        </w:rPr>
        <w:t>.</w:t>
      </w:r>
      <w:r>
        <w:t xml:space="preserve"> are 5525 and 3760, respectively. As observed in th</w:t>
      </w:r>
      <w:r>
        <w:rPr>
          <w:rFonts w:hint="eastAsia"/>
        </w:rPr>
        <w:t>e</w:t>
      </w:r>
      <w:r>
        <w:t xml:space="preserve"> table, the dependent variable (</w:t>
      </w:r>
      <w:r w:rsidR="00437E84" w:rsidRPr="00AD6F97">
        <w:rPr>
          <w:rFonts w:ascii="Cambria Math" w:hAnsi="Cambria Math"/>
          <w:i/>
        </w:rPr>
        <w:t>DA</w:t>
      </w:r>
      <w:r w:rsidR="00437E84" w:rsidRPr="00AD6F97">
        <w:rPr>
          <w:rFonts w:ascii="Cambria Math" w:hAnsi="Cambria Math"/>
          <w:i/>
          <w:vertAlign w:val="subscript"/>
        </w:rPr>
        <w:t>i,t</w:t>
      </w:r>
      <w:r>
        <w:t xml:space="preserve">) in the sample firms of China has a mean of 2.36 with </w:t>
      </w:r>
      <w:r>
        <w:rPr>
          <w:rFonts w:hint="eastAsia"/>
        </w:rPr>
        <w:t xml:space="preserve">a </w:t>
      </w:r>
      <w:r>
        <w:t>standard deviation of 1.32</w:t>
      </w:r>
      <w:r>
        <w:rPr>
          <w:rFonts w:hint="eastAsia"/>
        </w:rPr>
        <w:t>.</w:t>
      </w:r>
      <w:r>
        <w:t xml:space="preserve"> </w:t>
      </w:r>
      <w:r w:rsidRPr="0023664E">
        <w:rPr>
          <w:rFonts w:hint="eastAsia"/>
        </w:rPr>
        <w:t xml:space="preserve">The minimum and maximum values of </w:t>
      </w:r>
      <w:r w:rsidR="00AD6F97" w:rsidRPr="00AD6F97">
        <w:rPr>
          <w:rFonts w:ascii="Cambria Math" w:hAnsi="Cambria Math"/>
          <w:i/>
        </w:rPr>
        <w:t>DA</w:t>
      </w:r>
      <w:r w:rsidR="00AD6F97" w:rsidRPr="00AD6F97">
        <w:rPr>
          <w:rFonts w:ascii="Cambria Math" w:hAnsi="Cambria Math"/>
          <w:i/>
          <w:vertAlign w:val="subscript"/>
        </w:rPr>
        <w:t>i,t</w:t>
      </w:r>
      <w:r w:rsidR="00AD6F97">
        <w:t xml:space="preserve"> </w:t>
      </w:r>
      <w:r w:rsidRPr="0023664E">
        <w:rPr>
          <w:rFonts w:hint="eastAsia"/>
        </w:rPr>
        <w:t>in the sample</w:t>
      </w:r>
      <w:r w:rsidRPr="0023664E">
        <w:t xml:space="preserve"> firms</w:t>
      </w:r>
      <w:r w:rsidRPr="0023664E">
        <w:rPr>
          <w:rFonts w:hint="eastAsia"/>
        </w:rPr>
        <w:t xml:space="preserve"> of China are </w:t>
      </w:r>
      <w:r w:rsidRPr="0023664E">
        <w:t>0.0018</w:t>
      </w:r>
      <w:r w:rsidRPr="0023664E">
        <w:rPr>
          <w:rFonts w:hint="eastAsia"/>
        </w:rPr>
        <w:t xml:space="preserve"> and </w:t>
      </w:r>
      <w:r w:rsidRPr="0023664E">
        <w:t>9.52</w:t>
      </w:r>
      <w:r w:rsidR="00B8682D">
        <w:rPr>
          <w:rStyle w:val="FootnoteReference"/>
        </w:rPr>
        <w:footnoteReference w:id="8"/>
      </w:r>
      <w:r w:rsidRPr="0023664E">
        <w:rPr>
          <w:rFonts w:hint="eastAsia"/>
        </w:rPr>
        <w:t>, respectively</w:t>
      </w:r>
      <w:r w:rsidRPr="0023664E">
        <w:t>.</w:t>
      </w:r>
      <w:r>
        <w:t xml:space="preserve"> In contrast, in the sample firms of U.S</w:t>
      </w:r>
      <w:r>
        <w:rPr>
          <w:rFonts w:hint="eastAsia"/>
        </w:rPr>
        <w:t>.</w:t>
      </w:r>
      <w:r>
        <w:t xml:space="preserve">, the mean of </w:t>
      </w:r>
      <w:r w:rsidR="00437E84" w:rsidRPr="00AD6F97">
        <w:rPr>
          <w:rFonts w:ascii="Cambria Math" w:hAnsi="Cambria Math"/>
          <w:i/>
        </w:rPr>
        <w:t>DA</w:t>
      </w:r>
      <w:r w:rsidR="00437E84" w:rsidRPr="00AD6F97">
        <w:rPr>
          <w:rFonts w:ascii="Cambria Math" w:hAnsi="Cambria Math"/>
          <w:i/>
          <w:vertAlign w:val="subscript"/>
        </w:rPr>
        <w:t>i,t</w:t>
      </w:r>
      <w:r>
        <w:t xml:space="preserve"> is 0.04 with </w:t>
      </w:r>
      <w:r>
        <w:rPr>
          <w:rFonts w:hint="eastAsia"/>
        </w:rPr>
        <w:t xml:space="preserve">a </w:t>
      </w:r>
      <w:r>
        <w:t xml:space="preserve">standard deviation of 0.05, and </w:t>
      </w:r>
      <w:r w:rsidRPr="00457C2B">
        <w:t xml:space="preserve">the </w:t>
      </w:r>
      <w:r w:rsidRPr="00457C2B">
        <w:rPr>
          <w:rFonts w:hint="eastAsia"/>
        </w:rPr>
        <w:t xml:space="preserve">range of </w:t>
      </w:r>
      <w:r w:rsidR="00AD6F97" w:rsidRPr="00AD6F97">
        <w:rPr>
          <w:rFonts w:ascii="Cambria Math" w:hAnsi="Cambria Math"/>
          <w:i/>
        </w:rPr>
        <w:t>DA</w:t>
      </w:r>
      <w:r w:rsidR="00AD6F97" w:rsidRPr="00AD6F97">
        <w:rPr>
          <w:rFonts w:ascii="Cambria Math" w:hAnsi="Cambria Math"/>
          <w:i/>
          <w:vertAlign w:val="subscript"/>
        </w:rPr>
        <w:t>i,t</w:t>
      </w:r>
      <w:r w:rsidR="00AD6F97">
        <w:t xml:space="preserve"> </w:t>
      </w:r>
      <w:r w:rsidRPr="00457C2B">
        <w:rPr>
          <w:rFonts w:hint="eastAsia"/>
        </w:rPr>
        <w:t xml:space="preserve">is from </w:t>
      </w:r>
      <w:r w:rsidRPr="00457C2B">
        <w:t xml:space="preserve">0.00 </w:t>
      </w:r>
      <w:r w:rsidRPr="00457C2B">
        <w:rPr>
          <w:rFonts w:hint="eastAsia"/>
        </w:rPr>
        <w:t xml:space="preserve">to </w:t>
      </w:r>
      <w:r w:rsidRPr="00457C2B">
        <w:t>0.85.</w:t>
      </w:r>
      <w:r>
        <w:t xml:space="preserve"> Moreover, the average level of CEO as the Chairman </w:t>
      </w:r>
      <w:r w:rsidRPr="00183E9A">
        <w:rPr>
          <w:rFonts w:hint="eastAsia"/>
        </w:rPr>
        <w:t xml:space="preserve">(see independent </w:t>
      </w:r>
      <w:r w:rsidRPr="00183E9A">
        <w:t>variable</w:t>
      </w:r>
      <w:r w:rsidRPr="00183E9A">
        <w:rPr>
          <w:rFonts w:hint="eastAsia"/>
        </w:rPr>
        <w:t xml:space="preserve"> </w:t>
      </w:r>
      <w:r w:rsidRPr="00AD6F97">
        <w:rPr>
          <w:rFonts w:ascii="Cambria Math" w:hAnsi="Cambria Math"/>
          <w:i/>
        </w:rPr>
        <w:t>CEO-dummy</w:t>
      </w:r>
      <w:r w:rsidR="00AD6F97" w:rsidRPr="00AD6F97">
        <w:rPr>
          <w:rFonts w:ascii="Cambria Math" w:hAnsi="Cambria Math" w:cs="Times New Roman"/>
          <w:i/>
          <w:vertAlign w:val="subscript"/>
        </w:rPr>
        <w:t>i,t</w:t>
      </w:r>
      <w:r w:rsidRPr="00183E9A">
        <w:rPr>
          <w:rFonts w:hint="eastAsia"/>
        </w:rPr>
        <w:t>)</w:t>
      </w:r>
      <w:r>
        <w:rPr>
          <w:rFonts w:hint="eastAsia"/>
        </w:rPr>
        <w:t xml:space="preserve"> </w:t>
      </w:r>
      <w:r>
        <w:t xml:space="preserve">in the sample firms of China is 15%, </w:t>
      </w:r>
      <w:r w:rsidRPr="00183E9A">
        <w:rPr>
          <w:rFonts w:hint="eastAsia"/>
        </w:rPr>
        <w:t>while it is 69% in the sample</w:t>
      </w:r>
      <w:r w:rsidR="00A678FA">
        <w:t>s</w:t>
      </w:r>
      <w:r w:rsidRPr="00183E9A">
        <w:rPr>
          <w:rFonts w:hint="eastAsia"/>
        </w:rPr>
        <w:t xml:space="preserve"> of U.S.</w:t>
      </w:r>
      <w:r>
        <w:rPr>
          <w:rFonts w:hint="eastAsia"/>
        </w:rPr>
        <w:t xml:space="preserve"> </w:t>
      </w:r>
      <w:r>
        <w:t>This indicate</w:t>
      </w:r>
      <w:r>
        <w:rPr>
          <w:rFonts w:hint="eastAsia"/>
        </w:rPr>
        <w:t>s</w:t>
      </w:r>
      <w:r>
        <w:t xml:space="preserve"> that the magnitude of combining CEO and Chairman in U.S. listed firms is higher than that in China. In addition, the ratio of independen</w:t>
      </w:r>
      <w:r w:rsidR="00485E1B">
        <w:t>t directors to total directors (</w:t>
      </w:r>
      <w:r w:rsidRPr="00AD6F97">
        <w:rPr>
          <w:rFonts w:ascii="Cambria Math" w:hAnsi="Cambria Math"/>
          <w:i/>
        </w:rPr>
        <w:t>BI</w:t>
      </w:r>
      <w:r w:rsidR="00AD6F97" w:rsidRPr="00AD6F97">
        <w:rPr>
          <w:rFonts w:ascii="Cambria Math" w:hAnsi="Cambria Math" w:cs="Times New Roman"/>
          <w:i/>
          <w:vertAlign w:val="subscript"/>
        </w:rPr>
        <w:t>i,t</w:t>
      </w:r>
      <w:r>
        <w:rPr>
          <w:rFonts w:hint="eastAsia"/>
        </w:rPr>
        <w:t>)</w:t>
      </w:r>
      <w:r>
        <w:t xml:space="preserve"> of China has a mean </w:t>
      </w:r>
      <w:r>
        <w:rPr>
          <w:rFonts w:hint="eastAsia"/>
        </w:rPr>
        <w:t xml:space="preserve">value </w:t>
      </w:r>
      <w:r>
        <w:t xml:space="preserve">of 0.36 and with </w:t>
      </w:r>
      <w:r>
        <w:rPr>
          <w:rFonts w:hint="eastAsia"/>
        </w:rPr>
        <w:t>a</w:t>
      </w:r>
      <w:r>
        <w:t xml:space="preserve"> minimum</w:t>
      </w:r>
      <w:r>
        <w:rPr>
          <w:rFonts w:hint="eastAsia"/>
        </w:rPr>
        <w:t xml:space="preserve"> of</w:t>
      </w:r>
      <w:r>
        <w:t xml:space="preserve"> 0.09 and </w:t>
      </w:r>
      <w:r>
        <w:rPr>
          <w:rFonts w:hint="eastAsia"/>
        </w:rPr>
        <w:t xml:space="preserve">a </w:t>
      </w:r>
      <w:r>
        <w:t>maximum</w:t>
      </w:r>
      <w:r>
        <w:rPr>
          <w:rFonts w:hint="eastAsia"/>
        </w:rPr>
        <w:t xml:space="preserve"> of </w:t>
      </w:r>
      <w:r>
        <w:t xml:space="preserve">0.71. In contrast, the </w:t>
      </w:r>
      <w:r>
        <w:rPr>
          <w:rFonts w:hint="eastAsia"/>
        </w:rPr>
        <w:t xml:space="preserve">mean value of </w:t>
      </w:r>
      <w:r w:rsidR="00A678FA" w:rsidRPr="00AD6F97">
        <w:rPr>
          <w:rFonts w:ascii="Cambria Math" w:hAnsi="Cambria Math"/>
          <w:i/>
        </w:rPr>
        <w:t>BI</w:t>
      </w:r>
      <w:r w:rsidR="00A678FA" w:rsidRPr="00AD6F97">
        <w:rPr>
          <w:rFonts w:ascii="Cambria Math" w:hAnsi="Cambria Math" w:cs="Times New Roman"/>
          <w:i/>
          <w:vertAlign w:val="subscript"/>
        </w:rPr>
        <w:t>i,t</w:t>
      </w:r>
      <w:r w:rsidR="00A943E1">
        <w:t xml:space="preserve"> </w:t>
      </w:r>
      <w:r>
        <w:rPr>
          <w:rFonts w:hint="eastAsia"/>
        </w:rPr>
        <w:t xml:space="preserve">of U.S. is 0.74, </w:t>
      </w:r>
      <w:r>
        <w:t>which implies</w:t>
      </w:r>
      <w:r w:rsidRPr="00183E9A">
        <w:rPr>
          <w:rFonts w:hint="eastAsia"/>
        </w:rPr>
        <w:t xml:space="preserve"> the U.S. listed firms have </w:t>
      </w:r>
      <w:r w:rsidRPr="00183E9A">
        <w:t>more independent directors</w:t>
      </w:r>
      <w:r w:rsidRPr="00183E9A">
        <w:rPr>
          <w:rFonts w:hint="eastAsia"/>
        </w:rPr>
        <w:t xml:space="preserve"> on the board</w:t>
      </w:r>
      <w:r w:rsidRPr="00183E9A">
        <w:t xml:space="preserve"> </w:t>
      </w:r>
      <w:r w:rsidRPr="00183E9A">
        <w:rPr>
          <w:rFonts w:hint="eastAsia"/>
        </w:rPr>
        <w:t>than China listed firms</w:t>
      </w:r>
      <w:r>
        <w:t>.</w:t>
      </w:r>
      <w:r>
        <w:rPr>
          <w:rFonts w:hint="eastAsia"/>
        </w:rPr>
        <w:t xml:space="preserve"> </w:t>
      </w:r>
      <w:r>
        <w:t>The maximum and minimum number</w:t>
      </w:r>
      <w:r>
        <w:rPr>
          <w:rFonts w:hint="eastAsia"/>
        </w:rPr>
        <w:t>s</w:t>
      </w:r>
      <w:r>
        <w:t xml:space="preserve"> of supervisory board </w:t>
      </w:r>
      <w:r>
        <w:rPr>
          <w:rFonts w:hint="eastAsia"/>
        </w:rPr>
        <w:t xml:space="preserve">(see independent variable </w:t>
      </w:r>
      <w:r w:rsidRPr="00A943E1">
        <w:rPr>
          <w:rFonts w:ascii="Cambria Math" w:hAnsi="Cambria Math"/>
          <w:b/>
          <w:i/>
        </w:rPr>
        <w:t>SBS</w:t>
      </w:r>
      <w:r w:rsidR="00AD6F97" w:rsidRPr="00AD6F97">
        <w:rPr>
          <w:rFonts w:ascii="Cambria Math" w:hAnsi="Cambria Math" w:cs="Times New Roman"/>
          <w:i/>
          <w:vertAlign w:val="subscript"/>
        </w:rPr>
        <w:t>i,t</w:t>
      </w:r>
      <w:r>
        <w:rPr>
          <w:rFonts w:hint="eastAsia"/>
        </w:rPr>
        <w:t xml:space="preserve">) </w:t>
      </w:r>
      <w:r>
        <w:t xml:space="preserve">in China </w:t>
      </w:r>
      <w:r>
        <w:rPr>
          <w:rFonts w:hint="eastAsia"/>
        </w:rPr>
        <w:t>are</w:t>
      </w:r>
      <w:r>
        <w:t xml:space="preserve"> 9 and 0, respectively</w:t>
      </w:r>
      <w:r>
        <w:rPr>
          <w:rFonts w:hint="eastAsia"/>
        </w:rPr>
        <w:t>. T</w:t>
      </w:r>
      <w:r>
        <w:t xml:space="preserve">he average number </w:t>
      </w:r>
      <w:r>
        <w:rPr>
          <w:rFonts w:hint="eastAsia"/>
        </w:rPr>
        <w:t xml:space="preserve">of </w:t>
      </w:r>
      <w:r w:rsidR="00A678FA">
        <w:t xml:space="preserve">supervisory board </w:t>
      </w:r>
      <w:r>
        <w:t xml:space="preserve">is around 4. </w:t>
      </w:r>
      <w:r w:rsidRPr="000522C6">
        <w:t>In U.S</w:t>
      </w:r>
      <w:r w:rsidRPr="000522C6">
        <w:rPr>
          <w:rFonts w:hint="eastAsia"/>
        </w:rPr>
        <w:t>. listed firms</w:t>
      </w:r>
      <w:r w:rsidRPr="000522C6">
        <w:t>,</w:t>
      </w:r>
      <w:r w:rsidRPr="000522C6">
        <w:rPr>
          <w:rFonts w:hint="eastAsia"/>
        </w:rPr>
        <w:t xml:space="preserve"> the average number of </w:t>
      </w:r>
      <w:r w:rsidRPr="000522C6">
        <w:t xml:space="preserve">non-executives directors </w:t>
      </w:r>
      <w:r w:rsidRPr="000522C6">
        <w:rPr>
          <w:rFonts w:hint="eastAsia"/>
        </w:rPr>
        <w:t>(</w:t>
      </w:r>
      <w:r w:rsidRPr="00A943E1">
        <w:rPr>
          <w:rFonts w:ascii="Cambria Math" w:hAnsi="Cambria Math"/>
          <w:b/>
          <w:i/>
        </w:rPr>
        <w:t>NEDS</w:t>
      </w:r>
      <w:r w:rsidR="00AD6F97" w:rsidRPr="00AD6F97">
        <w:rPr>
          <w:rFonts w:ascii="Cambria Math" w:hAnsi="Cambria Math" w:cs="Times New Roman"/>
          <w:i/>
          <w:vertAlign w:val="subscript"/>
        </w:rPr>
        <w:t>i,t</w:t>
      </w:r>
      <w:r w:rsidRPr="000522C6">
        <w:rPr>
          <w:rFonts w:hint="eastAsia"/>
        </w:rPr>
        <w:t xml:space="preserve">) is 7 with a </w:t>
      </w:r>
      <w:r w:rsidRPr="000522C6">
        <w:t>minimum</w:t>
      </w:r>
      <w:r w:rsidRPr="000522C6">
        <w:rPr>
          <w:rFonts w:hint="eastAsia"/>
        </w:rPr>
        <w:t xml:space="preserve"> </w:t>
      </w:r>
      <w:r w:rsidR="00A678FA">
        <w:t xml:space="preserve">value </w:t>
      </w:r>
      <w:r w:rsidRPr="000522C6">
        <w:rPr>
          <w:rFonts w:hint="eastAsia"/>
        </w:rPr>
        <w:t>of 0 and a maximum</w:t>
      </w:r>
      <w:r w:rsidR="00A678FA">
        <w:t xml:space="preserve"> value </w:t>
      </w:r>
      <w:r w:rsidRPr="000522C6">
        <w:rPr>
          <w:rFonts w:hint="eastAsia"/>
        </w:rPr>
        <w:t>of 16</w:t>
      </w:r>
      <w:r>
        <w:rPr>
          <w:rFonts w:hint="eastAsia"/>
        </w:rPr>
        <w:t>.</w:t>
      </w:r>
      <w:r>
        <w:t xml:space="preserve"> Moreover, the </w:t>
      </w:r>
      <w:r w:rsidRPr="000522C6">
        <w:t>percentage</w:t>
      </w:r>
      <w:r w:rsidRPr="00D26E32">
        <w:t xml:space="preserve"> of shares h</w:t>
      </w:r>
      <w:r>
        <w:rPr>
          <w:rFonts w:hint="eastAsia"/>
        </w:rPr>
        <w:t>e</w:t>
      </w:r>
      <w:r w:rsidRPr="00D26E32">
        <w:t>ld by management</w:t>
      </w:r>
      <w:r>
        <w:t xml:space="preserve"> </w:t>
      </w:r>
      <w:r w:rsidRPr="000522C6">
        <w:t>(</w:t>
      </w:r>
      <w:r w:rsidRPr="000522C6">
        <w:rPr>
          <w:rFonts w:hint="eastAsia"/>
        </w:rPr>
        <w:t xml:space="preserve">see independent variable </w:t>
      </w:r>
      <w:r w:rsidRPr="00AD6F97">
        <w:rPr>
          <w:rFonts w:ascii="Cambria Math" w:hAnsi="Cambria Math"/>
          <w:i/>
        </w:rPr>
        <w:t>Insider</w:t>
      </w:r>
      <w:r w:rsidR="00AD6F97" w:rsidRPr="00AD6F97">
        <w:rPr>
          <w:rFonts w:ascii="Cambria Math" w:hAnsi="Cambria Math" w:cs="Times New Roman"/>
          <w:i/>
          <w:vertAlign w:val="subscript"/>
        </w:rPr>
        <w:t>i,t</w:t>
      </w:r>
      <w:r w:rsidRPr="000522C6">
        <w:t>)</w:t>
      </w:r>
      <w:r>
        <w:t xml:space="preserve"> of China </w:t>
      </w:r>
      <w:r w:rsidRPr="000522C6">
        <w:t>has</w:t>
      </w:r>
      <w:r>
        <w:t xml:space="preserve"> a</w:t>
      </w:r>
      <w:r>
        <w:rPr>
          <w:rFonts w:hint="eastAsia"/>
        </w:rPr>
        <w:t>n</w:t>
      </w:r>
      <w:r>
        <w:t xml:space="preserve"> average </w:t>
      </w:r>
      <w:r>
        <w:rPr>
          <w:rFonts w:hint="eastAsia"/>
        </w:rPr>
        <w:t>value</w:t>
      </w:r>
      <w:r>
        <w:t xml:space="preserve"> of 3%, which is lower than that in U.S</w:t>
      </w:r>
      <w:r>
        <w:rPr>
          <w:rFonts w:hint="eastAsia"/>
        </w:rPr>
        <w:t>.</w:t>
      </w:r>
      <w:r>
        <w:t xml:space="preserve"> (13.2%). This suggests </w:t>
      </w:r>
      <w:r w:rsidRPr="00793D8A">
        <w:t>that managers in China hold fewer shares than that in U.S.</w:t>
      </w:r>
    </w:p>
    <w:p w:rsidR="004F1A6B" w:rsidRPr="000522C6" w:rsidRDefault="004F1A6B" w:rsidP="004F1A6B">
      <w:r w:rsidRPr="000522C6">
        <w:rPr>
          <w:rFonts w:hint="eastAsia"/>
        </w:rPr>
        <w:lastRenderedPageBreak/>
        <w:t>In order to verify the distribution</w:t>
      </w:r>
      <w:r w:rsidR="00155A25">
        <w:t>s</w:t>
      </w:r>
      <w:r w:rsidRPr="000522C6">
        <w:rPr>
          <w:rFonts w:hint="eastAsia"/>
        </w:rPr>
        <w:t xml:space="preserve"> of </w:t>
      </w:r>
      <w:r w:rsidRPr="000522C6">
        <w:t>discretionary accrual</w:t>
      </w:r>
      <w:r w:rsidRPr="000522C6">
        <w:rPr>
          <w:rFonts w:hint="eastAsia"/>
        </w:rPr>
        <w:t xml:space="preserve">s in the samples, </w:t>
      </w:r>
      <w:r w:rsidRPr="000522C6">
        <w:t>normality</w:t>
      </w:r>
      <w:r w:rsidRPr="000522C6">
        <w:rPr>
          <w:rFonts w:hint="eastAsia"/>
        </w:rPr>
        <w:t xml:space="preserve"> test has been applied with the aid </w:t>
      </w:r>
      <w:r>
        <w:rPr>
          <w:rFonts w:hint="eastAsia"/>
        </w:rPr>
        <w:t>of SPSS. Table 6.2 and 6.3 show</w:t>
      </w:r>
      <w:r w:rsidRPr="000522C6">
        <w:rPr>
          <w:rFonts w:hint="eastAsia"/>
        </w:rPr>
        <w:t xml:space="preserve"> the</w:t>
      </w:r>
      <w:r w:rsidR="00155A25">
        <w:t xml:space="preserve"> distributions of </w:t>
      </w:r>
      <w:r w:rsidR="00155A25" w:rsidRPr="000522C6">
        <w:t>discretionary</w:t>
      </w:r>
      <w:r w:rsidRPr="000522C6">
        <w:rPr>
          <w:rFonts w:hint="eastAsia"/>
        </w:rPr>
        <w:t xml:space="preserve"> </w:t>
      </w:r>
      <w:r w:rsidRPr="000522C6">
        <w:t>accruals</w:t>
      </w:r>
      <w:r w:rsidRPr="000522C6">
        <w:rPr>
          <w:rFonts w:hint="eastAsia"/>
        </w:rPr>
        <w:t xml:space="preserve"> </w:t>
      </w:r>
      <w:r w:rsidR="00121C4A">
        <w:t xml:space="preserve">which as proxies of earnings management </w:t>
      </w:r>
      <w:r w:rsidRPr="000522C6">
        <w:rPr>
          <w:rFonts w:hint="eastAsia"/>
        </w:rPr>
        <w:t>of China and U.S. Both of them are normal distribution</w:t>
      </w:r>
      <w:r w:rsidR="00155A25">
        <w:t>s</w:t>
      </w:r>
      <w:r w:rsidRPr="000522C6">
        <w:rPr>
          <w:rFonts w:hint="eastAsia"/>
        </w:rPr>
        <w:t>.</w:t>
      </w:r>
    </w:p>
    <w:p w:rsidR="00401E8D" w:rsidRPr="00401E8D" w:rsidRDefault="005B029C" w:rsidP="00252752">
      <w:pPr>
        <w:pStyle w:val="Heading2"/>
      </w:pPr>
      <w:bookmarkStart w:id="45" w:name="_Toc400916067"/>
      <w:r>
        <w:t>Correlation matrix (Pearson c</w:t>
      </w:r>
      <w:r w:rsidR="00401E8D" w:rsidRPr="00401E8D">
        <w:t>orrelation test)</w:t>
      </w:r>
      <w:bookmarkEnd w:id="45"/>
    </w:p>
    <w:p w:rsidR="004F1A6B" w:rsidRDefault="004F1A6B" w:rsidP="004F1A6B">
      <w:r w:rsidRPr="000522C6">
        <w:t>In order to investigate w</w:t>
      </w:r>
      <w:r w:rsidR="00437E84">
        <w:t>hether the dependent variable (</w:t>
      </w:r>
      <w:r w:rsidR="00437E84" w:rsidRPr="00AD6F97">
        <w:rPr>
          <w:rFonts w:ascii="Cambria Math" w:hAnsi="Cambria Math"/>
          <w:i/>
        </w:rPr>
        <w:t>DA</w:t>
      </w:r>
      <w:r w:rsidR="00437E84" w:rsidRPr="00AD6F97">
        <w:rPr>
          <w:rFonts w:ascii="Cambria Math" w:hAnsi="Cambria Math"/>
          <w:i/>
          <w:vertAlign w:val="subscript"/>
        </w:rPr>
        <w:t>i,t</w:t>
      </w:r>
      <w:r w:rsidR="002A436B">
        <w:t xml:space="preserve">) and other </w:t>
      </w:r>
      <w:r w:rsidRPr="000522C6">
        <w:t>variables are assoc</w:t>
      </w:r>
      <w:r w:rsidR="005B029C">
        <w:t>iated to each other, a Pearson c</w:t>
      </w:r>
      <w:r w:rsidRPr="000522C6">
        <w:t>orrelation test has been implemented.</w:t>
      </w:r>
      <w:r>
        <w:t xml:space="preserve"> </w:t>
      </w:r>
      <w:r w:rsidRPr="000522C6">
        <w:t>The results of Pearson correlation test based on the sample firms of China and U.S. are given in Table 6.4 and 6.5, respectively.</w:t>
      </w:r>
      <w:r>
        <w:rPr>
          <w:color w:val="FF0000"/>
        </w:rPr>
        <w:t xml:space="preserve"> </w:t>
      </w:r>
      <w:r>
        <w:t xml:space="preserve">The determination criterion is based on the value of Pearson correlation coefficient. This </w:t>
      </w:r>
      <w:r w:rsidRPr="00745A79">
        <w:t>coefficient is a statistical measu</w:t>
      </w:r>
      <w:r>
        <w:t xml:space="preserve">re of the strength of a linear correlation </w:t>
      </w:r>
      <w:r w:rsidRPr="00745A79">
        <w:t xml:space="preserve">between </w:t>
      </w:r>
      <w:r>
        <w:t xml:space="preserve">variables, and </w:t>
      </w:r>
      <w:r w:rsidRPr="00F704CD">
        <w:t>its</w:t>
      </w:r>
      <w:r>
        <w:t xml:space="preserve"> value </w:t>
      </w:r>
      <w:r w:rsidRPr="00F704CD">
        <w:t>varies</w:t>
      </w:r>
      <w:r>
        <w:t xml:space="preserve"> between -1 and +1. When the observed value of that coefficient is </w:t>
      </w:r>
      <w:r w:rsidRPr="00F704CD">
        <w:t>drawn from</w:t>
      </w:r>
      <w:r>
        <w:t xml:space="preserve"> 0 to -1, it indicates a negative relationship between tested variables. In contrast, it suggests a positive relationship between variables </w:t>
      </w:r>
      <w:r w:rsidRPr="00F704CD">
        <w:t>when the observed value of that coefficient falls into the range of 0 to +1</w:t>
      </w:r>
      <w:r w:rsidR="00650FFA">
        <w:t xml:space="preserve"> (Bryman and Cramer, </w:t>
      </w:r>
      <w:r>
        <w:t>2005)</w:t>
      </w:r>
      <w:r w:rsidR="00650FFA">
        <w:t xml:space="preserve">. They also </w:t>
      </w:r>
      <w:r>
        <w:t xml:space="preserve">suggested that the value of that coefficient </w:t>
      </w:r>
      <w:r w:rsidRPr="00F704CD">
        <w:t xml:space="preserve">should </w:t>
      </w:r>
      <w:r>
        <w:t xml:space="preserve">not </w:t>
      </w:r>
      <w:r w:rsidRPr="00F704CD">
        <w:t>be</w:t>
      </w:r>
      <w:r w:rsidR="005B029C">
        <w:t xml:space="preserve"> greater than </w:t>
      </w:r>
      <w:r>
        <w:t xml:space="preserve">0.8. Otherwise the risk of </w:t>
      </w:r>
      <w:r w:rsidRPr="002B0BC8">
        <w:t>multicollinearity</w:t>
      </w:r>
      <w:r>
        <w:t xml:space="preserve"> will be very high</w:t>
      </w:r>
      <w:r>
        <w:rPr>
          <w:rFonts w:hint="eastAsia"/>
        </w:rPr>
        <w:t>.</w:t>
      </w:r>
      <w:r>
        <w:t xml:space="preserve"> </w:t>
      </w:r>
      <w:r>
        <w:rPr>
          <w:rFonts w:hint="eastAsia"/>
        </w:rPr>
        <w:t>Since the values given in Table 6.4 and 6.5 are not exceeding</w:t>
      </w:r>
      <w:r w:rsidR="005B029C">
        <w:t xml:space="preserve"> </w:t>
      </w:r>
      <w:r>
        <w:t>0.8</w:t>
      </w:r>
      <w:r>
        <w:rPr>
          <w:rFonts w:hint="eastAsia"/>
        </w:rPr>
        <w:t xml:space="preserve">, the </w:t>
      </w:r>
      <w:r>
        <w:t xml:space="preserve">regression is </w:t>
      </w:r>
      <w:r w:rsidRPr="00793D8A">
        <w:t>considered</w:t>
      </w:r>
      <w:r>
        <w:t xml:space="preserve"> to be valid</w:t>
      </w:r>
      <w:r>
        <w:rPr>
          <w:rFonts w:hint="eastAsia"/>
        </w:rPr>
        <w:t>.</w:t>
      </w:r>
    </w:p>
    <w:p w:rsidR="00401E8D" w:rsidRDefault="00401E8D" w:rsidP="00F524BE"/>
    <w:p w:rsidR="00401E8D" w:rsidRDefault="00401E8D" w:rsidP="00A31FB3">
      <w:pPr>
        <w:rPr>
          <w:rFonts w:cs="Times New Roman"/>
          <w:szCs w:val="24"/>
        </w:rPr>
        <w:sectPr w:rsidR="00401E8D" w:rsidSect="004F1A6B">
          <w:pgSz w:w="11907" w:h="16839" w:code="9"/>
          <w:pgMar w:top="1440" w:right="1800" w:bottom="1440" w:left="1800" w:header="720" w:footer="720" w:gutter="0"/>
          <w:cols w:space="720"/>
          <w:docGrid w:linePitch="360"/>
        </w:sectPr>
      </w:pPr>
    </w:p>
    <w:p w:rsidR="00401E8D" w:rsidRDefault="00401E8D" w:rsidP="00011443">
      <w:pPr>
        <w:pStyle w:val="Caption"/>
      </w:pPr>
    </w:p>
    <w:p w:rsidR="00011443" w:rsidRDefault="00011443" w:rsidP="00401E8D">
      <w:pPr>
        <w:pStyle w:val="Caption"/>
        <w:jc w:val="center"/>
      </w:pPr>
      <w:r>
        <w:t xml:space="preserve">Table </w:t>
      </w:r>
      <w:r w:rsidR="00EF1EDC">
        <w:fldChar w:fldCharType="begin"/>
      </w:r>
      <w:r w:rsidR="00C60813">
        <w:instrText xml:space="preserve"> STYLEREF 1 \s </w:instrText>
      </w:r>
      <w:r w:rsidR="00EF1EDC">
        <w:fldChar w:fldCharType="separate"/>
      </w:r>
      <w:r w:rsidR="00280DE8">
        <w:rPr>
          <w:noProof/>
        </w:rPr>
        <w:t>6</w:t>
      </w:r>
      <w:r w:rsidR="00EF1EDC">
        <w:rPr>
          <w:noProof/>
        </w:rPr>
        <w:fldChar w:fldCharType="end"/>
      </w:r>
      <w:r w:rsidR="00280DE8">
        <w:t>.</w:t>
      </w:r>
      <w:r w:rsidR="00EF1EDC">
        <w:fldChar w:fldCharType="begin"/>
      </w:r>
      <w:r w:rsidR="00F22E67">
        <w:instrText xml:space="preserve"> SEQ Table \* ARABIC \s 1 </w:instrText>
      </w:r>
      <w:r w:rsidR="00EF1EDC">
        <w:fldChar w:fldCharType="separate"/>
      </w:r>
      <w:r w:rsidR="004F1A6B">
        <w:rPr>
          <w:noProof/>
        </w:rPr>
        <w:t>1</w:t>
      </w:r>
      <w:r w:rsidR="00EF1EDC">
        <w:fldChar w:fldCharType="end"/>
      </w:r>
      <w:r>
        <w:rPr>
          <w:rFonts w:hint="eastAsia"/>
        </w:rPr>
        <w:t xml:space="preserve">. </w:t>
      </w:r>
      <w:r>
        <w:rPr>
          <w:rFonts w:cs="Times New Roman"/>
          <w:szCs w:val="24"/>
        </w:rPr>
        <w:t>Descriptive S</w:t>
      </w:r>
      <w:r w:rsidRPr="00AE2179">
        <w:rPr>
          <w:rFonts w:cs="Times New Roman"/>
          <w:szCs w:val="24"/>
        </w:rPr>
        <w:t>tatistics of China a</w:t>
      </w:r>
      <w:r>
        <w:rPr>
          <w:rFonts w:cs="Times New Roman"/>
          <w:szCs w:val="24"/>
        </w:rPr>
        <w:t>nd U.S</w:t>
      </w:r>
      <w:r>
        <w:rPr>
          <w:rFonts w:cs="Times New Roman" w:hint="eastAsia"/>
          <w:szCs w:val="24"/>
        </w:rPr>
        <w:t>.</w:t>
      </w:r>
    </w:p>
    <w:tbl>
      <w:tblPr>
        <w:tblStyle w:val="TableGrid"/>
        <w:tblW w:w="0" w:type="auto"/>
        <w:jc w:val="center"/>
        <w:tblLook w:val="04A0"/>
      </w:tblPr>
      <w:tblGrid>
        <w:gridCol w:w="1894"/>
        <w:gridCol w:w="1524"/>
        <w:gridCol w:w="1044"/>
        <w:gridCol w:w="867"/>
        <w:gridCol w:w="757"/>
        <w:gridCol w:w="800"/>
        <w:gridCol w:w="1264"/>
        <w:gridCol w:w="1524"/>
        <w:gridCol w:w="1044"/>
        <w:gridCol w:w="780"/>
        <w:gridCol w:w="757"/>
        <w:gridCol w:w="809"/>
        <w:gridCol w:w="1264"/>
      </w:tblGrid>
      <w:tr w:rsidR="00011443" w:rsidRPr="00D54355" w:rsidTr="00011443">
        <w:trPr>
          <w:trHeight w:val="288"/>
          <w:jc w:val="center"/>
        </w:trPr>
        <w:tc>
          <w:tcPr>
            <w:tcW w:w="0" w:type="auto"/>
          </w:tcPr>
          <w:p w:rsidR="00011443" w:rsidRPr="00D54355" w:rsidRDefault="00011443" w:rsidP="00011443">
            <w:pPr>
              <w:spacing w:line="240" w:lineRule="auto"/>
              <w:jc w:val="center"/>
              <w:rPr>
                <w:rFonts w:cs="Times New Roman"/>
                <w:sz w:val="18"/>
                <w:szCs w:val="18"/>
              </w:rPr>
            </w:pPr>
          </w:p>
        </w:tc>
        <w:tc>
          <w:tcPr>
            <w:tcW w:w="0" w:type="auto"/>
            <w:gridSpan w:val="6"/>
            <w:vAlign w:val="center"/>
          </w:tcPr>
          <w:p w:rsidR="00011443" w:rsidRPr="00AB2F5D" w:rsidRDefault="00011443" w:rsidP="00011443">
            <w:pPr>
              <w:spacing w:line="240" w:lineRule="auto"/>
              <w:jc w:val="center"/>
              <w:rPr>
                <w:rFonts w:cs="Times New Roman"/>
                <w:b/>
                <w:szCs w:val="18"/>
              </w:rPr>
            </w:pPr>
            <w:r w:rsidRPr="00AB2F5D">
              <w:rPr>
                <w:rFonts w:cs="Times New Roman"/>
                <w:b/>
                <w:szCs w:val="18"/>
              </w:rPr>
              <w:t>China</w:t>
            </w:r>
          </w:p>
        </w:tc>
        <w:tc>
          <w:tcPr>
            <w:tcW w:w="0" w:type="auto"/>
            <w:gridSpan w:val="6"/>
            <w:vAlign w:val="center"/>
          </w:tcPr>
          <w:p w:rsidR="00011443" w:rsidRPr="00AB2F5D" w:rsidRDefault="00011443" w:rsidP="00011443">
            <w:pPr>
              <w:spacing w:line="240" w:lineRule="auto"/>
              <w:jc w:val="center"/>
              <w:rPr>
                <w:rFonts w:cs="Times New Roman"/>
                <w:b/>
                <w:sz w:val="18"/>
                <w:szCs w:val="18"/>
              </w:rPr>
            </w:pPr>
            <w:r w:rsidRPr="00AB2F5D">
              <w:rPr>
                <w:rFonts w:cs="Times New Roman"/>
                <w:b/>
                <w:szCs w:val="18"/>
              </w:rPr>
              <w:t>U</w:t>
            </w:r>
            <w:r>
              <w:rPr>
                <w:rFonts w:cs="Times New Roman"/>
                <w:b/>
                <w:szCs w:val="18"/>
              </w:rPr>
              <w:t>.</w:t>
            </w:r>
            <w:r w:rsidRPr="00AB2F5D">
              <w:rPr>
                <w:rFonts w:cs="Times New Roman"/>
                <w:b/>
                <w:szCs w:val="18"/>
              </w:rPr>
              <w:t>S</w:t>
            </w:r>
            <w:r>
              <w:rPr>
                <w:rFonts w:cs="Times New Roman" w:hint="eastAsia"/>
                <w:b/>
                <w:szCs w:val="18"/>
              </w:rPr>
              <w:t>.</w:t>
            </w:r>
          </w:p>
        </w:tc>
      </w:tr>
      <w:tr w:rsidR="00AD6F97" w:rsidRPr="00D54355" w:rsidTr="00011443">
        <w:trPr>
          <w:trHeight w:val="432"/>
          <w:jc w:val="center"/>
        </w:trPr>
        <w:tc>
          <w:tcPr>
            <w:tcW w:w="0" w:type="auto"/>
          </w:tcPr>
          <w:p w:rsidR="00011443" w:rsidRPr="00D54355" w:rsidRDefault="00011443" w:rsidP="00011443">
            <w:pPr>
              <w:spacing w:line="240" w:lineRule="auto"/>
              <w:rPr>
                <w:rFonts w:cs="Times New Roman"/>
                <w:sz w:val="18"/>
                <w:szCs w:val="18"/>
              </w:rPr>
            </w:pPr>
          </w:p>
        </w:tc>
        <w:tc>
          <w:tcPr>
            <w:tcW w:w="0" w:type="auto"/>
            <w:vAlign w:val="center"/>
          </w:tcPr>
          <w:p w:rsidR="00011443" w:rsidRPr="00D54355" w:rsidRDefault="00011443" w:rsidP="00011443">
            <w:pPr>
              <w:spacing w:line="240" w:lineRule="auto"/>
              <w:jc w:val="center"/>
              <w:rPr>
                <w:rFonts w:cs="Times New Roman"/>
                <w:sz w:val="18"/>
                <w:szCs w:val="18"/>
              </w:rPr>
            </w:pPr>
          </w:p>
        </w:tc>
        <w:tc>
          <w:tcPr>
            <w:tcW w:w="0" w:type="auto"/>
            <w:vAlign w:val="center"/>
          </w:tcPr>
          <w:p w:rsidR="00011443" w:rsidRPr="00AB2F5D" w:rsidRDefault="00011443" w:rsidP="00011443">
            <w:pPr>
              <w:autoSpaceDE w:val="0"/>
              <w:autoSpaceDN w:val="0"/>
              <w:adjustRightInd w:val="0"/>
              <w:spacing w:line="240" w:lineRule="auto"/>
              <w:jc w:val="center"/>
              <w:rPr>
                <w:rFonts w:cs="Times New Roman"/>
                <w:b/>
                <w:color w:val="000000"/>
                <w:sz w:val="18"/>
                <w:szCs w:val="18"/>
              </w:rPr>
            </w:pPr>
            <w:r w:rsidRPr="00AB2F5D">
              <w:rPr>
                <w:rFonts w:cs="Times New Roman"/>
                <w:b/>
                <w:color w:val="000000"/>
                <w:sz w:val="18"/>
                <w:szCs w:val="18"/>
              </w:rPr>
              <w:t>Number</w:t>
            </w:r>
          </w:p>
        </w:tc>
        <w:tc>
          <w:tcPr>
            <w:tcW w:w="0" w:type="auto"/>
            <w:vAlign w:val="center"/>
          </w:tcPr>
          <w:p w:rsidR="00011443" w:rsidRPr="00AB2F5D" w:rsidRDefault="00011443" w:rsidP="00011443">
            <w:pPr>
              <w:autoSpaceDE w:val="0"/>
              <w:autoSpaceDN w:val="0"/>
              <w:adjustRightInd w:val="0"/>
              <w:spacing w:line="240" w:lineRule="auto"/>
              <w:jc w:val="center"/>
              <w:rPr>
                <w:rFonts w:cs="Times New Roman"/>
                <w:b/>
                <w:color w:val="000000"/>
                <w:sz w:val="18"/>
                <w:szCs w:val="18"/>
              </w:rPr>
            </w:pPr>
            <w:r w:rsidRPr="00AB2F5D">
              <w:rPr>
                <w:rFonts w:cs="Times New Roman"/>
                <w:b/>
                <w:color w:val="000000"/>
                <w:sz w:val="18"/>
                <w:szCs w:val="18"/>
              </w:rPr>
              <w:t>Min</w:t>
            </w:r>
            <w:r>
              <w:rPr>
                <w:rFonts w:cs="Times New Roman" w:hint="eastAsia"/>
                <w:b/>
                <w:color w:val="000000"/>
                <w:sz w:val="18"/>
                <w:szCs w:val="18"/>
              </w:rPr>
              <w:t>.</w:t>
            </w:r>
          </w:p>
        </w:tc>
        <w:tc>
          <w:tcPr>
            <w:tcW w:w="0" w:type="auto"/>
            <w:vAlign w:val="center"/>
          </w:tcPr>
          <w:p w:rsidR="00011443" w:rsidRPr="00AB2F5D" w:rsidRDefault="00011443" w:rsidP="00011443">
            <w:pPr>
              <w:autoSpaceDE w:val="0"/>
              <w:autoSpaceDN w:val="0"/>
              <w:adjustRightInd w:val="0"/>
              <w:spacing w:line="240" w:lineRule="auto"/>
              <w:jc w:val="center"/>
              <w:rPr>
                <w:rFonts w:cs="Times New Roman"/>
                <w:b/>
                <w:color w:val="000000"/>
                <w:sz w:val="18"/>
                <w:szCs w:val="18"/>
              </w:rPr>
            </w:pPr>
            <w:r w:rsidRPr="00AB2F5D">
              <w:rPr>
                <w:rFonts w:cs="Times New Roman"/>
                <w:b/>
                <w:color w:val="000000"/>
                <w:sz w:val="18"/>
                <w:szCs w:val="18"/>
              </w:rPr>
              <w:t>Max</w:t>
            </w:r>
            <w:r>
              <w:rPr>
                <w:rFonts w:cs="Times New Roman" w:hint="eastAsia"/>
                <w:b/>
                <w:color w:val="000000"/>
                <w:sz w:val="18"/>
                <w:szCs w:val="18"/>
              </w:rPr>
              <w:t>.</w:t>
            </w:r>
          </w:p>
        </w:tc>
        <w:tc>
          <w:tcPr>
            <w:tcW w:w="0" w:type="auto"/>
            <w:vAlign w:val="center"/>
          </w:tcPr>
          <w:p w:rsidR="00011443" w:rsidRPr="00AB2F5D" w:rsidRDefault="00011443" w:rsidP="00011443">
            <w:pPr>
              <w:autoSpaceDE w:val="0"/>
              <w:autoSpaceDN w:val="0"/>
              <w:adjustRightInd w:val="0"/>
              <w:spacing w:line="240" w:lineRule="auto"/>
              <w:jc w:val="center"/>
              <w:rPr>
                <w:rFonts w:cs="Times New Roman"/>
                <w:b/>
                <w:color w:val="000000"/>
                <w:sz w:val="18"/>
                <w:szCs w:val="18"/>
              </w:rPr>
            </w:pPr>
            <w:r w:rsidRPr="00AB2F5D">
              <w:rPr>
                <w:rFonts w:cs="Times New Roman"/>
                <w:b/>
                <w:color w:val="000000"/>
                <w:sz w:val="18"/>
                <w:szCs w:val="18"/>
              </w:rPr>
              <w:t>Mean</w:t>
            </w:r>
          </w:p>
        </w:tc>
        <w:tc>
          <w:tcPr>
            <w:tcW w:w="0" w:type="auto"/>
            <w:vAlign w:val="center"/>
          </w:tcPr>
          <w:p w:rsidR="00011443" w:rsidRPr="00AB2F5D" w:rsidRDefault="00011443" w:rsidP="00011443">
            <w:pPr>
              <w:autoSpaceDE w:val="0"/>
              <w:autoSpaceDN w:val="0"/>
              <w:adjustRightInd w:val="0"/>
              <w:spacing w:line="240" w:lineRule="auto"/>
              <w:jc w:val="center"/>
              <w:rPr>
                <w:rFonts w:cs="Times New Roman"/>
                <w:b/>
                <w:color w:val="000000"/>
                <w:sz w:val="18"/>
                <w:szCs w:val="18"/>
              </w:rPr>
            </w:pPr>
            <w:r w:rsidRPr="00AB2F5D">
              <w:rPr>
                <w:rFonts w:cs="Times New Roman"/>
                <w:b/>
                <w:color w:val="000000"/>
                <w:sz w:val="18"/>
                <w:szCs w:val="18"/>
              </w:rPr>
              <w:t>Std.</w:t>
            </w:r>
            <w:r>
              <w:rPr>
                <w:rFonts w:cs="Times New Roman" w:hint="eastAsia"/>
                <w:b/>
                <w:color w:val="000000"/>
                <w:sz w:val="18"/>
                <w:szCs w:val="18"/>
              </w:rPr>
              <w:t xml:space="preserve"> d</w:t>
            </w:r>
            <w:r w:rsidRPr="00AB2F5D">
              <w:rPr>
                <w:rFonts w:cs="Times New Roman"/>
                <w:b/>
                <w:color w:val="000000"/>
                <w:sz w:val="18"/>
                <w:szCs w:val="18"/>
              </w:rPr>
              <w:t>eviation</w:t>
            </w:r>
          </w:p>
        </w:tc>
        <w:tc>
          <w:tcPr>
            <w:tcW w:w="0" w:type="auto"/>
            <w:vAlign w:val="center"/>
          </w:tcPr>
          <w:p w:rsidR="00011443" w:rsidRPr="00AB2F5D" w:rsidRDefault="00011443" w:rsidP="00011443">
            <w:pPr>
              <w:spacing w:line="240" w:lineRule="auto"/>
              <w:jc w:val="center"/>
              <w:rPr>
                <w:rFonts w:cs="Times New Roman"/>
                <w:b/>
                <w:sz w:val="18"/>
                <w:szCs w:val="18"/>
              </w:rPr>
            </w:pPr>
          </w:p>
        </w:tc>
        <w:tc>
          <w:tcPr>
            <w:tcW w:w="0" w:type="auto"/>
            <w:vAlign w:val="center"/>
          </w:tcPr>
          <w:p w:rsidR="00011443" w:rsidRPr="00AB2F5D" w:rsidRDefault="00011443" w:rsidP="00011443">
            <w:pPr>
              <w:autoSpaceDE w:val="0"/>
              <w:autoSpaceDN w:val="0"/>
              <w:adjustRightInd w:val="0"/>
              <w:spacing w:line="240" w:lineRule="auto"/>
              <w:jc w:val="center"/>
              <w:rPr>
                <w:rFonts w:cs="Times New Roman"/>
                <w:b/>
                <w:color w:val="000000"/>
                <w:sz w:val="18"/>
                <w:szCs w:val="18"/>
              </w:rPr>
            </w:pPr>
            <w:r w:rsidRPr="00AB2F5D">
              <w:rPr>
                <w:rFonts w:cs="Times New Roman"/>
                <w:b/>
                <w:color w:val="000000"/>
                <w:sz w:val="18"/>
                <w:szCs w:val="18"/>
              </w:rPr>
              <w:t>Number</w:t>
            </w:r>
          </w:p>
        </w:tc>
        <w:tc>
          <w:tcPr>
            <w:tcW w:w="0" w:type="auto"/>
            <w:vAlign w:val="center"/>
          </w:tcPr>
          <w:p w:rsidR="00011443" w:rsidRPr="00AB2F5D" w:rsidRDefault="00011443" w:rsidP="00011443">
            <w:pPr>
              <w:autoSpaceDE w:val="0"/>
              <w:autoSpaceDN w:val="0"/>
              <w:adjustRightInd w:val="0"/>
              <w:spacing w:line="240" w:lineRule="auto"/>
              <w:jc w:val="center"/>
              <w:rPr>
                <w:rFonts w:cs="Times New Roman"/>
                <w:b/>
                <w:color w:val="000000"/>
                <w:sz w:val="18"/>
                <w:szCs w:val="18"/>
              </w:rPr>
            </w:pPr>
            <w:r w:rsidRPr="00AB2F5D">
              <w:rPr>
                <w:rFonts w:cs="Times New Roman"/>
                <w:b/>
                <w:color w:val="000000"/>
                <w:sz w:val="18"/>
                <w:szCs w:val="18"/>
              </w:rPr>
              <w:t>Min</w:t>
            </w:r>
            <w:r>
              <w:rPr>
                <w:rFonts w:cs="Times New Roman" w:hint="eastAsia"/>
                <w:b/>
                <w:color w:val="000000"/>
                <w:sz w:val="18"/>
                <w:szCs w:val="18"/>
              </w:rPr>
              <w:t>.</w:t>
            </w:r>
          </w:p>
        </w:tc>
        <w:tc>
          <w:tcPr>
            <w:tcW w:w="0" w:type="auto"/>
            <w:vAlign w:val="center"/>
          </w:tcPr>
          <w:p w:rsidR="00011443" w:rsidRPr="00AB2F5D" w:rsidRDefault="00011443" w:rsidP="00011443">
            <w:pPr>
              <w:autoSpaceDE w:val="0"/>
              <w:autoSpaceDN w:val="0"/>
              <w:adjustRightInd w:val="0"/>
              <w:spacing w:line="240" w:lineRule="auto"/>
              <w:jc w:val="center"/>
              <w:rPr>
                <w:rFonts w:cs="Times New Roman"/>
                <w:b/>
                <w:color w:val="000000"/>
                <w:sz w:val="18"/>
                <w:szCs w:val="18"/>
              </w:rPr>
            </w:pPr>
            <w:r w:rsidRPr="00AB2F5D">
              <w:rPr>
                <w:rFonts w:cs="Times New Roman"/>
                <w:b/>
                <w:color w:val="000000"/>
                <w:sz w:val="18"/>
                <w:szCs w:val="18"/>
              </w:rPr>
              <w:t>Max</w:t>
            </w:r>
            <w:r>
              <w:rPr>
                <w:rFonts w:cs="Times New Roman" w:hint="eastAsia"/>
                <w:b/>
                <w:color w:val="000000"/>
                <w:sz w:val="18"/>
                <w:szCs w:val="18"/>
              </w:rPr>
              <w:t>.</w:t>
            </w:r>
          </w:p>
        </w:tc>
        <w:tc>
          <w:tcPr>
            <w:tcW w:w="0" w:type="auto"/>
            <w:vAlign w:val="center"/>
          </w:tcPr>
          <w:p w:rsidR="00011443" w:rsidRPr="00AB2F5D" w:rsidRDefault="00011443" w:rsidP="00011443">
            <w:pPr>
              <w:autoSpaceDE w:val="0"/>
              <w:autoSpaceDN w:val="0"/>
              <w:adjustRightInd w:val="0"/>
              <w:spacing w:line="240" w:lineRule="auto"/>
              <w:jc w:val="center"/>
              <w:rPr>
                <w:rFonts w:cs="Times New Roman"/>
                <w:b/>
                <w:color w:val="000000"/>
                <w:sz w:val="18"/>
                <w:szCs w:val="18"/>
              </w:rPr>
            </w:pPr>
            <w:r w:rsidRPr="00AB2F5D">
              <w:rPr>
                <w:rFonts w:cs="Times New Roman"/>
                <w:b/>
                <w:color w:val="000000"/>
                <w:sz w:val="18"/>
                <w:szCs w:val="18"/>
              </w:rPr>
              <w:t>Mean</w:t>
            </w:r>
          </w:p>
        </w:tc>
        <w:tc>
          <w:tcPr>
            <w:tcW w:w="0" w:type="auto"/>
            <w:vAlign w:val="center"/>
          </w:tcPr>
          <w:p w:rsidR="00011443" w:rsidRPr="00AB2F5D" w:rsidRDefault="00011443" w:rsidP="00011443">
            <w:pPr>
              <w:autoSpaceDE w:val="0"/>
              <w:autoSpaceDN w:val="0"/>
              <w:adjustRightInd w:val="0"/>
              <w:spacing w:line="240" w:lineRule="auto"/>
              <w:jc w:val="center"/>
              <w:rPr>
                <w:rFonts w:cs="Times New Roman"/>
                <w:b/>
                <w:color w:val="000000"/>
                <w:sz w:val="18"/>
                <w:szCs w:val="18"/>
              </w:rPr>
            </w:pPr>
            <w:r w:rsidRPr="00AB2F5D">
              <w:rPr>
                <w:rFonts w:cs="Times New Roman"/>
                <w:b/>
                <w:color w:val="000000"/>
                <w:sz w:val="18"/>
                <w:szCs w:val="18"/>
              </w:rPr>
              <w:t>Std.</w:t>
            </w:r>
            <w:r>
              <w:rPr>
                <w:rFonts w:cs="Times New Roman" w:hint="eastAsia"/>
                <w:b/>
                <w:color w:val="000000"/>
                <w:sz w:val="18"/>
                <w:szCs w:val="18"/>
              </w:rPr>
              <w:t xml:space="preserve"> d</w:t>
            </w:r>
            <w:r w:rsidRPr="00AB2F5D">
              <w:rPr>
                <w:rFonts w:cs="Times New Roman"/>
                <w:b/>
                <w:color w:val="000000"/>
                <w:sz w:val="18"/>
                <w:szCs w:val="18"/>
              </w:rPr>
              <w:t>eviation</w:t>
            </w:r>
          </w:p>
        </w:tc>
      </w:tr>
      <w:tr w:rsidR="00AD6F97" w:rsidRPr="00D54355" w:rsidTr="00011443">
        <w:trPr>
          <w:trHeight w:val="432"/>
          <w:jc w:val="center"/>
        </w:trPr>
        <w:tc>
          <w:tcPr>
            <w:tcW w:w="0" w:type="auto"/>
            <w:vAlign w:val="center"/>
          </w:tcPr>
          <w:p w:rsidR="00011443" w:rsidRPr="00AB2F5D" w:rsidRDefault="00011443" w:rsidP="00011443">
            <w:pPr>
              <w:spacing w:line="240" w:lineRule="auto"/>
              <w:rPr>
                <w:rFonts w:cs="Times New Roman"/>
                <w:sz w:val="20"/>
                <w:szCs w:val="20"/>
              </w:rPr>
            </w:pPr>
            <w:r>
              <w:rPr>
                <w:rFonts w:cs="Times New Roman"/>
                <w:b/>
                <w:sz w:val="20"/>
                <w:szCs w:val="20"/>
              </w:rPr>
              <w:t>Dependent</w:t>
            </w:r>
            <w:r>
              <w:rPr>
                <w:rFonts w:cs="Times New Roman" w:hint="eastAsia"/>
                <w:b/>
                <w:sz w:val="20"/>
                <w:szCs w:val="20"/>
              </w:rPr>
              <w:t xml:space="preserve"> </w:t>
            </w:r>
            <w:r w:rsidRPr="00AB2F5D">
              <w:rPr>
                <w:rFonts w:cs="Times New Roman"/>
                <w:b/>
                <w:sz w:val="20"/>
                <w:szCs w:val="20"/>
              </w:rPr>
              <w:t>variable</w:t>
            </w:r>
          </w:p>
        </w:tc>
        <w:tc>
          <w:tcPr>
            <w:tcW w:w="0" w:type="auto"/>
            <w:vAlign w:val="center"/>
          </w:tcPr>
          <w:p w:rsidR="00011443" w:rsidRPr="00AD6F97" w:rsidRDefault="00437E84" w:rsidP="00011443">
            <w:pPr>
              <w:spacing w:line="240" w:lineRule="auto"/>
              <w:rPr>
                <w:rFonts w:ascii="Cambria Math" w:hAnsi="Cambria Math" w:cs="Times New Roman"/>
                <w:sz w:val="20"/>
                <w:szCs w:val="20"/>
              </w:rPr>
            </w:pPr>
            <w:r w:rsidRPr="00AD6F97">
              <w:rPr>
                <w:rFonts w:ascii="Cambria Math" w:hAnsi="Cambria Math"/>
                <w:i/>
                <w:sz w:val="20"/>
                <w:szCs w:val="20"/>
              </w:rPr>
              <w:t>DA</w:t>
            </w:r>
            <w:r w:rsidRPr="00AD6F97">
              <w:rPr>
                <w:rFonts w:ascii="Cambria Math" w:hAnsi="Cambria Math"/>
                <w:i/>
                <w:sz w:val="20"/>
                <w:szCs w:val="20"/>
                <w:vertAlign w:val="subscript"/>
              </w:rPr>
              <w:t>i,t</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5525</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0.0018</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9.52</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2.36</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1.32</w:t>
            </w:r>
          </w:p>
        </w:tc>
        <w:tc>
          <w:tcPr>
            <w:tcW w:w="0" w:type="auto"/>
            <w:vAlign w:val="center"/>
          </w:tcPr>
          <w:p w:rsidR="00011443" w:rsidRPr="00AD6F97" w:rsidRDefault="00437E84" w:rsidP="00011443">
            <w:pPr>
              <w:spacing w:line="240" w:lineRule="auto"/>
              <w:rPr>
                <w:rFonts w:ascii="Cambria Math" w:hAnsi="Cambria Math" w:cs="Times New Roman"/>
                <w:sz w:val="20"/>
                <w:szCs w:val="20"/>
              </w:rPr>
            </w:pPr>
            <w:r w:rsidRPr="00AD6F97">
              <w:rPr>
                <w:rFonts w:ascii="Cambria Math" w:hAnsi="Cambria Math"/>
                <w:i/>
                <w:sz w:val="20"/>
                <w:szCs w:val="20"/>
              </w:rPr>
              <w:t>DA</w:t>
            </w:r>
            <w:r w:rsidRPr="00AD6F97">
              <w:rPr>
                <w:rFonts w:ascii="Cambria Math" w:hAnsi="Cambria Math"/>
                <w:i/>
                <w:sz w:val="20"/>
                <w:szCs w:val="20"/>
                <w:vertAlign w:val="subscript"/>
              </w:rPr>
              <w:t>i,t</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color w:val="000000"/>
                <w:sz w:val="18"/>
                <w:szCs w:val="18"/>
              </w:rPr>
              <w:t>3760</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.00</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.85</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.04</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.048</w:t>
            </w:r>
          </w:p>
        </w:tc>
      </w:tr>
      <w:tr w:rsidR="00AD6F97" w:rsidRPr="00D54355" w:rsidTr="00011443">
        <w:trPr>
          <w:trHeight w:val="432"/>
          <w:jc w:val="center"/>
        </w:trPr>
        <w:tc>
          <w:tcPr>
            <w:tcW w:w="0" w:type="auto"/>
            <w:vMerge w:val="restart"/>
            <w:vAlign w:val="center"/>
          </w:tcPr>
          <w:p w:rsidR="00011443" w:rsidRPr="00011443" w:rsidRDefault="00011443" w:rsidP="00011443">
            <w:pPr>
              <w:spacing w:line="240" w:lineRule="auto"/>
              <w:rPr>
                <w:rFonts w:cs="Times New Roman"/>
                <w:b/>
                <w:sz w:val="20"/>
                <w:szCs w:val="20"/>
              </w:rPr>
            </w:pPr>
            <w:r w:rsidRPr="00AB2F5D">
              <w:rPr>
                <w:rFonts w:cs="Times New Roman"/>
                <w:b/>
                <w:sz w:val="20"/>
                <w:szCs w:val="20"/>
              </w:rPr>
              <w:t>Independent</w:t>
            </w:r>
            <w:r>
              <w:rPr>
                <w:rFonts w:cs="Times New Roman" w:hint="eastAsia"/>
                <w:b/>
                <w:sz w:val="20"/>
                <w:szCs w:val="20"/>
              </w:rPr>
              <w:t xml:space="preserve"> </w:t>
            </w:r>
            <w:r w:rsidRPr="00AB2F5D">
              <w:rPr>
                <w:rFonts w:cs="Times New Roman"/>
                <w:b/>
                <w:sz w:val="20"/>
                <w:szCs w:val="20"/>
              </w:rPr>
              <w:t>variables</w:t>
            </w:r>
          </w:p>
        </w:tc>
        <w:tc>
          <w:tcPr>
            <w:tcW w:w="0" w:type="auto"/>
            <w:vAlign w:val="center"/>
          </w:tcPr>
          <w:p w:rsidR="00011443" w:rsidRPr="00AD6F97" w:rsidRDefault="00437E84" w:rsidP="00011443">
            <w:pPr>
              <w:spacing w:line="240" w:lineRule="auto"/>
              <w:rPr>
                <w:rFonts w:ascii="Cambria Math" w:hAnsi="Cambria Math" w:cs="Times New Roman"/>
                <w:b/>
                <w:i/>
                <w:sz w:val="20"/>
                <w:szCs w:val="20"/>
              </w:rPr>
            </w:pPr>
            <w:r w:rsidRPr="00AD6F97">
              <w:rPr>
                <w:rFonts w:ascii="Cambria Math" w:hAnsi="Cambria Math" w:cs="Times New Roman"/>
                <w:b/>
                <w:i/>
                <w:sz w:val="20"/>
                <w:szCs w:val="20"/>
              </w:rPr>
              <w:t>BS</w:t>
            </w:r>
            <w:r w:rsidRPr="00AD6F97">
              <w:rPr>
                <w:rFonts w:ascii="Cambria Math" w:hAnsi="Cambria Math" w:cs="Times New Roman"/>
                <w:i/>
                <w:sz w:val="20"/>
                <w:szCs w:val="20"/>
                <w:vertAlign w:val="subscript"/>
              </w:rPr>
              <w:t>i,t</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5525</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3</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18</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9.09</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.025</w:t>
            </w:r>
          </w:p>
        </w:tc>
        <w:tc>
          <w:tcPr>
            <w:tcW w:w="0" w:type="auto"/>
            <w:vAlign w:val="center"/>
          </w:tcPr>
          <w:p w:rsidR="00011443" w:rsidRPr="00AD6F97" w:rsidRDefault="00011443" w:rsidP="00011443">
            <w:pPr>
              <w:spacing w:line="240" w:lineRule="auto"/>
              <w:rPr>
                <w:rFonts w:ascii="Cambria Math" w:hAnsi="Cambria Math" w:cs="Times New Roman"/>
                <w:b/>
                <w:sz w:val="20"/>
                <w:szCs w:val="20"/>
              </w:rPr>
            </w:pPr>
            <w:r w:rsidRPr="00AD6F97">
              <w:rPr>
                <w:rFonts w:ascii="Cambria Math" w:hAnsi="Cambria Math" w:cs="Times New Roman"/>
                <w:b/>
                <w:i/>
                <w:sz w:val="20"/>
                <w:szCs w:val="20"/>
              </w:rPr>
              <w:t>EDS</w:t>
            </w:r>
            <w:r w:rsidR="00AD6F97" w:rsidRPr="00AD6F97">
              <w:rPr>
                <w:rFonts w:ascii="Cambria Math" w:hAnsi="Cambria Math" w:cs="Times New Roman"/>
                <w:i/>
                <w:sz w:val="20"/>
                <w:szCs w:val="20"/>
                <w:vertAlign w:val="subscript"/>
              </w:rPr>
              <w:t>i,t</w:t>
            </w:r>
          </w:p>
        </w:tc>
        <w:tc>
          <w:tcPr>
            <w:tcW w:w="0" w:type="auto"/>
            <w:vAlign w:val="center"/>
          </w:tcPr>
          <w:p w:rsidR="00011443" w:rsidRPr="00005246" w:rsidRDefault="00011443" w:rsidP="00011443">
            <w:pPr>
              <w:spacing w:line="240" w:lineRule="auto"/>
              <w:jc w:val="center"/>
              <w:rPr>
                <w:rFonts w:cs="Times New Roman"/>
              </w:rPr>
            </w:pPr>
            <w:r w:rsidRPr="00005246">
              <w:rPr>
                <w:rFonts w:cs="Times New Roman"/>
                <w:color w:val="000000"/>
                <w:sz w:val="18"/>
                <w:szCs w:val="18"/>
              </w:rPr>
              <w:t>3760</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7</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1.47</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.766</w:t>
            </w:r>
          </w:p>
        </w:tc>
      </w:tr>
      <w:tr w:rsidR="00AD6F97" w:rsidRPr="00D54355" w:rsidTr="00011443">
        <w:trPr>
          <w:trHeight w:val="432"/>
          <w:jc w:val="center"/>
        </w:trPr>
        <w:tc>
          <w:tcPr>
            <w:tcW w:w="0" w:type="auto"/>
            <w:vMerge/>
            <w:vAlign w:val="center"/>
          </w:tcPr>
          <w:p w:rsidR="00011443" w:rsidRPr="00AB2F5D" w:rsidRDefault="00011443" w:rsidP="00011443">
            <w:pPr>
              <w:spacing w:line="240" w:lineRule="auto"/>
              <w:rPr>
                <w:rFonts w:cs="Times New Roman"/>
                <w:sz w:val="20"/>
                <w:szCs w:val="20"/>
              </w:rPr>
            </w:pPr>
          </w:p>
        </w:tc>
        <w:tc>
          <w:tcPr>
            <w:tcW w:w="0" w:type="auto"/>
            <w:vAlign w:val="center"/>
          </w:tcPr>
          <w:p w:rsidR="00011443" w:rsidRPr="00AD6F97" w:rsidRDefault="00011443" w:rsidP="00011443">
            <w:pPr>
              <w:spacing w:line="240" w:lineRule="auto"/>
              <w:rPr>
                <w:rFonts w:ascii="Cambria Math" w:hAnsi="Cambria Math" w:cs="Times New Roman"/>
                <w:sz w:val="20"/>
                <w:szCs w:val="20"/>
              </w:rPr>
            </w:pPr>
            <w:r w:rsidRPr="00AD6F97">
              <w:rPr>
                <w:rFonts w:ascii="Cambria Math" w:hAnsi="Cambria Math" w:cs="Times New Roman"/>
                <w:sz w:val="20"/>
                <w:szCs w:val="20"/>
              </w:rPr>
              <w:t>BI</w:t>
            </w:r>
            <w:r w:rsidR="00AD6F97" w:rsidRPr="00AD6F97">
              <w:rPr>
                <w:rFonts w:ascii="Cambria Math" w:hAnsi="Cambria Math" w:cs="Times New Roman"/>
                <w:i/>
                <w:sz w:val="20"/>
                <w:szCs w:val="20"/>
                <w:vertAlign w:val="subscript"/>
              </w:rPr>
              <w:t>i,t</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5525</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.09</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.71</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.36</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.0006</w:t>
            </w:r>
          </w:p>
        </w:tc>
        <w:tc>
          <w:tcPr>
            <w:tcW w:w="0" w:type="auto"/>
            <w:vAlign w:val="center"/>
          </w:tcPr>
          <w:p w:rsidR="00011443" w:rsidRPr="00AD6F97" w:rsidRDefault="00011443" w:rsidP="00011443">
            <w:pPr>
              <w:spacing w:line="240" w:lineRule="auto"/>
              <w:rPr>
                <w:rFonts w:ascii="Cambria Math" w:hAnsi="Cambria Math" w:cs="Times New Roman"/>
                <w:sz w:val="20"/>
                <w:szCs w:val="20"/>
              </w:rPr>
            </w:pPr>
            <w:r w:rsidRPr="00AD6F97">
              <w:rPr>
                <w:rFonts w:ascii="Cambria Math" w:hAnsi="Cambria Math" w:cs="Times New Roman"/>
                <w:sz w:val="20"/>
                <w:szCs w:val="20"/>
              </w:rPr>
              <w:t>BI</w:t>
            </w:r>
            <w:r w:rsidR="00AD6F97" w:rsidRPr="00AD6F97">
              <w:rPr>
                <w:rFonts w:ascii="Cambria Math" w:hAnsi="Cambria Math" w:cs="Times New Roman"/>
                <w:i/>
                <w:sz w:val="20"/>
                <w:szCs w:val="20"/>
                <w:vertAlign w:val="subscript"/>
              </w:rPr>
              <w:t>i,t</w:t>
            </w:r>
          </w:p>
        </w:tc>
        <w:tc>
          <w:tcPr>
            <w:tcW w:w="0" w:type="auto"/>
            <w:vAlign w:val="center"/>
          </w:tcPr>
          <w:p w:rsidR="00011443" w:rsidRPr="00005246" w:rsidRDefault="00011443" w:rsidP="00011443">
            <w:pPr>
              <w:spacing w:line="240" w:lineRule="auto"/>
              <w:jc w:val="center"/>
              <w:rPr>
                <w:rFonts w:cs="Times New Roman"/>
              </w:rPr>
            </w:pPr>
            <w:r w:rsidRPr="00005246">
              <w:rPr>
                <w:rFonts w:cs="Times New Roman"/>
                <w:color w:val="000000"/>
                <w:sz w:val="18"/>
                <w:szCs w:val="18"/>
              </w:rPr>
              <w:t>3760</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1.0</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.74</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.138</w:t>
            </w:r>
          </w:p>
        </w:tc>
      </w:tr>
      <w:tr w:rsidR="00AD6F97" w:rsidRPr="00D54355" w:rsidTr="00011443">
        <w:trPr>
          <w:trHeight w:val="432"/>
          <w:jc w:val="center"/>
        </w:trPr>
        <w:tc>
          <w:tcPr>
            <w:tcW w:w="0" w:type="auto"/>
            <w:vMerge/>
            <w:vAlign w:val="center"/>
          </w:tcPr>
          <w:p w:rsidR="00011443" w:rsidRPr="00AB2F5D" w:rsidRDefault="00011443" w:rsidP="00011443">
            <w:pPr>
              <w:spacing w:line="240" w:lineRule="auto"/>
              <w:rPr>
                <w:rFonts w:cs="Times New Roman"/>
                <w:sz w:val="20"/>
                <w:szCs w:val="20"/>
              </w:rPr>
            </w:pPr>
          </w:p>
        </w:tc>
        <w:tc>
          <w:tcPr>
            <w:tcW w:w="0" w:type="auto"/>
            <w:vAlign w:val="center"/>
          </w:tcPr>
          <w:p w:rsidR="00011443" w:rsidRPr="00AD6F97" w:rsidRDefault="00011443" w:rsidP="00011443">
            <w:pPr>
              <w:spacing w:line="240" w:lineRule="auto"/>
              <w:rPr>
                <w:rFonts w:ascii="Cambria Math" w:hAnsi="Cambria Math" w:cs="Times New Roman"/>
                <w:sz w:val="20"/>
                <w:szCs w:val="20"/>
              </w:rPr>
            </w:pPr>
            <w:r w:rsidRPr="00AD6F97">
              <w:rPr>
                <w:rFonts w:ascii="Cambria Math" w:hAnsi="Cambria Math" w:cs="Times New Roman"/>
                <w:sz w:val="20"/>
                <w:szCs w:val="20"/>
              </w:rPr>
              <w:t>CEO-dumm</w:t>
            </w:r>
            <w:r w:rsidR="00650FFA">
              <w:rPr>
                <w:rFonts w:ascii="Cambria Math" w:hAnsi="Cambria Math" w:cs="Times New Roman"/>
                <w:sz w:val="20"/>
                <w:szCs w:val="20"/>
              </w:rPr>
              <w:t>y</w:t>
            </w:r>
            <w:r w:rsidR="00AD6F97" w:rsidRPr="00AD6F97">
              <w:rPr>
                <w:rFonts w:ascii="Cambria Math" w:hAnsi="Cambria Math" w:cs="Times New Roman"/>
                <w:i/>
                <w:sz w:val="20"/>
                <w:szCs w:val="20"/>
                <w:vertAlign w:val="subscript"/>
              </w:rPr>
              <w:t>i,t</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5525</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1</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.15</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.005</w:t>
            </w:r>
          </w:p>
        </w:tc>
        <w:tc>
          <w:tcPr>
            <w:tcW w:w="0" w:type="auto"/>
            <w:vAlign w:val="center"/>
          </w:tcPr>
          <w:p w:rsidR="00011443" w:rsidRPr="00AD6F97" w:rsidRDefault="00011443" w:rsidP="00011443">
            <w:pPr>
              <w:spacing w:line="240" w:lineRule="auto"/>
              <w:rPr>
                <w:rFonts w:ascii="Cambria Math" w:hAnsi="Cambria Math" w:cs="Times New Roman"/>
                <w:sz w:val="20"/>
                <w:szCs w:val="20"/>
              </w:rPr>
            </w:pPr>
            <w:r w:rsidRPr="00AD6F97">
              <w:rPr>
                <w:rFonts w:ascii="Cambria Math" w:hAnsi="Cambria Math" w:cs="Times New Roman"/>
                <w:sz w:val="20"/>
                <w:szCs w:val="20"/>
              </w:rPr>
              <w:t>CEO-dummy</w:t>
            </w:r>
            <w:r w:rsidR="00AD6F97" w:rsidRPr="00AD6F97">
              <w:rPr>
                <w:rFonts w:ascii="Cambria Math" w:hAnsi="Cambria Math" w:cs="Times New Roman"/>
                <w:i/>
                <w:sz w:val="20"/>
                <w:szCs w:val="20"/>
                <w:vertAlign w:val="subscript"/>
              </w:rPr>
              <w:t>i,t</w:t>
            </w:r>
          </w:p>
        </w:tc>
        <w:tc>
          <w:tcPr>
            <w:tcW w:w="0" w:type="auto"/>
            <w:vAlign w:val="center"/>
          </w:tcPr>
          <w:p w:rsidR="00011443" w:rsidRPr="00005246" w:rsidRDefault="00011443" w:rsidP="00011443">
            <w:pPr>
              <w:spacing w:line="240" w:lineRule="auto"/>
              <w:jc w:val="center"/>
              <w:rPr>
                <w:rFonts w:cs="Times New Roman"/>
              </w:rPr>
            </w:pPr>
            <w:r w:rsidRPr="00005246">
              <w:rPr>
                <w:rFonts w:cs="Times New Roman"/>
                <w:color w:val="000000"/>
                <w:sz w:val="18"/>
                <w:szCs w:val="18"/>
              </w:rPr>
              <w:t>3760</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1</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.69</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.461</w:t>
            </w:r>
          </w:p>
        </w:tc>
      </w:tr>
      <w:tr w:rsidR="00AD6F97" w:rsidRPr="00D54355" w:rsidTr="00011443">
        <w:trPr>
          <w:trHeight w:val="432"/>
          <w:jc w:val="center"/>
        </w:trPr>
        <w:tc>
          <w:tcPr>
            <w:tcW w:w="0" w:type="auto"/>
            <w:vMerge/>
            <w:vAlign w:val="center"/>
          </w:tcPr>
          <w:p w:rsidR="00011443" w:rsidRPr="00AB2F5D" w:rsidRDefault="00011443" w:rsidP="00011443">
            <w:pPr>
              <w:spacing w:line="240" w:lineRule="auto"/>
              <w:rPr>
                <w:rFonts w:cs="Times New Roman"/>
                <w:sz w:val="20"/>
                <w:szCs w:val="20"/>
              </w:rPr>
            </w:pPr>
          </w:p>
        </w:tc>
        <w:tc>
          <w:tcPr>
            <w:tcW w:w="0" w:type="auto"/>
            <w:vAlign w:val="center"/>
          </w:tcPr>
          <w:p w:rsidR="00011443" w:rsidRPr="00AD6F97" w:rsidRDefault="00011443" w:rsidP="00011443">
            <w:pPr>
              <w:spacing w:line="240" w:lineRule="auto"/>
              <w:rPr>
                <w:rFonts w:ascii="Cambria Math" w:hAnsi="Cambria Math" w:cs="Times New Roman"/>
                <w:b/>
                <w:i/>
                <w:sz w:val="20"/>
                <w:szCs w:val="20"/>
              </w:rPr>
            </w:pPr>
            <w:r w:rsidRPr="00AD6F97">
              <w:rPr>
                <w:rFonts w:ascii="Cambria Math" w:hAnsi="Cambria Math" w:cs="Times New Roman"/>
                <w:b/>
                <w:i/>
                <w:sz w:val="20"/>
                <w:szCs w:val="20"/>
              </w:rPr>
              <w:t>SBS</w:t>
            </w:r>
            <w:r w:rsidR="00AD6F97" w:rsidRPr="00AD6F97">
              <w:rPr>
                <w:rFonts w:ascii="Cambria Math" w:hAnsi="Cambria Math" w:cs="Times New Roman"/>
                <w:i/>
                <w:sz w:val="20"/>
                <w:szCs w:val="20"/>
                <w:vertAlign w:val="subscript"/>
              </w:rPr>
              <w:t>i,t</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5525</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9</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3.95</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.017</w:t>
            </w:r>
          </w:p>
        </w:tc>
        <w:tc>
          <w:tcPr>
            <w:tcW w:w="0" w:type="auto"/>
            <w:vAlign w:val="center"/>
          </w:tcPr>
          <w:p w:rsidR="00011443" w:rsidRPr="00AD6F97" w:rsidRDefault="00011443" w:rsidP="00011443">
            <w:pPr>
              <w:spacing w:line="240" w:lineRule="auto"/>
              <w:rPr>
                <w:rFonts w:ascii="Cambria Math" w:hAnsi="Cambria Math" w:cs="Times New Roman"/>
                <w:b/>
                <w:i/>
                <w:sz w:val="20"/>
                <w:szCs w:val="20"/>
              </w:rPr>
            </w:pPr>
            <w:r w:rsidRPr="00AD6F97">
              <w:rPr>
                <w:rFonts w:ascii="Cambria Math" w:hAnsi="Cambria Math" w:cs="Times New Roman"/>
                <w:b/>
                <w:i/>
                <w:sz w:val="20"/>
                <w:szCs w:val="20"/>
              </w:rPr>
              <w:t>NEDS</w:t>
            </w:r>
            <w:r w:rsidR="00AD6F97" w:rsidRPr="00AD6F97">
              <w:rPr>
                <w:rFonts w:ascii="Cambria Math" w:hAnsi="Cambria Math" w:cs="Times New Roman"/>
                <w:i/>
                <w:sz w:val="20"/>
                <w:szCs w:val="20"/>
                <w:vertAlign w:val="subscript"/>
              </w:rPr>
              <w:t>i,t</w:t>
            </w:r>
          </w:p>
        </w:tc>
        <w:tc>
          <w:tcPr>
            <w:tcW w:w="0" w:type="auto"/>
            <w:vAlign w:val="center"/>
          </w:tcPr>
          <w:p w:rsidR="00011443" w:rsidRPr="00005246" w:rsidRDefault="00011443" w:rsidP="00011443">
            <w:pPr>
              <w:spacing w:line="240" w:lineRule="auto"/>
              <w:jc w:val="center"/>
              <w:rPr>
                <w:rFonts w:cs="Times New Roman"/>
              </w:rPr>
            </w:pPr>
            <w:r w:rsidRPr="00005246">
              <w:rPr>
                <w:rFonts w:cs="Times New Roman"/>
                <w:color w:val="000000"/>
                <w:sz w:val="18"/>
                <w:szCs w:val="18"/>
              </w:rPr>
              <w:t>3760</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16</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7.41</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2.322</w:t>
            </w:r>
          </w:p>
        </w:tc>
      </w:tr>
      <w:tr w:rsidR="00AD6F97" w:rsidRPr="00D54355" w:rsidTr="00011443">
        <w:trPr>
          <w:trHeight w:val="432"/>
          <w:jc w:val="center"/>
        </w:trPr>
        <w:tc>
          <w:tcPr>
            <w:tcW w:w="0" w:type="auto"/>
            <w:vMerge/>
            <w:vAlign w:val="center"/>
          </w:tcPr>
          <w:p w:rsidR="00011443" w:rsidRPr="00AB2F5D" w:rsidRDefault="00011443" w:rsidP="00011443">
            <w:pPr>
              <w:spacing w:line="240" w:lineRule="auto"/>
              <w:rPr>
                <w:rFonts w:cs="Times New Roman"/>
                <w:sz w:val="20"/>
                <w:szCs w:val="20"/>
              </w:rPr>
            </w:pPr>
          </w:p>
        </w:tc>
        <w:tc>
          <w:tcPr>
            <w:tcW w:w="0" w:type="auto"/>
            <w:vAlign w:val="center"/>
          </w:tcPr>
          <w:p w:rsidR="00011443" w:rsidRPr="00AD6F97" w:rsidRDefault="00011443" w:rsidP="00011443">
            <w:pPr>
              <w:spacing w:line="240" w:lineRule="auto"/>
              <w:rPr>
                <w:rFonts w:ascii="Cambria Math" w:hAnsi="Cambria Math" w:cs="Times New Roman"/>
                <w:sz w:val="20"/>
                <w:szCs w:val="20"/>
              </w:rPr>
            </w:pPr>
            <w:r w:rsidRPr="00AD6F97">
              <w:rPr>
                <w:rFonts w:ascii="Cambria Math" w:hAnsi="Cambria Math" w:cs="Times New Roman"/>
                <w:sz w:val="20"/>
                <w:szCs w:val="20"/>
              </w:rPr>
              <w:t>Insider</w:t>
            </w:r>
            <w:r w:rsidR="00AD6F97" w:rsidRPr="00AD6F97">
              <w:rPr>
                <w:rFonts w:ascii="Cambria Math" w:hAnsi="Cambria Math" w:cs="Times New Roman"/>
                <w:i/>
                <w:sz w:val="20"/>
                <w:szCs w:val="20"/>
                <w:vertAlign w:val="subscript"/>
              </w:rPr>
              <w:t>i,t</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5525</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.00</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4.22</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.03</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.002</w:t>
            </w:r>
          </w:p>
        </w:tc>
        <w:tc>
          <w:tcPr>
            <w:tcW w:w="0" w:type="auto"/>
            <w:vAlign w:val="center"/>
          </w:tcPr>
          <w:p w:rsidR="00011443" w:rsidRPr="00AD6F97" w:rsidRDefault="00011443" w:rsidP="00011443">
            <w:pPr>
              <w:spacing w:line="240" w:lineRule="auto"/>
              <w:rPr>
                <w:rFonts w:ascii="Cambria Math" w:hAnsi="Cambria Math" w:cs="Times New Roman"/>
                <w:sz w:val="20"/>
                <w:szCs w:val="20"/>
              </w:rPr>
            </w:pPr>
            <w:r w:rsidRPr="00AD6F97">
              <w:rPr>
                <w:rFonts w:ascii="Cambria Math" w:hAnsi="Cambria Math" w:cs="Times New Roman"/>
                <w:sz w:val="20"/>
                <w:szCs w:val="20"/>
              </w:rPr>
              <w:t>Insider</w:t>
            </w:r>
            <w:r w:rsidR="00AD6F97" w:rsidRPr="00AD6F97">
              <w:rPr>
                <w:rFonts w:ascii="Cambria Math" w:hAnsi="Cambria Math" w:cs="Times New Roman"/>
                <w:i/>
                <w:sz w:val="20"/>
                <w:szCs w:val="20"/>
                <w:vertAlign w:val="subscript"/>
              </w:rPr>
              <w:t>i,t</w:t>
            </w:r>
          </w:p>
        </w:tc>
        <w:tc>
          <w:tcPr>
            <w:tcW w:w="0" w:type="auto"/>
            <w:vAlign w:val="center"/>
          </w:tcPr>
          <w:p w:rsidR="00011443" w:rsidRPr="00005246" w:rsidRDefault="00011443" w:rsidP="00011443">
            <w:pPr>
              <w:spacing w:line="240" w:lineRule="auto"/>
              <w:jc w:val="center"/>
              <w:rPr>
                <w:rFonts w:cs="Times New Roman"/>
              </w:rPr>
            </w:pPr>
            <w:r w:rsidRPr="00005246">
              <w:rPr>
                <w:rFonts w:cs="Times New Roman"/>
                <w:color w:val="000000"/>
                <w:sz w:val="18"/>
                <w:szCs w:val="18"/>
              </w:rPr>
              <w:t>3760</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.0000</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1.00</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.132</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.198</w:t>
            </w:r>
          </w:p>
        </w:tc>
      </w:tr>
      <w:tr w:rsidR="00AD6F97" w:rsidRPr="00D54355" w:rsidTr="00011443">
        <w:trPr>
          <w:trHeight w:val="432"/>
          <w:jc w:val="center"/>
        </w:trPr>
        <w:tc>
          <w:tcPr>
            <w:tcW w:w="0" w:type="auto"/>
            <w:vMerge/>
            <w:vAlign w:val="center"/>
          </w:tcPr>
          <w:p w:rsidR="00011443" w:rsidRPr="00AB2F5D" w:rsidRDefault="00011443" w:rsidP="00011443">
            <w:pPr>
              <w:spacing w:line="240" w:lineRule="auto"/>
              <w:rPr>
                <w:rFonts w:cs="Times New Roman"/>
                <w:sz w:val="20"/>
                <w:szCs w:val="20"/>
              </w:rPr>
            </w:pPr>
          </w:p>
        </w:tc>
        <w:tc>
          <w:tcPr>
            <w:tcW w:w="0" w:type="auto"/>
            <w:vAlign w:val="center"/>
          </w:tcPr>
          <w:p w:rsidR="00011443" w:rsidRPr="00AD6F97" w:rsidRDefault="00011443" w:rsidP="00DF111B">
            <w:pPr>
              <w:spacing w:line="240" w:lineRule="auto"/>
              <w:rPr>
                <w:rFonts w:ascii="Cambria Math" w:hAnsi="Cambria Math" w:cs="Times New Roman"/>
                <w:sz w:val="20"/>
                <w:szCs w:val="20"/>
              </w:rPr>
            </w:pPr>
            <w:r w:rsidRPr="00AD6F97">
              <w:rPr>
                <w:rFonts w:ascii="Cambria Math" w:hAnsi="Cambria Math" w:cs="Times New Roman"/>
                <w:sz w:val="20"/>
                <w:szCs w:val="20"/>
              </w:rPr>
              <w:t>Block-</w:t>
            </w:r>
            <w:r w:rsidR="00DF111B">
              <w:rPr>
                <w:rFonts w:ascii="Cambria Math" w:hAnsi="Cambria Math" w:cs="Times New Roman"/>
                <w:sz w:val="20"/>
                <w:szCs w:val="20"/>
              </w:rPr>
              <w:t>h</w:t>
            </w:r>
            <w:r w:rsidRPr="00AD6F97">
              <w:rPr>
                <w:rFonts w:ascii="Cambria Math" w:hAnsi="Cambria Math" w:cs="Times New Roman"/>
                <w:sz w:val="20"/>
                <w:szCs w:val="20"/>
              </w:rPr>
              <w:t>older</w:t>
            </w:r>
            <w:r w:rsidR="00AD6F97" w:rsidRPr="00AD6F97">
              <w:rPr>
                <w:rFonts w:ascii="Cambria Math" w:hAnsi="Cambria Math" w:cs="Times New Roman"/>
                <w:i/>
                <w:sz w:val="20"/>
                <w:szCs w:val="20"/>
                <w:vertAlign w:val="subscript"/>
              </w:rPr>
              <w:t>i,t</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5525</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.008</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.894</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.343</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.203</w:t>
            </w:r>
          </w:p>
        </w:tc>
        <w:tc>
          <w:tcPr>
            <w:tcW w:w="0" w:type="auto"/>
            <w:vAlign w:val="center"/>
          </w:tcPr>
          <w:p w:rsidR="00011443" w:rsidRPr="00AD6F97" w:rsidRDefault="00011443" w:rsidP="00011443">
            <w:pPr>
              <w:spacing w:line="240" w:lineRule="auto"/>
              <w:rPr>
                <w:rFonts w:ascii="Cambria Math" w:hAnsi="Cambria Math" w:cs="Times New Roman"/>
                <w:sz w:val="20"/>
                <w:szCs w:val="20"/>
              </w:rPr>
            </w:pPr>
            <w:r w:rsidRPr="00AD6F97">
              <w:rPr>
                <w:rFonts w:ascii="Cambria Math" w:hAnsi="Cambria Math" w:cs="Times New Roman"/>
                <w:sz w:val="20"/>
                <w:szCs w:val="20"/>
              </w:rPr>
              <w:t>Block-holder</w:t>
            </w:r>
            <w:r w:rsidR="00AD6F97" w:rsidRPr="00AD6F97">
              <w:rPr>
                <w:rFonts w:ascii="Cambria Math" w:hAnsi="Cambria Math" w:cs="Times New Roman"/>
                <w:i/>
                <w:sz w:val="20"/>
                <w:szCs w:val="20"/>
                <w:vertAlign w:val="subscript"/>
              </w:rPr>
              <w:t>i,t</w:t>
            </w:r>
          </w:p>
        </w:tc>
        <w:tc>
          <w:tcPr>
            <w:tcW w:w="0" w:type="auto"/>
            <w:vAlign w:val="center"/>
          </w:tcPr>
          <w:p w:rsidR="00011443" w:rsidRPr="00005246" w:rsidRDefault="00011443" w:rsidP="00011443">
            <w:pPr>
              <w:spacing w:line="240" w:lineRule="auto"/>
              <w:jc w:val="center"/>
              <w:rPr>
                <w:rFonts w:cs="Times New Roman"/>
              </w:rPr>
            </w:pPr>
            <w:r w:rsidRPr="00005246">
              <w:rPr>
                <w:rFonts w:cs="Times New Roman"/>
                <w:color w:val="000000"/>
                <w:sz w:val="18"/>
                <w:szCs w:val="18"/>
              </w:rPr>
              <w:t>3760</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.0000</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.979</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.242</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.160</w:t>
            </w:r>
          </w:p>
        </w:tc>
      </w:tr>
      <w:tr w:rsidR="00AD6F97" w:rsidRPr="00D54355" w:rsidTr="00011443">
        <w:trPr>
          <w:trHeight w:val="432"/>
          <w:jc w:val="center"/>
        </w:trPr>
        <w:tc>
          <w:tcPr>
            <w:tcW w:w="0" w:type="auto"/>
            <w:vMerge w:val="restart"/>
            <w:vAlign w:val="center"/>
          </w:tcPr>
          <w:p w:rsidR="00011443" w:rsidRPr="00AB2F5D" w:rsidRDefault="00011443" w:rsidP="00011443">
            <w:pPr>
              <w:spacing w:line="240" w:lineRule="auto"/>
              <w:rPr>
                <w:rFonts w:cs="Times New Roman"/>
                <w:sz w:val="20"/>
                <w:szCs w:val="20"/>
              </w:rPr>
            </w:pPr>
            <w:r>
              <w:rPr>
                <w:rFonts w:cs="Times New Roman"/>
                <w:b/>
                <w:sz w:val="20"/>
                <w:szCs w:val="20"/>
              </w:rPr>
              <w:t>Control</w:t>
            </w:r>
            <w:r>
              <w:rPr>
                <w:rFonts w:cs="Times New Roman" w:hint="eastAsia"/>
                <w:b/>
                <w:sz w:val="20"/>
                <w:szCs w:val="20"/>
              </w:rPr>
              <w:t xml:space="preserve"> </w:t>
            </w:r>
            <w:r w:rsidRPr="00AB2F5D">
              <w:rPr>
                <w:rFonts w:cs="Times New Roman"/>
                <w:b/>
                <w:sz w:val="20"/>
                <w:szCs w:val="20"/>
              </w:rPr>
              <w:t>variable</w:t>
            </w:r>
            <w:r w:rsidRPr="00AB2F5D">
              <w:rPr>
                <w:rFonts w:cs="Times New Roman"/>
                <w:sz w:val="20"/>
                <w:szCs w:val="20"/>
              </w:rPr>
              <w:t>s</w:t>
            </w:r>
          </w:p>
        </w:tc>
        <w:tc>
          <w:tcPr>
            <w:tcW w:w="0" w:type="auto"/>
            <w:vAlign w:val="center"/>
          </w:tcPr>
          <w:p w:rsidR="00011443" w:rsidRPr="00AD6F97" w:rsidRDefault="00011443" w:rsidP="00011443">
            <w:pPr>
              <w:spacing w:line="240" w:lineRule="auto"/>
              <w:rPr>
                <w:rFonts w:ascii="Cambria Math" w:hAnsi="Cambria Math" w:cs="Times New Roman"/>
                <w:sz w:val="20"/>
                <w:szCs w:val="20"/>
              </w:rPr>
            </w:pPr>
            <w:r w:rsidRPr="00AD6F97">
              <w:rPr>
                <w:rFonts w:ascii="Cambria Math" w:hAnsi="Cambria Math" w:cs="Times New Roman"/>
                <w:sz w:val="20"/>
                <w:szCs w:val="20"/>
              </w:rPr>
              <w:t>F</w:t>
            </w:r>
            <w:r w:rsidR="00650FFA">
              <w:rPr>
                <w:rFonts w:ascii="Cambria Math" w:hAnsi="Cambria Math" w:cs="Times New Roman"/>
                <w:sz w:val="20"/>
                <w:szCs w:val="20"/>
              </w:rPr>
              <w:t>S</w:t>
            </w:r>
            <w:r w:rsidR="00AD6F97"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5525</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10.84</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27.75</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21.60</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.018</w:t>
            </w:r>
          </w:p>
        </w:tc>
        <w:tc>
          <w:tcPr>
            <w:tcW w:w="0" w:type="auto"/>
            <w:vAlign w:val="center"/>
          </w:tcPr>
          <w:p w:rsidR="00011443" w:rsidRPr="00AD6F97" w:rsidRDefault="00011443" w:rsidP="00011443">
            <w:pPr>
              <w:spacing w:line="240" w:lineRule="auto"/>
              <w:rPr>
                <w:rFonts w:ascii="Cambria Math" w:hAnsi="Cambria Math" w:cs="Times New Roman"/>
                <w:sz w:val="20"/>
                <w:szCs w:val="20"/>
              </w:rPr>
            </w:pPr>
            <w:r w:rsidRPr="00AD6F97">
              <w:rPr>
                <w:rFonts w:ascii="Cambria Math" w:hAnsi="Cambria Math" w:cs="Times New Roman"/>
                <w:sz w:val="20"/>
                <w:szCs w:val="20"/>
              </w:rPr>
              <w:t>FS</w:t>
            </w:r>
            <w:r w:rsidR="00AD6F97"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0" w:type="auto"/>
            <w:vAlign w:val="center"/>
          </w:tcPr>
          <w:p w:rsidR="00011443" w:rsidRPr="00005246" w:rsidRDefault="00011443" w:rsidP="00011443">
            <w:pPr>
              <w:spacing w:line="240" w:lineRule="auto"/>
              <w:jc w:val="center"/>
              <w:rPr>
                <w:rFonts w:cs="Times New Roman"/>
              </w:rPr>
            </w:pPr>
            <w:r w:rsidRPr="00005246">
              <w:rPr>
                <w:rFonts w:cs="Times New Roman"/>
                <w:color w:val="000000"/>
                <w:sz w:val="18"/>
                <w:szCs w:val="18"/>
              </w:rPr>
              <w:t>3760</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1.286</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5.519</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3.246</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.704</w:t>
            </w:r>
          </w:p>
        </w:tc>
      </w:tr>
      <w:tr w:rsidR="00AD6F97" w:rsidRPr="00D54355" w:rsidTr="00011443">
        <w:trPr>
          <w:trHeight w:val="432"/>
          <w:jc w:val="center"/>
        </w:trPr>
        <w:tc>
          <w:tcPr>
            <w:tcW w:w="0" w:type="auto"/>
            <w:vMerge/>
          </w:tcPr>
          <w:p w:rsidR="00011443" w:rsidRPr="00D54355" w:rsidRDefault="00011443" w:rsidP="00011443">
            <w:pPr>
              <w:spacing w:line="240" w:lineRule="auto"/>
              <w:rPr>
                <w:rFonts w:cs="Times New Roman"/>
                <w:sz w:val="18"/>
                <w:szCs w:val="18"/>
              </w:rPr>
            </w:pPr>
          </w:p>
        </w:tc>
        <w:tc>
          <w:tcPr>
            <w:tcW w:w="0" w:type="auto"/>
            <w:vAlign w:val="center"/>
          </w:tcPr>
          <w:p w:rsidR="00011443" w:rsidRPr="00AD6F97" w:rsidRDefault="00011443" w:rsidP="00011443">
            <w:pPr>
              <w:spacing w:line="240" w:lineRule="auto"/>
              <w:rPr>
                <w:rFonts w:ascii="Cambria Math" w:hAnsi="Cambria Math" w:cs="Times New Roman"/>
                <w:sz w:val="20"/>
                <w:szCs w:val="20"/>
              </w:rPr>
            </w:pPr>
            <w:r w:rsidRPr="00AD6F97">
              <w:rPr>
                <w:rFonts w:ascii="Cambria Math" w:hAnsi="Cambria Math" w:cs="Times New Roman"/>
                <w:sz w:val="20"/>
                <w:szCs w:val="20"/>
              </w:rPr>
              <w:t>ROE</w:t>
            </w:r>
            <w:r w:rsidR="00AD6F97"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5525</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-8.47</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6.56</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-2.63</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.016</w:t>
            </w:r>
          </w:p>
        </w:tc>
        <w:tc>
          <w:tcPr>
            <w:tcW w:w="0" w:type="auto"/>
            <w:vAlign w:val="center"/>
          </w:tcPr>
          <w:p w:rsidR="00011443" w:rsidRPr="00AD6F97" w:rsidRDefault="00011443" w:rsidP="00011443">
            <w:pPr>
              <w:spacing w:line="240" w:lineRule="auto"/>
              <w:rPr>
                <w:rFonts w:ascii="Cambria Math" w:hAnsi="Cambria Math" w:cs="Times New Roman"/>
                <w:sz w:val="20"/>
                <w:szCs w:val="20"/>
              </w:rPr>
            </w:pPr>
            <w:r w:rsidRPr="00AD6F97">
              <w:rPr>
                <w:rFonts w:ascii="Cambria Math" w:hAnsi="Cambria Math" w:cs="Times New Roman"/>
                <w:sz w:val="20"/>
                <w:szCs w:val="20"/>
              </w:rPr>
              <w:t>ROE</w:t>
            </w:r>
            <w:r w:rsidR="00AD6F97"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0" w:type="auto"/>
            <w:vAlign w:val="center"/>
          </w:tcPr>
          <w:p w:rsidR="00011443" w:rsidRPr="00005246" w:rsidRDefault="00011443" w:rsidP="00011443">
            <w:pPr>
              <w:spacing w:line="240" w:lineRule="auto"/>
              <w:jc w:val="center"/>
              <w:rPr>
                <w:rFonts w:cs="Times New Roman"/>
              </w:rPr>
            </w:pPr>
            <w:r w:rsidRPr="00005246">
              <w:rPr>
                <w:rFonts w:cs="Times New Roman"/>
                <w:color w:val="000000"/>
                <w:sz w:val="18"/>
                <w:szCs w:val="18"/>
              </w:rPr>
              <w:t>3760</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-8.978</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4.954</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-1.975</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1.01</w:t>
            </w:r>
          </w:p>
        </w:tc>
      </w:tr>
      <w:tr w:rsidR="00AD6F97" w:rsidRPr="00D54355" w:rsidTr="00011443">
        <w:trPr>
          <w:trHeight w:val="432"/>
          <w:jc w:val="center"/>
        </w:trPr>
        <w:tc>
          <w:tcPr>
            <w:tcW w:w="0" w:type="auto"/>
            <w:vMerge/>
          </w:tcPr>
          <w:p w:rsidR="00011443" w:rsidRPr="00D54355" w:rsidRDefault="00011443" w:rsidP="00011443">
            <w:pPr>
              <w:spacing w:line="240" w:lineRule="auto"/>
              <w:rPr>
                <w:rFonts w:cs="Times New Roman"/>
                <w:sz w:val="18"/>
                <w:szCs w:val="18"/>
              </w:rPr>
            </w:pPr>
          </w:p>
        </w:tc>
        <w:tc>
          <w:tcPr>
            <w:tcW w:w="0" w:type="auto"/>
            <w:vAlign w:val="center"/>
          </w:tcPr>
          <w:p w:rsidR="00011443" w:rsidRPr="00AD6F97" w:rsidRDefault="00011443" w:rsidP="00011443">
            <w:pPr>
              <w:spacing w:line="240" w:lineRule="auto"/>
              <w:rPr>
                <w:rFonts w:ascii="Cambria Math" w:hAnsi="Cambria Math" w:cs="Times New Roman"/>
                <w:sz w:val="20"/>
                <w:szCs w:val="20"/>
              </w:rPr>
            </w:pPr>
            <w:r w:rsidRPr="00AD6F97">
              <w:rPr>
                <w:rFonts w:ascii="Cambria Math" w:hAnsi="Cambria Math" w:cs="Times New Roman"/>
                <w:sz w:val="20"/>
                <w:szCs w:val="20"/>
              </w:rPr>
              <w:t>Leverage</w:t>
            </w:r>
            <w:r w:rsidR="00AD6F97"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5525</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-11.69</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3.24</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-1.79</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.016</w:t>
            </w:r>
          </w:p>
        </w:tc>
        <w:tc>
          <w:tcPr>
            <w:tcW w:w="0" w:type="auto"/>
            <w:vAlign w:val="center"/>
          </w:tcPr>
          <w:p w:rsidR="00011443" w:rsidRPr="00AD6F97" w:rsidRDefault="00011443" w:rsidP="00011443">
            <w:pPr>
              <w:spacing w:line="240" w:lineRule="auto"/>
              <w:rPr>
                <w:rFonts w:ascii="Cambria Math" w:hAnsi="Cambria Math" w:cs="Times New Roman"/>
                <w:sz w:val="20"/>
                <w:szCs w:val="20"/>
              </w:rPr>
            </w:pPr>
            <w:r w:rsidRPr="00AD6F97">
              <w:rPr>
                <w:rFonts w:ascii="Cambria Math" w:hAnsi="Cambria Math" w:cs="Times New Roman"/>
                <w:sz w:val="20"/>
                <w:szCs w:val="20"/>
              </w:rPr>
              <w:t>Leverage</w:t>
            </w:r>
            <w:r w:rsidR="00AD6F97" w:rsidRPr="00AD6F97">
              <w:rPr>
                <w:rFonts w:ascii="Cambria Math" w:hAnsi="Cambria Math" w:cs="Times New Roman"/>
                <w:i/>
                <w:sz w:val="20"/>
                <w:szCs w:val="20"/>
                <w:vertAlign w:val="subscript"/>
              </w:rPr>
              <w:t>i,t</w:t>
            </w:r>
            <w:r w:rsidR="00AD6F97" w:rsidRPr="00AD6F97">
              <w:rPr>
                <w:rFonts w:ascii="Cambria Math" w:hAnsi="Cambria Math" w:cs="Times New Roman"/>
                <w:sz w:val="20"/>
                <w:szCs w:val="20"/>
              </w:rPr>
              <w:t xml:space="preserve"> </w:t>
            </w:r>
            <w:r w:rsidRPr="00AD6F97">
              <w:rPr>
                <w:rFonts w:ascii="Cambria Math" w:hAnsi="Cambria Math" w:cs="Times New Roman"/>
                <w:sz w:val="20"/>
                <w:szCs w:val="20"/>
              </w:rPr>
              <w:t>(log)</w:t>
            </w:r>
          </w:p>
        </w:tc>
        <w:tc>
          <w:tcPr>
            <w:tcW w:w="0" w:type="auto"/>
            <w:vAlign w:val="center"/>
          </w:tcPr>
          <w:p w:rsidR="00011443" w:rsidRPr="00005246" w:rsidRDefault="00011443" w:rsidP="00011443">
            <w:pPr>
              <w:spacing w:line="240" w:lineRule="auto"/>
              <w:jc w:val="center"/>
              <w:rPr>
                <w:rFonts w:cs="Times New Roman"/>
              </w:rPr>
            </w:pPr>
            <w:r w:rsidRPr="00005246">
              <w:rPr>
                <w:rFonts w:cs="Times New Roman"/>
                <w:color w:val="000000"/>
                <w:sz w:val="18"/>
                <w:szCs w:val="18"/>
              </w:rPr>
              <w:t>3760</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.0000</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2.615</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.2153</w:t>
            </w:r>
          </w:p>
        </w:tc>
        <w:tc>
          <w:tcPr>
            <w:tcW w:w="0" w:type="auto"/>
            <w:vAlign w:val="center"/>
          </w:tcPr>
          <w:p w:rsidR="00011443" w:rsidRPr="00005246" w:rsidRDefault="00011443" w:rsidP="00011443">
            <w:pPr>
              <w:spacing w:line="240" w:lineRule="auto"/>
              <w:jc w:val="center"/>
              <w:rPr>
                <w:rFonts w:cs="Times New Roman"/>
                <w:sz w:val="18"/>
                <w:szCs w:val="18"/>
              </w:rPr>
            </w:pPr>
            <w:r w:rsidRPr="00005246">
              <w:rPr>
                <w:rFonts w:cs="Times New Roman"/>
                <w:sz w:val="18"/>
                <w:szCs w:val="18"/>
              </w:rPr>
              <w:t>.228</w:t>
            </w:r>
          </w:p>
        </w:tc>
      </w:tr>
      <w:tr w:rsidR="00011443" w:rsidRPr="00D54355" w:rsidTr="00E02AB1">
        <w:trPr>
          <w:trHeight w:val="432"/>
          <w:jc w:val="center"/>
        </w:trPr>
        <w:tc>
          <w:tcPr>
            <w:tcW w:w="0" w:type="auto"/>
            <w:gridSpan w:val="13"/>
          </w:tcPr>
          <w:p w:rsidR="00011443" w:rsidRPr="00520416" w:rsidRDefault="00011443" w:rsidP="00DF111B">
            <w:pPr>
              <w:autoSpaceDE w:val="0"/>
              <w:autoSpaceDN w:val="0"/>
              <w:adjustRightInd w:val="0"/>
              <w:spacing w:line="240" w:lineRule="auto"/>
              <w:rPr>
                <w:rFonts w:cs="Times New Roman"/>
                <w:color w:val="000000"/>
                <w:sz w:val="20"/>
                <w:szCs w:val="20"/>
              </w:rPr>
            </w:pPr>
            <w:r w:rsidRPr="00686E2F">
              <w:rPr>
                <w:rFonts w:cs="Times New Roman"/>
                <w:sz w:val="20"/>
                <w:szCs w:val="20"/>
              </w:rPr>
              <w:t xml:space="preserve">This table summarizes the descriptive statistics of China and U.S. </w:t>
            </w:r>
            <w:r w:rsidR="00AD6F97" w:rsidRPr="00AD6F97">
              <w:rPr>
                <w:rFonts w:ascii="Cambria Math" w:hAnsi="Cambria Math"/>
                <w:i/>
                <w:sz w:val="20"/>
                <w:szCs w:val="20"/>
              </w:rPr>
              <w:t>DA</w:t>
            </w:r>
            <w:r w:rsidR="00AD6F97" w:rsidRPr="00AD6F97">
              <w:rPr>
                <w:rFonts w:ascii="Cambria Math" w:hAnsi="Cambria Math"/>
                <w:i/>
                <w:sz w:val="20"/>
                <w:szCs w:val="20"/>
                <w:vertAlign w:val="subscript"/>
              </w:rPr>
              <w:t>i,t</w:t>
            </w:r>
            <w:r w:rsidR="00AD6F97" w:rsidRPr="00686E2F">
              <w:rPr>
                <w:rFonts w:cs="Times New Roman"/>
                <w:sz w:val="20"/>
                <w:szCs w:val="20"/>
              </w:rPr>
              <w:t xml:space="preserve"> </w:t>
            </w:r>
            <w:r w:rsidRPr="00686E2F">
              <w:rPr>
                <w:rFonts w:cs="Times New Roman"/>
                <w:sz w:val="20"/>
                <w:szCs w:val="20"/>
              </w:rPr>
              <w:t xml:space="preserve">= the absolute value of discretionary accruals. </w:t>
            </w:r>
            <w:r w:rsidR="00AD6F97" w:rsidRPr="00AD6F97">
              <w:rPr>
                <w:rFonts w:ascii="Cambria Math" w:hAnsi="Cambria Math" w:cs="Times New Roman"/>
                <w:b/>
                <w:i/>
                <w:sz w:val="20"/>
                <w:szCs w:val="20"/>
              </w:rPr>
              <w:t>BS</w:t>
            </w:r>
            <w:r w:rsidR="00AD6F97" w:rsidRPr="00AD6F97">
              <w:rPr>
                <w:rFonts w:ascii="Cambria Math" w:hAnsi="Cambria Math" w:cs="Times New Roman"/>
                <w:i/>
                <w:sz w:val="20"/>
                <w:szCs w:val="20"/>
                <w:vertAlign w:val="subscript"/>
              </w:rPr>
              <w:t>i,t</w:t>
            </w:r>
            <w:r w:rsidR="00AD6F97" w:rsidRPr="00686E2F">
              <w:rPr>
                <w:rFonts w:cs="Times New Roman"/>
                <w:sz w:val="20"/>
                <w:szCs w:val="20"/>
              </w:rPr>
              <w:t xml:space="preserve"> </w:t>
            </w:r>
            <w:r w:rsidRPr="00686E2F">
              <w:rPr>
                <w:rFonts w:cs="Times New Roman"/>
                <w:sz w:val="20"/>
                <w:szCs w:val="20"/>
              </w:rPr>
              <w:t xml:space="preserve">= the number of board members. </w:t>
            </w:r>
            <w:r w:rsidR="00AD6F97" w:rsidRPr="00AD6F97">
              <w:rPr>
                <w:rFonts w:ascii="Cambria Math" w:hAnsi="Cambria Math" w:cs="Times New Roman"/>
                <w:sz w:val="20"/>
                <w:szCs w:val="20"/>
              </w:rPr>
              <w:t>BI</w:t>
            </w:r>
            <w:r w:rsidR="00AD6F97" w:rsidRPr="00AD6F97">
              <w:rPr>
                <w:rFonts w:ascii="Cambria Math" w:hAnsi="Cambria Math" w:cs="Times New Roman"/>
                <w:i/>
                <w:sz w:val="20"/>
                <w:szCs w:val="20"/>
                <w:vertAlign w:val="subscript"/>
              </w:rPr>
              <w:t>i,t</w:t>
            </w:r>
            <w:r w:rsidR="00AD6F97" w:rsidRPr="00686E2F">
              <w:rPr>
                <w:rFonts w:cs="Times New Roman"/>
                <w:sz w:val="20"/>
                <w:szCs w:val="20"/>
              </w:rPr>
              <w:t xml:space="preserve"> </w:t>
            </w:r>
            <w:r w:rsidRPr="00686E2F">
              <w:rPr>
                <w:rFonts w:cs="Times New Roman"/>
                <w:sz w:val="20"/>
                <w:szCs w:val="20"/>
              </w:rPr>
              <w:t>=</w:t>
            </w:r>
            <w:r w:rsidRPr="00686E2F">
              <w:rPr>
                <w:rFonts w:eastAsia="SimSun" w:cs="Times New Roman"/>
                <w:sz w:val="20"/>
                <w:szCs w:val="20"/>
                <w:lang w:eastAsia="en-US"/>
              </w:rPr>
              <w:t xml:space="preserve"> </w:t>
            </w:r>
            <w:r>
              <w:rPr>
                <w:rFonts w:cs="Times New Roman" w:hint="eastAsia"/>
                <w:sz w:val="20"/>
                <w:szCs w:val="20"/>
              </w:rPr>
              <w:t>ratio</w:t>
            </w:r>
            <w:r w:rsidRPr="00686E2F">
              <w:rPr>
                <w:rFonts w:cs="Times New Roman"/>
                <w:sz w:val="20"/>
                <w:szCs w:val="20"/>
              </w:rPr>
              <w:t xml:space="preserve"> of independent directors to total board size. </w:t>
            </w:r>
            <w:r w:rsidR="00AD6F97" w:rsidRPr="00AD6F97">
              <w:rPr>
                <w:rFonts w:ascii="Cambria Math" w:hAnsi="Cambria Math" w:cs="Times New Roman"/>
                <w:sz w:val="20"/>
                <w:szCs w:val="20"/>
              </w:rPr>
              <w:t>CEO-dummy</w:t>
            </w:r>
            <w:r w:rsidR="00AD6F97" w:rsidRPr="00AD6F97">
              <w:rPr>
                <w:rFonts w:ascii="Cambria Math" w:hAnsi="Cambria Math" w:cs="Times New Roman"/>
                <w:i/>
                <w:sz w:val="20"/>
                <w:szCs w:val="20"/>
                <w:vertAlign w:val="subscript"/>
              </w:rPr>
              <w:t>i,t</w:t>
            </w:r>
            <w:r w:rsidR="00AD6F97" w:rsidRPr="00686E2F">
              <w:rPr>
                <w:rFonts w:cs="Times New Roman"/>
                <w:sz w:val="20"/>
                <w:szCs w:val="20"/>
              </w:rPr>
              <w:t xml:space="preserve"> </w:t>
            </w:r>
            <w:r w:rsidRPr="00686E2F">
              <w:rPr>
                <w:rFonts w:cs="Times New Roman"/>
                <w:sz w:val="20"/>
                <w:szCs w:val="20"/>
              </w:rPr>
              <w:t xml:space="preserve">= 1 if CEO is Chairman, equal to 0 if otherwise. </w:t>
            </w:r>
            <w:r w:rsidR="00AD6F97" w:rsidRPr="00AD6F97">
              <w:rPr>
                <w:rFonts w:ascii="Cambria Math" w:hAnsi="Cambria Math" w:cs="Times New Roman"/>
                <w:b/>
                <w:i/>
                <w:sz w:val="20"/>
                <w:szCs w:val="20"/>
              </w:rPr>
              <w:t>SBS</w:t>
            </w:r>
            <w:r w:rsidR="00AD6F97" w:rsidRPr="00AD6F97">
              <w:rPr>
                <w:rFonts w:ascii="Cambria Math" w:hAnsi="Cambria Math" w:cs="Times New Roman"/>
                <w:i/>
                <w:sz w:val="20"/>
                <w:szCs w:val="20"/>
                <w:vertAlign w:val="subscript"/>
              </w:rPr>
              <w:t>i,t</w:t>
            </w:r>
            <w:r w:rsidR="00AD6F97" w:rsidRPr="00686E2F">
              <w:rPr>
                <w:rFonts w:cs="Times New Roman"/>
                <w:b/>
                <w:i/>
                <w:sz w:val="20"/>
                <w:szCs w:val="20"/>
              </w:rPr>
              <w:t xml:space="preserve"> </w:t>
            </w:r>
            <w:r w:rsidRPr="00686E2F">
              <w:rPr>
                <w:rFonts w:cs="Times New Roman"/>
                <w:b/>
                <w:i/>
                <w:sz w:val="20"/>
                <w:szCs w:val="20"/>
              </w:rPr>
              <w:t>=</w:t>
            </w:r>
            <w:r w:rsidRPr="00686E2F">
              <w:rPr>
                <w:rFonts w:eastAsia="SimSun" w:cs="Times New Roman"/>
                <w:sz w:val="20"/>
                <w:szCs w:val="20"/>
                <w:lang w:eastAsia="en-US"/>
              </w:rPr>
              <w:t xml:space="preserve"> </w:t>
            </w:r>
            <w:r w:rsidRPr="00686E2F">
              <w:rPr>
                <w:rFonts w:cs="Times New Roman"/>
                <w:sz w:val="20"/>
                <w:szCs w:val="20"/>
              </w:rPr>
              <w:t xml:space="preserve">the number of supervisory board size. </w:t>
            </w:r>
            <w:r w:rsidR="00AD6F97" w:rsidRPr="00AD6F97">
              <w:rPr>
                <w:rFonts w:ascii="Cambria Math" w:hAnsi="Cambria Math" w:cs="Times New Roman"/>
                <w:sz w:val="20"/>
                <w:szCs w:val="20"/>
              </w:rPr>
              <w:t>Insider</w:t>
            </w:r>
            <w:r w:rsidR="00AD6F97" w:rsidRPr="00AD6F97">
              <w:rPr>
                <w:rFonts w:ascii="Cambria Math" w:hAnsi="Cambria Math" w:cs="Times New Roman"/>
                <w:i/>
                <w:sz w:val="20"/>
                <w:szCs w:val="20"/>
                <w:vertAlign w:val="subscript"/>
              </w:rPr>
              <w:t>i,t</w:t>
            </w:r>
            <w:r w:rsidR="00AD6F97" w:rsidRPr="00686E2F">
              <w:rPr>
                <w:rFonts w:cs="Times New Roman"/>
                <w:sz w:val="20"/>
                <w:szCs w:val="20"/>
              </w:rPr>
              <w:t xml:space="preserve"> </w:t>
            </w:r>
            <w:r w:rsidRPr="00686E2F">
              <w:rPr>
                <w:rFonts w:cs="Times New Roman"/>
                <w:sz w:val="20"/>
                <w:szCs w:val="20"/>
              </w:rPr>
              <w:t xml:space="preserve">= percentages of shares </w:t>
            </w:r>
            <w:r w:rsidR="00FC4F0B">
              <w:rPr>
                <w:rFonts w:cs="Times New Roman"/>
                <w:sz w:val="20"/>
                <w:szCs w:val="20"/>
              </w:rPr>
              <w:t>hold by management</w:t>
            </w:r>
            <w:r w:rsidRPr="00686E2F">
              <w:rPr>
                <w:rFonts w:cs="Times New Roman"/>
                <w:sz w:val="20"/>
                <w:szCs w:val="20"/>
              </w:rPr>
              <w:t xml:space="preserve">. </w:t>
            </w:r>
            <w:r w:rsidR="00AD6F97" w:rsidRPr="00AD6F97">
              <w:rPr>
                <w:rFonts w:ascii="Cambria Math" w:hAnsi="Cambria Math" w:cs="Times New Roman"/>
                <w:sz w:val="20"/>
                <w:szCs w:val="20"/>
              </w:rPr>
              <w:t>Block-</w:t>
            </w:r>
            <w:r w:rsidR="00DF111B">
              <w:rPr>
                <w:rFonts w:ascii="Cambria Math" w:hAnsi="Cambria Math" w:cs="Times New Roman"/>
                <w:sz w:val="20"/>
                <w:szCs w:val="20"/>
              </w:rPr>
              <w:t>h</w:t>
            </w:r>
            <w:r w:rsidR="00AD6F97" w:rsidRPr="00AD6F97">
              <w:rPr>
                <w:rFonts w:ascii="Cambria Math" w:hAnsi="Cambria Math" w:cs="Times New Roman"/>
                <w:sz w:val="20"/>
                <w:szCs w:val="20"/>
              </w:rPr>
              <w:t>older</w:t>
            </w:r>
            <w:r w:rsidR="00AD6F97" w:rsidRPr="00AD6F97">
              <w:rPr>
                <w:rFonts w:ascii="Cambria Math" w:hAnsi="Cambria Math" w:cs="Times New Roman"/>
                <w:i/>
                <w:sz w:val="20"/>
                <w:szCs w:val="20"/>
                <w:vertAlign w:val="subscript"/>
              </w:rPr>
              <w:t>i,t</w:t>
            </w:r>
            <w:r w:rsidR="00AD6F97" w:rsidRPr="00686E2F">
              <w:rPr>
                <w:rFonts w:cs="Times New Roman"/>
                <w:sz w:val="20"/>
                <w:szCs w:val="20"/>
              </w:rPr>
              <w:t xml:space="preserve"> </w:t>
            </w:r>
            <w:r w:rsidRPr="00686E2F">
              <w:rPr>
                <w:rFonts w:cs="Times New Roman"/>
                <w:sz w:val="20"/>
                <w:szCs w:val="20"/>
              </w:rPr>
              <w:t>=</w:t>
            </w:r>
            <w:r w:rsidRPr="00686E2F">
              <w:rPr>
                <w:rFonts w:cs="Times New Roman" w:hint="eastAsia"/>
                <w:sz w:val="20"/>
                <w:szCs w:val="20"/>
              </w:rPr>
              <w:t xml:space="preserve"> </w:t>
            </w:r>
            <w:r w:rsidRPr="00686E2F">
              <w:rPr>
                <w:rFonts w:cs="Times New Roman"/>
                <w:sz w:val="20"/>
                <w:szCs w:val="20"/>
              </w:rPr>
              <w:t>percentages of shares hold by block-holders</w:t>
            </w:r>
            <w:r w:rsidRPr="00686E2F">
              <w:rPr>
                <w:rFonts w:cs="Times New Roman" w:hint="eastAsia"/>
                <w:sz w:val="20"/>
                <w:szCs w:val="20"/>
              </w:rPr>
              <w:t>.</w:t>
            </w:r>
            <w:r w:rsidRPr="00686E2F">
              <w:rPr>
                <w:rFonts w:cs="Times New Roman"/>
                <w:sz w:val="20"/>
                <w:szCs w:val="20"/>
              </w:rPr>
              <w:t xml:space="preserve"> </w:t>
            </w:r>
            <w:r w:rsidR="00AD6F97" w:rsidRPr="00AD6F97">
              <w:rPr>
                <w:rFonts w:ascii="Cambria Math" w:hAnsi="Cambria Math" w:cs="Times New Roman"/>
                <w:b/>
                <w:i/>
                <w:sz w:val="20"/>
                <w:szCs w:val="20"/>
              </w:rPr>
              <w:t>EDS</w:t>
            </w:r>
            <w:r w:rsidR="00AD6F97" w:rsidRPr="00AD6F97">
              <w:rPr>
                <w:rFonts w:ascii="Cambria Math" w:hAnsi="Cambria Math" w:cs="Times New Roman"/>
                <w:i/>
                <w:sz w:val="20"/>
                <w:szCs w:val="20"/>
                <w:vertAlign w:val="subscript"/>
              </w:rPr>
              <w:t>i,t</w:t>
            </w:r>
            <w:r w:rsidR="00AD6F97" w:rsidRPr="00686E2F">
              <w:rPr>
                <w:rFonts w:cs="Times New Roman"/>
                <w:b/>
                <w:i/>
                <w:sz w:val="20"/>
                <w:szCs w:val="20"/>
              </w:rPr>
              <w:t xml:space="preserve"> </w:t>
            </w:r>
            <w:r w:rsidRPr="00686E2F">
              <w:rPr>
                <w:rFonts w:cs="Times New Roman"/>
                <w:b/>
                <w:i/>
                <w:sz w:val="20"/>
                <w:szCs w:val="20"/>
              </w:rPr>
              <w:t xml:space="preserve">= </w:t>
            </w:r>
            <w:r w:rsidRPr="00686E2F">
              <w:rPr>
                <w:rFonts w:cs="Times New Roman"/>
                <w:sz w:val="20"/>
                <w:szCs w:val="20"/>
              </w:rPr>
              <w:t>the number of executive directors</w:t>
            </w:r>
            <w:r w:rsidRPr="00686E2F">
              <w:rPr>
                <w:rFonts w:cs="Times New Roman"/>
                <w:b/>
                <w:i/>
                <w:sz w:val="20"/>
                <w:szCs w:val="20"/>
              </w:rPr>
              <w:t xml:space="preserve">. </w:t>
            </w:r>
            <w:r w:rsidR="00AD6F97" w:rsidRPr="00AD6F97">
              <w:rPr>
                <w:rFonts w:ascii="Cambria Math" w:hAnsi="Cambria Math" w:cs="Times New Roman"/>
                <w:b/>
                <w:i/>
                <w:sz w:val="20"/>
                <w:szCs w:val="20"/>
              </w:rPr>
              <w:t>NEDS</w:t>
            </w:r>
            <w:r w:rsidR="00AD6F97" w:rsidRPr="00AD6F97">
              <w:rPr>
                <w:rFonts w:ascii="Cambria Math" w:hAnsi="Cambria Math" w:cs="Times New Roman"/>
                <w:i/>
                <w:sz w:val="20"/>
                <w:szCs w:val="20"/>
                <w:vertAlign w:val="subscript"/>
              </w:rPr>
              <w:t>i,t</w:t>
            </w:r>
            <w:r w:rsidR="00AD6F97" w:rsidRPr="00686E2F">
              <w:rPr>
                <w:rFonts w:cs="Times New Roman"/>
                <w:b/>
                <w:i/>
                <w:sz w:val="20"/>
                <w:szCs w:val="20"/>
              </w:rPr>
              <w:t xml:space="preserve"> </w:t>
            </w:r>
            <w:r w:rsidRPr="00686E2F">
              <w:rPr>
                <w:rFonts w:cs="Times New Roman"/>
                <w:b/>
                <w:i/>
                <w:sz w:val="20"/>
                <w:szCs w:val="20"/>
              </w:rPr>
              <w:t>=</w:t>
            </w:r>
            <w:r>
              <w:rPr>
                <w:rFonts w:cs="Times New Roman" w:hint="eastAsia"/>
                <w:b/>
                <w:i/>
                <w:sz w:val="20"/>
                <w:szCs w:val="20"/>
              </w:rPr>
              <w:t xml:space="preserve"> </w:t>
            </w:r>
            <w:r w:rsidRPr="00686E2F">
              <w:rPr>
                <w:rFonts w:cs="Times New Roman"/>
                <w:sz w:val="20"/>
                <w:szCs w:val="20"/>
              </w:rPr>
              <w:t>the number of non-executive directors.</w:t>
            </w:r>
            <w:r w:rsidRPr="00686E2F">
              <w:rPr>
                <w:rFonts w:cs="Times New Roman"/>
                <w:b/>
                <w:i/>
                <w:sz w:val="20"/>
                <w:szCs w:val="20"/>
              </w:rPr>
              <w:t xml:space="preserve"> </w:t>
            </w:r>
            <w:r w:rsidR="00AD6F97" w:rsidRPr="00AD6F97">
              <w:rPr>
                <w:rFonts w:ascii="Cambria Math" w:hAnsi="Cambria Math" w:cs="Times New Roman"/>
                <w:sz w:val="20"/>
                <w:szCs w:val="20"/>
              </w:rPr>
              <w:t>FS</w:t>
            </w:r>
            <w:r w:rsidR="00AD6F97" w:rsidRPr="00AD6F97">
              <w:rPr>
                <w:rFonts w:ascii="Cambria Math" w:hAnsi="Cambria Math" w:cs="Times New Roman"/>
                <w:i/>
                <w:sz w:val="20"/>
                <w:szCs w:val="20"/>
                <w:vertAlign w:val="subscript"/>
              </w:rPr>
              <w:t>i,t</w:t>
            </w:r>
            <w:r w:rsidR="00AD6F97" w:rsidRPr="00AD6F97">
              <w:rPr>
                <w:rFonts w:ascii="Cambria Math" w:hAnsi="Cambria Math" w:cs="Times New Roman"/>
                <w:sz w:val="20"/>
                <w:szCs w:val="20"/>
              </w:rPr>
              <w:t>(log)</w:t>
            </w:r>
            <w:r w:rsidR="00DF111B">
              <w:rPr>
                <w:rFonts w:ascii="Cambria Math" w:hAnsi="Cambria Math" w:cs="Times New Roman"/>
                <w:sz w:val="20"/>
                <w:szCs w:val="20"/>
              </w:rPr>
              <w:t xml:space="preserve"> </w:t>
            </w:r>
            <w:r w:rsidRPr="00686E2F">
              <w:rPr>
                <w:rFonts w:cs="Times New Roman"/>
                <w:sz w:val="20"/>
                <w:szCs w:val="20"/>
              </w:rPr>
              <w:t xml:space="preserve">= nature logarithm of total assets as proxy for firm size. </w:t>
            </w:r>
            <w:r w:rsidR="00AD6F97" w:rsidRPr="00AD6F97">
              <w:rPr>
                <w:rFonts w:ascii="Cambria Math" w:hAnsi="Cambria Math" w:cs="Times New Roman"/>
                <w:sz w:val="20"/>
                <w:szCs w:val="20"/>
              </w:rPr>
              <w:t>ROE</w:t>
            </w:r>
            <w:r w:rsidR="00AD6F97" w:rsidRPr="00AD6F97">
              <w:rPr>
                <w:rFonts w:ascii="Cambria Math" w:hAnsi="Cambria Math" w:cs="Times New Roman"/>
                <w:i/>
                <w:sz w:val="20"/>
                <w:szCs w:val="20"/>
                <w:vertAlign w:val="subscript"/>
              </w:rPr>
              <w:t>i,t</w:t>
            </w:r>
            <w:r w:rsidR="00AD6F97" w:rsidRPr="00AD6F97">
              <w:rPr>
                <w:rFonts w:ascii="Cambria Math" w:hAnsi="Cambria Math" w:cs="Times New Roman"/>
                <w:sz w:val="20"/>
                <w:szCs w:val="20"/>
              </w:rPr>
              <w:t>(log)</w:t>
            </w:r>
            <w:r w:rsidR="00DF111B">
              <w:rPr>
                <w:rFonts w:ascii="Cambria Math" w:hAnsi="Cambria Math" w:cs="Times New Roman"/>
                <w:sz w:val="20"/>
                <w:szCs w:val="20"/>
              </w:rPr>
              <w:t xml:space="preserve"> </w:t>
            </w:r>
            <w:r w:rsidRPr="00686E2F">
              <w:rPr>
                <w:rFonts w:cs="Times New Roman"/>
                <w:sz w:val="20"/>
                <w:szCs w:val="20"/>
              </w:rPr>
              <w:t xml:space="preserve">= nature logarithm of return on equity. </w:t>
            </w:r>
            <w:r w:rsidR="00AD6F97" w:rsidRPr="00AD6F97">
              <w:rPr>
                <w:rFonts w:ascii="Cambria Math" w:hAnsi="Cambria Math" w:cs="Times New Roman"/>
                <w:sz w:val="20"/>
                <w:szCs w:val="20"/>
              </w:rPr>
              <w:t>Leverage</w:t>
            </w:r>
            <w:r w:rsidR="00AD6F97" w:rsidRPr="00AD6F97">
              <w:rPr>
                <w:rFonts w:ascii="Cambria Math" w:hAnsi="Cambria Math" w:cs="Times New Roman"/>
                <w:i/>
                <w:sz w:val="20"/>
                <w:szCs w:val="20"/>
                <w:vertAlign w:val="subscript"/>
              </w:rPr>
              <w:t>i,t</w:t>
            </w:r>
            <w:r w:rsidR="00AD6F97" w:rsidRPr="00AD6F97">
              <w:rPr>
                <w:rFonts w:ascii="Cambria Math" w:hAnsi="Cambria Math" w:cs="Times New Roman"/>
                <w:sz w:val="20"/>
                <w:szCs w:val="20"/>
              </w:rPr>
              <w:t>(log)</w:t>
            </w:r>
            <w:r w:rsidRPr="00686E2F">
              <w:rPr>
                <w:rFonts w:cs="Times New Roman"/>
                <w:sz w:val="20"/>
                <w:szCs w:val="20"/>
              </w:rPr>
              <w:t>= nature logarithm of leverage.</w:t>
            </w:r>
            <w:r w:rsidR="00B8682D">
              <w:rPr>
                <w:rFonts w:cs="Times New Roman"/>
                <w:sz w:val="20"/>
                <w:szCs w:val="20"/>
              </w:rPr>
              <w:t xml:space="preserve"> </w:t>
            </w:r>
            <w:r w:rsidR="00B8682D" w:rsidRPr="00650FFA">
              <w:rPr>
                <w:rFonts w:cs="Times New Roman"/>
                <w:color w:val="000000" w:themeColor="text1"/>
                <w:sz w:val="20"/>
                <w:szCs w:val="20"/>
              </w:rPr>
              <w:t>Note: the calculation curren</w:t>
            </w:r>
            <w:r w:rsidR="00D1784F" w:rsidRPr="00650FFA">
              <w:rPr>
                <w:rFonts w:cs="Times New Roman"/>
                <w:color w:val="000000" w:themeColor="text1"/>
                <w:sz w:val="20"/>
                <w:szCs w:val="20"/>
              </w:rPr>
              <w:t>cy of China is Chinese Yuan (RMB</w:t>
            </w:r>
            <w:r w:rsidR="00B8682D" w:rsidRPr="00650FFA">
              <w:rPr>
                <w:rFonts w:cs="Times New Roman"/>
                <w:color w:val="000000" w:themeColor="text1"/>
                <w:sz w:val="20"/>
                <w:szCs w:val="20"/>
              </w:rPr>
              <w:t>), while the currency of U.S. is US Dollar.</w:t>
            </w:r>
          </w:p>
        </w:tc>
      </w:tr>
    </w:tbl>
    <w:p w:rsidR="00401E8D" w:rsidRDefault="00401E8D" w:rsidP="00011443">
      <w:pPr>
        <w:pStyle w:val="Caption"/>
        <w:rPr>
          <w:rFonts w:cs="Times New Roman"/>
          <w:szCs w:val="24"/>
        </w:rPr>
      </w:pPr>
    </w:p>
    <w:p w:rsidR="00011443" w:rsidRPr="00011443" w:rsidRDefault="00011443" w:rsidP="00401E8D">
      <w:pPr>
        <w:pStyle w:val="Caption"/>
        <w:jc w:val="center"/>
        <w:rPr>
          <w:rFonts w:cs="Times New Roman"/>
          <w:szCs w:val="24"/>
        </w:rPr>
      </w:pPr>
      <w:r w:rsidRPr="00011443">
        <w:rPr>
          <w:rFonts w:cs="Times New Roman"/>
          <w:szCs w:val="24"/>
        </w:rPr>
        <w:lastRenderedPageBreak/>
        <w:t xml:space="preserve">Table </w:t>
      </w:r>
      <w:r w:rsidR="00EF1EDC">
        <w:rPr>
          <w:rFonts w:cs="Times New Roman"/>
          <w:szCs w:val="24"/>
        </w:rPr>
        <w:fldChar w:fldCharType="begin"/>
      </w:r>
      <w:r w:rsidR="00280DE8">
        <w:rPr>
          <w:rFonts w:cs="Times New Roman"/>
          <w:szCs w:val="24"/>
        </w:rPr>
        <w:instrText xml:space="preserve"> STYLEREF 1 \s </w:instrText>
      </w:r>
      <w:r w:rsidR="00EF1EDC">
        <w:rPr>
          <w:rFonts w:cs="Times New Roman"/>
          <w:szCs w:val="24"/>
        </w:rPr>
        <w:fldChar w:fldCharType="separate"/>
      </w:r>
      <w:r w:rsidR="00280DE8">
        <w:rPr>
          <w:rFonts w:cs="Times New Roman"/>
          <w:noProof/>
          <w:szCs w:val="24"/>
        </w:rPr>
        <w:t>6</w:t>
      </w:r>
      <w:r w:rsidR="00EF1EDC">
        <w:rPr>
          <w:rFonts w:cs="Times New Roman"/>
          <w:szCs w:val="24"/>
        </w:rPr>
        <w:fldChar w:fldCharType="end"/>
      </w:r>
      <w:r w:rsidR="00280DE8">
        <w:rPr>
          <w:rFonts w:cs="Times New Roman"/>
          <w:szCs w:val="24"/>
        </w:rPr>
        <w:t>.</w:t>
      </w:r>
      <w:r w:rsidR="00EF1EDC">
        <w:rPr>
          <w:rFonts w:cs="Times New Roman"/>
          <w:szCs w:val="24"/>
        </w:rPr>
        <w:fldChar w:fldCharType="begin"/>
      </w:r>
      <w:r w:rsidR="00280DE8">
        <w:rPr>
          <w:rFonts w:cs="Times New Roman"/>
          <w:szCs w:val="24"/>
        </w:rPr>
        <w:instrText xml:space="preserve"> SEQ Table \* ARABIC \s 1 </w:instrText>
      </w:r>
      <w:r w:rsidR="00EF1EDC">
        <w:rPr>
          <w:rFonts w:cs="Times New Roman"/>
          <w:szCs w:val="24"/>
        </w:rPr>
        <w:fldChar w:fldCharType="separate"/>
      </w:r>
      <w:r w:rsidR="00280DE8">
        <w:rPr>
          <w:rFonts w:cs="Times New Roman"/>
          <w:noProof/>
          <w:szCs w:val="24"/>
        </w:rPr>
        <w:t>2</w:t>
      </w:r>
      <w:r w:rsidR="00EF1EDC">
        <w:rPr>
          <w:rFonts w:cs="Times New Roman"/>
          <w:szCs w:val="24"/>
        </w:rPr>
        <w:fldChar w:fldCharType="end"/>
      </w:r>
      <w:r w:rsidRPr="00011443">
        <w:rPr>
          <w:rFonts w:cs="Times New Roman" w:hint="eastAsia"/>
          <w:szCs w:val="24"/>
        </w:rPr>
        <w:t xml:space="preserve">. </w:t>
      </w:r>
      <w:r w:rsidRPr="00AB2F5D">
        <w:rPr>
          <w:rFonts w:cs="Times New Roman"/>
          <w:szCs w:val="24"/>
        </w:rPr>
        <w:t xml:space="preserve">Discretionary </w:t>
      </w:r>
      <w:r>
        <w:rPr>
          <w:rFonts w:cs="Times New Roman" w:hint="eastAsia"/>
          <w:szCs w:val="24"/>
        </w:rPr>
        <w:t>A</w:t>
      </w:r>
      <w:r w:rsidRPr="00AB2F5D">
        <w:rPr>
          <w:rFonts w:cs="Times New Roman"/>
          <w:szCs w:val="24"/>
        </w:rPr>
        <w:t>ccruals of China</w:t>
      </w:r>
    </w:p>
    <w:tbl>
      <w:tblPr>
        <w:tblStyle w:val="TableGrid"/>
        <w:tblW w:w="13968" w:type="dxa"/>
        <w:tblLook w:val="04A0"/>
      </w:tblPr>
      <w:tblGrid>
        <w:gridCol w:w="13968"/>
      </w:tblGrid>
      <w:tr w:rsidR="00011443" w:rsidRPr="00401E8D" w:rsidTr="00401E8D">
        <w:tc>
          <w:tcPr>
            <w:tcW w:w="13968" w:type="dxa"/>
          </w:tcPr>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DA Stem-and-Leaf Plot</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Frequency Stem &amp; Leaf</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117.00 Extremes    (=&lt;-5.5)</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10.00       -5 .  44</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27.00       -5 .  222233</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41.00       -5 .  0000011111</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39.00       -4 .  8888999999</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48.00       -4 .  666666777777</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59.00       -4 .  444444455555555</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69.00       -4 .  22222222233333333</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100.00       -4 .  0000000000000111111111111</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131.00       -3 .  88888888888888899999999999999999</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136.00       -3 .  6666666666666666666677777777777777</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174.00       -3 .  4444444444444444444444455555555555555555555</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193.00       -3 .  222222222222222222222222223333333333333333333333</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235.00       -3 .  00000000000000000000000000011111111111111111111111111111111</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275.00       -2 .  888888888888888888888888888888888889999999999999999999999999999999999</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280.00       -2 .  6666666666666666666666666666666666666677777777777777777777777777777777</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346.00       -2 .  444444444444444444444444444444444444444455555555555555555555555555555555555555555555555</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392.00       -2 .  22222222222222222222222222222222222222222222222222223333333333333333333333333333333333333333333333</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364.00       -2 .  0000000000000000000000000000000000000000000011111111111111111111111111111111111111111111111</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374.00       -1 .  888888888888888888888888888888888888888888889999999999999999999999999999999999999999999999999</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363.00       -1 .  666666666666666666666666666666666666666667777777777777777777777777777777777777777777777777</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298.00       -1 .  444444444444444444444444444444444444445555555555555555555555555555555555555</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258.00       -1 .  22222222222222222222222222222223333333333333333333333333333333333</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193.00       -1 .  000000000000000000000111111111111111111111111111</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157.00       -0 .  888888888888888888899999999999999999999</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149.00       -0 .  6666666666666666666777777777777777777</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166.00       -0 .  444444444444444444445555555555555555555555</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110.00       -0 .  2222222222222223333333333333</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132.00       -0 .  000000000000000011111111111111111</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73.00        0 .  000000000111111111</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66.00        0 .  2222222223333333</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52.00        0 .  4444444555555</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24.00        0 .  666677</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19.00        0 .  88899</w:t>
            </w:r>
          </w:p>
          <w:p w:rsidR="00011443" w:rsidRPr="00401E8D" w:rsidRDefault="00011443" w:rsidP="00011443">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10.00        1 .  00&amp;</w:t>
            </w:r>
          </w:p>
          <w:p w:rsidR="00011443" w:rsidRPr="00401E8D" w:rsidRDefault="00011443" w:rsidP="00DF111B">
            <w:pPr>
              <w:autoSpaceDE w:val="0"/>
              <w:autoSpaceDN w:val="0"/>
              <w:adjustRightInd w:val="0"/>
              <w:spacing w:before="0" w:after="0" w:line="240" w:lineRule="auto"/>
              <w:rPr>
                <w:rFonts w:cs="Times New Roman"/>
                <w:sz w:val="19"/>
                <w:szCs w:val="19"/>
              </w:rPr>
            </w:pPr>
            <w:r w:rsidRPr="00401E8D">
              <w:rPr>
                <w:rFonts w:cs="Times New Roman"/>
                <w:color w:val="000000"/>
                <w:sz w:val="19"/>
                <w:szCs w:val="19"/>
              </w:rPr>
              <w:t xml:space="preserve">    45.00 Extremes (&gt;=1.2)</w:t>
            </w:r>
          </w:p>
        </w:tc>
      </w:tr>
    </w:tbl>
    <w:p w:rsidR="00401E8D" w:rsidRPr="00401E8D" w:rsidRDefault="00401E8D" w:rsidP="00401E8D">
      <w:pPr>
        <w:pStyle w:val="Caption"/>
        <w:jc w:val="center"/>
        <w:rPr>
          <w:rFonts w:cs="Times New Roman"/>
          <w:szCs w:val="24"/>
        </w:rPr>
      </w:pPr>
      <w:r w:rsidRPr="00401E8D">
        <w:rPr>
          <w:rFonts w:cs="Times New Roman"/>
          <w:szCs w:val="24"/>
        </w:rPr>
        <w:lastRenderedPageBreak/>
        <w:t xml:space="preserve">Table </w:t>
      </w:r>
      <w:r w:rsidR="00EF1EDC">
        <w:rPr>
          <w:rFonts w:cs="Times New Roman"/>
          <w:szCs w:val="24"/>
        </w:rPr>
        <w:fldChar w:fldCharType="begin"/>
      </w:r>
      <w:r w:rsidR="00280DE8">
        <w:rPr>
          <w:rFonts w:cs="Times New Roman"/>
          <w:szCs w:val="24"/>
        </w:rPr>
        <w:instrText xml:space="preserve"> STYLEREF 1 \s </w:instrText>
      </w:r>
      <w:r w:rsidR="00EF1EDC">
        <w:rPr>
          <w:rFonts w:cs="Times New Roman"/>
          <w:szCs w:val="24"/>
        </w:rPr>
        <w:fldChar w:fldCharType="separate"/>
      </w:r>
      <w:r w:rsidR="00280DE8">
        <w:rPr>
          <w:rFonts w:cs="Times New Roman"/>
          <w:noProof/>
          <w:szCs w:val="24"/>
        </w:rPr>
        <w:t>6</w:t>
      </w:r>
      <w:r w:rsidR="00EF1EDC">
        <w:rPr>
          <w:rFonts w:cs="Times New Roman"/>
          <w:szCs w:val="24"/>
        </w:rPr>
        <w:fldChar w:fldCharType="end"/>
      </w:r>
      <w:r w:rsidR="00280DE8">
        <w:rPr>
          <w:rFonts w:cs="Times New Roman"/>
          <w:szCs w:val="24"/>
        </w:rPr>
        <w:t>.</w:t>
      </w:r>
      <w:r w:rsidR="00EF1EDC">
        <w:rPr>
          <w:rFonts w:cs="Times New Roman"/>
          <w:szCs w:val="24"/>
        </w:rPr>
        <w:fldChar w:fldCharType="begin"/>
      </w:r>
      <w:r w:rsidR="00280DE8">
        <w:rPr>
          <w:rFonts w:cs="Times New Roman"/>
          <w:szCs w:val="24"/>
        </w:rPr>
        <w:instrText xml:space="preserve"> SEQ Table \* ARABIC \s 1 </w:instrText>
      </w:r>
      <w:r w:rsidR="00EF1EDC">
        <w:rPr>
          <w:rFonts w:cs="Times New Roman"/>
          <w:szCs w:val="24"/>
        </w:rPr>
        <w:fldChar w:fldCharType="separate"/>
      </w:r>
      <w:r w:rsidR="00280DE8">
        <w:rPr>
          <w:rFonts w:cs="Times New Roman"/>
          <w:noProof/>
          <w:szCs w:val="24"/>
        </w:rPr>
        <w:t>3</w:t>
      </w:r>
      <w:r w:rsidR="00EF1EDC">
        <w:rPr>
          <w:rFonts w:cs="Times New Roman"/>
          <w:szCs w:val="24"/>
        </w:rPr>
        <w:fldChar w:fldCharType="end"/>
      </w:r>
      <w:r w:rsidRPr="00401E8D">
        <w:rPr>
          <w:rFonts w:cs="Times New Roman" w:hint="eastAsia"/>
          <w:szCs w:val="24"/>
        </w:rPr>
        <w:t xml:space="preserve">. </w:t>
      </w:r>
      <w:r w:rsidRPr="00401E8D">
        <w:rPr>
          <w:rFonts w:cs="Times New Roman"/>
          <w:szCs w:val="24"/>
        </w:rPr>
        <w:t xml:space="preserve">Discretionary </w:t>
      </w:r>
      <w:r w:rsidRPr="00401E8D">
        <w:rPr>
          <w:rFonts w:cs="Times New Roman" w:hint="eastAsia"/>
          <w:szCs w:val="24"/>
        </w:rPr>
        <w:t>A</w:t>
      </w:r>
      <w:r w:rsidRPr="00401E8D">
        <w:rPr>
          <w:rFonts w:cs="Times New Roman"/>
          <w:szCs w:val="24"/>
        </w:rPr>
        <w:t>ccruals of U.S</w:t>
      </w:r>
      <w:r>
        <w:rPr>
          <w:rFonts w:cs="Times New Roman" w:hint="eastAsia"/>
          <w:szCs w:val="24"/>
        </w:rPr>
        <w:t>.</w:t>
      </w:r>
    </w:p>
    <w:tbl>
      <w:tblPr>
        <w:tblStyle w:val="TableGrid"/>
        <w:tblW w:w="0" w:type="auto"/>
        <w:tblLook w:val="04A0"/>
      </w:tblPr>
      <w:tblGrid>
        <w:gridCol w:w="14328"/>
      </w:tblGrid>
      <w:tr w:rsidR="00401E8D" w:rsidTr="00401E8D">
        <w:tc>
          <w:tcPr>
            <w:tcW w:w="14328" w:type="dxa"/>
          </w:tcPr>
          <w:p w:rsidR="00401E8D" w:rsidRPr="00401E8D" w:rsidRDefault="000E0580" w:rsidP="00401E8D">
            <w:pPr>
              <w:autoSpaceDE w:val="0"/>
              <w:autoSpaceDN w:val="0"/>
              <w:adjustRightInd w:val="0"/>
              <w:spacing w:before="0" w:after="0" w:line="240" w:lineRule="auto"/>
              <w:rPr>
                <w:rFonts w:cs="Times New Roman"/>
                <w:color w:val="000000"/>
                <w:sz w:val="19"/>
                <w:szCs w:val="19"/>
              </w:rPr>
            </w:pPr>
            <w:r>
              <w:rPr>
                <w:rFonts w:cs="Times New Roman"/>
                <w:color w:val="000000"/>
                <w:sz w:val="19"/>
                <w:szCs w:val="19"/>
              </w:rPr>
              <w:t>DA</w:t>
            </w:r>
            <w:r w:rsidR="00401E8D" w:rsidRPr="00401E8D">
              <w:rPr>
                <w:rFonts w:cs="Times New Roman"/>
                <w:color w:val="000000"/>
                <w:sz w:val="19"/>
                <w:szCs w:val="19"/>
              </w:rPr>
              <w:t xml:space="preserve"> Stem-and-Leaf Plot</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Frequency Stem &amp; Leaf</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121.00 Extremes    (=&lt;-.110)</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20.00      -10 .  06&amp;&amp;&amp;</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40.00       -9 .  0124578&amp;</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33.00       -8 .  013679&amp;&amp;</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60.00       -7 .  0112234456789</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99.00       -6 .  01112233445566677899</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146.00       -5 .  000111122233344555667778899</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143.00       -4 .  00001112223333445556677888999</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200.00       -3 .  000011111222233333444444555566667778888999</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269.00       -2 .  000000111112222333333444455555666666677777888889999999</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326.00       -1 .  000000001111111222222233333333444455555666666777777778888889999999</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365.00       -0 .  00000000111111111222222222233333333444444555555566666667777777788888999999</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404.00        0 .  00000000111111111122222333333334444444444555555666666666777777778888888899999999</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362.00        1 .  00000001111111122222222333333344444445555566666677777778888888889999999</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297.00        2 .  00000011111112222222233333444444555555666666777777888899999</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240.00        3 .  000001111222222333333444455556666677777788889999</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165.00        4 .  0001111122222334455566677788889999</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111.00        5 .  0001111223566667788999&amp;</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77.00        6 .  001234566677889</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58.00        7 .  0123445678&amp;</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54.00        8 .  01122334578&amp;</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29.00        9 .  012346&amp;</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28.00       10 .  0135&amp;&amp;</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113.00 Extremes    (&gt;=.110)</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Stem width:     .0100</w:t>
            </w:r>
          </w:p>
          <w:p w:rsidR="00401E8D" w:rsidRPr="00401E8D" w:rsidRDefault="00401E8D" w:rsidP="00401E8D">
            <w:pPr>
              <w:autoSpaceDE w:val="0"/>
              <w:autoSpaceDN w:val="0"/>
              <w:adjustRightInd w:val="0"/>
              <w:spacing w:before="0" w:after="0" w:line="240" w:lineRule="auto"/>
              <w:rPr>
                <w:rFonts w:cs="Times New Roman"/>
                <w:color w:val="000000"/>
                <w:sz w:val="19"/>
                <w:szCs w:val="19"/>
              </w:rPr>
            </w:pPr>
            <w:r w:rsidRPr="00401E8D">
              <w:rPr>
                <w:rFonts w:cs="Times New Roman"/>
                <w:color w:val="000000"/>
                <w:sz w:val="19"/>
                <w:szCs w:val="19"/>
              </w:rPr>
              <w:t xml:space="preserve"> Each leaf:       5 case(s)</w:t>
            </w:r>
          </w:p>
        </w:tc>
      </w:tr>
    </w:tbl>
    <w:p w:rsidR="00401E8D" w:rsidRDefault="00401E8D" w:rsidP="00011443">
      <w:pPr>
        <w:rPr>
          <w:rFonts w:cs="Times New Roman"/>
          <w:szCs w:val="24"/>
        </w:rPr>
      </w:pPr>
    </w:p>
    <w:p w:rsidR="00CD08B6" w:rsidRDefault="00CD08B6" w:rsidP="00CF288C">
      <w:pPr>
        <w:pStyle w:val="Caption"/>
        <w:jc w:val="center"/>
        <w:rPr>
          <w:rFonts w:cs="Times New Roman"/>
          <w:szCs w:val="24"/>
        </w:rPr>
      </w:pPr>
    </w:p>
    <w:p w:rsidR="00CD08B6" w:rsidRDefault="00CD08B6" w:rsidP="00CF288C">
      <w:pPr>
        <w:pStyle w:val="Caption"/>
        <w:jc w:val="center"/>
        <w:rPr>
          <w:rFonts w:cs="Times New Roman"/>
          <w:szCs w:val="24"/>
        </w:rPr>
      </w:pPr>
    </w:p>
    <w:p w:rsidR="00CD08B6" w:rsidRDefault="00CD08B6" w:rsidP="00CF288C">
      <w:pPr>
        <w:pStyle w:val="Caption"/>
        <w:jc w:val="center"/>
        <w:rPr>
          <w:rFonts w:cs="Times New Roman"/>
          <w:szCs w:val="24"/>
        </w:rPr>
      </w:pPr>
    </w:p>
    <w:p w:rsidR="00CF288C" w:rsidRPr="00CF288C" w:rsidRDefault="00CF288C" w:rsidP="00CF288C">
      <w:pPr>
        <w:pStyle w:val="Caption"/>
        <w:jc w:val="center"/>
        <w:rPr>
          <w:rFonts w:cs="Times New Roman"/>
          <w:szCs w:val="24"/>
        </w:rPr>
      </w:pPr>
      <w:r w:rsidRPr="00CF288C">
        <w:rPr>
          <w:rFonts w:cs="Times New Roman"/>
          <w:szCs w:val="24"/>
        </w:rPr>
        <w:lastRenderedPageBreak/>
        <w:t xml:space="preserve">Table </w:t>
      </w:r>
      <w:r w:rsidR="00EF1EDC">
        <w:rPr>
          <w:rFonts w:cs="Times New Roman"/>
          <w:szCs w:val="24"/>
        </w:rPr>
        <w:fldChar w:fldCharType="begin"/>
      </w:r>
      <w:r w:rsidR="00280DE8">
        <w:rPr>
          <w:rFonts w:cs="Times New Roman"/>
          <w:szCs w:val="24"/>
        </w:rPr>
        <w:instrText xml:space="preserve"> STYLEREF 1 \s </w:instrText>
      </w:r>
      <w:r w:rsidR="00EF1EDC">
        <w:rPr>
          <w:rFonts w:cs="Times New Roman"/>
          <w:szCs w:val="24"/>
        </w:rPr>
        <w:fldChar w:fldCharType="separate"/>
      </w:r>
      <w:r w:rsidR="00280DE8">
        <w:rPr>
          <w:rFonts w:cs="Times New Roman"/>
          <w:noProof/>
          <w:szCs w:val="24"/>
        </w:rPr>
        <w:t>6</w:t>
      </w:r>
      <w:r w:rsidR="00EF1EDC">
        <w:rPr>
          <w:rFonts w:cs="Times New Roman"/>
          <w:szCs w:val="24"/>
        </w:rPr>
        <w:fldChar w:fldCharType="end"/>
      </w:r>
      <w:r w:rsidR="00280DE8">
        <w:rPr>
          <w:rFonts w:cs="Times New Roman"/>
          <w:szCs w:val="24"/>
        </w:rPr>
        <w:t>.</w:t>
      </w:r>
      <w:r w:rsidR="00EF1EDC">
        <w:rPr>
          <w:rFonts w:cs="Times New Roman"/>
          <w:szCs w:val="24"/>
        </w:rPr>
        <w:fldChar w:fldCharType="begin"/>
      </w:r>
      <w:r w:rsidR="00280DE8">
        <w:rPr>
          <w:rFonts w:cs="Times New Roman"/>
          <w:szCs w:val="24"/>
        </w:rPr>
        <w:instrText xml:space="preserve"> SEQ Table \* ARABIC \s 1 </w:instrText>
      </w:r>
      <w:r w:rsidR="00EF1EDC">
        <w:rPr>
          <w:rFonts w:cs="Times New Roman"/>
          <w:szCs w:val="24"/>
        </w:rPr>
        <w:fldChar w:fldCharType="separate"/>
      </w:r>
      <w:r w:rsidR="00280DE8">
        <w:rPr>
          <w:rFonts w:cs="Times New Roman"/>
          <w:noProof/>
          <w:szCs w:val="24"/>
        </w:rPr>
        <w:t>4</w:t>
      </w:r>
      <w:r w:rsidR="00EF1EDC">
        <w:rPr>
          <w:rFonts w:cs="Times New Roman"/>
          <w:szCs w:val="24"/>
        </w:rPr>
        <w:fldChar w:fldCharType="end"/>
      </w:r>
      <w:r w:rsidRPr="00CF288C">
        <w:rPr>
          <w:rFonts w:cs="Times New Roman"/>
          <w:szCs w:val="24"/>
        </w:rPr>
        <w:t>. Pearson Correlation Matrix of China</w:t>
      </w:r>
    </w:p>
    <w:tbl>
      <w:tblPr>
        <w:tblStyle w:val="TableGrid"/>
        <w:tblpPr w:leftFromText="180" w:rightFromText="180" w:vertAnchor="text" w:horzAnchor="margin" w:tblpXSpec="center" w:tblpY="235"/>
        <w:tblW w:w="5000" w:type="pct"/>
        <w:tblLook w:val="04A0"/>
      </w:tblPr>
      <w:tblGrid>
        <w:gridCol w:w="1650"/>
        <w:gridCol w:w="1137"/>
        <w:gridCol w:w="1138"/>
        <w:gridCol w:w="1138"/>
        <w:gridCol w:w="1530"/>
        <w:gridCol w:w="1138"/>
        <w:gridCol w:w="1138"/>
        <w:gridCol w:w="1502"/>
        <w:gridCol w:w="1060"/>
        <w:gridCol w:w="1249"/>
        <w:gridCol w:w="1648"/>
      </w:tblGrid>
      <w:tr w:rsidR="00401E8D" w:rsidRPr="00CF288C" w:rsidTr="00CF288C">
        <w:trPr>
          <w:trHeight w:val="720"/>
        </w:trPr>
        <w:tc>
          <w:tcPr>
            <w:tcW w:w="5000" w:type="pct"/>
            <w:gridSpan w:val="11"/>
            <w:vAlign w:val="center"/>
          </w:tcPr>
          <w:p w:rsidR="00401E8D" w:rsidRPr="00CF288C" w:rsidRDefault="00401E8D" w:rsidP="00CF288C">
            <w:pPr>
              <w:jc w:val="center"/>
              <w:rPr>
                <w:rFonts w:cs="Times New Roman"/>
                <w:b/>
                <w:sz w:val="20"/>
                <w:szCs w:val="20"/>
              </w:rPr>
            </w:pPr>
            <w:r w:rsidRPr="00CF288C">
              <w:rPr>
                <w:rFonts w:cs="Times New Roman"/>
                <w:b/>
                <w:sz w:val="20"/>
                <w:szCs w:val="20"/>
              </w:rPr>
              <w:t>Correlation</w:t>
            </w:r>
          </w:p>
        </w:tc>
      </w:tr>
      <w:tr w:rsidR="00CF288C" w:rsidRPr="00CF288C" w:rsidTr="00CF288C">
        <w:tc>
          <w:tcPr>
            <w:tcW w:w="576" w:type="pct"/>
          </w:tcPr>
          <w:p w:rsidR="00401E8D" w:rsidRPr="00CF288C" w:rsidRDefault="00401E8D" w:rsidP="00CF288C">
            <w:pPr>
              <w:rPr>
                <w:rFonts w:cs="Times New Roman"/>
                <w:sz w:val="20"/>
                <w:szCs w:val="20"/>
              </w:rPr>
            </w:pPr>
          </w:p>
        </w:tc>
        <w:tc>
          <w:tcPr>
            <w:tcW w:w="397" w:type="pct"/>
            <w:vAlign w:val="center"/>
          </w:tcPr>
          <w:p w:rsidR="00401E8D" w:rsidRPr="00CF288C" w:rsidRDefault="00725200" w:rsidP="00CF288C">
            <w:pPr>
              <w:jc w:val="center"/>
              <w:rPr>
                <w:rFonts w:cs="Times New Roman"/>
                <w:b/>
                <w:sz w:val="20"/>
                <w:szCs w:val="20"/>
              </w:rPr>
            </w:pPr>
            <w:r>
              <w:rPr>
                <w:rFonts w:ascii="Cambria Math" w:hAnsi="Cambria Math"/>
                <w:i/>
                <w:sz w:val="20"/>
                <w:szCs w:val="20"/>
              </w:rPr>
              <w:t>D</w:t>
            </w:r>
            <w:r w:rsidRPr="00AD6F97">
              <w:rPr>
                <w:rFonts w:ascii="Cambria Math" w:hAnsi="Cambria Math"/>
                <w:i/>
                <w:sz w:val="20"/>
                <w:szCs w:val="20"/>
              </w:rPr>
              <w:t>A</w:t>
            </w:r>
            <w:r w:rsidRPr="00AD6F97">
              <w:rPr>
                <w:rFonts w:ascii="Cambria Math" w:hAnsi="Cambria Math"/>
                <w:i/>
                <w:sz w:val="20"/>
                <w:szCs w:val="20"/>
                <w:vertAlign w:val="subscript"/>
              </w:rPr>
              <w:t>i,t</w:t>
            </w:r>
          </w:p>
        </w:tc>
        <w:tc>
          <w:tcPr>
            <w:tcW w:w="397" w:type="pct"/>
            <w:vAlign w:val="center"/>
          </w:tcPr>
          <w:p w:rsidR="00401E8D" w:rsidRPr="00CF288C" w:rsidRDefault="00AD6F97" w:rsidP="00CF288C">
            <w:pPr>
              <w:jc w:val="center"/>
              <w:rPr>
                <w:rFonts w:cs="Times New Roman"/>
                <w:b/>
                <w:sz w:val="20"/>
                <w:szCs w:val="20"/>
              </w:rPr>
            </w:pPr>
            <w:r w:rsidRPr="00AD6F97">
              <w:rPr>
                <w:rFonts w:ascii="Cambria Math" w:hAnsi="Cambria Math" w:cs="Times New Roman"/>
                <w:b/>
                <w:i/>
                <w:sz w:val="20"/>
                <w:szCs w:val="20"/>
              </w:rPr>
              <w:t>BS</w:t>
            </w:r>
            <w:r w:rsidRPr="00AD6F97">
              <w:rPr>
                <w:rFonts w:ascii="Cambria Math" w:hAnsi="Cambria Math" w:cs="Times New Roman"/>
                <w:i/>
                <w:sz w:val="20"/>
                <w:szCs w:val="20"/>
                <w:vertAlign w:val="subscript"/>
              </w:rPr>
              <w:t>i,t</w:t>
            </w:r>
          </w:p>
        </w:tc>
        <w:tc>
          <w:tcPr>
            <w:tcW w:w="397" w:type="pct"/>
            <w:vAlign w:val="center"/>
          </w:tcPr>
          <w:p w:rsidR="00401E8D" w:rsidRPr="00CF288C" w:rsidRDefault="00AD6F97" w:rsidP="00CF288C">
            <w:pPr>
              <w:jc w:val="center"/>
              <w:rPr>
                <w:rFonts w:cs="Times New Roman"/>
                <w:b/>
                <w:sz w:val="20"/>
                <w:szCs w:val="20"/>
              </w:rPr>
            </w:pPr>
            <w:r w:rsidRPr="00AD6F97">
              <w:rPr>
                <w:rFonts w:ascii="Cambria Math" w:hAnsi="Cambria Math" w:cs="Times New Roman"/>
                <w:sz w:val="20"/>
                <w:szCs w:val="20"/>
              </w:rPr>
              <w:t>BI</w:t>
            </w:r>
            <w:r w:rsidRPr="00AD6F97">
              <w:rPr>
                <w:rFonts w:ascii="Cambria Math" w:hAnsi="Cambria Math" w:cs="Times New Roman"/>
                <w:i/>
                <w:sz w:val="20"/>
                <w:szCs w:val="20"/>
                <w:vertAlign w:val="subscript"/>
              </w:rPr>
              <w:t>i,t</w:t>
            </w:r>
          </w:p>
        </w:tc>
        <w:tc>
          <w:tcPr>
            <w:tcW w:w="534" w:type="pct"/>
            <w:vAlign w:val="center"/>
          </w:tcPr>
          <w:p w:rsidR="00401E8D" w:rsidRPr="00CF288C" w:rsidRDefault="00AD6F97" w:rsidP="00CF288C">
            <w:pPr>
              <w:jc w:val="center"/>
              <w:rPr>
                <w:rFonts w:cs="Times New Roman"/>
                <w:b/>
                <w:sz w:val="20"/>
                <w:szCs w:val="20"/>
              </w:rPr>
            </w:pPr>
            <w:r w:rsidRPr="00AD6F97">
              <w:rPr>
                <w:rFonts w:ascii="Cambria Math" w:hAnsi="Cambria Math" w:cs="Times New Roman"/>
                <w:sz w:val="20"/>
                <w:szCs w:val="20"/>
              </w:rPr>
              <w:t>CEO-dummy</w:t>
            </w:r>
            <w:r w:rsidRPr="00AD6F97">
              <w:rPr>
                <w:rFonts w:ascii="Cambria Math" w:hAnsi="Cambria Math" w:cs="Times New Roman"/>
                <w:i/>
                <w:sz w:val="20"/>
                <w:szCs w:val="20"/>
                <w:vertAlign w:val="subscript"/>
              </w:rPr>
              <w:t>i,t</w:t>
            </w:r>
          </w:p>
        </w:tc>
        <w:tc>
          <w:tcPr>
            <w:tcW w:w="397" w:type="pct"/>
            <w:vAlign w:val="center"/>
          </w:tcPr>
          <w:p w:rsidR="00401E8D" w:rsidRPr="00CF288C" w:rsidRDefault="00AD6F97" w:rsidP="00CF288C">
            <w:pPr>
              <w:jc w:val="center"/>
              <w:rPr>
                <w:rFonts w:cs="Times New Roman"/>
                <w:b/>
                <w:sz w:val="20"/>
                <w:szCs w:val="20"/>
              </w:rPr>
            </w:pPr>
            <w:r w:rsidRPr="00AD6F97">
              <w:rPr>
                <w:rFonts w:ascii="Cambria Math" w:hAnsi="Cambria Math" w:cs="Times New Roman"/>
                <w:b/>
                <w:i/>
                <w:sz w:val="20"/>
                <w:szCs w:val="20"/>
              </w:rPr>
              <w:t>SBS</w:t>
            </w:r>
            <w:r w:rsidRPr="00AD6F97">
              <w:rPr>
                <w:rFonts w:ascii="Cambria Math" w:hAnsi="Cambria Math" w:cs="Times New Roman"/>
                <w:i/>
                <w:sz w:val="20"/>
                <w:szCs w:val="20"/>
                <w:vertAlign w:val="subscript"/>
              </w:rPr>
              <w:t>i,t</w:t>
            </w:r>
          </w:p>
        </w:tc>
        <w:tc>
          <w:tcPr>
            <w:tcW w:w="397" w:type="pct"/>
            <w:vAlign w:val="center"/>
          </w:tcPr>
          <w:p w:rsidR="00401E8D" w:rsidRPr="00CF288C" w:rsidRDefault="00AD6F97" w:rsidP="00CF288C">
            <w:pPr>
              <w:jc w:val="center"/>
              <w:rPr>
                <w:rFonts w:cs="Times New Roman"/>
                <w:b/>
                <w:sz w:val="20"/>
                <w:szCs w:val="20"/>
              </w:rPr>
            </w:pPr>
            <w:r w:rsidRPr="00AD6F97">
              <w:rPr>
                <w:rFonts w:ascii="Cambria Math" w:hAnsi="Cambria Math" w:cs="Times New Roman"/>
                <w:sz w:val="20"/>
                <w:szCs w:val="20"/>
              </w:rPr>
              <w:t>Insider</w:t>
            </w:r>
            <w:r w:rsidRPr="00AD6F97">
              <w:rPr>
                <w:rFonts w:ascii="Cambria Math" w:hAnsi="Cambria Math" w:cs="Times New Roman"/>
                <w:i/>
                <w:sz w:val="20"/>
                <w:szCs w:val="20"/>
                <w:vertAlign w:val="subscript"/>
              </w:rPr>
              <w:t>i,t</w:t>
            </w:r>
          </w:p>
        </w:tc>
        <w:tc>
          <w:tcPr>
            <w:tcW w:w="524" w:type="pct"/>
            <w:vAlign w:val="center"/>
          </w:tcPr>
          <w:p w:rsidR="00401E8D" w:rsidRPr="00CF288C" w:rsidRDefault="00AD6F97" w:rsidP="00DF111B">
            <w:pPr>
              <w:jc w:val="center"/>
              <w:rPr>
                <w:rFonts w:cs="Times New Roman"/>
                <w:b/>
                <w:sz w:val="20"/>
                <w:szCs w:val="20"/>
              </w:rPr>
            </w:pPr>
            <w:r w:rsidRPr="00AD6F97">
              <w:rPr>
                <w:rFonts w:ascii="Cambria Math" w:hAnsi="Cambria Math" w:cs="Times New Roman"/>
                <w:sz w:val="20"/>
                <w:szCs w:val="20"/>
              </w:rPr>
              <w:t>Block-</w:t>
            </w:r>
            <w:r w:rsidR="00DF111B">
              <w:rPr>
                <w:rFonts w:ascii="Cambria Math" w:hAnsi="Cambria Math" w:cs="Times New Roman"/>
                <w:sz w:val="20"/>
                <w:szCs w:val="20"/>
              </w:rPr>
              <w:t>h</w:t>
            </w:r>
            <w:r w:rsidRPr="00AD6F97">
              <w:rPr>
                <w:rFonts w:ascii="Cambria Math" w:hAnsi="Cambria Math" w:cs="Times New Roman"/>
                <w:sz w:val="20"/>
                <w:szCs w:val="20"/>
              </w:rPr>
              <w:t>older</w:t>
            </w:r>
            <w:r w:rsidRPr="00AD6F97">
              <w:rPr>
                <w:rFonts w:ascii="Cambria Math" w:hAnsi="Cambria Math" w:cs="Times New Roman"/>
                <w:i/>
                <w:sz w:val="20"/>
                <w:szCs w:val="20"/>
                <w:vertAlign w:val="subscript"/>
              </w:rPr>
              <w:t>i,t</w:t>
            </w:r>
          </w:p>
        </w:tc>
        <w:tc>
          <w:tcPr>
            <w:tcW w:w="370" w:type="pct"/>
            <w:vAlign w:val="center"/>
          </w:tcPr>
          <w:p w:rsidR="00401E8D" w:rsidRPr="00CF288C" w:rsidRDefault="00AD6F97" w:rsidP="00CF288C">
            <w:pPr>
              <w:jc w:val="center"/>
              <w:rPr>
                <w:rFonts w:cs="Times New Roman"/>
                <w:b/>
                <w:sz w:val="20"/>
                <w:szCs w:val="20"/>
              </w:rPr>
            </w:pPr>
            <w:r w:rsidRPr="00AD6F97">
              <w:rPr>
                <w:rFonts w:ascii="Cambria Math" w:hAnsi="Cambria Math" w:cs="Times New Roman"/>
                <w:sz w:val="20"/>
                <w:szCs w:val="20"/>
              </w:rPr>
              <w:t>FS</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436" w:type="pct"/>
            <w:vAlign w:val="center"/>
          </w:tcPr>
          <w:p w:rsidR="00401E8D" w:rsidRPr="00CF288C" w:rsidRDefault="00AD6F97" w:rsidP="00CF288C">
            <w:pPr>
              <w:jc w:val="center"/>
              <w:rPr>
                <w:rFonts w:cs="Times New Roman"/>
                <w:b/>
                <w:sz w:val="20"/>
                <w:szCs w:val="20"/>
              </w:rPr>
            </w:pPr>
            <w:r w:rsidRPr="00AD6F97">
              <w:rPr>
                <w:rFonts w:ascii="Cambria Math" w:hAnsi="Cambria Math" w:cs="Times New Roman"/>
                <w:sz w:val="20"/>
                <w:szCs w:val="20"/>
              </w:rPr>
              <w:t>ROE</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575" w:type="pct"/>
            <w:vAlign w:val="center"/>
          </w:tcPr>
          <w:p w:rsidR="00401E8D" w:rsidRPr="00CF288C" w:rsidRDefault="00AD6F97" w:rsidP="00CF288C">
            <w:pPr>
              <w:jc w:val="center"/>
              <w:rPr>
                <w:rFonts w:cs="Times New Roman"/>
                <w:b/>
                <w:sz w:val="20"/>
                <w:szCs w:val="20"/>
              </w:rPr>
            </w:pPr>
            <w:r w:rsidRPr="00AD6F97">
              <w:rPr>
                <w:rFonts w:ascii="Cambria Math" w:hAnsi="Cambria Math" w:cs="Times New Roman"/>
                <w:sz w:val="20"/>
                <w:szCs w:val="20"/>
              </w:rPr>
              <w:t>Leverage</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r>
      <w:tr w:rsidR="00AD6F97" w:rsidRPr="00CF288C" w:rsidTr="00CF288C">
        <w:trPr>
          <w:trHeight w:val="144"/>
        </w:trPr>
        <w:tc>
          <w:tcPr>
            <w:tcW w:w="576" w:type="pct"/>
            <w:vAlign w:val="center"/>
          </w:tcPr>
          <w:p w:rsidR="00AD6F97" w:rsidRPr="00AD6F97" w:rsidRDefault="00AD6F97" w:rsidP="009977C2">
            <w:pPr>
              <w:spacing w:line="240" w:lineRule="auto"/>
              <w:rPr>
                <w:rFonts w:ascii="Cambria Math" w:hAnsi="Cambria Math" w:cs="Times New Roman"/>
                <w:sz w:val="20"/>
                <w:szCs w:val="20"/>
              </w:rPr>
            </w:pPr>
            <w:r w:rsidRPr="00AD6F97">
              <w:rPr>
                <w:rFonts w:ascii="Cambria Math" w:hAnsi="Cambria Math"/>
                <w:i/>
                <w:sz w:val="20"/>
                <w:szCs w:val="20"/>
              </w:rPr>
              <w:t>DA</w:t>
            </w:r>
            <w:r w:rsidRPr="00AD6F97">
              <w:rPr>
                <w:rFonts w:ascii="Cambria Math" w:hAnsi="Cambria Math"/>
                <w:i/>
                <w:sz w:val="20"/>
                <w:szCs w:val="20"/>
                <w:vertAlign w:val="subscript"/>
              </w:rPr>
              <w:t>i,t</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w:t>
            </w:r>
          </w:p>
        </w:tc>
        <w:tc>
          <w:tcPr>
            <w:tcW w:w="397" w:type="pct"/>
            <w:vAlign w:val="center"/>
          </w:tcPr>
          <w:p w:rsidR="00AD6F97" w:rsidRPr="00CF288C" w:rsidRDefault="00AD6F97" w:rsidP="00CF288C">
            <w:pPr>
              <w:jc w:val="center"/>
              <w:rPr>
                <w:rFonts w:cs="Times New Roman"/>
                <w:color w:val="000000"/>
                <w:sz w:val="20"/>
                <w:szCs w:val="20"/>
              </w:rPr>
            </w:pPr>
          </w:p>
        </w:tc>
        <w:tc>
          <w:tcPr>
            <w:tcW w:w="397" w:type="pct"/>
            <w:vAlign w:val="center"/>
          </w:tcPr>
          <w:p w:rsidR="00AD6F97" w:rsidRPr="00CF288C" w:rsidRDefault="00AD6F97" w:rsidP="00CF288C">
            <w:pPr>
              <w:jc w:val="center"/>
              <w:rPr>
                <w:rFonts w:cs="Times New Roman"/>
                <w:color w:val="000000"/>
                <w:sz w:val="20"/>
                <w:szCs w:val="20"/>
              </w:rPr>
            </w:pPr>
          </w:p>
        </w:tc>
        <w:tc>
          <w:tcPr>
            <w:tcW w:w="534" w:type="pct"/>
            <w:vAlign w:val="center"/>
          </w:tcPr>
          <w:p w:rsidR="00AD6F97" w:rsidRPr="00CF288C" w:rsidRDefault="00AD6F97" w:rsidP="00CF288C">
            <w:pPr>
              <w:jc w:val="center"/>
              <w:rPr>
                <w:rFonts w:cs="Times New Roman"/>
                <w:sz w:val="20"/>
                <w:szCs w:val="20"/>
              </w:rPr>
            </w:pPr>
          </w:p>
        </w:tc>
        <w:tc>
          <w:tcPr>
            <w:tcW w:w="397" w:type="pct"/>
            <w:vAlign w:val="center"/>
          </w:tcPr>
          <w:p w:rsidR="00AD6F97" w:rsidRPr="00CF288C" w:rsidRDefault="00AD6F97" w:rsidP="00CF288C">
            <w:pPr>
              <w:jc w:val="center"/>
              <w:rPr>
                <w:rFonts w:cs="Times New Roman"/>
                <w:sz w:val="20"/>
                <w:szCs w:val="20"/>
              </w:rPr>
            </w:pPr>
          </w:p>
        </w:tc>
        <w:tc>
          <w:tcPr>
            <w:tcW w:w="397" w:type="pct"/>
            <w:vAlign w:val="center"/>
          </w:tcPr>
          <w:p w:rsidR="00AD6F97" w:rsidRPr="00CF288C" w:rsidRDefault="00AD6F97" w:rsidP="00CF288C">
            <w:pPr>
              <w:jc w:val="center"/>
              <w:rPr>
                <w:rFonts w:cs="Times New Roman"/>
                <w:sz w:val="20"/>
                <w:szCs w:val="20"/>
              </w:rPr>
            </w:pPr>
          </w:p>
        </w:tc>
        <w:tc>
          <w:tcPr>
            <w:tcW w:w="524" w:type="pct"/>
            <w:vAlign w:val="center"/>
          </w:tcPr>
          <w:p w:rsidR="00AD6F97" w:rsidRPr="00CF288C" w:rsidRDefault="00AD6F97" w:rsidP="00CF288C">
            <w:pPr>
              <w:jc w:val="center"/>
              <w:rPr>
                <w:rFonts w:cs="Times New Roman"/>
                <w:sz w:val="20"/>
                <w:szCs w:val="20"/>
              </w:rPr>
            </w:pPr>
          </w:p>
        </w:tc>
        <w:tc>
          <w:tcPr>
            <w:tcW w:w="370" w:type="pct"/>
            <w:vAlign w:val="center"/>
          </w:tcPr>
          <w:p w:rsidR="00AD6F97" w:rsidRPr="00CF288C" w:rsidRDefault="00AD6F97" w:rsidP="00CF288C">
            <w:pPr>
              <w:jc w:val="center"/>
              <w:rPr>
                <w:rFonts w:cs="Times New Roman"/>
                <w:sz w:val="20"/>
                <w:szCs w:val="20"/>
              </w:rPr>
            </w:pPr>
          </w:p>
        </w:tc>
        <w:tc>
          <w:tcPr>
            <w:tcW w:w="436" w:type="pct"/>
            <w:vAlign w:val="center"/>
          </w:tcPr>
          <w:p w:rsidR="00AD6F97" w:rsidRPr="00CF288C" w:rsidRDefault="00AD6F97" w:rsidP="00CF288C">
            <w:pPr>
              <w:jc w:val="center"/>
              <w:rPr>
                <w:rFonts w:cs="Times New Roman"/>
                <w:sz w:val="20"/>
                <w:szCs w:val="20"/>
              </w:rPr>
            </w:pPr>
          </w:p>
        </w:tc>
        <w:tc>
          <w:tcPr>
            <w:tcW w:w="575" w:type="pct"/>
            <w:vAlign w:val="center"/>
          </w:tcPr>
          <w:p w:rsidR="00AD6F97" w:rsidRPr="00CF288C" w:rsidRDefault="00AD6F97" w:rsidP="00CF288C">
            <w:pPr>
              <w:jc w:val="center"/>
              <w:rPr>
                <w:rFonts w:cs="Times New Roman"/>
                <w:sz w:val="20"/>
                <w:szCs w:val="20"/>
              </w:rPr>
            </w:pPr>
          </w:p>
        </w:tc>
      </w:tr>
      <w:tr w:rsidR="00AD6F97" w:rsidRPr="00CF288C" w:rsidTr="00CF288C">
        <w:trPr>
          <w:trHeight w:val="144"/>
        </w:trPr>
        <w:tc>
          <w:tcPr>
            <w:tcW w:w="576" w:type="pct"/>
            <w:vAlign w:val="center"/>
          </w:tcPr>
          <w:p w:rsidR="00AD6F97" w:rsidRPr="00AD6F97" w:rsidRDefault="00AD6F97" w:rsidP="009977C2">
            <w:pPr>
              <w:spacing w:line="240" w:lineRule="auto"/>
              <w:rPr>
                <w:rFonts w:ascii="Cambria Math" w:hAnsi="Cambria Math" w:cs="Times New Roman"/>
                <w:b/>
                <w:i/>
                <w:sz w:val="20"/>
                <w:szCs w:val="20"/>
              </w:rPr>
            </w:pPr>
            <w:r w:rsidRPr="00AD6F97">
              <w:rPr>
                <w:rFonts w:ascii="Cambria Math" w:hAnsi="Cambria Math" w:cs="Times New Roman"/>
                <w:b/>
                <w:i/>
                <w:sz w:val="20"/>
                <w:szCs w:val="20"/>
              </w:rPr>
              <w:t>BS</w:t>
            </w:r>
            <w:r w:rsidRPr="00AD6F97">
              <w:rPr>
                <w:rFonts w:ascii="Cambria Math" w:hAnsi="Cambria Math" w:cs="Times New Roman"/>
                <w:i/>
                <w:sz w:val="20"/>
                <w:szCs w:val="20"/>
                <w:vertAlign w:val="subscript"/>
              </w:rPr>
              <w:t>i,t</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-.037**</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w:t>
            </w:r>
          </w:p>
        </w:tc>
        <w:tc>
          <w:tcPr>
            <w:tcW w:w="397" w:type="pct"/>
            <w:vAlign w:val="center"/>
          </w:tcPr>
          <w:p w:rsidR="00AD6F97" w:rsidRPr="00CF288C" w:rsidRDefault="00AD6F97" w:rsidP="00CF288C">
            <w:pPr>
              <w:jc w:val="center"/>
              <w:rPr>
                <w:rFonts w:cs="Times New Roman"/>
                <w:color w:val="000000"/>
                <w:sz w:val="20"/>
                <w:szCs w:val="20"/>
              </w:rPr>
            </w:pPr>
          </w:p>
        </w:tc>
        <w:tc>
          <w:tcPr>
            <w:tcW w:w="534" w:type="pct"/>
            <w:vAlign w:val="center"/>
          </w:tcPr>
          <w:p w:rsidR="00AD6F97" w:rsidRPr="00CF288C" w:rsidRDefault="00AD6F97" w:rsidP="00CF288C">
            <w:pPr>
              <w:jc w:val="center"/>
              <w:rPr>
                <w:rFonts w:cs="Times New Roman"/>
                <w:sz w:val="20"/>
                <w:szCs w:val="20"/>
              </w:rPr>
            </w:pPr>
          </w:p>
        </w:tc>
        <w:tc>
          <w:tcPr>
            <w:tcW w:w="397" w:type="pct"/>
            <w:vAlign w:val="center"/>
          </w:tcPr>
          <w:p w:rsidR="00AD6F97" w:rsidRPr="00CF288C" w:rsidRDefault="00AD6F97" w:rsidP="00CF288C">
            <w:pPr>
              <w:jc w:val="center"/>
              <w:rPr>
                <w:rFonts w:cs="Times New Roman"/>
                <w:sz w:val="20"/>
                <w:szCs w:val="20"/>
              </w:rPr>
            </w:pPr>
          </w:p>
        </w:tc>
        <w:tc>
          <w:tcPr>
            <w:tcW w:w="397" w:type="pct"/>
            <w:vAlign w:val="center"/>
          </w:tcPr>
          <w:p w:rsidR="00AD6F97" w:rsidRPr="00CF288C" w:rsidRDefault="00AD6F97" w:rsidP="00CF288C">
            <w:pPr>
              <w:jc w:val="center"/>
              <w:rPr>
                <w:rFonts w:cs="Times New Roman"/>
                <w:sz w:val="20"/>
                <w:szCs w:val="20"/>
              </w:rPr>
            </w:pPr>
          </w:p>
        </w:tc>
        <w:tc>
          <w:tcPr>
            <w:tcW w:w="524" w:type="pct"/>
            <w:vAlign w:val="center"/>
          </w:tcPr>
          <w:p w:rsidR="00AD6F97" w:rsidRPr="00CF288C" w:rsidRDefault="00AD6F97" w:rsidP="00CF288C">
            <w:pPr>
              <w:jc w:val="center"/>
              <w:rPr>
                <w:rFonts w:cs="Times New Roman"/>
                <w:sz w:val="20"/>
                <w:szCs w:val="20"/>
              </w:rPr>
            </w:pPr>
          </w:p>
        </w:tc>
        <w:tc>
          <w:tcPr>
            <w:tcW w:w="370" w:type="pct"/>
            <w:vAlign w:val="center"/>
          </w:tcPr>
          <w:p w:rsidR="00AD6F97" w:rsidRPr="00CF288C" w:rsidRDefault="00AD6F97" w:rsidP="00CF288C">
            <w:pPr>
              <w:jc w:val="center"/>
              <w:rPr>
                <w:rFonts w:cs="Times New Roman"/>
                <w:sz w:val="20"/>
                <w:szCs w:val="20"/>
              </w:rPr>
            </w:pPr>
          </w:p>
        </w:tc>
        <w:tc>
          <w:tcPr>
            <w:tcW w:w="436" w:type="pct"/>
            <w:vAlign w:val="center"/>
          </w:tcPr>
          <w:p w:rsidR="00AD6F97" w:rsidRPr="00CF288C" w:rsidRDefault="00AD6F97" w:rsidP="00CF288C">
            <w:pPr>
              <w:jc w:val="center"/>
              <w:rPr>
                <w:rFonts w:cs="Times New Roman"/>
                <w:sz w:val="20"/>
                <w:szCs w:val="20"/>
              </w:rPr>
            </w:pPr>
          </w:p>
        </w:tc>
        <w:tc>
          <w:tcPr>
            <w:tcW w:w="575" w:type="pct"/>
            <w:vAlign w:val="center"/>
          </w:tcPr>
          <w:p w:rsidR="00AD6F97" w:rsidRPr="00CF288C" w:rsidRDefault="00AD6F97" w:rsidP="00CF288C">
            <w:pPr>
              <w:jc w:val="center"/>
              <w:rPr>
                <w:rFonts w:cs="Times New Roman"/>
                <w:sz w:val="20"/>
                <w:szCs w:val="20"/>
              </w:rPr>
            </w:pPr>
          </w:p>
        </w:tc>
      </w:tr>
      <w:tr w:rsidR="00AD6F97" w:rsidRPr="00CF288C" w:rsidTr="00CF288C">
        <w:trPr>
          <w:trHeight w:val="144"/>
        </w:trPr>
        <w:tc>
          <w:tcPr>
            <w:tcW w:w="576" w:type="pct"/>
            <w:vAlign w:val="center"/>
          </w:tcPr>
          <w:p w:rsidR="00AD6F97" w:rsidRPr="00AD6F97" w:rsidRDefault="00AD6F97" w:rsidP="009977C2">
            <w:pPr>
              <w:spacing w:line="240" w:lineRule="auto"/>
              <w:rPr>
                <w:rFonts w:ascii="Cambria Math" w:hAnsi="Cambria Math" w:cs="Times New Roman"/>
                <w:sz w:val="20"/>
                <w:szCs w:val="20"/>
              </w:rPr>
            </w:pPr>
            <w:r w:rsidRPr="00AD6F97">
              <w:rPr>
                <w:rFonts w:ascii="Cambria Math" w:hAnsi="Cambria Math" w:cs="Times New Roman"/>
                <w:sz w:val="20"/>
                <w:szCs w:val="20"/>
              </w:rPr>
              <w:t>BI</w:t>
            </w:r>
            <w:r w:rsidRPr="00AD6F97">
              <w:rPr>
                <w:rFonts w:ascii="Cambria Math" w:hAnsi="Cambria Math" w:cs="Times New Roman"/>
                <w:i/>
                <w:sz w:val="20"/>
                <w:szCs w:val="20"/>
                <w:vertAlign w:val="subscript"/>
              </w:rPr>
              <w:t>i,t</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.025</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-.312**</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w:t>
            </w:r>
          </w:p>
        </w:tc>
        <w:tc>
          <w:tcPr>
            <w:tcW w:w="534" w:type="pct"/>
            <w:vAlign w:val="center"/>
          </w:tcPr>
          <w:p w:rsidR="00AD6F97" w:rsidRPr="00CF288C" w:rsidRDefault="00AD6F97" w:rsidP="00CF288C">
            <w:pPr>
              <w:jc w:val="center"/>
              <w:rPr>
                <w:rFonts w:cs="Times New Roman"/>
                <w:sz w:val="20"/>
                <w:szCs w:val="20"/>
              </w:rPr>
            </w:pPr>
          </w:p>
        </w:tc>
        <w:tc>
          <w:tcPr>
            <w:tcW w:w="397" w:type="pct"/>
            <w:vAlign w:val="center"/>
          </w:tcPr>
          <w:p w:rsidR="00AD6F97" w:rsidRPr="00CF288C" w:rsidRDefault="00AD6F97" w:rsidP="00CF288C">
            <w:pPr>
              <w:jc w:val="center"/>
              <w:rPr>
                <w:rFonts w:cs="Times New Roman"/>
                <w:sz w:val="20"/>
                <w:szCs w:val="20"/>
              </w:rPr>
            </w:pPr>
          </w:p>
        </w:tc>
        <w:tc>
          <w:tcPr>
            <w:tcW w:w="397" w:type="pct"/>
            <w:vAlign w:val="center"/>
          </w:tcPr>
          <w:p w:rsidR="00AD6F97" w:rsidRPr="00CF288C" w:rsidRDefault="00AD6F97" w:rsidP="00CF288C">
            <w:pPr>
              <w:jc w:val="center"/>
              <w:rPr>
                <w:rFonts w:cs="Times New Roman"/>
                <w:sz w:val="20"/>
                <w:szCs w:val="20"/>
              </w:rPr>
            </w:pPr>
          </w:p>
        </w:tc>
        <w:tc>
          <w:tcPr>
            <w:tcW w:w="524" w:type="pct"/>
            <w:vAlign w:val="center"/>
          </w:tcPr>
          <w:p w:rsidR="00AD6F97" w:rsidRPr="00CF288C" w:rsidRDefault="00AD6F97" w:rsidP="00CF288C">
            <w:pPr>
              <w:jc w:val="center"/>
              <w:rPr>
                <w:rFonts w:cs="Times New Roman"/>
                <w:sz w:val="20"/>
                <w:szCs w:val="20"/>
              </w:rPr>
            </w:pPr>
          </w:p>
        </w:tc>
        <w:tc>
          <w:tcPr>
            <w:tcW w:w="370" w:type="pct"/>
            <w:vAlign w:val="center"/>
          </w:tcPr>
          <w:p w:rsidR="00AD6F97" w:rsidRPr="00CF288C" w:rsidRDefault="00AD6F97" w:rsidP="00CF288C">
            <w:pPr>
              <w:jc w:val="center"/>
              <w:rPr>
                <w:rFonts w:cs="Times New Roman"/>
                <w:sz w:val="20"/>
                <w:szCs w:val="20"/>
              </w:rPr>
            </w:pPr>
          </w:p>
        </w:tc>
        <w:tc>
          <w:tcPr>
            <w:tcW w:w="436" w:type="pct"/>
            <w:vAlign w:val="center"/>
          </w:tcPr>
          <w:p w:rsidR="00AD6F97" w:rsidRPr="00CF288C" w:rsidRDefault="00AD6F97" w:rsidP="00CF288C">
            <w:pPr>
              <w:jc w:val="center"/>
              <w:rPr>
                <w:rFonts w:cs="Times New Roman"/>
                <w:sz w:val="20"/>
                <w:szCs w:val="20"/>
              </w:rPr>
            </w:pPr>
          </w:p>
        </w:tc>
        <w:tc>
          <w:tcPr>
            <w:tcW w:w="575" w:type="pct"/>
            <w:vAlign w:val="center"/>
          </w:tcPr>
          <w:p w:rsidR="00AD6F97" w:rsidRPr="00CF288C" w:rsidRDefault="00AD6F97" w:rsidP="00CF288C">
            <w:pPr>
              <w:jc w:val="center"/>
              <w:rPr>
                <w:rFonts w:cs="Times New Roman"/>
                <w:sz w:val="20"/>
                <w:szCs w:val="20"/>
              </w:rPr>
            </w:pPr>
          </w:p>
        </w:tc>
      </w:tr>
      <w:tr w:rsidR="00AD6F97" w:rsidRPr="00CF288C" w:rsidTr="00CF288C">
        <w:trPr>
          <w:trHeight w:val="144"/>
        </w:trPr>
        <w:tc>
          <w:tcPr>
            <w:tcW w:w="576" w:type="pct"/>
            <w:vAlign w:val="center"/>
          </w:tcPr>
          <w:p w:rsidR="00AD6F97" w:rsidRPr="00AD6F97" w:rsidRDefault="00AD6F97" w:rsidP="009977C2">
            <w:pPr>
              <w:spacing w:line="240" w:lineRule="auto"/>
              <w:rPr>
                <w:rFonts w:ascii="Cambria Math" w:hAnsi="Cambria Math" w:cs="Times New Roman"/>
                <w:sz w:val="20"/>
                <w:szCs w:val="20"/>
              </w:rPr>
            </w:pPr>
            <w:r w:rsidRPr="00AD6F97">
              <w:rPr>
                <w:rFonts w:ascii="Cambria Math" w:hAnsi="Cambria Math" w:cs="Times New Roman"/>
                <w:sz w:val="20"/>
                <w:szCs w:val="20"/>
              </w:rPr>
              <w:t>CEO-dummy</w:t>
            </w:r>
            <w:r w:rsidRPr="00AD6F97">
              <w:rPr>
                <w:rFonts w:ascii="Cambria Math" w:hAnsi="Cambria Math" w:cs="Times New Roman"/>
                <w:i/>
                <w:sz w:val="20"/>
                <w:szCs w:val="20"/>
                <w:vertAlign w:val="subscript"/>
              </w:rPr>
              <w:t>i,t</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.007</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-.124**</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.031*</w:t>
            </w:r>
          </w:p>
        </w:tc>
        <w:tc>
          <w:tcPr>
            <w:tcW w:w="534"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p>
        </w:tc>
        <w:tc>
          <w:tcPr>
            <w:tcW w:w="524"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p>
        </w:tc>
        <w:tc>
          <w:tcPr>
            <w:tcW w:w="370"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p>
        </w:tc>
        <w:tc>
          <w:tcPr>
            <w:tcW w:w="436"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p>
        </w:tc>
        <w:tc>
          <w:tcPr>
            <w:tcW w:w="575"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p>
        </w:tc>
      </w:tr>
      <w:tr w:rsidR="00AD6F97" w:rsidRPr="00CF288C" w:rsidTr="00CF288C">
        <w:trPr>
          <w:trHeight w:val="144"/>
        </w:trPr>
        <w:tc>
          <w:tcPr>
            <w:tcW w:w="576" w:type="pct"/>
            <w:vAlign w:val="center"/>
          </w:tcPr>
          <w:p w:rsidR="00AD6F97" w:rsidRPr="00AD6F97" w:rsidRDefault="00AD6F97" w:rsidP="009977C2">
            <w:pPr>
              <w:spacing w:line="240" w:lineRule="auto"/>
              <w:rPr>
                <w:rFonts w:ascii="Cambria Math" w:hAnsi="Cambria Math" w:cs="Times New Roman"/>
                <w:b/>
                <w:i/>
                <w:sz w:val="20"/>
                <w:szCs w:val="20"/>
              </w:rPr>
            </w:pPr>
            <w:r w:rsidRPr="00AD6F97">
              <w:rPr>
                <w:rFonts w:ascii="Cambria Math" w:hAnsi="Cambria Math" w:cs="Times New Roman"/>
                <w:b/>
                <w:i/>
                <w:sz w:val="20"/>
                <w:szCs w:val="20"/>
              </w:rPr>
              <w:t>SBS</w:t>
            </w:r>
            <w:r w:rsidRPr="00AD6F97">
              <w:rPr>
                <w:rFonts w:ascii="Cambria Math" w:hAnsi="Cambria Math" w:cs="Times New Roman"/>
                <w:i/>
                <w:sz w:val="20"/>
                <w:szCs w:val="20"/>
                <w:vertAlign w:val="subscript"/>
              </w:rPr>
              <w:t>i,t</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-.039**</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.343**</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-.078**</w:t>
            </w:r>
          </w:p>
        </w:tc>
        <w:tc>
          <w:tcPr>
            <w:tcW w:w="534"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-.094**</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w:t>
            </w:r>
          </w:p>
        </w:tc>
        <w:tc>
          <w:tcPr>
            <w:tcW w:w="397" w:type="pct"/>
            <w:vAlign w:val="center"/>
          </w:tcPr>
          <w:p w:rsidR="00AD6F97" w:rsidRPr="00CF288C" w:rsidRDefault="00AD6F97" w:rsidP="00CF288C">
            <w:pPr>
              <w:jc w:val="center"/>
              <w:rPr>
                <w:rFonts w:cs="Times New Roman"/>
                <w:color w:val="000000"/>
                <w:sz w:val="20"/>
                <w:szCs w:val="20"/>
              </w:rPr>
            </w:pPr>
          </w:p>
        </w:tc>
        <w:tc>
          <w:tcPr>
            <w:tcW w:w="524" w:type="pct"/>
            <w:vAlign w:val="center"/>
          </w:tcPr>
          <w:p w:rsidR="00AD6F97" w:rsidRPr="00CF288C" w:rsidRDefault="00AD6F97" w:rsidP="00CF288C">
            <w:pPr>
              <w:jc w:val="center"/>
              <w:rPr>
                <w:rFonts w:cs="Times New Roman"/>
                <w:color w:val="000000"/>
                <w:sz w:val="20"/>
                <w:szCs w:val="20"/>
              </w:rPr>
            </w:pPr>
          </w:p>
        </w:tc>
        <w:tc>
          <w:tcPr>
            <w:tcW w:w="370" w:type="pct"/>
            <w:vAlign w:val="center"/>
          </w:tcPr>
          <w:p w:rsidR="00AD6F97" w:rsidRPr="00CF288C" w:rsidRDefault="00AD6F97" w:rsidP="00CF288C">
            <w:pPr>
              <w:jc w:val="center"/>
              <w:rPr>
                <w:rFonts w:cs="Times New Roman"/>
                <w:color w:val="000000"/>
                <w:sz w:val="20"/>
                <w:szCs w:val="20"/>
              </w:rPr>
            </w:pPr>
          </w:p>
        </w:tc>
        <w:tc>
          <w:tcPr>
            <w:tcW w:w="436" w:type="pct"/>
            <w:vAlign w:val="center"/>
          </w:tcPr>
          <w:p w:rsidR="00AD6F97" w:rsidRPr="00CF288C" w:rsidRDefault="00AD6F97" w:rsidP="00CF288C">
            <w:pPr>
              <w:jc w:val="center"/>
              <w:rPr>
                <w:rFonts w:cs="Times New Roman"/>
                <w:color w:val="000000"/>
                <w:sz w:val="20"/>
                <w:szCs w:val="20"/>
              </w:rPr>
            </w:pPr>
          </w:p>
        </w:tc>
        <w:tc>
          <w:tcPr>
            <w:tcW w:w="575" w:type="pct"/>
            <w:vAlign w:val="center"/>
          </w:tcPr>
          <w:p w:rsidR="00AD6F97" w:rsidRPr="00CF288C" w:rsidRDefault="00AD6F97" w:rsidP="00CF288C">
            <w:pPr>
              <w:jc w:val="center"/>
              <w:rPr>
                <w:rFonts w:cs="Times New Roman"/>
                <w:color w:val="000000"/>
                <w:sz w:val="20"/>
                <w:szCs w:val="20"/>
              </w:rPr>
            </w:pPr>
          </w:p>
        </w:tc>
      </w:tr>
      <w:tr w:rsidR="00AD6F97" w:rsidRPr="00CF288C" w:rsidTr="00CF288C">
        <w:trPr>
          <w:trHeight w:val="305"/>
        </w:trPr>
        <w:tc>
          <w:tcPr>
            <w:tcW w:w="576" w:type="pct"/>
            <w:vAlign w:val="center"/>
          </w:tcPr>
          <w:p w:rsidR="00AD6F97" w:rsidRPr="00AD6F97" w:rsidRDefault="00AD6F97" w:rsidP="009977C2">
            <w:pPr>
              <w:spacing w:line="240" w:lineRule="auto"/>
              <w:rPr>
                <w:rFonts w:ascii="Cambria Math" w:hAnsi="Cambria Math" w:cs="Times New Roman"/>
                <w:sz w:val="20"/>
                <w:szCs w:val="20"/>
              </w:rPr>
            </w:pPr>
            <w:r w:rsidRPr="00AD6F97">
              <w:rPr>
                <w:rFonts w:ascii="Cambria Math" w:hAnsi="Cambria Math" w:cs="Times New Roman"/>
                <w:sz w:val="20"/>
                <w:szCs w:val="20"/>
              </w:rPr>
              <w:t>Insider</w:t>
            </w:r>
            <w:r w:rsidRPr="00AD6F97">
              <w:rPr>
                <w:rFonts w:ascii="Cambria Math" w:hAnsi="Cambria Math" w:cs="Times New Roman"/>
                <w:i/>
                <w:sz w:val="20"/>
                <w:szCs w:val="20"/>
                <w:vertAlign w:val="subscript"/>
              </w:rPr>
              <w:t>i,t</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-.005</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-.054**</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.017</w:t>
            </w:r>
          </w:p>
        </w:tc>
        <w:tc>
          <w:tcPr>
            <w:tcW w:w="534"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.109**</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-.105**</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w:t>
            </w:r>
          </w:p>
        </w:tc>
        <w:tc>
          <w:tcPr>
            <w:tcW w:w="524" w:type="pct"/>
            <w:vAlign w:val="center"/>
          </w:tcPr>
          <w:p w:rsidR="00AD6F97" w:rsidRPr="00CF288C" w:rsidRDefault="00AD6F97" w:rsidP="00CF288C">
            <w:pPr>
              <w:jc w:val="center"/>
              <w:rPr>
                <w:rFonts w:cs="Times New Roman"/>
                <w:color w:val="000000"/>
                <w:sz w:val="20"/>
                <w:szCs w:val="20"/>
              </w:rPr>
            </w:pPr>
          </w:p>
        </w:tc>
        <w:tc>
          <w:tcPr>
            <w:tcW w:w="370" w:type="pct"/>
            <w:vAlign w:val="center"/>
          </w:tcPr>
          <w:p w:rsidR="00AD6F97" w:rsidRPr="00CF288C" w:rsidRDefault="00AD6F97" w:rsidP="00CF288C">
            <w:pPr>
              <w:jc w:val="center"/>
              <w:rPr>
                <w:rFonts w:cs="Times New Roman"/>
                <w:color w:val="000000"/>
                <w:sz w:val="20"/>
                <w:szCs w:val="20"/>
              </w:rPr>
            </w:pPr>
          </w:p>
        </w:tc>
        <w:tc>
          <w:tcPr>
            <w:tcW w:w="436" w:type="pct"/>
            <w:vAlign w:val="center"/>
          </w:tcPr>
          <w:p w:rsidR="00AD6F97" w:rsidRPr="00CF288C" w:rsidRDefault="00AD6F97" w:rsidP="00CF288C">
            <w:pPr>
              <w:jc w:val="center"/>
              <w:rPr>
                <w:rFonts w:cs="Times New Roman"/>
                <w:color w:val="000000"/>
                <w:sz w:val="20"/>
                <w:szCs w:val="20"/>
              </w:rPr>
            </w:pPr>
          </w:p>
        </w:tc>
        <w:tc>
          <w:tcPr>
            <w:tcW w:w="575" w:type="pct"/>
            <w:vAlign w:val="center"/>
          </w:tcPr>
          <w:p w:rsidR="00AD6F97" w:rsidRPr="00CF288C" w:rsidRDefault="00AD6F97" w:rsidP="00CF288C">
            <w:pPr>
              <w:jc w:val="center"/>
              <w:rPr>
                <w:rFonts w:cs="Times New Roman"/>
                <w:color w:val="000000"/>
                <w:sz w:val="20"/>
                <w:szCs w:val="20"/>
              </w:rPr>
            </w:pPr>
          </w:p>
        </w:tc>
      </w:tr>
      <w:tr w:rsidR="00AD6F97" w:rsidRPr="00CF288C" w:rsidTr="00CF288C">
        <w:trPr>
          <w:trHeight w:val="144"/>
        </w:trPr>
        <w:tc>
          <w:tcPr>
            <w:tcW w:w="576" w:type="pct"/>
            <w:vAlign w:val="center"/>
          </w:tcPr>
          <w:p w:rsidR="00AD6F97" w:rsidRPr="00AD6F97" w:rsidRDefault="00AD6F97" w:rsidP="00DF111B">
            <w:pPr>
              <w:spacing w:line="240" w:lineRule="auto"/>
              <w:rPr>
                <w:rFonts w:ascii="Cambria Math" w:hAnsi="Cambria Math" w:cs="Times New Roman"/>
                <w:sz w:val="20"/>
                <w:szCs w:val="20"/>
              </w:rPr>
            </w:pPr>
            <w:r w:rsidRPr="00AD6F97">
              <w:rPr>
                <w:rFonts w:ascii="Cambria Math" w:hAnsi="Cambria Math" w:cs="Times New Roman"/>
                <w:sz w:val="20"/>
                <w:szCs w:val="20"/>
              </w:rPr>
              <w:t>Block-</w:t>
            </w:r>
            <w:r w:rsidR="00DF111B">
              <w:rPr>
                <w:rFonts w:ascii="Cambria Math" w:hAnsi="Cambria Math" w:cs="Times New Roman"/>
                <w:sz w:val="20"/>
                <w:szCs w:val="20"/>
              </w:rPr>
              <w:t>h</w:t>
            </w:r>
            <w:r w:rsidRPr="00AD6F97">
              <w:rPr>
                <w:rFonts w:ascii="Cambria Math" w:hAnsi="Cambria Math" w:cs="Times New Roman"/>
                <w:sz w:val="20"/>
                <w:szCs w:val="20"/>
              </w:rPr>
              <w:t>older</w:t>
            </w:r>
            <w:r w:rsidRPr="00AD6F97">
              <w:rPr>
                <w:rFonts w:ascii="Cambria Math" w:hAnsi="Cambria Math" w:cs="Times New Roman"/>
                <w:i/>
                <w:sz w:val="20"/>
                <w:szCs w:val="20"/>
                <w:vertAlign w:val="subscript"/>
              </w:rPr>
              <w:t>i,t</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-.002</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.025</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.006</w:t>
            </w:r>
          </w:p>
        </w:tc>
        <w:tc>
          <w:tcPr>
            <w:tcW w:w="534"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-.113**</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.057**</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-.116**</w:t>
            </w:r>
          </w:p>
        </w:tc>
        <w:tc>
          <w:tcPr>
            <w:tcW w:w="524"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w:t>
            </w:r>
          </w:p>
        </w:tc>
        <w:tc>
          <w:tcPr>
            <w:tcW w:w="370" w:type="pct"/>
            <w:vAlign w:val="center"/>
          </w:tcPr>
          <w:p w:rsidR="00AD6F97" w:rsidRPr="00CF288C" w:rsidRDefault="00AD6F97" w:rsidP="00CF288C">
            <w:pPr>
              <w:jc w:val="center"/>
              <w:rPr>
                <w:rFonts w:cs="Times New Roman"/>
                <w:color w:val="000000"/>
                <w:sz w:val="20"/>
                <w:szCs w:val="20"/>
              </w:rPr>
            </w:pPr>
          </w:p>
        </w:tc>
        <w:tc>
          <w:tcPr>
            <w:tcW w:w="436" w:type="pct"/>
            <w:vAlign w:val="center"/>
          </w:tcPr>
          <w:p w:rsidR="00AD6F97" w:rsidRPr="00CF288C" w:rsidRDefault="00AD6F97" w:rsidP="00CF288C">
            <w:pPr>
              <w:jc w:val="center"/>
              <w:rPr>
                <w:rFonts w:cs="Times New Roman"/>
                <w:color w:val="000000"/>
                <w:sz w:val="20"/>
                <w:szCs w:val="20"/>
              </w:rPr>
            </w:pPr>
          </w:p>
        </w:tc>
        <w:tc>
          <w:tcPr>
            <w:tcW w:w="575" w:type="pct"/>
            <w:vAlign w:val="center"/>
          </w:tcPr>
          <w:p w:rsidR="00AD6F97" w:rsidRPr="00CF288C" w:rsidRDefault="00AD6F97" w:rsidP="00CF288C">
            <w:pPr>
              <w:jc w:val="center"/>
              <w:rPr>
                <w:rFonts w:cs="Times New Roman"/>
                <w:color w:val="000000"/>
                <w:sz w:val="20"/>
                <w:szCs w:val="20"/>
              </w:rPr>
            </w:pPr>
          </w:p>
        </w:tc>
      </w:tr>
      <w:tr w:rsidR="00AD6F97" w:rsidRPr="00CF288C" w:rsidTr="00CF288C">
        <w:trPr>
          <w:trHeight w:val="144"/>
        </w:trPr>
        <w:tc>
          <w:tcPr>
            <w:tcW w:w="576" w:type="pct"/>
            <w:vAlign w:val="center"/>
          </w:tcPr>
          <w:p w:rsidR="00AD6F97" w:rsidRPr="00AD6F97" w:rsidRDefault="00AD6F97" w:rsidP="009977C2">
            <w:pPr>
              <w:spacing w:line="240" w:lineRule="auto"/>
              <w:rPr>
                <w:rFonts w:ascii="Cambria Math" w:hAnsi="Cambria Math" w:cs="Times New Roman"/>
                <w:sz w:val="20"/>
                <w:szCs w:val="20"/>
              </w:rPr>
            </w:pPr>
            <w:r w:rsidRPr="00AD6F97">
              <w:rPr>
                <w:rFonts w:ascii="Cambria Math" w:hAnsi="Cambria Math" w:cs="Times New Roman"/>
                <w:sz w:val="20"/>
                <w:szCs w:val="20"/>
              </w:rPr>
              <w:t>FS</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-.011</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.320**</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-.021</w:t>
            </w:r>
          </w:p>
        </w:tc>
        <w:tc>
          <w:tcPr>
            <w:tcW w:w="534"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-.140**</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.214**</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-.034*</w:t>
            </w:r>
          </w:p>
        </w:tc>
        <w:tc>
          <w:tcPr>
            <w:tcW w:w="524"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.276**</w:t>
            </w:r>
          </w:p>
        </w:tc>
        <w:tc>
          <w:tcPr>
            <w:tcW w:w="370"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w:t>
            </w:r>
          </w:p>
        </w:tc>
        <w:tc>
          <w:tcPr>
            <w:tcW w:w="436" w:type="pct"/>
            <w:vAlign w:val="center"/>
          </w:tcPr>
          <w:p w:rsidR="00AD6F97" w:rsidRPr="00CF288C" w:rsidRDefault="00AD6F97" w:rsidP="00CF288C">
            <w:pPr>
              <w:jc w:val="center"/>
              <w:rPr>
                <w:rFonts w:cs="Times New Roman"/>
                <w:color w:val="000000"/>
                <w:sz w:val="20"/>
                <w:szCs w:val="20"/>
              </w:rPr>
            </w:pPr>
          </w:p>
        </w:tc>
        <w:tc>
          <w:tcPr>
            <w:tcW w:w="575" w:type="pct"/>
            <w:vAlign w:val="center"/>
          </w:tcPr>
          <w:p w:rsidR="00AD6F97" w:rsidRPr="00CF288C" w:rsidRDefault="00AD6F97" w:rsidP="00CF288C">
            <w:pPr>
              <w:jc w:val="center"/>
              <w:rPr>
                <w:rFonts w:cs="Times New Roman"/>
                <w:color w:val="000000"/>
                <w:sz w:val="20"/>
                <w:szCs w:val="20"/>
              </w:rPr>
            </w:pPr>
          </w:p>
        </w:tc>
      </w:tr>
      <w:tr w:rsidR="00AD6F97" w:rsidRPr="00CF288C" w:rsidTr="00CF288C">
        <w:trPr>
          <w:trHeight w:val="144"/>
        </w:trPr>
        <w:tc>
          <w:tcPr>
            <w:tcW w:w="576" w:type="pct"/>
            <w:vAlign w:val="center"/>
          </w:tcPr>
          <w:p w:rsidR="00AD6F97" w:rsidRPr="00AD6F97" w:rsidRDefault="00AD6F97" w:rsidP="009977C2">
            <w:pPr>
              <w:spacing w:line="240" w:lineRule="auto"/>
              <w:rPr>
                <w:rFonts w:ascii="Cambria Math" w:hAnsi="Cambria Math" w:cs="Times New Roman"/>
                <w:sz w:val="20"/>
                <w:szCs w:val="20"/>
              </w:rPr>
            </w:pPr>
            <w:r w:rsidRPr="00AD6F97">
              <w:rPr>
                <w:rFonts w:ascii="Cambria Math" w:hAnsi="Cambria Math" w:cs="Times New Roman"/>
                <w:sz w:val="20"/>
                <w:szCs w:val="20"/>
              </w:rPr>
              <w:t>ROE</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.112**</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.007</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-.037*</w:t>
            </w:r>
          </w:p>
        </w:tc>
        <w:tc>
          <w:tcPr>
            <w:tcW w:w="534"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.014</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.004</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.033*</w:t>
            </w:r>
          </w:p>
        </w:tc>
        <w:tc>
          <w:tcPr>
            <w:tcW w:w="524"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.038**</w:t>
            </w:r>
          </w:p>
        </w:tc>
        <w:tc>
          <w:tcPr>
            <w:tcW w:w="370"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.062**</w:t>
            </w:r>
          </w:p>
        </w:tc>
        <w:tc>
          <w:tcPr>
            <w:tcW w:w="436" w:type="pct"/>
            <w:vAlign w:val="center"/>
          </w:tcPr>
          <w:p w:rsidR="00AD6F97" w:rsidRPr="00CF288C" w:rsidRDefault="00AD6F97" w:rsidP="00CF288C">
            <w:pPr>
              <w:jc w:val="center"/>
              <w:rPr>
                <w:rFonts w:cs="Times New Roman"/>
                <w:color w:val="000000"/>
                <w:sz w:val="20"/>
                <w:szCs w:val="20"/>
              </w:rPr>
            </w:pPr>
            <w:r w:rsidRPr="00CF288C">
              <w:rPr>
                <w:rFonts w:cs="Times New Roman"/>
                <w:color w:val="000000"/>
                <w:sz w:val="20"/>
                <w:szCs w:val="20"/>
              </w:rPr>
              <w:t>1</w:t>
            </w:r>
          </w:p>
        </w:tc>
        <w:tc>
          <w:tcPr>
            <w:tcW w:w="575" w:type="pct"/>
            <w:vAlign w:val="center"/>
          </w:tcPr>
          <w:p w:rsidR="00AD6F97" w:rsidRPr="00CF288C" w:rsidRDefault="00AD6F97" w:rsidP="00CF288C">
            <w:pPr>
              <w:jc w:val="center"/>
              <w:rPr>
                <w:rFonts w:cs="Times New Roman"/>
                <w:color w:val="000000"/>
                <w:sz w:val="20"/>
                <w:szCs w:val="20"/>
              </w:rPr>
            </w:pPr>
          </w:p>
        </w:tc>
      </w:tr>
      <w:tr w:rsidR="00AD6F97" w:rsidRPr="00CF288C" w:rsidTr="00CF288C">
        <w:trPr>
          <w:trHeight w:val="144"/>
        </w:trPr>
        <w:tc>
          <w:tcPr>
            <w:tcW w:w="576" w:type="pct"/>
            <w:vAlign w:val="center"/>
          </w:tcPr>
          <w:p w:rsidR="00AD6F97" w:rsidRPr="00AD6F97" w:rsidRDefault="00AD6F97" w:rsidP="009977C2">
            <w:pPr>
              <w:spacing w:line="240" w:lineRule="auto"/>
              <w:rPr>
                <w:rFonts w:ascii="Cambria Math" w:hAnsi="Cambria Math" w:cs="Times New Roman"/>
                <w:sz w:val="20"/>
                <w:szCs w:val="20"/>
              </w:rPr>
            </w:pPr>
            <w:r w:rsidRPr="00AD6F97">
              <w:rPr>
                <w:rFonts w:ascii="Cambria Math" w:hAnsi="Cambria Math" w:cs="Times New Roman"/>
                <w:sz w:val="20"/>
                <w:szCs w:val="20"/>
              </w:rPr>
              <w:t>Leverage</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-.008</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.059**</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-.011</w:t>
            </w:r>
          </w:p>
        </w:tc>
        <w:tc>
          <w:tcPr>
            <w:tcW w:w="534"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-.009</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.078**</w:t>
            </w:r>
          </w:p>
        </w:tc>
        <w:tc>
          <w:tcPr>
            <w:tcW w:w="397"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-.033*</w:t>
            </w:r>
          </w:p>
        </w:tc>
        <w:tc>
          <w:tcPr>
            <w:tcW w:w="524"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.000</w:t>
            </w:r>
          </w:p>
        </w:tc>
        <w:tc>
          <w:tcPr>
            <w:tcW w:w="370"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.079**</w:t>
            </w:r>
          </w:p>
        </w:tc>
        <w:tc>
          <w:tcPr>
            <w:tcW w:w="436" w:type="pct"/>
            <w:vAlign w:val="center"/>
          </w:tcPr>
          <w:p w:rsidR="00AD6F97" w:rsidRPr="00CF288C" w:rsidRDefault="00AD6F97" w:rsidP="00CF288C">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.076**</w:t>
            </w:r>
          </w:p>
        </w:tc>
        <w:tc>
          <w:tcPr>
            <w:tcW w:w="575" w:type="pct"/>
            <w:vAlign w:val="center"/>
          </w:tcPr>
          <w:p w:rsidR="00AD6F97" w:rsidRPr="00CF288C" w:rsidRDefault="00AD6F97" w:rsidP="00CF288C">
            <w:pPr>
              <w:jc w:val="center"/>
              <w:rPr>
                <w:rFonts w:cs="Times New Roman"/>
                <w:color w:val="000000"/>
                <w:sz w:val="20"/>
                <w:szCs w:val="20"/>
              </w:rPr>
            </w:pPr>
            <w:r w:rsidRPr="00CF288C">
              <w:rPr>
                <w:rFonts w:cs="Times New Roman"/>
                <w:color w:val="000000"/>
                <w:sz w:val="20"/>
                <w:szCs w:val="20"/>
              </w:rPr>
              <w:t>1</w:t>
            </w:r>
          </w:p>
        </w:tc>
      </w:tr>
      <w:tr w:rsidR="00401E8D" w:rsidRPr="00CF288C" w:rsidTr="00CF288C">
        <w:tc>
          <w:tcPr>
            <w:tcW w:w="5000" w:type="pct"/>
            <w:gridSpan w:val="11"/>
          </w:tcPr>
          <w:p w:rsidR="00CF288C" w:rsidRPr="00CF288C" w:rsidRDefault="00CF288C" w:rsidP="00CF288C">
            <w:pPr>
              <w:rPr>
                <w:rFonts w:cs="Times New Roman"/>
                <w:color w:val="000000"/>
                <w:sz w:val="20"/>
                <w:szCs w:val="20"/>
              </w:rPr>
            </w:pPr>
            <w:r w:rsidRPr="00CF288C">
              <w:rPr>
                <w:rFonts w:cs="Times New Roman"/>
                <w:color w:val="000000"/>
                <w:sz w:val="20"/>
                <w:szCs w:val="20"/>
              </w:rPr>
              <w:t>*. Correlation is significant at the 0.05 level (2-tailed).</w:t>
            </w:r>
          </w:p>
          <w:p w:rsidR="00401E8D" w:rsidRPr="00CF288C" w:rsidRDefault="00401E8D" w:rsidP="00CF288C">
            <w:pPr>
              <w:rPr>
                <w:rFonts w:cs="Times New Roman"/>
                <w:sz w:val="20"/>
                <w:szCs w:val="20"/>
              </w:rPr>
            </w:pPr>
            <w:r w:rsidRPr="00CF288C">
              <w:rPr>
                <w:rFonts w:cs="Times New Roman"/>
                <w:color w:val="000000"/>
                <w:sz w:val="20"/>
                <w:szCs w:val="20"/>
              </w:rPr>
              <w:t>**. Correlation is significant at the 0.01 level (2-tailed).</w:t>
            </w:r>
          </w:p>
        </w:tc>
      </w:tr>
    </w:tbl>
    <w:p w:rsidR="00CF288C" w:rsidRPr="00CF288C" w:rsidRDefault="00CD08B6" w:rsidP="00CD08B6">
      <w:pPr>
        <w:pStyle w:val="Caption"/>
        <w:rPr>
          <w:rFonts w:cs="Times New Roman"/>
          <w:szCs w:val="24"/>
        </w:rPr>
      </w:pPr>
      <w:r>
        <w:rPr>
          <w:rFonts w:cs="Times New Roman"/>
          <w:szCs w:val="24"/>
        </w:rPr>
        <w:lastRenderedPageBreak/>
        <w:t xml:space="preserve">                                                                 </w:t>
      </w:r>
      <w:r w:rsidR="00506804">
        <w:rPr>
          <w:rFonts w:cs="Times New Roman"/>
          <w:szCs w:val="24"/>
        </w:rPr>
        <w:t xml:space="preserve">       </w:t>
      </w:r>
      <w:r w:rsidR="00CF288C" w:rsidRPr="00CF288C">
        <w:rPr>
          <w:rFonts w:cs="Times New Roman"/>
          <w:szCs w:val="24"/>
        </w:rPr>
        <w:t xml:space="preserve">Table </w:t>
      </w:r>
      <w:r w:rsidR="00EF1EDC">
        <w:rPr>
          <w:rFonts w:cs="Times New Roman"/>
          <w:szCs w:val="24"/>
        </w:rPr>
        <w:fldChar w:fldCharType="begin"/>
      </w:r>
      <w:r w:rsidR="00280DE8">
        <w:rPr>
          <w:rFonts w:cs="Times New Roman"/>
          <w:szCs w:val="24"/>
        </w:rPr>
        <w:instrText xml:space="preserve"> STYLEREF 1 \s </w:instrText>
      </w:r>
      <w:r w:rsidR="00EF1EDC">
        <w:rPr>
          <w:rFonts w:cs="Times New Roman"/>
          <w:szCs w:val="24"/>
        </w:rPr>
        <w:fldChar w:fldCharType="separate"/>
      </w:r>
      <w:r w:rsidR="00280DE8">
        <w:rPr>
          <w:rFonts w:cs="Times New Roman"/>
          <w:noProof/>
          <w:szCs w:val="24"/>
        </w:rPr>
        <w:t>6</w:t>
      </w:r>
      <w:r w:rsidR="00EF1EDC">
        <w:rPr>
          <w:rFonts w:cs="Times New Roman"/>
          <w:szCs w:val="24"/>
        </w:rPr>
        <w:fldChar w:fldCharType="end"/>
      </w:r>
      <w:r w:rsidR="00280DE8">
        <w:rPr>
          <w:rFonts w:cs="Times New Roman"/>
          <w:szCs w:val="24"/>
        </w:rPr>
        <w:t>.</w:t>
      </w:r>
      <w:r w:rsidR="00EF1EDC">
        <w:rPr>
          <w:rFonts w:cs="Times New Roman"/>
          <w:szCs w:val="24"/>
        </w:rPr>
        <w:fldChar w:fldCharType="begin"/>
      </w:r>
      <w:r w:rsidR="00280DE8">
        <w:rPr>
          <w:rFonts w:cs="Times New Roman"/>
          <w:szCs w:val="24"/>
        </w:rPr>
        <w:instrText xml:space="preserve"> SEQ Table \* ARABIC \s 1 </w:instrText>
      </w:r>
      <w:r w:rsidR="00EF1EDC">
        <w:rPr>
          <w:rFonts w:cs="Times New Roman"/>
          <w:szCs w:val="24"/>
        </w:rPr>
        <w:fldChar w:fldCharType="separate"/>
      </w:r>
      <w:r w:rsidR="00280DE8">
        <w:rPr>
          <w:rFonts w:cs="Times New Roman"/>
          <w:noProof/>
          <w:szCs w:val="24"/>
        </w:rPr>
        <w:t>5</w:t>
      </w:r>
      <w:r w:rsidR="00EF1EDC">
        <w:rPr>
          <w:rFonts w:cs="Times New Roman"/>
          <w:szCs w:val="24"/>
        </w:rPr>
        <w:fldChar w:fldCharType="end"/>
      </w:r>
      <w:r w:rsidR="00CF288C" w:rsidRPr="00CF288C">
        <w:rPr>
          <w:rFonts w:cs="Times New Roman"/>
          <w:szCs w:val="24"/>
        </w:rPr>
        <w:t>. Pearson Correlation Matrix of U.S</w:t>
      </w:r>
      <w:r w:rsidR="00CF288C">
        <w:rPr>
          <w:rFonts w:cs="Times New Roman"/>
          <w:szCs w:val="24"/>
        </w:rPr>
        <w:t>.</w:t>
      </w:r>
    </w:p>
    <w:tbl>
      <w:tblPr>
        <w:tblStyle w:val="TableGrid"/>
        <w:tblpPr w:leftFromText="180" w:rightFromText="180" w:vertAnchor="text" w:horzAnchor="margin" w:tblpY="235"/>
        <w:tblW w:w="5000" w:type="pct"/>
        <w:tblLook w:val="04A0"/>
      </w:tblPr>
      <w:tblGrid>
        <w:gridCol w:w="1591"/>
        <w:gridCol w:w="1184"/>
        <w:gridCol w:w="1184"/>
        <w:gridCol w:w="1184"/>
        <w:gridCol w:w="1473"/>
        <w:gridCol w:w="1183"/>
        <w:gridCol w:w="1183"/>
        <w:gridCol w:w="1447"/>
        <w:gridCol w:w="1100"/>
        <w:gridCol w:w="1206"/>
        <w:gridCol w:w="1593"/>
      </w:tblGrid>
      <w:tr w:rsidR="00CF288C" w:rsidRPr="00CF288C" w:rsidTr="00725200">
        <w:tc>
          <w:tcPr>
            <w:tcW w:w="5000" w:type="pct"/>
            <w:gridSpan w:val="11"/>
            <w:vAlign w:val="center"/>
          </w:tcPr>
          <w:p w:rsidR="00CF288C" w:rsidRPr="00CF288C" w:rsidRDefault="00CF288C" w:rsidP="00725200">
            <w:pPr>
              <w:jc w:val="center"/>
              <w:rPr>
                <w:rFonts w:cs="Times New Roman"/>
                <w:b/>
                <w:sz w:val="20"/>
                <w:szCs w:val="20"/>
              </w:rPr>
            </w:pPr>
            <w:r w:rsidRPr="00CF288C">
              <w:rPr>
                <w:rFonts w:cs="Times New Roman"/>
                <w:b/>
                <w:szCs w:val="20"/>
              </w:rPr>
              <w:t>Correlation</w:t>
            </w:r>
          </w:p>
        </w:tc>
      </w:tr>
      <w:tr w:rsidR="00136390" w:rsidRPr="00CF288C" w:rsidTr="00725200">
        <w:trPr>
          <w:trHeight w:val="288"/>
        </w:trPr>
        <w:tc>
          <w:tcPr>
            <w:tcW w:w="555" w:type="pct"/>
          </w:tcPr>
          <w:p w:rsidR="00136390" w:rsidRPr="00CF288C" w:rsidRDefault="00136390" w:rsidP="00725200">
            <w:pPr>
              <w:rPr>
                <w:rFonts w:cs="Times New Roman"/>
                <w:sz w:val="20"/>
                <w:szCs w:val="20"/>
              </w:rPr>
            </w:pPr>
          </w:p>
        </w:tc>
        <w:tc>
          <w:tcPr>
            <w:tcW w:w="413" w:type="pct"/>
            <w:vAlign w:val="center"/>
          </w:tcPr>
          <w:p w:rsidR="00136390" w:rsidRPr="00CF288C" w:rsidRDefault="00136390" w:rsidP="00725200">
            <w:pPr>
              <w:jc w:val="center"/>
              <w:rPr>
                <w:rFonts w:cs="Times New Roman"/>
                <w:b/>
                <w:i/>
                <w:sz w:val="20"/>
                <w:szCs w:val="20"/>
              </w:rPr>
            </w:pPr>
            <w:r w:rsidRPr="00AD6F97">
              <w:rPr>
                <w:rFonts w:ascii="Cambria Math" w:hAnsi="Cambria Math"/>
                <w:i/>
                <w:sz w:val="20"/>
                <w:szCs w:val="20"/>
              </w:rPr>
              <w:t>DA</w:t>
            </w:r>
            <w:r w:rsidRPr="00AD6F97">
              <w:rPr>
                <w:rFonts w:ascii="Cambria Math" w:hAnsi="Cambria Math"/>
                <w:i/>
                <w:sz w:val="20"/>
                <w:szCs w:val="20"/>
                <w:vertAlign w:val="subscript"/>
              </w:rPr>
              <w:t>i,t</w:t>
            </w:r>
          </w:p>
        </w:tc>
        <w:tc>
          <w:tcPr>
            <w:tcW w:w="413" w:type="pct"/>
            <w:vAlign w:val="center"/>
          </w:tcPr>
          <w:p w:rsidR="00136390" w:rsidRPr="00CF288C" w:rsidRDefault="00136390" w:rsidP="00725200">
            <w:pPr>
              <w:jc w:val="center"/>
              <w:rPr>
                <w:rFonts w:cs="Times New Roman"/>
                <w:b/>
                <w:sz w:val="20"/>
                <w:szCs w:val="20"/>
              </w:rPr>
            </w:pPr>
            <w:r w:rsidRPr="00AD6F97">
              <w:rPr>
                <w:rFonts w:ascii="Cambria Math" w:hAnsi="Cambria Math" w:cs="Times New Roman"/>
                <w:b/>
                <w:i/>
                <w:sz w:val="20"/>
                <w:szCs w:val="20"/>
              </w:rPr>
              <w:t>EDS</w:t>
            </w:r>
            <w:r w:rsidRPr="00AD6F97">
              <w:rPr>
                <w:rFonts w:ascii="Cambria Math" w:hAnsi="Cambria Math" w:cs="Times New Roman"/>
                <w:i/>
                <w:sz w:val="20"/>
                <w:szCs w:val="20"/>
                <w:vertAlign w:val="subscript"/>
              </w:rPr>
              <w:t>i,t</w:t>
            </w:r>
          </w:p>
        </w:tc>
        <w:tc>
          <w:tcPr>
            <w:tcW w:w="413" w:type="pct"/>
            <w:vAlign w:val="center"/>
          </w:tcPr>
          <w:p w:rsidR="00136390" w:rsidRPr="00AD6F97" w:rsidRDefault="00136390" w:rsidP="00725200">
            <w:pPr>
              <w:spacing w:line="240" w:lineRule="auto"/>
              <w:jc w:val="center"/>
              <w:rPr>
                <w:rFonts w:ascii="Cambria Math" w:hAnsi="Cambria Math" w:cs="Times New Roman"/>
                <w:sz w:val="20"/>
                <w:szCs w:val="20"/>
              </w:rPr>
            </w:pPr>
            <w:r w:rsidRPr="00AD6F97">
              <w:rPr>
                <w:rFonts w:ascii="Cambria Math" w:hAnsi="Cambria Math" w:cs="Times New Roman"/>
                <w:sz w:val="20"/>
                <w:szCs w:val="20"/>
              </w:rPr>
              <w:t>BI</w:t>
            </w:r>
            <w:r w:rsidRPr="00AD6F97">
              <w:rPr>
                <w:rFonts w:ascii="Cambria Math" w:hAnsi="Cambria Math" w:cs="Times New Roman"/>
                <w:i/>
                <w:sz w:val="20"/>
                <w:szCs w:val="20"/>
                <w:vertAlign w:val="subscript"/>
              </w:rPr>
              <w:t>i,t</w:t>
            </w:r>
          </w:p>
        </w:tc>
        <w:tc>
          <w:tcPr>
            <w:tcW w:w="514" w:type="pct"/>
            <w:vAlign w:val="center"/>
          </w:tcPr>
          <w:p w:rsidR="00136390" w:rsidRPr="00CF288C" w:rsidRDefault="00136390" w:rsidP="00725200">
            <w:pPr>
              <w:jc w:val="center"/>
              <w:rPr>
                <w:rFonts w:cs="Times New Roman"/>
                <w:b/>
                <w:sz w:val="20"/>
                <w:szCs w:val="20"/>
              </w:rPr>
            </w:pPr>
            <w:r w:rsidRPr="00AD6F97">
              <w:rPr>
                <w:rFonts w:ascii="Cambria Math" w:hAnsi="Cambria Math" w:cs="Times New Roman"/>
                <w:sz w:val="20"/>
                <w:szCs w:val="20"/>
              </w:rPr>
              <w:t>CEO-dummy</w:t>
            </w:r>
            <w:r w:rsidRPr="00AD6F97">
              <w:rPr>
                <w:rFonts w:ascii="Cambria Math" w:hAnsi="Cambria Math" w:cs="Times New Roman"/>
                <w:i/>
                <w:sz w:val="20"/>
                <w:szCs w:val="20"/>
                <w:vertAlign w:val="subscript"/>
              </w:rPr>
              <w:t>i,t</w:t>
            </w:r>
          </w:p>
        </w:tc>
        <w:tc>
          <w:tcPr>
            <w:tcW w:w="413" w:type="pct"/>
            <w:vAlign w:val="center"/>
          </w:tcPr>
          <w:p w:rsidR="00136390" w:rsidRPr="00CF288C" w:rsidRDefault="00136390" w:rsidP="00725200">
            <w:pPr>
              <w:jc w:val="center"/>
              <w:rPr>
                <w:rFonts w:cs="Times New Roman"/>
                <w:b/>
                <w:sz w:val="20"/>
                <w:szCs w:val="20"/>
              </w:rPr>
            </w:pPr>
            <w:r w:rsidRPr="00AD6F97">
              <w:rPr>
                <w:rFonts w:ascii="Cambria Math" w:hAnsi="Cambria Math" w:cs="Times New Roman"/>
                <w:b/>
                <w:i/>
                <w:sz w:val="20"/>
                <w:szCs w:val="20"/>
              </w:rPr>
              <w:t>NEDS</w:t>
            </w:r>
            <w:r w:rsidRPr="00AD6F97">
              <w:rPr>
                <w:rFonts w:ascii="Cambria Math" w:hAnsi="Cambria Math" w:cs="Times New Roman"/>
                <w:i/>
                <w:sz w:val="20"/>
                <w:szCs w:val="20"/>
                <w:vertAlign w:val="subscript"/>
              </w:rPr>
              <w:t>i,t</w:t>
            </w:r>
          </w:p>
        </w:tc>
        <w:tc>
          <w:tcPr>
            <w:tcW w:w="413" w:type="pct"/>
            <w:vAlign w:val="center"/>
          </w:tcPr>
          <w:p w:rsidR="00136390" w:rsidRPr="00CF288C" w:rsidRDefault="00136390" w:rsidP="00725200">
            <w:pPr>
              <w:jc w:val="center"/>
              <w:rPr>
                <w:rFonts w:cs="Times New Roman"/>
                <w:b/>
                <w:sz w:val="20"/>
                <w:szCs w:val="20"/>
              </w:rPr>
            </w:pPr>
            <w:r w:rsidRPr="00AD6F97">
              <w:rPr>
                <w:rFonts w:ascii="Cambria Math" w:hAnsi="Cambria Math" w:cs="Times New Roman"/>
                <w:sz w:val="20"/>
                <w:szCs w:val="20"/>
              </w:rPr>
              <w:t>Insider</w:t>
            </w:r>
            <w:r w:rsidRPr="00AD6F97">
              <w:rPr>
                <w:rFonts w:ascii="Cambria Math" w:hAnsi="Cambria Math" w:cs="Times New Roman"/>
                <w:i/>
                <w:sz w:val="20"/>
                <w:szCs w:val="20"/>
                <w:vertAlign w:val="subscript"/>
              </w:rPr>
              <w:t>i,t</w:t>
            </w:r>
          </w:p>
        </w:tc>
        <w:tc>
          <w:tcPr>
            <w:tcW w:w="505" w:type="pct"/>
            <w:vAlign w:val="center"/>
          </w:tcPr>
          <w:p w:rsidR="00136390" w:rsidRPr="00CF288C" w:rsidRDefault="00136390" w:rsidP="00725200">
            <w:pPr>
              <w:jc w:val="center"/>
              <w:rPr>
                <w:rFonts w:cs="Times New Roman"/>
                <w:b/>
                <w:sz w:val="20"/>
                <w:szCs w:val="20"/>
              </w:rPr>
            </w:pPr>
            <w:r w:rsidRPr="00AD6F97">
              <w:rPr>
                <w:rFonts w:ascii="Cambria Math" w:hAnsi="Cambria Math" w:cs="Times New Roman"/>
                <w:sz w:val="20"/>
                <w:szCs w:val="20"/>
              </w:rPr>
              <w:t>Block-holder</w:t>
            </w:r>
            <w:r>
              <w:rPr>
                <w:rFonts w:ascii="Cambria Math" w:hAnsi="Cambria Math" w:cs="Times New Roman"/>
                <w:i/>
                <w:sz w:val="20"/>
                <w:szCs w:val="20"/>
                <w:vertAlign w:val="subscript"/>
              </w:rPr>
              <w:t>i.t</w:t>
            </w:r>
          </w:p>
        </w:tc>
        <w:tc>
          <w:tcPr>
            <w:tcW w:w="384" w:type="pct"/>
            <w:vAlign w:val="center"/>
          </w:tcPr>
          <w:p w:rsidR="00136390" w:rsidRPr="00CF288C" w:rsidRDefault="00136390" w:rsidP="00725200">
            <w:pPr>
              <w:jc w:val="center"/>
              <w:rPr>
                <w:rFonts w:cs="Times New Roman"/>
                <w:b/>
                <w:sz w:val="20"/>
                <w:szCs w:val="20"/>
              </w:rPr>
            </w:pPr>
            <w:r w:rsidRPr="00AD6F97">
              <w:rPr>
                <w:rFonts w:ascii="Cambria Math" w:hAnsi="Cambria Math" w:cs="Times New Roman"/>
                <w:sz w:val="20"/>
                <w:szCs w:val="20"/>
              </w:rPr>
              <w:t>FS</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421" w:type="pct"/>
            <w:vAlign w:val="center"/>
          </w:tcPr>
          <w:p w:rsidR="00136390" w:rsidRPr="00CF288C" w:rsidRDefault="00136390" w:rsidP="00725200">
            <w:pPr>
              <w:jc w:val="center"/>
              <w:rPr>
                <w:rFonts w:cs="Times New Roman"/>
                <w:b/>
                <w:sz w:val="20"/>
                <w:szCs w:val="20"/>
              </w:rPr>
            </w:pPr>
            <w:r w:rsidRPr="00AD6F97">
              <w:rPr>
                <w:rFonts w:ascii="Cambria Math" w:hAnsi="Cambria Math" w:cs="Times New Roman"/>
                <w:sz w:val="20"/>
                <w:szCs w:val="20"/>
              </w:rPr>
              <w:t>ROE</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556" w:type="pct"/>
            <w:vAlign w:val="center"/>
          </w:tcPr>
          <w:p w:rsidR="00136390" w:rsidRPr="00CF288C" w:rsidRDefault="00136390" w:rsidP="00725200">
            <w:pPr>
              <w:jc w:val="center"/>
              <w:rPr>
                <w:rFonts w:cs="Times New Roman"/>
                <w:b/>
                <w:sz w:val="20"/>
                <w:szCs w:val="20"/>
              </w:rPr>
            </w:pPr>
            <w:r w:rsidRPr="00AD6F97">
              <w:rPr>
                <w:rFonts w:ascii="Cambria Math" w:hAnsi="Cambria Math" w:cs="Times New Roman"/>
                <w:sz w:val="20"/>
                <w:szCs w:val="20"/>
              </w:rPr>
              <w:t>Leverage</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r>
      <w:tr w:rsidR="00136390" w:rsidRPr="00CF288C" w:rsidTr="00725200">
        <w:trPr>
          <w:trHeight w:val="332"/>
        </w:trPr>
        <w:tc>
          <w:tcPr>
            <w:tcW w:w="555" w:type="pct"/>
            <w:vAlign w:val="center"/>
          </w:tcPr>
          <w:p w:rsidR="00136390" w:rsidRPr="00AD6F97" w:rsidRDefault="00136390" w:rsidP="00725200">
            <w:pPr>
              <w:spacing w:line="240" w:lineRule="auto"/>
              <w:rPr>
                <w:rFonts w:ascii="Cambria Math" w:hAnsi="Cambria Math" w:cs="Times New Roman"/>
                <w:sz w:val="20"/>
                <w:szCs w:val="20"/>
              </w:rPr>
            </w:pPr>
            <w:r w:rsidRPr="00AD6F97">
              <w:rPr>
                <w:rFonts w:ascii="Cambria Math" w:hAnsi="Cambria Math"/>
                <w:i/>
                <w:sz w:val="20"/>
                <w:szCs w:val="20"/>
              </w:rPr>
              <w:t>DA</w:t>
            </w:r>
            <w:r w:rsidRPr="00AD6F97">
              <w:rPr>
                <w:rFonts w:ascii="Cambria Math" w:hAnsi="Cambria Math"/>
                <w:i/>
                <w:sz w:val="20"/>
                <w:szCs w:val="20"/>
                <w:vertAlign w:val="subscript"/>
              </w:rPr>
              <w:t>i,t</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w:t>
            </w:r>
          </w:p>
        </w:tc>
        <w:tc>
          <w:tcPr>
            <w:tcW w:w="413" w:type="pct"/>
          </w:tcPr>
          <w:p w:rsidR="00136390" w:rsidRPr="00CF288C" w:rsidRDefault="00136390" w:rsidP="00725200">
            <w:pPr>
              <w:jc w:val="center"/>
              <w:rPr>
                <w:rFonts w:cs="Times New Roman"/>
                <w:color w:val="000000"/>
                <w:sz w:val="20"/>
                <w:szCs w:val="20"/>
              </w:rPr>
            </w:pPr>
          </w:p>
        </w:tc>
        <w:tc>
          <w:tcPr>
            <w:tcW w:w="413" w:type="pct"/>
          </w:tcPr>
          <w:p w:rsidR="00136390" w:rsidRPr="00CF288C" w:rsidRDefault="00136390" w:rsidP="00725200">
            <w:pPr>
              <w:jc w:val="center"/>
              <w:rPr>
                <w:rFonts w:cs="Times New Roman"/>
                <w:color w:val="000000"/>
                <w:sz w:val="20"/>
                <w:szCs w:val="20"/>
              </w:rPr>
            </w:pPr>
          </w:p>
        </w:tc>
        <w:tc>
          <w:tcPr>
            <w:tcW w:w="514" w:type="pct"/>
          </w:tcPr>
          <w:p w:rsidR="00136390" w:rsidRPr="00CF288C" w:rsidRDefault="00136390" w:rsidP="00725200">
            <w:pPr>
              <w:jc w:val="center"/>
              <w:rPr>
                <w:rFonts w:cs="Times New Roman"/>
                <w:color w:val="000000"/>
                <w:sz w:val="20"/>
                <w:szCs w:val="20"/>
              </w:rPr>
            </w:pPr>
          </w:p>
        </w:tc>
        <w:tc>
          <w:tcPr>
            <w:tcW w:w="413" w:type="pct"/>
          </w:tcPr>
          <w:p w:rsidR="00136390" w:rsidRPr="00CF288C" w:rsidRDefault="00136390" w:rsidP="00725200">
            <w:pPr>
              <w:jc w:val="center"/>
              <w:rPr>
                <w:rFonts w:cs="Times New Roman"/>
                <w:color w:val="000000"/>
                <w:sz w:val="20"/>
                <w:szCs w:val="20"/>
              </w:rPr>
            </w:pPr>
          </w:p>
        </w:tc>
        <w:tc>
          <w:tcPr>
            <w:tcW w:w="413" w:type="pct"/>
          </w:tcPr>
          <w:p w:rsidR="00136390" w:rsidRPr="00CF288C" w:rsidRDefault="00136390" w:rsidP="00725200">
            <w:pPr>
              <w:jc w:val="center"/>
              <w:rPr>
                <w:rFonts w:cs="Times New Roman"/>
                <w:color w:val="000000"/>
                <w:sz w:val="20"/>
                <w:szCs w:val="20"/>
              </w:rPr>
            </w:pPr>
          </w:p>
        </w:tc>
        <w:tc>
          <w:tcPr>
            <w:tcW w:w="505" w:type="pct"/>
          </w:tcPr>
          <w:p w:rsidR="00136390" w:rsidRPr="00CF288C" w:rsidRDefault="00136390" w:rsidP="00725200">
            <w:pPr>
              <w:jc w:val="center"/>
              <w:rPr>
                <w:rFonts w:cs="Times New Roman"/>
                <w:color w:val="000000"/>
                <w:sz w:val="20"/>
                <w:szCs w:val="20"/>
              </w:rPr>
            </w:pPr>
          </w:p>
        </w:tc>
        <w:tc>
          <w:tcPr>
            <w:tcW w:w="384" w:type="pct"/>
          </w:tcPr>
          <w:p w:rsidR="00136390" w:rsidRPr="00CF288C" w:rsidRDefault="00136390" w:rsidP="00725200">
            <w:pPr>
              <w:jc w:val="center"/>
              <w:rPr>
                <w:rFonts w:cs="Times New Roman"/>
                <w:color w:val="000000"/>
                <w:sz w:val="20"/>
                <w:szCs w:val="20"/>
              </w:rPr>
            </w:pPr>
          </w:p>
        </w:tc>
        <w:tc>
          <w:tcPr>
            <w:tcW w:w="421" w:type="pct"/>
          </w:tcPr>
          <w:p w:rsidR="00136390" w:rsidRPr="00CF288C" w:rsidRDefault="00136390" w:rsidP="00725200">
            <w:pPr>
              <w:jc w:val="center"/>
              <w:rPr>
                <w:rFonts w:cs="Times New Roman"/>
                <w:color w:val="000000"/>
                <w:sz w:val="20"/>
                <w:szCs w:val="20"/>
              </w:rPr>
            </w:pPr>
          </w:p>
        </w:tc>
        <w:tc>
          <w:tcPr>
            <w:tcW w:w="556" w:type="pct"/>
          </w:tcPr>
          <w:p w:rsidR="00136390" w:rsidRPr="00CF288C" w:rsidRDefault="00136390" w:rsidP="00725200">
            <w:pPr>
              <w:jc w:val="center"/>
              <w:rPr>
                <w:rFonts w:cs="Times New Roman"/>
                <w:color w:val="000000"/>
                <w:sz w:val="20"/>
                <w:szCs w:val="20"/>
              </w:rPr>
            </w:pPr>
          </w:p>
        </w:tc>
      </w:tr>
      <w:tr w:rsidR="00136390" w:rsidRPr="00CF288C" w:rsidTr="00725200">
        <w:tc>
          <w:tcPr>
            <w:tcW w:w="555" w:type="pct"/>
            <w:vAlign w:val="center"/>
          </w:tcPr>
          <w:p w:rsidR="00136390" w:rsidRPr="00AD6F97" w:rsidRDefault="00136390" w:rsidP="00725200">
            <w:pPr>
              <w:spacing w:line="240" w:lineRule="auto"/>
              <w:rPr>
                <w:rFonts w:ascii="Cambria Math" w:hAnsi="Cambria Math" w:cs="Times New Roman"/>
                <w:b/>
                <w:sz w:val="20"/>
                <w:szCs w:val="20"/>
              </w:rPr>
            </w:pPr>
            <w:r w:rsidRPr="00AD6F97">
              <w:rPr>
                <w:rFonts w:ascii="Cambria Math" w:hAnsi="Cambria Math" w:cs="Times New Roman"/>
                <w:b/>
                <w:i/>
                <w:sz w:val="20"/>
                <w:szCs w:val="20"/>
              </w:rPr>
              <w:t>EDS</w:t>
            </w:r>
            <w:r w:rsidRPr="00AD6F97">
              <w:rPr>
                <w:rFonts w:ascii="Cambria Math" w:hAnsi="Cambria Math" w:cs="Times New Roman"/>
                <w:i/>
                <w:sz w:val="20"/>
                <w:szCs w:val="20"/>
                <w:vertAlign w:val="subscript"/>
              </w:rPr>
              <w:t>i,t</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-.013</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w:t>
            </w:r>
          </w:p>
        </w:tc>
        <w:tc>
          <w:tcPr>
            <w:tcW w:w="413" w:type="pct"/>
          </w:tcPr>
          <w:p w:rsidR="00136390" w:rsidRPr="00CF288C" w:rsidRDefault="00136390" w:rsidP="00725200">
            <w:pPr>
              <w:jc w:val="center"/>
              <w:rPr>
                <w:rFonts w:cs="Times New Roman"/>
                <w:color w:val="000000"/>
                <w:sz w:val="20"/>
                <w:szCs w:val="20"/>
              </w:rPr>
            </w:pPr>
          </w:p>
        </w:tc>
        <w:tc>
          <w:tcPr>
            <w:tcW w:w="514" w:type="pct"/>
          </w:tcPr>
          <w:p w:rsidR="00136390" w:rsidRPr="00CF288C" w:rsidRDefault="00136390" w:rsidP="00725200">
            <w:pPr>
              <w:jc w:val="center"/>
              <w:rPr>
                <w:rFonts w:cs="Times New Roman"/>
                <w:color w:val="000000"/>
                <w:sz w:val="20"/>
                <w:szCs w:val="20"/>
              </w:rPr>
            </w:pPr>
          </w:p>
        </w:tc>
        <w:tc>
          <w:tcPr>
            <w:tcW w:w="413" w:type="pct"/>
          </w:tcPr>
          <w:p w:rsidR="00136390" w:rsidRPr="00CF288C" w:rsidRDefault="00136390" w:rsidP="00725200">
            <w:pPr>
              <w:jc w:val="center"/>
              <w:rPr>
                <w:rFonts w:cs="Times New Roman"/>
                <w:color w:val="000000"/>
                <w:sz w:val="20"/>
                <w:szCs w:val="20"/>
              </w:rPr>
            </w:pPr>
          </w:p>
        </w:tc>
        <w:tc>
          <w:tcPr>
            <w:tcW w:w="413" w:type="pct"/>
          </w:tcPr>
          <w:p w:rsidR="00136390" w:rsidRPr="00CF288C" w:rsidRDefault="00136390" w:rsidP="00725200">
            <w:pPr>
              <w:jc w:val="center"/>
              <w:rPr>
                <w:rFonts w:cs="Times New Roman"/>
                <w:color w:val="000000"/>
                <w:sz w:val="20"/>
                <w:szCs w:val="20"/>
              </w:rPr>
            </w:pPr>
          </w:p>
        </w:tc>
        <w:tc>
          <w:tcPr>
            <w:tcW w:w="505" w:type="pct"/>
          </w:tcPr>
          <w:p w:rsidR="00136390" w:rsidRPr="00CF288C" w:rsidRDefault="00136390" w:rsidP="00725200">
            <w:pPr>
              <w:jc w:val="center"/>
              <w:rPr>
                <w:rFonts w:cs="Times New Roman"/>
                <w:color w:val="000000"/>
                <w:sz w:val="20"/>
                <w:szCs w:val="20"/>
              </w:rPr>
            </w:pPr>
          </w:p>
        </w:tc>
        <w:tc>
          <w:tcPr>
            <w:tcW w:w="384" w:type="pct"/>
          </w:tcPr>
          <w:p w:rsidR="00136390" w:rsidRPr="00CF288C" w:rsidRDefault="00136390" w:rsidP="00725200">
            <w:pPr>
              <w:jc w:val="center"/>
              <w:rPr>
                <w:rFonts w:cs="Times New Roman"/>
                <w:color w:val="000000"/>
                <w:sz w:val="20"/>
                <w:szCs w:val="20"/>
              </w:rPr>
            </w:pPr>
          </w:p>
        </w:tc>
        <w:tc>
          <w:tcPr>
            <w:tcW w:w="421" w:type="pct"/>
          </w:tcPr>
          <w:p w:rsidR="00136390" w:rsidRPr="00CF288C" w:rsidRDefault="00136390" w:rsidP="00725200">
            <w:pPr>
              <w:jc w:val="center"/>
              <w:rPr>
                <w:rFonts w:cs="Times New Roman"/>
                <w:color w:val="000000"/>
                <w:sz w:val="20"/>
                <w:szCs w:val="20"/>
              </w:rPr>
            </w:pPr>
          </w:p>
        </w:tc>
        <w:tc>
          <w:tcPr>
            <w:tcW w:w="556" w:type="pct"/>
          </w:tcPr>
          <w:p w:rsidR="00136390" w:rsidRPr="00CF288C" w:rsidRDefault="00136390" w:rsidP="00725200">
            <w:pPr>
              <w:jc w:val="center"/>
              <w:rPr>
                <w:rFonts w:cs="Times New Roman"/>
                <w:color w:val="000000"/>
                <w:sz w:val="20"/>
                <w:szCs w:val="20"/>
              </w:rPr>
            </w:pPr>
          </w:p>
        </w:tc>
      </w:tr>
      <w:tr w:rsidR="00136390" w:rsidRPr="00CF288C" w:rsidTr="00725200">
        <w:tc>
          <w:tcPr>
            <w:tcW w:w="555" w:type="pct"/>
            <w:vAlign w:val="center"/>
          </w:tcPr>
          <w:p w:rsidR="00136390" w:rsidRPr="00AD6F97" w:rsidRDefault="00136390" w:rsidP="00725200">
            <w:pPr>
              <w:spacing w:line="240" w:lineRule="auto"/>
              <w:rPr>
                <w:rFonts w:ascii="Cambria Math" w:hAnsi="Cambria Math" w:cs="Times New Roman"/>
                <w:sz w:val="20"/>
                <w:szCs w:val="20"/>
              </w:rPr>
            </w:pPr>
            <w:r w:rsidRPr="00AD6F97">
              <w:rPr>
                <w:rFonts w:ascii="Cambria Math" w:hAnsi="Cambria Math" w:cs="Times New Roman"/>
                <w:sz w:val="20"/>
                <w:szCs w:val="20"/>
              </w:rPr>
              <w:t>BI</w:t>
            </w:r>
            <w:r w:rsidRPr="00AD6F97">
              <w:rPr>
                <w:rFonts w:ascii="Cambria Math" w:hAnsi="Cambria Math" w:cs="Times New Roman"/>
                <w:i/>
                <w:sz w:val="20"/>
                <w:szCs w:val="20"/>
                <w:vertAlign w:val="subscript"/>
              </w:rPr>
              <w:t>i,t</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-.030</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-.501**</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w:t>
            </w:r>
          </w:p>
        </w:tc>
        <w:tc>
          <w:tcPr>
            <w:tcW w:w="514" w:type="pct"/>
          </w:tcPr>
          <w:p w:rsidR="00136390" w:rsidRPr="00CF288C" w:rsidRDefault="00136390" w:rsidP="00725200">
            <w:pPr>
              <w:jc w:val="center"/>
              <w:rPr>
                <w:rFonts w:cs="Times New Roman"/>
                <w:color w:val="000000"/>
                <w:sz w:val="20"/>
                <w:szCs w:val="20"/>
              </w:rPr>
            </w:pPr>
          </w:p>
        </w:tc>
        <w:tc>
          <w:tcPr>
            <w:tcW w:w="413" w:type="pct"/>
          </w:tcPr>
          <w:p w:rsidR="00136390" w:rsidRPr="00CF288C" w:rsidRDefault="00136390" w:rsidP="00725200">
            <w:pPr>
              <w:jc w:val="center"/>
              <w:rPr>
                <w:rFonts w:cs="Times New Roman"/>
                <w:color w:val="000000"/>
                <w:sz w:val="20"/>
                <w:szCs w:val="20"/>
              </w:rPr>
            </w:pPr>
          </w:p>
        </w:tc>
        <w:tc>
          <w:tcPr>
            <w:tcW w:w="413" w:type="pct"/>
          </w:tcPr>
          <w:p w:rsidR="00136390" w:rsidRPr="00CF288C" w:rsidRDefault="00136390" w:rsidP="00725200">
            <w:pPr>
              <w:jc w:val="center"/>
              <w:rPr>
                <w:rFonts w:cs="Times New Roman"/>
                <w:color w:val="000000"/>
                <w:sz w:val="20"/>
                <w:szCs w:val="20"/>
              </w:rPr>
            </w:pPr>
          </w:p>
        </w:tc>
        <w:tc>
          <w:tcPr>
            <w:tcW w:w="505" w:type="pct"/>
          </w:tcPr>
          <w:p w:rsidR="00136390" w:rsidRPr="00CF288C" w:rsidRDefault="00136390" w:rsidP="00725200">
            <w:pPr>
              <w:jc w:val="center"/>
              <w:rPr>
                <w:rFonts w:cs="Times New Roman"/>
                <w:color w:val="000000"/>
                <w:sz w:val="20"/>
                <w:szCs w:val="20"/>
              </w:rPr>
            </w:pPr>
          </w:p>
        </w:tc>
        <w:tc>
          <w:tcPr>
            <w:tcW w:w="384" w:type="pct"/>
          </w:tcPr>
          <w:p w:rsidR="00136390" w:rsidRPr="00CF288C" w:rsidRDefault="00136390" w:rsidP="00725200">
            <w:pPr>
              <w:jc w:val="center"/>
              <w:rPr>
                <w:rFonts w:cs="Times New Roman"/>
                <w:color w:val="000000"/>
                <w:sz w:val="20"/>
                <w:szCs w:val="20"/>
              </w:rPr>
            </w:pPr>
          </w:p>
        </w:tc>
        <w:tc>
          <w:tcPr>
            <w:tcW w:w="421" w:type="pct"/>
          </w:tcPr>
          <w:p w:rsidR="00136390" w:rsidRPr="00CF288C" w:rsidRDefault="00136390" w:rsidP="00725200">
            <w:pPr>
              <w:jc w:val="center"/>
              <w:rPr>
                <w:rFonts w:cs="Times New Roman"/>
                <w:color w:val="000000"/>
                <w:sz w:val="20"/>
                <w:szCs w:val="20"/>
              </w:rPr>
            </w:pPr>
          </w:p>
        </w:tc>
        <w:tc>
          <w:tcPr>
            <w:tcW w:w="556" w:type="pct"/>
          </w:tcPr>
          <w:p w:rsidR="00136390" w:rsidRPr="00CF288C" w:rsidRDefault="00136390" w:rsidP="00725200">
            <w:pPr>
              <w:jc w:val="center"/>
              <w:rPr>
                <w:rFonts w:cs="Times New Roman"/>
                <w:color w:val="000000"/>
                <w:sz w:val="20"/>
                <w:szCs w:val="20"/>
              </w:rPr>
            </w:pPr>
          </w:p>
        </w:tc>
      </w:tr>
      <w:tr w:rsidR="00136390" w:rsidRPr="00CF288C" w:rsidTr="00725200">
        <w:tc>
          <w:tcPr>
            <w:tcW w:w="555" w:type="pct"/>
            <w:vAlign w:val="center"/>
          </w:tcPr>
          <w:p w:rsidR="00136390" w:rsidRPr="00AD6F97" w:rsidRDefault="00136390" w:rsidP="00725200">
            <w:pPr>
              <w:spacing w:line="240" w:lineRule="auto"/>
              <w:rPr>
                <w:rFonts w:ascii="Cambria Math" w:hAnsi="Cambria Math" w:cs="Times New Roman"/>
                <w:sz w:val="20"/>
                <w:szCs w:val="20"/>
              </w:rPr>
            </w:pPr>
            <w:r w:rsidRPr="00AD6F97">
              <w:rPr>
                <w:rFonts w:ascii="Cambria Math" w:hAnsi="Cambria Math" w:cs="Times New Roman"/>
                <w:sz w:val="20"/>
                <w:szCs w:val="20"/>
              </w:rPr>
              <w:t>CEO-dummy</w:t>
            </w:r>
            <w:r w:rsidRPr="00AD6F97">
              <w:rPr>
                <w:rFonts w:ascii="Cambria Math" w:hAnsi="Cambria Math" w:cs="Times New Roman"/>
                <w:i/>
                <w:sz w:val="20"/>
                <w:szCs w:val="20"/>
                <w:vertAlign w:val="subscript"/>
              </w:rPr>
              <w:t>i,t</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-.067**</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-.012</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.019</w:t>
            </w:r>
          </w:p>
        </w:tc>
        <w:tc>
          <w:tcPr>
            <w:tcW w:w="514"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p>
        </w:tc>
        <w:tc>
          <w:tcPr>
            <w:tcW w:w="505"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p>
        </w:tc>
        <w:tc>
          <w:tcPr>
            <w:tcW w:w="384"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p>
        </w:tc>
        <w:tc>
          <w:tcPr>
            <w:tcW w:w="421"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p>
        </w:tc>
        <w:tc>
          <w:tcPr>
            <w:tcW w:w="556"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p>
        </w:tc>
      </w:tr>
      <w:tr w:rsidR="00136390" w:rsidRPr="00CF288C" w:rsidTr="00725200">
        <w:tc>
          <w:tcPr>
            <w:tcW w:w="555" w:type="pct"/>
            <w:vAlign w:val="center"/>
          </w:tcPr>
          <w:p w:rsidR="00136390" w:rsidRPr="00AD6F97" w:rsidRDefault="00136390" w:rsidP="00725200">
            <w:pPr>
              <w:spacing w:line="240" w:lineRule="auto"/>
              <w:rPr>
                <w:rFonts w:ascii="Cambria Math" w:hAnsi="Cambria Math" w:cs="Times New Roman"/>
                <w:b/>
                <w:i/>
                <w:sz w:val="20"/>
                <w:szCs w:val="20"/>
              </w:rPr>
            </w:pPr>
            <w:r w:rsidRPr="00AD6F97">
              <w:rPr>
                <w:rFonts w:ascii="Cambria Math" w:hAnsi="Cambria Math" w:cs="Times New Roman"/>
                <w:b/>
                <w:i/>
                <w:sz w:val="20"/>
                <w:szCs w:val="20"/>
              </w:rPr>
              <w:t>NEDS</w:t>
            </w:r>
            <w:r w:rsidRPr="00AD6F97">
              <w:rPr>
                <w:rFonts w:ascii="Cambria Math" w:hAnsi="Cambria Math" w:cs="Times New Roman"/>
                <w:i/>
                <w:sz w:val="20"/>
                <w:szCs w:val="20"/>
                <w:vertAlign w:val="subscript"/>
              </w:rPr>
              <w:t>i,t</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-.130**</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-.138**</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.242**</w:t>
            </w:r>
          </w:p>
        </w:tc>
        <w:tc>
          <w:tcPr>
            <w:tcW w:w="514"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.014</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w:t>
            </w:r>
          </w:p>
        </w:tc>
        <w:tc>
          <w:tcPr>
            <w:tcW w:w="413" w:type="pct"/>
          </w:tcPr>
          <w:p w:rsidR="00136390" w:rsidRPr="00CF288C" w:rsidRDefault="00136390" w:rsidP="00725200">
            <w:pPr>
              <w:jc w:val="center"/>
              <w:rPr>
                <w:rFonts w:cs="Times New Roman"/>
                <w:color w:val="000000"/>
                <w:sz w:val="20"/>
                <w:szCs w:val="20"/>
              </w:rPr>
            </w:pPr>
          </w:p>
        </w:tc>
        <w:tc>
          <w:tcPr>
            <w:tcW w:w="505" w:type="pct"/>
          </w:tcPr>
          <w:p w:rsidR="00136390" w:rsidRPr="00CF288C" w:rsidRDefault="00136390" w:rsidP="00725200">
            <w:pPr>
              <w:jc w:val="center"/>
              <w:rPr>
                <w:rFonts w:cs="Times New Roman"/>
                <w:color w:val="000000"/>
                <w:sz w:val="20"/>
                <w:szCs w:val="20"/>
              </w:rPr>
            </w:pPr>
          </w:p>
        </w:tc>
        <w:tc>
          <w:tcPr>
            <w:tcW w:w="384" w:type="pct"/>
          </w:tcPr>
          <w:p w:rsidR="00136390" w:rsidRPr="00CF288C" w:rsidRDefault="00136390" w:rsidP="00725200">
            <w:pPr>
              <w:jc w:val="center"/>
              <w:rPr>
                <w:rFonts w:cs="Times New Roman"/>
                <w:color w:val="000000"/>
                <w:sz w:val="20"/>
                <w:szCs w:val="20"/>
              </w:rPr>
            </w:pPr>
          </w:p>
        </w:tc>
        <w:tc>
          <w:tcPr>
            <w:tcW w:w="421" w:type="pct"/>
          </w:tcPr>
          <w:p w:rsidR="00136390" w:rsidRPr="00CF288C" w:rsidRDefault="00136390" w:rsidP="00725200">
            <w:pPr>
              <w:jc w:val="center"/>
              <w:rPr>
                <w:rFonts w:cs="Times New Roman"/>
                <w:color w:val="000000"/>
                <w:sz w:val="20"/>
                <w:szCs w:val="20"/>
              </w:rPr>
            </w:pPr>
          </w:p>
        </w:tc>
        <w:tc>
          <w:tcPr>
            <w:tcW w:w="556" w:type="pct"/>
          </w:tcPr>
          <w:p w:rsidR="00136390" w:rsidRPr="00CF288C" w:rsidRDefault="00136390" w:rsidP="00725200">
            <w:pPr>
              <w:jc w:val="center"/>
              <w:rPr>
                <w:rFonts w:cs="Times New Roman"/>
                <w:color w:val="000000"/>
                <w:sz w:val="20"/>
                <w:szCs w:val="20"/>
              </w:rPr>
            </w:pPr>
          </w:p>
        </w:tc>
      </w:tr>
      <w:tr w:rsidR="00136390" w:rsidRPr="00CF288C" w:rsidTr="00725200">
        <w:tc>
          <w:tcPr>
            <w:tcW w:w="555" w:type="pct"/>
            <w:vAlign w:val="center"/>
          </w:tcPr>
          <w:p w:rsidR="00136390" w:rsidRPr="00AD6F97" w:rsidRDefault="00136390" w:rsidP="00725200">
            <w:pPr>
              <w:spacing w:line="240" w:lineRule="auto"/>
              <w:rPr>
                <w:rFonts w:ascii="Cambria Math" w:hAnsi="Cambria Math" w:cs="Times New Roman"/>
                <w:sz w:val="20"/>
                <w:szCs w:val="20"/>
              </w:rPr>
            </w:pPr>
            <w:r w:rsidRPr="00AD6F97">
              <w:rPr>
                <w:rFonts w:ascii="Cambria Math" w:hAnsi="Cambria Math" w:cs="Times New Roman"/>
                <w:sz w:val="20"/>
                <w:szCs w:val="20"/>
              </w:rPr>
              <w:t>Insider</w:t>
            </w:r>
            <w:r w:rsidRPr="00AD6F97">
              <w:rPr>
                <w:rFonts w:ascii="Cambria Math" w:hAnsi="Cambria Math" w:cs="Times New Roman"/>
                <w:i/>
                <w:sz w:val="20"/>
                <w:szCs w:val="20"/>
                <w:vertAlign w:val="subscript"/>
              </w:rPr>
              <w:t>i,t</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.049**</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.347**</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-.443**</w:t>
            </w:r>
          </w:p>
        </w:tc>
        <w:tc>
          <w:tcPr>
            <w:tcW w:w="514"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.034*</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-.246**</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w:t>
            </w:r>
          </w:p>
        </w:tc>
        <w:tc>
          <w:tcPr>
            <w:tcW w:w="505" w:type="pct"/>
          </w:tcPr>
          <w:p w:rsidR="00136390" w:rsidRPr="00CF288C" w:rsidRDefault="00136390" w:rsidP="00725200">
            <w:pPr>
              <w:jc w:val="center"/>
              <w:rPr>
                <w:rFonts w:cs="Times New Roman"/>
                <w:color w:val="000000"/>
                <w:sz w:val="20"/>
                <w:szCs w:val="20"/>
              </w:rPr>
            </w:pPr>
          </w:p>
        </w:tc>
        <w:tc>
          <w:tcPr>
            <w:tcW w:w="384" w:type="pct"/>
          </w:tcPr>
          <w:p w:rsidR="00136390" w:rsidRPr="00CF288C" w:rsidRDefault="00136390" w:rsidP="00725200">
            <w:pPr>
              <w:jc w:val="center"/>
              <w:rPr>
                <w:rFonts w:cs="Times New Roman"/>
                <w:color w:val="000000"/>
                <w:sz w:val="20"/>
                <w:szCs w:val="20"/>
              </w:rPr>
            </w:pPr>
          </w:p>
        </w:tc>
        <w:tc>
          <w:tcPr>
            <w:tcW w:w="421" w:type="pct"/>
          </w:tcPr>
          <w:p w:rsidR="00136390" w:rsidRPr="00CF288C" w:rsidRDefault="00136390" w:rsidP="00725200">
            <w:pPr>
              <w:jc w:val="center"/>
              <w:rPr>
                <w:rFonts w:cs="Times New Roman"/>
                <w:color w:val="000000"/>
                <w:sz w:val="20"/>
                <w:szCs w:val="20"/>
              </w:rPr>
            </w:pPr>
          </w:p>
        </w:tc>
        <w:tc>
          <w:tcPr>
            <w:tcW w:w="556" w:type="pct"/>
          </w:tcPr>
          <w:p w:rsidR="00136390" w:rsidRPr="00CF288C" w:rsidRDefault="00136390" w:rsidP="00725200">
            <w:pPr>
              <w:jc w:val="center"/>
              <w:rPr>
                <w:rFonts w:cs="Times New Roman"/>
                <w:color w:val="000000"/>
                <w:sz w:val="20"/>
                <w:szCs w:val="20"/>
              </w:rPr>
            </w:pPr>
          </w:p>
        </w:tc>
      </w:tr>
      <w:tr w:rsidR="00136390" w:rsidRPr="00CF288C" w:rsidTr="00725200">
        <w:tc>
          <w:tcPr>
            <w:tcW w:w="555" w:type="pct"/>
            <w:vAlign w:val="center"/>
          </w:tcPr>
          <w:p w:rsidR="00136390" w:rsidRPr="00AD6F97" w:rsidRDefault="00136390" w:rsidP="00725200">
            <w:pPr>
              <w:spacing w:line="240" w:lineRule="auto"/>
              <w:rPr>
                <w:rFonts w:ascii="Cambria Math" w:hAnsi="Cambria Math" w:cs="Times New Roman"/>
                <w:sz w:val="20"/>
                <w:szCs w:val="20"/>
              </w:rPr>
            </w:pPr>
            <w:r w:rsidRPr="00AD6F97">
              <w:rPr>
                <w:rFonts w:ascii="Cambria Math" w:hAnsi="Cambria Math" w:cs="Times New Roman"/>
                <w:sz w:val="20"/>
                <w:szCs w:val="20"/>
              </w:rPr>
              <w:t>Block-holder</w:t>
            </w:r>
            <w:r w:rsidRPr="00AD6F97">
              <w:rPr>
                <w:rFonts w:ascii="Cambria Math" w:hAnsi="Cambria Math" w:cs="Times New Roman"/>
                <w:i/>
                <w:sz w:val="20"/>
                <w:szCs w:val="20"/>
                <w:vertAlign w:val="subscript"/>
              </w:rPr>
              <w:t>i,t</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.038*</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-.132**</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.071**</w:t>
            </w:r>
          </w:p>
        </w:tc>
        <w:tc>
          <w:tcPr>
            <w:tcW w:w="514"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-.121**</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-.089**</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-.288**</w:t>
            </w:r>
          </w:p>
        </w:tc>
        <w:tc>
          <w:tcPr>
            <w:tcW w:w="505"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w:t>
            </w:r>
          </w:p>
        </w:tc>
        <w:tc>
          <w:tcPr>
            <w:tcW w:w="384" w:type="pct"/>
          </w:tcPr>
          <w:p w:rsidR="00136390" w:rsidRPr="00CF288C" w:rsidRDefault="00136390" w:rsidP="00725200">
            <w:pPr>
              <w:jc w:val="center"/>
              <w:rPr>
                <w:rFonts w:cs="Times New Roman"/>
                <w:color w:val="000000"/>
                <w:sz w:val="20"/>
                <w:szCs w:val="20"/>
              </w:rPr>
            </w:pPr>
          </w:p>
        </w:tc>
        <w:tc>
          <w:tcPr>
            <w:tcW w:w="421" w:type="pct"/>
          </w:tcPr>
          <w:p w:rsidR="00136390" w:rsidRPr="00CF288C" w:rsidRDefault="00136390" w:rsidP="00725200">
            <w:pPr>
              <w:jc w:val="center"/>
              <w:rPr>
                <w:rFonts w:cs="Times New Roman"/>
                <w:color w:val="000000"/>
                <w:sz w:val="20"/>
                <w:szCs w:val="20"/>
              </w:rPr>
            </w:pPr>
          </w:p>
        </w:tc>
        <w:tc>
          <w:tcPr>
            <w:tcW w:w="556" w:type="pct"/>
          </w:tcPr>
          <w:p w:rsidR="00136390" w:rsidRPr="00CF288C" w:rsidRDefault="00136390" w:rsidP="00725200">
            <w:pPr>
              <w:jc w:val="center"/>
              <w:rPr>
                <w:rFonts w:cs="Times New Roman"/>
                <w:color w:val="000000"/>
                <w:sz w:val="20"/>
                <w:szCs w:val="20"/>
              </w:rPr>
            </w:pPr>
          </w:p>
        </w:tc>
      </w:tr>
      <w:tr w:rsidR="00136390" w:rsidRPr="00CF288C" w:rsidTr="00725200">
        <w:tc>
          <w:tcPr>
            <w:tcW w:w="555" w:type="pct"/>
            <w:vAlign w:val="center"/>
          </w:tcPr>
          <w:p w:rsidR="00136390" w:rsidRPr="00AD6F97" w:rsidRDefault="00136390" w:rsidP="00725200">
            <w:pPr>
              <w:spacing w:line="240" w:lineRule="auto"/>
              <w:rPr>
                <w:rFonts w:ascii="Cambria Math" w:hAnsi="Cambria Math" w:cs="Times New Roman"/>
                <w:sz w:val="20"/>
                <w:szCs w:val="20"/>
              </w:rPr>
            </w:pPr>
            <w:r w:rsidRPr="00AD6F97">
              <w:rPr>
                <w:rFonts w:ascii="Cambria Math" w:hAnsi="Cambria Math" w:cs="Times New Roman"/>
                <w:sz w:val="20"/>
                <w:szCs w:val="20"/>
              </w:rPr>
              <w:t>FS</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-.178**</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.010</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.144**</w:t>
            </w:r>
          </w:p>
        </w:tc>
        <w:tc>
          <w:tcPr>
            <w:tcW w:w="514"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.142**</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.525**</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-.237**</w:t>
            </w:r>
          </w:p>
        </w:tc>
        <w:tc>
          <w:tcPr>
            <w:tcW w:w="505"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-.265**</w:t>
            </w:r>
          </w:p>
        </w:tc>
        <w:tc>
          <w:tcPr>
            <w:tcW w:w="384"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w:t>
            </w:r>
          </w:p>
        </w:tc>
        <w:tc>
          <w:tcPr>
            <w:tcW w:w="421" w:type="pct"/>
          </w:tcPr>
          <w:p w:rsidR="00136390" w:rsidRPr="00CF288C" w:rsidRDefault="00136390" w:rsidP="00725200">
            <w:pPr>
              <w:jc w:val="center"/>
              <w:rPr>
                <w:rFonts w:cs="Times New Roman"/>
                <w:color w:val="000000"/>
                <w:sz w:val="20"/>
                <w:szCs w:val="20"/>
              </w:rPr>
            </w:pPr>
          </w:p>
        </w:tc>
        <w:tc>
          <w:tcPr>
            <w:tcW w:w="556" w:type="pct"/>
          </w:tcPr>
          <w:p w:rsidR="00136390" w:rsidRPr="00CF288C" w:rsidRDefault="00136390" w:rsidP="00725200">
            <w:pPr>
              <w:jc w:val="center"/>
              <w:rPr>
                <w:rFonts w:cs="Times New Roman"/>
                <w:color w:val="000000"/>
                <w:sz w:val="20"/>
                <w:szCs w:val="20"/>
              </w:rPr>
            </w:pPr>
          </w:p>
        </w:tc>
      </w:tr>
      <w:tr w:rsidR="00136390" w:rsidRPr="00CF288C" w:rsidTr="00725200">
        <w:tc>
          <w:tcPr>
            <w:tcW w:w="555" w:type="pct"/>
            <w:vAlign w:val="center"/>
          </w:tcPr>
          <w:p w:rsidR="00136390" w:rsidRPr="00AD6F97" w:rsidRDefault="00136390" w:rsidP="00725200">
            <w:pPr>
              <w:spacing w:line="240" w:lineRule="auto"/>
              <w:rPr>
                <w:rFonts w:ascii="Cambria Math" w:hAnsi="Cambria Math" w:cs="Times New Roman"/>
                <w:sz w:val="20"/>
                <w:szCs w:val="20"/>
              </w:rPr>
            </w:pPr>
            <w:r w:rsidRPr="00AD6F97">
              <w:rPr>
                <w:rFonts w:ascii="Cambria Math" w:hAnsi="Cambria Math" w:cs="Times New Roman"/>
                <w:sz w:val="20"/>
                <w:szCs w:val="20"/>
              </w:rPr>
              <w:t>ROE</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.089**</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-.027</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.063**</w:t>
            </w:r>
          </w:p>
        </w:tc>
        <w:tc>
          <w:tcPr>
            <w:tcW w:w="514"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.027</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.109**</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-.036*</w:t>
            </w:r>
          </w:p>
        </w:tc>
        <w:tc>
          <w:tcPr>
            <w:tcW w:w="505"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-.087**</w:t>
            </w:r>
          </w:p>
        </w:tc>
        <w:tc>
          <w:tcPr>
            <w:tcW w:w="384"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.070**</w:t>
            </w:r>
          </w:p>
        </w:tc>
        <w:tc>
          <w:tcPr>
            <w:tcW w:w="421"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w:t>
            </w:r>
          </w:p>
        </w:tc>
        <w:tc>
          <w:tcPr>
            <w:tcW w:w="556" w:type="pct"/>
          </w:tcPr>
          <w:p w:rsidR="00136390" w:rsidRPr="00CF288C" w:rsidRDefault="00136390" w:rsidP="00725200">
            <w:pPr>
              <w:jc w:val="center"/>
              <w:rPr>
                <w:rFonts w:cs="Times New Roman"/>
                <w:color w:val="000000"/>
                <w:sz w:val="20"/>
                <w:szCs w:val="20"/>
              </w:rPr>
            </w:pPr>
          </w:p>
        </w:tc>
      </w:tr>
      <w:tr w:rsidR="00136390" w:rsidRPr="00CF288C" w:rsidTr="00725200">
        <w:tc>
          <w:tcPr>
            <w:tcW w:w="555" w:type="pct"/>
            <w:vAlign w:val="center"/>
          </w:tcPr>
          <w:p w:rsidR="00136390" w:rsidRPr="00AD6F97" w:rsidRDefault="00136390" w:rsidP="00725200">
            <w:pPr>
              <w:spacing w:line="240" w:lineRule="auto"/>
              <w:rPr>
                <w:rFonts w:ascii="Cambria Math" w:hAnsi="Cambria Math" w:cs="Times New Roman"/>
                <w:sz w:val="20"/>
                <w:szCs w:val="20"/>
              </w:rPr>
            </w:pPr>
            <w:r w:rsidRPr="00AD6F97">
              <w:rPr>
                <w:rFonts w:ascii="Cambria Math" w:hAnsi="Cambria Math" w:cs="Times New Roman"/>
                <w:sz w:val="20"/>
                <w:szCs w:val="20"/>
              </w:rPr>
              <w:t>Leverage</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-.029</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.048**</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-.069**</w:t>
            </w:r>
          </w:p>
        </w:tc>
        <w:tc>
          <w:tcPr>
            <w:tcW w:w="514"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-.019</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.095**</w:t>
            </w:r>
          </w:p>
        </w:tc>
        <w:tc>
          <w:tcPr>
            <w:tcW w:w="413"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.061**</w:t>
            </w:r>
          </w:p>
        </w:tc>
        <w:tc>
          <w:tcPr>
            <w:tcW w:w="505"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.068**</w:t>
            </w:r>
          </w:p>
        </w:tc>
        <w:tc>
          <w:tcPr>
            <w:tcW w:w="384"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.156**</w:t>
            </w:r>
          </w:p>
        </w:tc>
        <w:tc>
          <w:tcPr>
            <w:tcW w:w="421" w:type="pct"/>
            <w:vAlign w:val="center"/>
          </w:tcPr>
          <w:p w:rsidR="00136390" w:rsidRPr="00CF288C" w:rsidRDefault="00136390" w:rsidP="00725200">
            <w:pPr>
              <w:autoSpaceDE w:val="0"/>
              <w:autoSpaceDN w:val="0"/>
              <w:adjustRightInd w:val="0"/>
              <w:spacing w:line="320" w:lineRule="atLeast"/>
              <w:ind w:left="60" w:right="60"/>
              <w:jc w:val="center"/>
              <w:rPr>
                <w:rFonts w:cs="Times New Roman"/>
                <w:color w:val="000000"/>
                <w:sz w:val="20"/>
                <w:szCs w:val="20"/>
              </w:rPr>
            </w:pPr>
            <w:r w:rsidRPr="00CF288C">
              <w:rPr>
                <w:rFonts w:cs="Times New Roman"/>
                <w:color w:val="000000"/>
                <w:sz w:val="20"/>
                <w:szCs w:val="20"/>
              </w:rPr>
              <w:t>.185**</w:t>
            </w:r>
          </w:p>
        </w:tc>
        <w:tc>
          <w:tcPr>
            <w:tcW w:w="556" w:type="pct"/>
            <w:vAlign w:val="bottom"/>
          </w:tcPr>
          <w:p w:rsidR="00136390" w:rsidRPr="00CF288C" w:rsidRDefault="00136390" w:rsidP="00725200">
            <w:pPr>
              <w:jc w:val="center"/>
              <w:rPr>
                <w:rFonts w:cs="Times New Roman"/>
                <w:color w:val="000000"/>
                <w:sz w:val="20"/>
                <w:szCs w:val="20"/>
              </w:rPr>
            </w:pPr>
            <w:r w:rsidRPr="00CF288C">
              <w:rPr>
                <w:rFonts w:cs="Times New Roman"/>
                <w:color w:val="000000"/>
                <w:sz w:val="20"/>
                <w:szCs w:val="20"/>
              </w:rPr>
              <w:t>1</w:t>
            </w:r>
          </w:p>
        </w:tc>
      </w:tr>
      <w:tr w:rsidR="00136390" w:rsidRPr="00CF288C" w:rsidTr="00725200">
        <w:tc>
          <w:tcPr>
            <w:tcW w:w="5000" w:type="pct"/>
            <w:gridSpan w:val="11"/>
          </w:tcPr>
          <w:p w:rsidR="00136390" w:rsidRPr="00CF288C" w:rsidRDefault="00136390" w:rsidP="00725200">
            <w:pPr>
              <w:rPr>
                <w:rFonts w:cs="Times New Roman"/>
                <w:color w:val="000000"/>
                <w:sz w:val="20"/>
                <w:szCs w:val="20"/>
              </w:rPr>
            </w:pPr>
            <w:r w:rsidRPr="00CF288C">
              <w:rPr>
                <w:rFonts w:cs="Times New Roman"/>
                <w:color w:val="000000"/>
                <w:sz w:val="20"/>
                <w:szCs w:val="20"/>
              </w:rPr>
              <w:t>*. Correlation is significant at the 0.05 level (2-tailed).</w:t>
            </w:r>
          </w:p>
          <w:p w:rsidR="00136390" w:rsidRPr="00CF288C" w:rsidRDefault="00136390" w:rsidP="00725200">
            <w:pPr>
              <w:rPr>
                <w:rFonts w:cs="Times New Roman"/>
                <w:sz w:val="20"/>
                <w:szCs w:val="20"/>
              </w:rPr>
            </w:pPr>
            <w:r w:rsidRPr="00CF288C">
              <w:rPr>
                <w:rFonts w:cs="Times New Roman"/>
                <w:color w:val="000000"/>
                <w:sz w:val="20"/>
                <w:szCs w:val="20"/>
              </w:rPr>
              <w:t>**. Correlation is significant at the 0.01 level (2-tailed).</w:t>
            </w:r>
          </w:p>
        </w:tc>
      </w:tr>
    </w:tbl>
    <w:p w:rsidR="00CF288C" w:rsidRDefault="00CF288C" w:rsidP="00011443">
      <w:pPr>
        <w:rPr>
          <w:rFonts w:cs="Times New Roman"/>
          <w:szCs w:val="24"/>
        </w:rPr>
        <w:sectPr w:rsidR="00CF288C" w:rsidSect="00401E8D">
          <w:pgSz w:w="15840" w:h="12240" w:orient="landscape"/>
          <w:pgMar w:top="1440" w:right="864" w:bottom="1440" w:left="864" w:header="720" w:footer="720" w:gutter="0"/>
          <w:cols w:space="720"/>
          <w:docGrid w:linePitch="360"/>
        </w:sectPr>
      </w:pPr>
    </w:p>
    <w:p w:rsidR="00CF288C" w:rsidRPr="00CF288C" w:rsidRDefault="00CF288C" w:rsidP="00252752">
      <w:pPr>
        <w:pStyle w:val="Heading2"/>
      </w:pPr>
      <w:bookmarkStart w:id="46" w:name="_Toc400916068"/>
      <w:r w:rsidRPr="00CF288C">
        <w:lastRenderedPageBreak/>
        <w:t>Multicollinearity</w:t>
      </w:r>
      <w:r>
        <w:t xml:space="preserve"> </w:t>
      </w:r>
      <w:r w:rsidR="00A0390F">
        <w:rPr>
          <w:rFonts w:hint="eastAsia"/>
        </w:rPr>
        <w:t>t</w:t>
      </w:r>
      <w:r w:rsidR="00A0390F">
        <w:t>est</w:t>
      </w:r>
      <w:bookmarkEnd w:id="46"/>
    </w:p>
    <w:p w:rsidR="004F1A6B" w:rsidRDefault="004F1A6B" w:rsidP="004F1A6B">
      <w:r>
        <w:t xml:space="preserve">Multicollinearity problem exists when one variable is perfectly or highly associated with another </w:t>
      </w:r>
      <w:r w:rsidR="00C543A2">
        <w:t xml:space="preserve">variable in the regression </w:t>
      </w:r>
      <w:r w:rsidR="00333089">
        <w:t>model</w:t>
      </w:r>
      <w:r w:rsidR="00333089">
        <w:rPr>
          <w:rFonts w:cs="Times New Roman"/>
          <w:szCs w:val="24"/>
        </w:rPr>
        <w:t xml:space="preserve"> (</w:t>
      </w:r>
      <w:r w:rsidR="00333089">
        <w:rPr>
          <w:noProof/>
        </w:rPr>
        <w:t xml:space="preserve">Rashwan </w:t>
      </w:r>
      <w:r w:rsidR="00333089" w:rsidRPr="00333089">
        <w:rPr>
          <w:i/>
          <w:noProof/>
        </w:rPr>
        <w:t>et al</w:t>
      </w:r>
      <w:r w:rsidR="00333089">
        <w:rPr>
          <w:noProof/>
        </w:rPr>
        <w:t xml:space="preserve">., </w:t>
      </w:r>
      <w:r w:rsidR="00333089" w:rsidRPr="004B6E89">
        <w:rPr>
          <w:noProof/>
        </w:rPr>
        <w:t>2011</w:t>
      </w:r>
      <w:r w:rsidR="00333089">
        <w:rPr>
          <w:noProof/>
        </w:rPr>
        <w:t>)</w:t>
      </w:r>
      <w:r>
        <w:t xml:space="preserve">. Biased results </w:t>
      </w:r>
      <w:r w:rsidRPr="00E57A4B">
        <w:t xml:space="preserve">will be </w:t>
      </w:r>
      <w:r w:rsidR="00920EFC">
        <w:t>generated if the multicolli</w:t>
      </w:r>
      <w:r>
        <w:t>nearity problem exist</w:t>
      </w:r>
      <w:r>
        <w:rPr>
          <w:rFonts w:hint="eastAsia"/>
        </w:rPr>
        <w:t>s</w:t>
      </w:r>
      <w:r>
        <w:t xml:space="preserve"> in the regression research. Therefore, </w:t>
      </w:r>
      <w:r>
        <w:rPr>
          <w:rFonts w:hint="eastAsia"/>
        </w:rPr>
        <w:t>a</w:t>
      </w:r>
      <w:r>
        <w:t xml:space="preserve"> key step before perform</w:t>
      </w:r>
      <w:r>
        <w:rPr>
          <w:rFonts w:hint="eastAsia"/>
        </w:rPr>
        <w:t>ing</w:t>
      </w:r>
      <w:r>
        <w:t xml:space="preserve"> a regression model is to detect whether a multicollinearity problem exists or not.</w:t>
      </w:r>
    </w:p>
    <w:p w:rsidR="004F1A6B" w:rsidRPr="002F44C9" w:rsidRDefault="004F1A6B" w:rsidP="004F1A6B">
      <w:pPr>
        <w:rPr>
          <w:color w:val="FF0000"/>
        </w:rPr>
      </w:pPr>
      <w:r>
        <w:t>In order to reduce the likelihood of m</w:t>
      </w:r>
      <w:r w:rsidRPr="002B0BC8">
        <w:t>ulticollinearity</w:t>
      </w:r>
      <w:r>
        <w:t xml:space="preserve"> issue between independent variables and control variables, </w:t>
      </w:r>
      <w:r w:rsidR="005247FF">
        <w:t xml:space="preserve">the </w:t>
      </w:r>
      <w:r w:rsidRPr="0020682E">
        <w:t>collinearity diagnostics</w:t>
      </w:r>
      <w:r w:rsidR="005247FF">
        <w:t xml:space="preserve"> test</w:t>
      </w:r>
      <w:r>
        <w:t xml:space="preserve"> is performed by SPSS to detect whether this problem exists or not. </w:t>
      </w:r>
      <w:r w:rsidR="00AF2380" w:rsidRPr="004636DB">
        <w:t>One of independent variable</w:t>
      </w:r>
      <w:r w:rsidR="00890A14" w:rsidRPr="004636DB">
        <w:t>s</w:t>
      </w:r>
      <w:r w:rsidR="00AF2380" w:rsidRPr="004636DB">
        <w:t xml:space="preserve"> </w:t>
      </w:r>
      <w:r w:rsidR="00180415" w:rsidRPr="004636DB">
        <w:t>is</w:t>
      </w:r>
      <w:r w:rsidR="00AF2380" w:rsidRPr="004636DB">
        <w:t xml:space="preserve"> </w:t>
      </w:r>
      <w:r w:rsidR="00072139" w:rsidRPr="004636DB">
        <w:t>chosen</w:t>
      </w:r>
      <w:r w:rsidR="00AF2380" w:rsidRPr="004636DB">
        <w:t xml:space="preserve"> in</w:t>
      </w:r>
      <w:r w:rsidR="00180415" w:rsidRPr="004636DB">
        <w:t xml:space="preserve">to the dependent variable list while </w:t>
      </w:r>
      <w:r w:rsidR="00AF2380" w:rsidRPr="004636DB">
        <w:t xml:space="preserve">other independent variables and control variables </w:t>
      </w:r>
      <w:r w:rsidR="00180415" w:rsidRPr="004636DB">
        <w:t>are</w:t>
      </w:r>
      <w:r w:rsidR="00AF2380" w:rsidRPr="004636DB">
        <w:t xml:space="preserve"> imported into independent variable list. Then, </w:t>
      </w:r>
      <w:r w:rsidR="00C543A2" w:rsidRPr="004636DB">
        <w:t>a</w:t>
      </w:r>
      <w:r w:rsidR="00113EFB">
        <w:t xml:space="preserve"> </w:t>
      </w:r>
      <w:r w:rsidR="00AF2380" w:rsidRPr="004636DB">
        <w:t xml:space="preserve">collinearity diagnostics test is </w:t>
      </w:r>
      <w:r w:rsidR="004636DB" w:rsidRPr="004636DB">
        <w:t>implemented</w:t>
      </w:r>
      <w:r w:rsidR="005247FF">
        <w:t xml:space="preserve"> by SPSS</w:t>
      </w:r>
      <w:r w:rsidR="00890A14" w:rsidRPr="004636DB">
        <w:t>. Every independent variable and control variable follow this method to test the multicollinearity.</w:t>
      </w:r>
      <w:r w:rsidR="00890A14">
        <w:rPr>
          <w:color w:val="FF0000"/>
        </w:rPr>
        <w:t xml:space="preserve"> </w:t>
      </w:r>
      <w:r>
        <w:t>Table 6.</w:t>
      </w:r>
      <w:r>
        <w:rPr>
          <w:rFonts w:hint="eastAsia"/>
        </w:rPr>
        <w:t>6</w:t>
      </w:r>
      <w:r>
        <w:t xml:space="preserve"> and 6.</w:t>
      </w:r>
      <w:r>
        <w:rPr>
          <w:rFonts w:hint="eastAsia"/>
        </w:rPr>
        <w:t>7</w:t>
      </w:r>
      <w:r>
        <w:t xml:space="preserve"> show the results of this test</w:t>
      </w:r>
      <w:r>
        <w:rPr>
          <w:rFonts w:hint="eastAsia"/>
        </w:rPr>
        <w:t xml:space="preserve"> </w:t>
      </w:r>
      <w:r w:rsidRPr="00C85826">
        <w:rPr>
          <w:rFonts w:hint="eastAsia"/>
        </w:rPr>
        <w:t>for China and U.S. sample firms</w:t>
      </w:r>
      <w:r w:rsidRPr="00C85826">
        <w:t>.</w:t>
      </w:r>
      <w:r>
        <w:t xml:space="preserve"> </w:t>
      </w:r>
      <w:r w:rsidRPr="00C85826">
        <w:rPr>
          <w:rFonts w:hint="eastAsia"/>
        </w:rPr>
        <w:t xml:space="preserve">It is </w:t>
      </w:r>
      <w:r w:rsidRPr="00C85826">
        <w:t>necessary</w:t>
      </w:r>
      <w:r w:rsidRPr="00C85826">
        <w:rPr>
          <w:rFonts w:hint="eastAsia"/>
        </w:rPr>
        <w:t xml:space="preserve"> to check variance inflation factors (VIF) since it </w:t>
      </w:r>
      <w:r w:rsidR="00082E8D">
        <w:t xml:space="preserve">measures </w:t>
      </w:r>
      <w:r w:rsidRPr="00C85826">
        <w:rPr>
          <w:rFonts w:hint="eastAsia"/>
        </w:rPr>
        <w:t xml:space="preserve">how much the variance of the </w:t>
      </w:r>
      <w:r w:rsidRPr="00C85826">
        <w:t xml:space="preserve">estimated regression coefficients </w:t>
      </w:r>
      <w:r w:rsidRPr="00C85826">
        <w:rPr>
          <w:rFonts w:hint="eastAsia"/>
        </w:rPr>
        <w:t>is</w:t>
      </w:r>
      <w:r w:rsidRPr="00C85826">
        <w:t xml:space="preserve"> inflated </w:t>
      </w:r>
      <w:r w:rsidRPr="00C85826">
        <w:rPr>
          <w:rFonts w:hint="eastAsia"/>
        </w:rPr>
        <w:t>due to</w:t>
      </w:r>
      <w:r w:rsidRPr="00C85826">
        <w:t xml:space="preserve"> the multicollinearity</w:t>
      </w:r>
      <w:r w:rsidR="00D35FEA">
        <w:t xml:space="preserve"> </w:t>
      </w:r>
      <w:r w:rsidR="00D35FEA">
        <w:rPr>
          <w:rFonts w:cs="Times New Roman"/>
          <w:szCs w:val="24"/>
        </w:rPr>
        <w:t>(</w:t>
      </w:r>
      <w:r w:rsidR="00D35FEA" w:rsidRPr="00A80857">
        <w:rPr>
          <w:rFonts w:cs="Times New Roman"/>
          <w:szCs w:val="24"/>
        </w:rPr>
        <w:t>O’Brien, 2007</w:t>
      </w:r>
      <w:r w:rsidR="00D35FEA">
        <w:rPr>
          <w:rFonts w:cs="Times New Roman"/>
          <w:szCs w:val="24"/>
        </w:rPr>
        <w:t>).</w:t>
      </w:r>
      <w:r>
        <w:rPr>
          <w:rFonts w:hint="eastAsia"/>
        </w:rPr>
        <w:t xml:space="preserve"> </w:t>
      </w:r>
      <w:r>
        <w:t xml:space="preserve">When the multicollinearity issue exists, </w:t>
      </w:r>
      <w:r w:rsidRPr="00C85826">
        <w:t xml:space="preserve">VIF </w:t>
      </w:r>
      <w:r w:rsidRPr="00C85826">
        <w:rPr>
          <w:rFonts w:hint="eastAsia"/>
        </w:rPr>
        <w:t>of the variables in the test</w:t>
      </w:r>
      <w:r>
        <w:rPr>
          <w:rFonts w:hint="eastAsia"/>
        </w:rPr>
        <w:t xml:space="preserve"> </w:t>
      </w:r>
      <w:r>
        <w:t xml:space="preserve">will be quite </w:t>
      </w:r>
      <w:r w:rsidR="00D72622">
        <w:t>large. According to Berman (2006</w:t>
      </w:r>
      <w:r>
        <w:t xml:space="preserve">), if the value of VIF is from 1.0 to 2.0, the multicollinearity problem </w:t>
      </w:r>
      <w:r>
        <w:rPr>
          <w:rFonts w:hint="eastAsia"/>
        </w:rPr>
        <w:t xml:space="preserve">does </w:t>
      </w:r>
      <w:r>
        <w:t xml:space="preserve">not exist. </w:t>
      </w:r>
      <w:r w:rsidR="007B15BA" w:rsidRPr="00650FFA">
        <w:rPr>
          <w:color w:val="000000" w:themeColor="text1"/>
        </w:rPr>
        <w:t>For in</w:t>
      </w:r>
      <w:r w:rsidR="0007136A" w:rsidRPr="00650FFA">
        <w:rPr>
          <w:color w:val="000000" w:themeColor="text1"/>
        </w:rPr>
        <w:t>stance, in the first column of T</w:t>
      </w:r>
      <w:r w:rsidR="007B15BA" w:rsidRPr="00650FFA">
        <w:rPr>
          <w:color w:val="000000" w:themeColor="text1"/>
        </w:rPr>
        <w:t>able 6.6, board size (</w:t>
      </w:r>
      <w:r w:rsidR="007B15BA" w:rsidRPr="00FC4F0B">
        <w:rPr>
          <w:rFonts w:ascii="Cambria Math" w:hAnsi="Cambria Math" w:cs="Times New Roman"/>
          <w:b/>
          <w:i/>
          <w:color w:val="000000" w:themeColor="text1"/>
          <w:szCs w:val="20"/>
        </w:rPr>
        <w:t>BS</w:t>
      </w:r>
      <w:r w:rsidR="007B15BA" w:rsidRPr="00FC4F0B">
        <w:rPr>
          <w:rFonts w:ascii="Cambria Math" w:hAnsi="Cambria Math" w:cs="Times New Roman"/>
          <w:i/>
          <w:color w:val="000000" w:themeColor="text1"/>
          <w:szCs w:val="20"/>
          <w:vertAlign w:val="subscript"/>
        </w:rPr>
        <w:t>i,t</w:t>
      </w:r>
      <w:r w:rsidR="007B15BA" w:rsidRPr="00650FFA">
        <w:rPr>
          <w:color w:val="000000" w:themeColor="text1"/>
        </w:rPr>
        <w:t xml:space="preserve">) was </w:t>
      </w:r>
      <w:r w:rsidR="00EE4BFD" w:rsidRPr="00650FFA">
        <w:rPr>
          <w:color w:val="000000" w:themeColor="text1"/>
        </w:rPr>
        <w:t>inputted</w:t>
      </w:r>
      <w:r w:rsidR="007B15BA" w:rsidRPr="00650FFA">
        <w:rPr>
          <w:color w:val="000000" w:themeColor="text1"/>
        </w:rPr>
        <w:t xml:space="preserve"> into dependent variable list</w:t>
      </w:r>
      <w:r w:rsidR="00EE4BFD" w:rsidRPr="00650FFA">
        <w:rPr>
          <w:color w:val="000000" w:themeColor="text1"/>
        </w:rPr>
        <w:t xml:space="preserve"> and </w:t>
      </w:r>
      <w:r w:rsidR="007B15BA" w:rsidRPr="00650FFA">
        <w:rPr>
          <w:color w:val="000000" w:themeColor="text1"/>
        </w:rPr>
        <w:t>other variables were</w:t>
      </w:r>
      <w:r w:rsidR="0007136A" w:rsidRPr="00650FFA">
        <w:rPr>
          <w:color w:val="000000" w:themeColor="text1"/>
        </w:rPr>
        <w:t xml:space="preserve"> inputted</w:t>
      </w:r>
      <w:r w:rsidR="00EE4BFD" w:rsidRPr="00650FFA">
        <w:rPr>
          <w:color w:val="000000" w:themeColor="text1"/>
        </w:rPr>
        <w:t xml:space="preserve"> into independent variables list. Then, </w:t>
      </w:r>
      <w:r w:rsidR="008A6F4D" w:rsidRPr="00650FFA">
        <w:rPr>
          <w:color w:val="000000" w:themeColor="text1"/>
        </w:rPr>
        <w:t xml:space="preserve">the </w:t>
      </w:r>
      <w:r w:rsidR="00BE3E42" w:rsidRPr="00650FFA">
        <w:rPr>
          <w:color w:val="000000" w:themeColor="text1"/>
        </w:rPr>
        <w:t>c</w:t>
      </w:r>
      <w:r w:rsidR="00EE4BFD" w:rsidRPr="00650FFA">
        <w:rPr>
          <w:color w:val="000000" w:themeColor="text1"/>
        </w:rPr>
        <w:t>ollinearity diagnostics test was run by software SPSS.</w:t>
      </w:r>
      <w:r w:rsidR="00BE3E42" w:rsidRPr="00650FFA">
        <w:rPr>
          <w:color w:val="000000" w:themeColor="text1"/>
        </w:rPr>
        <w:t xml:space="preserve"> As observed in the second column, the value</w:t>
      </w:r>
      <w:r w:rsidR="00581E98" w:rsidRPr="00650FFA">
        <w:rPr>
          <w:color w:val="000000" w:themeColor="text1"/>
        </w:rPr>
        <w:t>s</w:t>
      </w:r>
      <w:r w:rsidR="00BE3E42" w:rsidRPr="00650FFA">
        <w:rPr>
          <w:color w:val="000000" w:themeColor="text1"/>
        </w:rPr>
        <w:t xml:space="preserve"> of VIF </w:t>
      </w:r>
      <w:r w:rsidR="002F44C9" w:rsidRPr="00650FFA">
        <w:rPr>
          <w:color w:val="000000" w:themeColor="text1"/>
        </w:rPr>
        <w:t xml:space="preserve">are all </w:t>
      </w:r>
      <w:r w:rsidR="0007136A" w:rsidRPr="00650FFA">
        <w:rPr>
          <w:color w:val="000000" w:themeColor="text1"/>
        </w:rPr>
        <w:t>falling into the range of</w:t>
      </w:r>
      <w:r w:rsidR="002F44C9" w:rsidRPr="00650FFA">
        <w:rPr>
          <w:color w:val="000000" w:themeColor="text1"/>
        </w:rPr>
        <w:t xml:space="preserve"> 1.0 to 2.0, which </w:t>
      </w:r>
      <w:r w:rsidR="006904AD" w:rsidRPr="00650FFA">
        <w:rPr>
          <w:color w:val="000000" w:themeColor="text1"/>
        </w:rPr>
        <w:t>mean</w:t>
      </w:r>
      <w:r w:rsidR="0007136A" w:rsidRPr="00650FFA">
        <w:rPr>
          <w:color w:val="000000" w:themeColor="text1"/>
        </w:rPr>
        <w:t>s</w:t>
      </w:r>
      <w:r w:rsidR="002F44C9" w:rsidRPr="00650FFA">
        <w:rPr>
          <w:color w:val="000000" w:themeColor="text1"/>
        </w:rPr>
        <w:t xml:space="preserve"> no multicollinearity problem.</w:t>
      </w:r>
      <w:r w:rsidR="002F44C9">
        <w:rPr>
          <w:color w:val="FF0000"/>
        </w:rPr>
        <w:t xml:space="preserve"> </w:t>
      </w:r>
      <w:r>
        <w:rPr>
          <w:rFonts w:hint="eastAsia"/>
        </w:rPr>
        <w:t xml:space="preserve">It can be found out that </w:t>
      </w:r>
      <w:r w:rsidR="006904AD">
        <w:t xml:space="preserve">other </w:t>
      </w:r>
      <w:r>
        <w:t>independent variables</w:t>
      </w:r>
      <w:r w:rsidR="00102944">
        <w:t xml:space="preserve"> and control </w:t>
      </w:r>
      <w:r w:rsidR="00C87410">
        <w:t>variables in</w:t>
      </w:r>
      <w:r>
        <w:t xml:space="preserve"> </w:t>
      </w:r>
      <w:r>
        <w:rPr>
          <w:rFonts w:hint="eastAsia"/>
        </w:rPr>
        <w:t>Table 6.6 and 6.7</w:t>
      </w:r>
      <w:r>
        <w:t xml:space="preserve"> have</w:t>
      </w:r>
      <w:r w:rsidR="006904AD">
        <w:t xml:space="preserve"> not</w:t>
      </w:r>
      <w:r>
        <w:t xml:space="preserve"> a VIF </w:t>
      </w:r>
      <w:r>
        <w:rPr>
          <w:rFonts w:hint="eastAsia"/>
        </w:rPr>
        <w:t>more than</w:t>
      </w:r>
      <w:r>
        <w:t xml:space="preserve"> 2, which indicates </w:t>
      </w:r>
      <w:r>
        <w:rPr>
          <w:rFonts w:hint="eastAsia"/>
        </w:rPr>
        <w:t xml:space="preserve">the </w:t>
      </w:r>
      <w:r>
        <w:t>multi</w:t>
      </w:r>
      <w:r>
        <w:rPr>
          <w:rFonts w:hint="eastAsia"/>
        </w:rPr>
        <w:t>c</w:t>
      </w:r>
      <w:r>
        <w:t xml:space="preserve">ollinearity </w:t>
      </w:r>
      <w:r w:rsidRPr="00356FCF">
        <w:rPr>
          <w:rFonts w:hint="eastAsia"/>
        </w:rPr>
        <w:t>does not exist</w:t>
      </w:r>
      <w:r>
        <w:rPr>
          <w:rFonts w:hint="eastAsia"/>
        </w:rPr>
        <w:t xml:space="preserve"> </w:t>
      </w:r>
      <w:r>
        <w:t>in this research</w:t>
      </w:r>
      <w:r w:rsidR="005247FF">
        <w:t xml:space="preserve"> datasets</w:t>
      </w:r>
      <w:r>
        <w:t>.</w:t>
      </w:r>
    </w:p>
    <w:p w:rsidR="00F14D44" w:rsidRDefault="00F14D44" w:rsidP="004F1A6B">
      <w:pPr>
        <w:rPr>
          <w:color w:val="FF0000"/>
        </w:rPr>
        <w:sectPr w:rsidR="00F14D44">
          <w:pgSz w:w="12240" w:h="15840"/>
          <w:pgMar w:top="1440" w:right="1800" w:bottom="1440" w:left="1800" w:header="720" w:footer="720" w:gutter="0"/>
          <w:cols w:space="720"/>
          <w:docGrid w:linePitch="360"/>
        </w:sectPr>
      </w:pPr>
    </w:p>
    <w:p w:rsidR="00F14D44" w:rsidRPr="00F524BE" w:rsidRDefault="00F14D44" w:rsidP="00F14D44">
      <w:pPr>
        <w:pStyle w:val="Caption"/>
        <w:jc w:val="center"/>
        <w:rPr>
          <w:rFonts w:cs="Times New Roman"/>
          <w:szCs w:val="24"/>
        </w:rPr>
      </w:pPr>
      <w:r w:rsidRPr="00F524BE">
        <w:rPr>
          <w:rFonts w:cs="Times New Roman"/>
          <w:szCs w:val="24"/>
        </w:rPr>
        <w:lastRenderedPageBreak/>
        <w:t xml:space="preserve">Table </w:t>
      </w:r>
      <w:r w:rsidR="00EF1EDC">
        <w:rPr>
          <w:rFonts w:cs="Times New Roman"/>
          <w:szCs w:val="24"/>
        </w:rPr>
        <w:fldChar w:fldCharType="begin"/>
      </w:r>
      <w:r>
        <w:rPr>
          <w:rFonts w:cs="Times New Roman"/>
          <w:szCs w:val="24"/>
        </w:rPr>
        <w:instrText xml:space="preserve"> STYLEREF 1 \s </w:instrText>
      </w:r>
      <w:r w:rsidR="00EF1EDC">
        <w:rPr>
          <w:rFonts w:cs="Times New Roman"/>
          <w:szCs w:val="24"/>
        </w:rPr>
        <w:fldChar w:fldCharType="separate"/>
      </w:r>
      <w:r>
        <w:rPr>
          <w:rFonts w:cs="Times New Roman"/>
          <w:noProof/>
          <w:szCs w:val="24"/>
        </w:rPr>
        <w:t>6</w:t>
      </w:r>
      <w:r w:rsidR="00EF1EDC">
        <w:rPr>
          <w:rFonts w:cs="Times New Roman"/>
          <w:szCs w:val="24"/>
        </w:rPr>
        <w:fldChar w:fldCharType="end"/>
      </w:r>
      <w:r>
        <w:rPr>
          <w:rFonts w:cs="Times New Roman"/>
          <w:szCs w:val="24"/>
        </w:rPr>
        <w:t>.</w:t>
      </w:r>
      <w:r w:rsidR="00EF1EDC">
        <w:rPr>
          <w:rFonts w:cs="Times New Roman"/>
          <w:szCs w:val="24"/>
        </w:rPr>
        <w:fldChar w:fldCharType="begin"/>
      </w:r>
      <w:r>
        <w:rPr>
          <w:rFonts w:cs="Times New Roman"/>
          <w:szCs w:val="24"/>
        </w:rPr>
        <w:instrText xml:space="preserve"> SEQ Table \* ARABIC \s 1 </w:instrText>
      </w:r>
      <w:r w:rsidR="00EF1EDC">
        <w:rPr>
          <w:rFonts w:cs="Times New Roman"/>
          <w:szCs w:val="24"/>
        </w:rPr>
        <w:fldChar w:fldCharType="separate"/>
      </w:r>
      <w:r>
        <w:rPr>
          <w:rFonts w:cs="Times New Roman"/>
          <w:noProof/>
          <w:szCs w:val="24"/>
        </w:rPr>
        <w:t>6</w:t>
      </w:r>
      <w:r w:rsidR="00EF1EDC">
        <w:rPr>
          <w:rFonts w:cs="Times New Roman"/>
          <w:szCs w:val="24"/>
        </w:rPr>
        <w:fldChar w:fldCharType="end"/>
      </w:r>
      <w:r>
        <w:rPr>
          <w:rFonts w:cs="Times New Roman"/>
          <w:szCs w:val="24"/>
        </w:rPr>
        <w:t xml:space="preserve">. </w:t>
      </w:r>
      <w:r w:rsidRPr="00F524BE">
        <w:rPr>
          <w:rFonts w:cs="Times New Roman"/>
          <w:szCs w:val="24"/>
        </w:rPr>
        <w:t xml:space="preserve">Collinearity </w:t>
      </w:r>
      <w:r w:rsidRPr="00F524BE">
        <w:rPr>
          <w:rFonts w:cs="Times New Roman" w:hint="eastAsia"/>
          <w:szCs w:val="24"/>
        </w:rPr>
        <w:t>D</w:t>
      </w:r>
      <w:r w:rsidRPr="00F524BE">
        <w:rPr>
          <w:rFonts w:cs="Times New Roman"/>
          <w:szCs w:val="24"/>
        </w:rPr>
        <w:t>iagnostics of China</w:t>
      </w:r>
    </w:p>
    <w:tbl>
      <w:tblPr>
        <w:tblStyle w:val="TableGrid"/>
        <w:tblW w:w="0" w:type="auto"/>
        <w:tblLook w:val="04A0"/>
      </w:tblPr>
      <w:tblGrid>
        <w:gridCol w:w="870"/>
        <w:gridCol w:w="697"/>
        <w:gridCol w:w="870"/>
        <w:gridCol w:w="696"/>
        <w:gridCol w:w="869"/>
        <w:gridCol w:w="696"/>
        <w:gridCol w:w="869"/>
        <w:gridCol w:w="696"/>
        <w:gridCol w:w="869"/>
        <w:gridCol w:w="696"/>
        <w:gridCol w:w="869"/>
        <w:gridCol w:w="696"/>
        <w:gridCol w:w="989"/>
        <w:gridCol w:w="696"/>
        <w:gridCol w:w="989"/>
        <w:gridCol w:w="696"/>
        <w:gridCol w:w="869"/>
        <w:gridCol w:w="696"/>
      </w:tblGrid>
      <w:tr w:rsidR="00536BCF" w:rsidRPr="007D74AA" w:rsidTr="00536BCF">
        <w:trPr>
          <w:trHeight w:val="20"/>
        </w:trPr>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BS</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VIF</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BI</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VIF</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CEO-dummy</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VIF</w:t>
            </w:r>
          </w:p>
        </w:tc>
        <w:tc>
          <w:tcPr>
            <w:tcW w:w="0" w:type="auto"/>
            <w:vAlign w:val="center"/>
          </w:tcPr>
          <w:p w:rsidR="00F14D44" w:rsidRPr="007D74AA" w:rsidRDefault="00F14D44" w:rsidP="00536BCF">
            <w:pPr>
              <w:spacing w:before="0" w:after="200" w:line="276" w:lineRule="auto"/>
              <w:jc w:val="center"/>
              <w:rPr>
                <w:rFonts w:cs="Times New Roman"/>
                <w:sz w:val="16"/>
                <w:szCs w:val="16"/>
              </w:rPr>
            </w:pPr>
            <w:r w:rsidRPr="007D74AA">
              <w:rPr>
                <w:rFonts w:cs="Times New Roman"/>
                <w:sz w:val="16"/>
                <w:szCs w:val="16"/>
              </w:rPr>
              <w:t>SBS</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VIF</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Insider</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VIF</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Block-holder</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VIF</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FS (log)</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VIF</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ROE</w:t>
            </w:r>
          </w:p>
          <w:p w:rsidR="00F14D44" w:rsidRPr="007D74AA" w:rsidRDefault="00F14D44" w:rsidP="00536BCF">
            <w:pPr>
              <w:jc w:val="center"/>
              <w:rPr>
                <w:rFonts w:cs="Times New Roman"/>
                <w:sz w:val="16"/>
                <w:szCs w:val="16"/>
              </w:rPr>
            </w:pPr>
            <w:r w:rsidRPr="007D74AA">
              <w:rPr>
                <w:rFonts w:cs="Times New Roman"/>
                <w:sz w:val="16"/>
                <w:szCs w:val="16"/>
              </w:rPr>
              <w:t>(log)</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VIF</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Leverage (log)</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VIF</w:t>
            </w:r>
          </w:p>
        </w:tc>
      </w:tr>
      <w:tr w:rsidR="00536BCF" w:rsidRPr="007D74AA" w:rsidTr="00536BCF">
        <w:trPr>
          <w:trHeight w:val="20"/>
        </w:trPr>
        <w:tc>
          <w:tcPr>
            <w:tcW w:w="0" w:type="auto"/>
            <w:vAlign w:val="center"/>
          </w:tcPr>
          <w:p w:rsidR="00F14D44" w:rsidRPr="007D74AA" w:rsidRDefault="00F14D44" w:rsidP="00536BCF">
            <w:pPr>
              <w:jc w:val="center"/>
              <w:rPr>
                <w:rFonts w:cs="Times New Roman"/>
                <w:b/>
                <w:sz w:val="16"/>
                <w:szCs w:val="16"/>
              </w:rPr>
            </w:pPr>
            <w:r w:rsidRPr="007D74AA">
              <w:rPr>
                <w:rFonts w:cs="Times New Roman"/>
                <w:sz w:val="16"/>
                <w:szCs w:val="16"/>
              </w:rPr>
              <w:t>BI</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1.009</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BS</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1.214</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BS</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1.321</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BS</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1.208</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BS</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1.327</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BS</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1.316</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BS</w:t>
            </w:r>
          </w:p>
        </w:tc>
        <w:tc>
          <w:tcPr>
            <w:tcW w:w="0" w:type="auto"/>
            <w:vAlign w:val="center"/>
          </w:tcPr>
          <w:p w:rsidR="00F14D44" w:rsidRPr="00581E98" w:rsidRDefault="00F14D44" w:rsidP="00581E98">
            <w:pPr>
              <w:autoSpaceDE w:val="0"/>
              <w:autoSpaceDN w:val="0"/>
              <w:adjustRightInd w:val="0"/>
              <w:spacing w:line="320" w:lineRule="atLeast"/>
              <w:ind w:left="60" w:right="60"/>
              <w:jc w:val="center"/>
              <w:rPr>
                <w:rFonts w:cs="Times New Roman"/>
                <w:color w:val="000000"/>
                <w:sz w:val="16"/>
                <w:szCs w:val="16"/>
              </w:rPr>
            </w:pPr>
            <w:r w:rsidRPr="00581E98">
              <w:rPr>
                <w:rFonts w:cs="Times New Roman"/>
                <w:color w:val="000000"/>
                <w:sz w:val="16"/>
                <w:szCs w:val="16"/>
              </w:rPr>
              <w:t>1.249</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BS</w:t>
            </w:r>
          </w:p>
        </w:tc>
        <w:tc>
          <w:tcPr>
            <w:tcW w:w="0" w:type="auto"/>
            <w:vAlign w:val="center"/>
          </w:tcPr>
          <w:p w:rsidR="00F14D44" w:rsidRPr="00581E98" w:rsidRDefault="00F14D44" w:rsidP="00581E98">
            <w:pPr>
              <w:autoSpaceDE w:val="0"/>
              <w:autoSpaceDN w:val="0"/>
              <w:adjustRightInd w:val="0"/>
              <w:spacing w:line="320" w:lineRule="atLeast"/>
              <w:ind w:left="60" w:right="60"/>
              <w:jc w:val="center"/>
              <w:rPr>
                <w:rFonts w:cs="Times New Roman"/>
                <w:color w:val="000000"/>
                <w:sz w:val="16"/>
                <w:szCs w:val="16"/>
              </w:rPr>
            </w:pPr>
            <w:r w:rsidRPr="00581E98">
              <w:rPr>
                <w:rFonts w:cs="Times New Roman"/>
                <w:color w:val="000000"/>
                <w:sz w:val="16"/>
                <w:szCs w:val="16"/>
              </w:rPr>
              <w:t>1.335</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BS</w:t>
            </w:r>
          </w:p>
        </w:tc>
        <w:tc>
          <w:tcPr>
            <w:tcW w:w="0" w:type="auto"/>
            <w:vAlign w:val="center"/>
          </w:tcPr>
          <w:p w:rsidR="00F14D44" w:rsidRPr="00581E98" w:rsidRDefault="00F14D44" w:rsidP="00581E98">
            <w:pPr>
              <w:autoSpaceDE w:val="0"/>
              <w:autoSpaceDN w:val="0"/>
              <w:adjustRightInd w:val="0"/>
              <w:spacing w:line="320" w:lineRule="atLeast"/>
              <w:ind w:left="60" w:right="60"/>
              <w:jc w:val="center"/>
              <w:rPr>
                <w:rFonts w:cs="Times New Roman"/>
                <w:color w:val="000000"/>
                <w:sz w:val="16"/>
                <w:szCs w:val="16"/>
              </w:rPr>
            </w:pPr>
            <w:r w:rsidRPr="00581E98">
              <w:rPr>
                <w:rFonts w:cs="Times New Roman"/>
                <w:color w:val="000000"/>
                <w:sz w:val="16"/>
                <w:szCs w:val="16"/>
              </w:rPr>
              <w:t>1.336</w:t>
            </w:r>
          </w:p>
        </w:tc>
      </w:tr>
      <w:tr w:rsidR="00536BCF" w:rsidRPr="007D74AA" w:rsidTr="00536BCF">
        <w:trPr>
          <w:trHeight w:val="20"/>
        </w:trPr>
        <w:tc>
          <w:tcPr>
            <w:tcW w:w="0" w:type="auto"/>
            <w:vAlign w:val="center"/>
          </w:tcPr>
          <w:p w:rsidR="00F14D44" w:rsidRPr="007D74AA" w:rsidRDefault="00F14D44" w:rsidP="00536BCF">
            <w:pPr>
              <w:jc w:val="center"/>
              <w:rPr>
                <w:rFonts w:cs="Times New Roman"/>
                <w:b/>
                <w:sz w:val="16"/>
                <w:szCs w:val="16"/>
              </w:rPr>
            </w:pPr>
            <w:r w:rsidRPr="007D74AA">
              <w:rPr>
                <w:rFonts w:cs="Times New Roman"/>
                <w:sz w:val="16"/>
                <w:szCs w:val="16"/>
              </w:rPr>
              <w:t>CEO-dummy</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1.026</w:t>
            </w:r>
          </w:p>
        </w:tc>
        <w:tc>
          <w:tcPr>
            <w:tcW w:w="0" w:type="auto"/>
            <w:vAlign w:val="center"/>
          </w:tcPr>
          <w:p w:rsidR="00F14D44" w:rsidRPr="007D74AA" w:rsidRDefault="00F14D44" w:rsidP="00536BCF">
            <w:pPr>
              <w:jc w:val="center"/>
              <w:rPr>
                <w:rFonts w:cs="Times New Roman"/>
                <w:b/>
                <w:sz w:val="16"/>
                <w:szCs w:val="16"/>
              </w:rPr>
            </w:pPr>
            <w:r w:rsidRPr="007D74AA">
              <w:rPr>
                <w:rFonts w:cs="Times New Roman"/>
                <w:sz w:val="16"/>
                <w:szCs w:val="16"/>
              </w:rPr>
              <w:t>CEO-dummy</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1.030</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BI</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1.103</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BI</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1.103</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BI</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1.103</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BI</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1.103</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BI</w:t>
            </w:r>
          </w:p>
        </w:tc>
        <w:tc>
          <w:tcPr>
            <w:tcW w:w="0" w:type="auto"/>
            <w:vAlign w:val="center"/>
          </w:tcPr>
          <w:p w:rsidR="00F14D44" w:rsidRPr="00581E98" w:rsidRDefault="00F14D44" w:rsidP="00581E98">
            <w:pPr>
              <w:autoSpaceDE w:val="0"/>
              <w:autoSpaceDN w:val="0"/>
              <w:adjustRightInd w:val="0"/>
              <w:spacing w:line="320" w:lineRule="atLeast"/>
              <w:ind w:left="60" w:right="60"/>
              <w:jc w:val="center"/>
              <w:rPr>
                <w:rFonts w:cs="Times New Roman"/>
                <w:color w:val="000000"/>
                <w:sz w:val="16"/>
                <w:szCs w:val="16"/>
              </w:rPr>
            </w:pPr>
            <w:r w:rsidRPr="00581E98">
              <w:rPr>
                <w:rFonts w:cs="Times New Roman"/>
                <w:color w:val="000000"/>
                <w:sz w:val="16"/>
                <w:szCs w:val="16"/>
              </w:rPr>
              <w:t>1.094</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BI</w:t>
            </w:r>
          </w:p>
        </w:tc>
        <w:tc>
          <w:tcPr>
            <w:tcW w:w="0" w:type="auto"/>
            <w:vAlign w:val="center"/>
          </w:tcPr>
          <w:p w:rsidR="00F14D44" w:rsidRPr="00581E98" w:rsidRDefault="00F14D44" w:rsidP="00581E98">
            <w:pPr>
              <w:autoSpaceDE w:val="0"/>
              <w:autoSpaceDN w:val="0"/>
              <w:adjustRightInd w:val="0"/>
              <w:spacing w:line="320" w:lineRule="atLeast"/>
              <w:ind w:left="60" w:right="60"/>
              <w:jc w:val="center"/>
              <w:rPr>
                <w:rFonts w:cs="Times New Roman"/>
                <w:color w:val="000000"/>
                <w:sz w:val="16"/>
                <w:szCs w:val="16"/>
              </w:rPr>
            </w:pPr>
            <w:r w:rsidRPr="00581E98">
              <w:rPr>
                <w:rFonts w:cs="Times New Roman"/>
                <w:color w:val="000000"/>
                <w:sz w:val="16"/>
                <w:szCs w:val="16"/>
              </w:rPr>
              <w:t>1.102</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BI</w:t>
            </w:r>
          </w:p>
        </w:tc>
        <w:tc>
          <w:tcPr>
            <w:tcW w:w="0" w:type="auto"/>
            <w:vAlign w:val="center"/>
          </w:tcPr>
          <w:p w:rsidR="00F14D44" w:rsidRPr="00581E98" w:rsidRDefault="00F14D44" w:rsidP="00581E98">
            <w:pPr>
              <w:autoSpaceDE w:val="0"/>
              <w:autoSpaceDN w:val="0"/>
              <w:adjustRightInd w:val="0"/>
              <w:spacing w:line="320" w:lineRule="atLeast"/>
              <w:ind w:left="60" w:right="60"/>
              <w:jc w:val="center"/>
              <w:rPr>
                <w:rFonts w:cs="Times New Roman"/>
                <w:color w:val="000000"/>
                <w:sz w:val="16"/>
                <w:szCs w:val="16"/>
              </w:rPr>
            </w:pPr>
            <w:r w:rsidRPr="00581E98">
              <w:rPr>
                <w:rFonts w:cs="Times New Roman"/>
                <w:color w:val="000000"/>
                <w:sz w:val="16"/>
                <w:szCs w:val="16"/>
              </w:rPr>
              <w:t>1.106</w:t>
            </w:r>
          </w:p>
        </w:tc>
      </w:tr>
      <w:tr w:rsidR="00536BCF" w:rsidRPr="007D74AA" w:rsidTr="00536BCF">
        <w:trPr>
          <w:trHeight w:val="20"/>
        </w:trPr>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SBS</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1.066</w:t>
            </w:r>
          </w:p>
        </w:tc>
        <w:tc>
          <w:tcPr>
            <w:tcW w:w="0" w:type="auto"/>
            <w:vAlign w:val="center"/>
          </w:tcPr>
          <w:p w:rsidR="00F14D44" w:rsidRPr="007D74AA" w:rsidRDefault="00F14D44" w:rsidP="00536BCF">
            <w:pPr>
              <w:jc w:val="center"/>
              <w:rPr>
                <w:rFonts w:cs="Times New Roman"/>
                <w:b/>
                <w:sz w:val="16"/>
                <w:szCs w:val="16"/>
              </w:rPr>
            </w:pPr>
            <w:r w:rsidRPr="007D74AA">
              <w:rPr>
                <w:rFonts w:cs="Times New Roman"/>
                <w:sz w:val="16"/>
                <w:szCs w:val="16"/>
              </w:rPr>
              <w:t>SBS</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1.171</w:t>
            </w:r>
          </w:p>
        </w:tc>
        <w:tc>
          <w:tcPr>
            <w:tcW w:w="0" w:type="auto"/>
            <w:vAlign w:val="center"/>
          </w:tcPr>
          <w:p w:rsidR="00F14D44" w:rsidRPr="007D74AA" w:rsidRDefault="00F14D44" w:rsidP="00536BCF">
            <w:pPr>
              <w:jc w:val="center"/>
              <w:rPr>
                <w:rFonts w:cs="Times New Roman"/>
                <w:b/>
                <w:sz w:val="16"/>
                <w:szCs w:val="16"/>
              </w:rPr>
            </w:pPr>
            <w:r w:rsidRPr="007D74AA">
              <w:rPr>
                <w:rFonts w:cs="Times New Roman"/>
                <w:sz w:val="16"/>
                <w:szCs w:val="16"/>
              </w:rPr>
              <w:t>SBS</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1.170</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CEO-dummy</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1.029</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CEO-dummy</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1.027</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CEO-dummy</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1.025</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CEO-dummy</w:t>
            </w:r>
          </w:p>
        </w:tc>
        <w:tc>
          <w:tcPr>
            <w:tcW w:w="0" w:type="auto"/>
            <w:vAlign w:val="center"/>
          </w:tcPr>
          <w:p w:rsidR="00F14D44" w:rsidRPr="00581E98" w:rsidRDefault="00F14D44" w:rsidP="00581E98">
            <w:pPr>
              <w:autoSpaceDE w:val="0"/>
              <w:autoSpaceDN w:val="0"/>
              <w:adjustRightInd w:val="0"/>
              <w:spacing w:line="320" w:lineRule="atLeast"/>
              <w:ind w:left="60" w:right="60"/>
              <w:jc w:val="center"/>
              <w:rPr>
                <w:rFonts w:cs="Times New Roman"/>
                <w:color w:val="000000"/>
                <w:sz w:val="16"/>
                <w:szCs w:val="16"/>
              </w:rPr>
            </w:pPr>
            <w:r w:rsidRPr="00581E98">
              <w:rPr>
                <w:rFonts w:cs="Times New Roman"/>
                <w:color w:val="000000"/>
                <w:sz w:val="16"/>
                <w:szCs w:val="16"/>
              </w:rPr>
              <w:t>1.030</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CEO-dummy</w:t>
            </w:r>
          </w:p>
        </w:tc>
        <w:tc>
          <w:tcPr>
            <w:tcW w:w="0" w:type="auto"/>
            <w:vAlign w:val="center"/>
          </w:tcPr>
          <w:p w:rsidR="00F14D44" w:rsidRPr="00581E98" w:rsidRDefault="00F14D44" w:rsidP="00581E98">
            <w:pPr>
              <w:autoSpaceDE w:val="0"/>
              <w:autoSpaceDN w:val="0"/>
              <w:adjustRightInd w:val="0"/>
              <w:spacing w:line="320" w:lineRule="atLeast"/>
              <w:ind w:left="60" w:right="60"/>
              <w:jc w:val="center"/>
              <w:rPr>
                <w:rFonts w:cs="Times New Roman"/>
                <w:color w:val="000000"/>
                <w:sz w:val="16"/>
                <w:szCs w:val="16"/>
              </w:rPr>
            </w:pPr>
            <w:r w:rsidRPr="00581E98">
              <w:rPr>
                <w:rFonts w:cs="Times New Roman"/>
                <w:color w:val="000000"/>
                <w:sz w:val="16"/>
                <w:szCs w:val="16"/>
              </w:rPr>
              <w:t>1.034</w:t>
            </w:r>
          </w:p>
        </w:tc>
        <w:tc>
          <w:tcPr>
            <w:tcW w:w="0" w:type="auto"/>
            <w:vAlign w:val="center"/>
          </w:tcPr>
          <w:p w:rsidR="00F14D44" w:rsidRDefault="00F14D44" w:rsidP="00536BCF">
            <w:pPr>
              <w:jc w:val="center"/>
              <w:rPr>
                <w:rFonts w:cs="Times New Roman"/>
                <w:sz w:val="16"/>
                <w:szCs w:val="16"/>
              </w:rPr>
            </w:pPr>
            <w:r w:rsidRPr="007D74AA">
              <w:rPr>
                <w:rFonts w:cs="Times New Roman"/>
                <w:sz w:val="16"/>
                <w:szCs w:val="16"/>
              </w:rPr>
              <w:t>CEO-</w:t>
            </w:r>
          </w:p>
          <w:p w:rsidR="00F14D44" w:rsidRPr="007D74AA" w:rsidRDefault="00F14D44" w:rsidP="00536BCF">
            <w:pPr>
              <w:jc w:val="center"/>
              <w:rPr>
                <w:rFonts w:cs="Times New Roman"/>
                <w:sz w:val="16"/>
                <w:szCs w:val="16"/>
              </w:rPr>
            </w:pPr>
            <w:r w:rsidRPr="007D74AA">
              <w:rPr>
                <w:rFonts w:cs="Times New Roman"/>
                <w:sz w:val="16"/>
                <w:szCs w:val="16"/>
              </w:rPr>
              <w:t>dummy</w:t>
            </w:r>
          </w:p>
        </w:tc>
        <w:tc>
          <w:tcPr>
            <w:tcW w:w="0" w:type="auto"/>
            <w:vAlign w:val="center"/>
          </w:tcPr>
          <w:p w:rsidR="00F14D44" w:rsidRPr="00581E98" w:rsidRDefault="00F14D44" w:rsidP="00581E98">
            <w:pPr>
              <w:autoSpaceDE w:val="0"/>
              <w:autoSpaceDN w:val="0"/>
              <w:adjustRightInd w:val="0"/>
              <w:spacing w:line="320" w:lineRule="atLeast"/>
              <w:ind w:left="60" w:right="60"/>
              <w:jc w:val="center"/>
              <w:rPr>
                <w:rFonts w:cs="Times New Roman"/>
                <w:color w:val="000000"/>
                <w:sz w:val="16"/>
                <w:szCs w:val="16"/>
              </w:rPr>
            </w:pPr>
            <w:r w:rsidRPr="00581E98">
              <w:rPr>
                <w:rFonts w:cs="Times New Roman"/>
                <w:color w:val="000000"/>
                <w:sz w:val="16"/>
                <w:szCs w:val="16"/>
              </w:rPr>
              <w:t>1.034</w:t>
            </w:r>
          </w:p>
        </w:tc>
      </w:tr>
      <w:tr w:rsidR="00536BCF" w:rsidRPr="007D74AA" w:rsidTr="00536BCF">
        <w:trPr>
          <w:trHeight w:val="20"/>
        </w:trPr>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Insider</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1.032</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Insider</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1.032</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Insider</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1.029</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Insider</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1.024</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SBS</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1.162</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SBS</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1.171</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SBS</w:t>
            </w:r>
          </w:p>
        </w:tc>
        <w:tc>
          <w:tcPr>
            <w:tcW w:w="0" w:type="auto"/>
            <w:vAlign w:val="center"/>
          </w:tcPr>
          <w:p w:rsidR="00F14D44" w:rsidRPr="00581E98" w:rsidRDefault="00F14D44" w:rsidP="00581E98">
            <w:pPr>
              <w:autoSpaceDE w:val="0"/>
              <w:autoSpaceDN w:val="0"/>
              <w:adjustRightInd w:val="0"/>
              <w:spacing w:line="320" w:lineRule="atLeast"/>
              <w:ind w:left="60" w:right="60"/>
              <w:jc w:val="center"/>
              <w:rPr>
                <w:rFonts w:cs="Times New Roman"/>
                <w:color w:val="000000"/>
                <w:sz w:val="16"/>
                <w:szCs w:val="16"/>
              </w:rPr>
            </w:pPr>
            <w:r w:rsidRPr="00581E98">
              <w:rPr>
                <w:rFonts w:cs="Times New Roman"/>
                <w:color w:val="000000"/>
                <w:sz w:val="16"/>
                <w:szCs w:val="16"/>
              </w:rPr>
              <w:t>1.157</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SBS</w:t>
            </w:r>
          </w:p>
        </w:tc>
        <w:tc>
          <w:tcPr>
            <w:tcW w:w="0" w:type="auto"/>
            <w:vAlign w:val="center"/>
          </w:tcPr>
          <w:p w:rsidR="00F14D44" w:rsidRPr="00581E98" w:rsidRDefault="00F14D44" w:rsidP="00581E98">
            <w:pPr>
              <w:autoSpaceDE w:val="0"/>
              <w:autoSpaceDN w:val="0"/>
              <w:adjustRightInd w:val="0"/>
              <w:spacing w:line="320" w:lineRule="atLeast"/>
              <w:ind w:left="60" w:right="60"/>
              <w:jc w:val="center"/>
              <w:rPr>
                <w:rFonts w:cs="Times New Roman"/>
                <w:color w:val="000000"/>
                <w:sz w:val="16"/>
                <w:szCs w:val="16"/>
              </w:rPr>
            </w:pPr>
            <w:r w:rsidRPr="00581E98">
              <w:rPr>
                <w:rFonts w:cs="Times New Roman"/>
                <w:color w:val="000000"/>
                <w:sz w:val="16"/>
                <w:szCs w:val="16"/>
              </w:rPr>
              <w:t>1.171</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SBS</w:t>
            </w:r>
          </w:p>
        </w:tc>
        <w:tc>
          <w:tcPr>
            <w:tcW w:w="0" w:type="auto"/>
            <w:vAlign w:val="center"/>
          </w:tcPr>
          <w:p w:rsidR="00F14D44" w:rsidRPr="00581E98" w:rsidRDefault="00F14D44" w:rsidP="00581E98">
            <w:pPr>
              <w:autoSpaceDE w:val="0"/>
              <w:autoSpaceDN w:val="0"/>
              <w:adjustRightInd w:val="0"/>
              <w:spacing w:line="320" w:lineRule="atLeast"/>
              <w:ind w:left="60" w:right="60"/>
              <w:jc w:val="center"/>
              <w:rPr>
                <w:rFonts w:cs="Times New Roman"/>
                <w:color w:val="000000"/>
                <w:sz w:val="16"/>
                <w:szCs w:val="16"/>
              </w:rPr>
            </w:pPr>
            <w:r w:rsidRPr="00581E98">
              <w:rPr>
                <w:rFonts w:cs="Times New Roman"/>
                <w:color w:val="000000"/>
                <w:sz w:val="16"/>
                <w:szCs w:val="16"/>
              </w:rPr>
              <w:t>1.169</w:t>
            </w:r>
          </w:p>
        </w:tc>
      </w:tr>
      <w:tr w:rsidR="00536BCF" w:rsidRPr="007D74AA" w:rsidTr="00536BCF">
        <w:trPr>
          <w:trHeight w:val="20"/>
        </w:trPr>
        <w:tc>
          <w:tcPr>
            <w:tcW w:w="0" w:type="auto"/>
            <w:vAlign w:val="center"/>
          </w:tcPr>
          <w:p w:rsidR="00F14D44" w:rsidRPr="007D74AA" w:rsidRDefault="00F14D44" w:rsidP="00536BCF">
            <w:pPr>
              <w:jc w:val="center"/>
              <w:rPr>
                <w:rFonts w:cs="Times New Roman"/>
                <w:b/>
                <w:sz w:val="16"/>
                <w:szCs w:val="16"/>
              </w:rPr>
            </w:pPr>
            <w:r w:rsidRPr="007D74AA">
              <w:rPr>
                <w:rFonts w:cs="Times New Roman"/>
                <w:sz w:val="16"/>
                <w:szCs w:val="16"/>
              </w:rPr>
              <w:t>Block-holder</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1.092</w:t>
            </w:r>
          </w:p>
        </w:tc>
        <w:tc>
          <w:tcPr>
            <w:tcW w:w="0" w:type="auto"/>
            <w:vAlign w:val="center"/>
          </w:tcPr>
          <w:p w:rsidR="00F14D44" w:rsidRPr="007D74AA" w:rsidRDefault="00F14D44" w:rsidP="00536BCF">
            <w:pPr>
              <w:jc w:val="center"/>
              <w:rPr>
                <w:rFonts w:cs="Times New Roman"/>
                <w:b/>
                <w:sz w:val="16"/>
                <w:szCs w:val="16"/>
              </w:rPr>
            </w:pPr>
            <w:r w:rsidRPr="007D74AA">
              <w:rPr>
                <w:rFonts w:cs="Times New Roman"/>
                <w:sz w:val="16"/>
                <w:szCs w:val="16"/>
              </w:rPr>
              <w:t>Block-holder</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1.101</w:t>
            </w:r>
          </w:p>
        </w:tc>
        <w:tc>
          <w:tcPr>
            <w:tcW w:w="0" w:type="auto"/>
            <w:vAlign w:val="center"/>
          </w:tcPr>
          <w:p w:rsidR="00F14D44" w:rsidRPr="007D74AA" w:rsidRDefault="00F14D44" w:rsidP="00536BCF">
            <w:pPr>
              <w:jc w:val="center"/>
              <w:rPr>
                <w:rFonts w:cs="Times New Roman"/>
                <w:b/>
                <w:sz w:val="16"/>
                <w:szCs w:val="16"/>
              </w:rPr>
            </w:pPr>
            <w:r w:rsidRPr="007D74AA">
              <w:rPr>
                <w:rFonts w:cs="Times New Roman"/>
                <w:sz w:val="16"/>
                <w:szCs w:val="16"/>
              </w:rPr>
              <w:t>Block-holder</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1.096</w:t>
            </w:r>
          </w:p>
        </w:tc>
        <w:tc>
          <w:tcPr>
            <w:tcW w:w="0" w:type="auto"/>
            <w:vAlign w:val="center"/>
          </w:tcPr>
          <w:p w:rsidR="00F14D44" w:rsidRPr="007D74AA" w:rsidRDefault="00F14D44" w:rsidP="00536BCF">
            <w:pPr>
              <w:jc w:val="center"/>
              <w:rPr>
                <w:rFonts w:cs="Times New Roman"/>
                <w:b/>
                <w:sz w:val="16"/>
                <w:szCs w:val="16"/>
              </w:rPr>
            </w:pPr>
            <w:r w:rsidRPr="007D74AA">
              <w:rPr>
                <w:rFonts w:cs="Times New Roman"/>
                <w:sz w:val="16"/>
                <w:szCs w:val="16"/>
              </w:rPr>
              <w:t>Block-holder</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1.101</w:t>
            </w:r>
          </w:p>
        </w:tc>
        <w:tc>
          <w:tcPr>
            <w:tcW w:w="0" w:type="auto"/>
            <w:vAlign w:val="center"/>
          </w:tcPr>
          <w:p w:rsidR="00F14D44" w:rsidRPr="007D74AA" w:rsidRDefault="00F14D44" w:rsidP="00536BCF">
            <w:pPr>
              <w:jc w:val="center"/>
              <w:rPr>
                <w:rFonts w:cs="Times New Roman"/>
                <w:b/>
                <w:sz w:val="16"/>
                <w:szCs w:val="16"/>
              </w:rPr>
            </w:pPr>
            <w:r w:rsidRPr="007D74AA">
              <w:rPr>
                <w:rFonts w:cs="Times New Roman"/>
                <w:sz w:val="16"/>
                <w:szCs w:val="16"/>
              </w:rPr>
              <w:t>Block-holder</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1.088</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Insider</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1.019</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Insider</w:t>
            </w:r>
          </w:p>
        </w:tc>
        <w:tc>
          <w:tcPr>
            <w:tcW w:w="0" w:type="auto"/>
            <w:vAlign w:val="center"/>
          </w:tcPr>
          <w:p w:rsidR="00F14D44" w:rsidRPr="00581E98" w:rsidRDefault="00F14D44" w:rsidP="00581E98">
            <w:pPr>
              <w:autoSpaceDE w:val="0"/>
              <w:autoSpaceDN w:val="0"/>
              <w:adjustRightInd w:val="0"/>
              <w:spacing w:line="320" w:lineRule="atLeast"/>
              <w:ind w:left="60" w:right="60"/>
              <w:jc w:val="center"/>
              <w:rPr>
                <w:rFonts w:cs="Times New Roman"/>
                <w:color w:val="000000"/>
                <w:sz w:val="16"/>
                <w:szCs w:val="16"/>
              </w:rPr>
            </w:pPr>
            <w:r w:rsidRPr="00581E98">
              <w:rPr>
                <w:rFonts w:cs="Times New Roman"/>
                <w:color w:val="000000"/>
                <w:sz w:val="16"/>
                <w:szCs w:val="16"/>
              </w:rPr>
              <w:t>1.031</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Insider</w:t>
            </w:r>
          </w:p>
        </w:tc>
        <w:tc>
          <w:tcPr>
            <w:tcW w:w="0" w:type="auto"/>
            <w:vAlign w:val="center"/>
          </w:tcPr>
          <w:p w:rsidR="00F14D44" w:rsidRPr="00581E98" w:rsidRDefault="00F14D44" w:rsidP="00581E98">
            <w:pPr>
              <w:autoSpaceDE w:val="0"/>
              <w:autoSpaceDN w:val="0"/>
              <w:adjustRightInd w:val="0"/>
              <w:spacing w:line="320" w:lineRule="atLeast"/>
              <w:ind w:left="60" w:right="60"/>
              <w:jc w:val="center"/>
              <w:rPr>
                <w:rFonts w:cs="Times New Roman"/>
                <w:color w:val="000000"/>
                <w:sz w:val="16"/>
                <w:szCs w:val="16"/>
              </w:rPr>
            </w:pPr>
            <w:r w:rsidRPr="00581E98">
              <w:rPr>
                <w:rFonts w:cs="Times New Roman"/>
                <w:color w:val="000000"/>
                <w:sz w:val="16"/>
                <w:szCs w:val="16"/>
              </w:rPr>
              <w:t>1.030</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Insider</w:t>
            </w:r>
          </w:p>
        </w:tc>
        <w:tc>
          <w:tcPr>
            <w:tcW w:w="0" w:type="auto"/>
            <w:vAlign w:val="center"/>
          </w:tcPr>
          <w:p w:rsidR="00F14D44" w:rsidRPr="00581E98" w:rsidRDefault="00F14D44" w:rsidP="00581E98">
            <w:pPr>
              <w:autoSpaceDE w:val="0"/>
              <w:autoSpaceDN w:val="0"/>
              <w:adjustRightInd w:val="0"/>
              <w:spacing w:line="320" w:lineRule="atLeast"/>
              <w:ind w:left="60" w:right="60"/>
              <w:jc w:val="center"/>
              <w:rPr>
                <w:rFonts w:cs="Times New Roman"/>
                <w:color w:val="000000"/>
                <w:sz w:val="16"/>
                <w:szCs w:val="16"/>
              </w:rPr>
            </w:pPr>
            <w:r w:rsidRPr="00581E98">
              <w:rPr>
                <w:rFonts w:cs="Times New Roman"/>
                <w:color w:val="000000"/>
                <w:sz w:val="16"/>
                <w:szCs w:val="16"/>
              </w:rPr>
              <w:t>1.031</w:t>
            </w:r>
          </w:p>
        </w:tc>
      </w:tr>
      <w:tr w:rsidR="00536BCF" w:rsidRPr="007D74AA" w:rsidTr="00536BCF">
        <w:trPr>
          <w:trHeight w:val="20"/>
        </w:trPr>
        <w:tc>
          <w:tcPr>
            <w:tcW w:w="0" w:type="auto"/>
            <w:vAlign w:val="center"/>
          </w:tcPr>
          <w:p w:rsidR="00F14D44" w:rsidRPr="007D74AA" w:rsidRDefault="00F14D44" w:rsidP="00536BCF">
            <w:pPr>
              <w:jc w:val="center"/>
              <w:rPr>
                <w:rFonts w:cs="Times New Roman"/>
                <w:b/>
                <w:sz w:val="16"/>
                <w:szCs w:val="16"/>
              </w:rPr>
            </w:pPr>
            <w:r w:rsidRPr="007D74AA">
              <w:rPr>
                <w:rFonts w:cs="Times New Roman"/>
                <w:sz w:val="16"/>
                <w:szCs w:val="16"/>
              </w:rPr>
              <w:t>FS (log)</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1.136</w:t>
            </w:r>
          </w:p>
        </w:tc>
        <w:tc>
          <w:tcPr>
            <w:tcW w:w="0" w:type="auto"/>
            <w:vAlign w:val="center"/>
          </w:tcPr>
          <w:p w:rsidR="00F14D44" w:rsidRPr="007D74AA" w:rsidRDefault="00F14D44" w:rsidP="00536BCF">
            <w:pPr>
              <w:jc w:val="center"/>
              <w:rPr>
                <w:rFonts w:cs="Times New Roman"/>
                <w:b/>
                <w:sz w:val="16"/>
                <w:szCs w:val="16"/>
              </w:rPr>
            </w:pPr>
            <w:r w:rsidRPr="007D74AA">
              <w:rPr>
                <w:rFonts w:cs="Times New Roman"/>
                <w:sz w:val="16"/>
                <w:szCs w:val="16"/>
              </w:rPr>
              <w:t>FS (log)</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1.196</w:t>
            </w:r>
          </w:p>
        </w:tc>
        <w:tc>
          <w:tcPr>
            <w:tcW w:w="0" w:type="auto"/>
            <w:vAlign w:val="center"/>
          </w:tcPr>
          <w:p w:rsidR="00F14D44" w:rsidRPr="007D74AA" w:rsidRDefault="00F14D44" w:rsidP="00536BCF">
            <w:pPr>
              <w:jc w:val="center"/>
              <w:rPr>
                <w:rFonts w:cs="Times New Roman"/>
                <w:b/>
                <w:sz w:val="16"/>
                <w:szCs w:val="16"/>
              </w:rPr>
            </w:pPr>
            <w:r w:rsidRPr="007D74AA">
              <w:rPr>
                <w:rFonts w:cs="Times New Roman"/>
                <w:sz w:val="16"/>
                <w:szCs w:val="16"/>
              </w:rPr>
              <w:t>FS (log)</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1.205</w:t>
            </w:r>
          </w:p>
        </w:tc>
        <w:tc>
          <w:tcPr>
            <w:tcW w:w="0" w:type="auto"/>
            <w:vAlign w:val="center"/>
          </w:tcPr>
          <w:p w:rsidR="00F14D44" w:rsidRPr="007D74AA" w:rsidRDefault="00F14D44" w:rsidP="00536BCF">
            <w:pPr>
              <w:jc w:val="center"/>
              <w:rPr>
                <w:rFonts w:cs="Times New Roman"/>
                <w:b/>
                <w:sz w:val="16"/>
                <w:szCs w:val="16"/>
              </w:rPr>
            </w:pPr>
            <w:r w:rsidRPr="007D74AA">
              <w:rPr>
                <w:rFonts w:cs="Times New Roman"/>
                <w:sz w:val="16"/>
                <w:szCs w:val="16"/>
              </w:rPr>
              <w:t>FS (log)</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1.195</w:t>
            </w:r>
          </w:p>
        </w:tc>
        <w:tc>
          <w:tcPr>
            <w:tcW w:w="0" w:type="auto"/>
            <w:vAlign w:val="center"/>
          </w:tcPr>
          <w:p w:rsidR="00F14D44" w:rsidRPr="007D74AA" w:rsidRDefault="00F14D44" w:rsidP="00536BCF">
            <w:pPr>
              <w:jc w:val="center"/>
              <w:rPr>
                <w:rFonts w:cs="Times New Roman"/>
                <w:b/>
                <w:sz w:val="16"/>
                <w:szCs w:val="16"/>
              </w:rPr>
            </w:pPr>
            <w:r w:rsidRPr="007D74AA">
              <w:rPr>
                <w:rFonts w:cs="Times New Roman"/>
                <w:sz w:val="16"/>
                <w:szCs w:val="16"/>
              </w:rPr>
              <w:t>FS (log)</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1.208</w:t>
            </w:r>
          </w:p>
        </w:tc>
        <w:tc>
          <w:tcPr>
            <w:tcW w:w="0" w:type="auto"/>
            <w:vAlign w:val="center"/>
          </w:tcPr>
          <w:p w:rsidR="00F14D44" w:rsidRPr="007D74AA" w:rsidRDefault="00F14D44" w:rsidP="00536BCF">
            <w:pPr>
              <w:jc w:val="center"/>
              <w:rPr>
                <w:rFonts w:cs="Times New Roman"/>
                <w:b/>
                <w:sz w:val="16"/>
                <w:szCs w:val="16"/>
              </w:rPr>
            </w:pPr>
            <w:r w:rsidRPr="007D74AA">
              <w:rPr>
                <w:rFonts w:cs="Times New Roman"/>
                <w:sz w:val="16"/>
                <w:szCs w:val="16"/>
              </w:rPr>
              <w:t>FS (log)</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1.128</w:t>
            </w:r>
          </w:p>
        </w:tc>
        <w:tc>
          <w:tcPr>
            <w:tcW w:w="0" w:type="auto"/>
            <w:vAlign w:val="center"/>
          </w:tcPr>
          <w:p w:rsidR="00F14D44" w:rsidRPr="007D74AA" w:rsidRDefault="00F14D44" w:rsidP="00536BCF">
            <w:pPr>
              <w:jc w:val="center"/>
              <w:rPr>
                <w:rFonts w:cs="Times New Roman"/>
                <w:b/>
                <w:sz w:val="16"/>
                <w:szCs w:val="16"/>
              </w:rPr>
            </w:pPr>
            <w:r w:rsidRPr="007D74AA">
              <w:rPr>
                <w:rFonts w:cs="Times New Roman"/>
                <w:sz w:val="16"/>
                <w:szCs w:val="16"/>
              </w:rPr>
              <w:t>Block-holder</w:t>
            </w:r>
          </w:p>
        </w:tc>
        <w:tc>
          <w:tcPr>
            <w:tcW w:w="0" w:type="auto"/>
            <w:vAlign w:val="center"/>
          </w:tcPr>
          <w:p w:rsidR="00F14D44" w:rsidRPr="00581E98" w:rsidRDefault="00F14D44" w:rsidP="00581E98">
            <w:pPr>
              <w:autoSpaceDE w:val="0"/>
              <w:autoSpaceDN w:val="0"/>
              <w:adjustRightInd w:val="0"/>
              <w:spacing w:line="320" w:lineRule="atLeast"/>
              <w:ind w:left="60" w:right="60"/>
              <w:jc w:val="center"/>
              <w:rPr>
                <w:rFonts w:cs="Times New Roman"/>
                <w:color w:val="000000"/>
                <w:sz w:val="16"/>
                <w:szCs w:val="16"/>
              </w:rPr>
            </w:pPr>
            <w:r w:rsidRPr="00581E98">
              <w:rPr>
                <w:rFonts w:cs="Times New Roman"/>
                <w:color w:val="000000"/>
                <w:sz w:val="16"/>
                <w:szCs w:val="16"/>
              </w:rPr>
              <w:t>1.026</w:t>
            </w:r>
          </w:p>
        </w:tc>
        <w:tc>
          <w:tcPr>
            <w:tcW w:w="0" w:type="auto"/>
            <w:vAlign w:val="center"/>
          </w:tcPr>
          <w:p w:rsidR="00F14D44" w:rsidRPr="007D74AA" w:rsidRDefault="00F14D44" w:rsidP="00536BCF">
            <w:pPr>
              <w:jc w:val="center"/>
              <w:rPr>
                <w:rFonts w:cs="Times New Roman"/>
                <w:b/>
                <w:sz w:val="16"/>
                <w:szCs w:val="16"/>
              </w:rPr>
            </w:pPr>
            <w:r w:rsidRPr="007D74AA">
              <w:rPr>
                <w:rFonts w:cs="Times New Roman"/>
                <w:sz w:val="16"/>
                <w:szCs w:val="16"/>
              </w:rPr>
              <w:t>Block-holder</w:t>
            </w:r>
          </w:p>
        </w:tc>
        <w:tc>
          <w:tcPr>
            <w:tcW w:w="0" w:type="auto"/>
            <w:vAlign w:val="center"/>
          </w:tcPr>
          <w:p w:rsidR="00F14D44" w:rsidRPr="00581E98" w:rsidRDefault="00F14D44" w:rsidP="00581E98">
            <w:pPr>
              <w:autoSpaceDE w:val="0"/>
              <w:autoSpaceDN w:val="0"/>
              <w:adjustRightInd w:val="0"/>
              <w:spacing w:line="320" w:lineRule="atLeast"/>
              <w:ind w:left="60" w:right="60"/>
              <w:jc w:val="center"/>
              <w:rPr>
                <w:rFonts w:cs="Times New Roman"/>
                <w:color w:val="000000"/>
                <w:sz w:val="16"/>
                <w:szCs w:val="16"/>
              </w:rPr>
            </w:pPr>
            <w:r w:rsidRPr="00581E98">
              <w:rPr>
                <w:rFonts w:cs="Times New Roman"/>
                <w:color w:val="000000"/>
                <w:sz w:val="16"/>
                <w:szCs w:val="16"/>
              </w:rPr>
              <w:t>1.103</w:t>
            </w:r>
          </w:p>
        </w:tc>
        <w:tc>
          <w:tcPr>
            <w:tcW w:w="0" w:type="auto"/>
            <w:vAlign w:val="center"/>
          </w:tcPr>
          <w:p w:rsidR="00F14D44" w:rsidRDefault="00F14D44" w:rsidP="00536BCF">
            <w:pPr>
              <w:jc w:val="center"/>
              <w:rPr>
                <w:rFonts w:cs="Times New Roman"/>
                <w:sz w:val="16"/>
                <w:szCs w:val="16"/>
              </w:rPr>
            </w:pPr>
            <w:r w:rsidRPr="007D74AA">
              <w:rPr>
                <w:rFonts w:cs="Times New Roman"/>
                <w:sz w:val="16"/>
                <w:szCs w:val="16"/>
              </w:rPr>
              <w:t>Block-</w:t>
            </w:r>
          </w:p>
          <w:p w:rsidR="00F14D44" w:rsidRPr="007D74AA" w:rsidRDefault="00F14D44" w:rsidP="00536BCF">
            <w:pPr>
              <w:jc w:val="center"/>
              <w:rPr>
                <w:rFonts w:cs="Times New Roman"/>
                <w:b/>
                <w:sz w:val="16"/>
                <w:szCs w:val="16"/>
              </w:rPr>
            </w:pPr>
            <w:r w:rsidRPr="007D74AA">
              <w:rPr>
                <w:rFonts w:cs="Times New Roman"/>
                <w:sz w:val="16"/>
                <w:szCs w:val="16"/>
              </w:rPr>
              <w:t>holder</w:t>
            </w:r>
          </w:p>
        </w:tc>
        <w:tc>
          <w:tcPr>
            <w:tcW w:w="0" w:type="auto"/>
            <w:vAlign w:val="center"/>
          </w:tcPr>
          <w:p w:rsidR="00F14D44" w:rsidRPr="00581E98" w:rsidRDefault="00F14D44" w:rsidP="00581E98">
            <w:pPr>
              <w:autoSpaceDE w:val="0"/>
              <w:autoSpaceDN w:val="0"/>
              <w:adjustRightInd w:val="0"/>
              <w:spacing w:line="320" w:lineRule="atLeast"/>
              <w:ind w:left="60" w:right="60"/>
              <w:jc w:val="center"/>
              <w:rPr>
                <w:rFonts w:cs="Times New Roman"/>
                <w:color w:val="000000"/>
                <w:sz w:val="16"/>
                <w:szCs w:val="16"/>
              </w:rPr>
            </w:pPr>
            <w:r w:rsidRPr="00581E98">
              <w:rPr>
                <w:rFonts w:cs="Times New Roman"/>
                <w:color w:val="000000"/>
                <w:sz w:val="16"/>
                <w:szCs w:val="16"/>
              </w:rPr>
              <w:t>1.102</w:t>
            </w:r>
          </w:p>
        </w:tc>
      </w:tr>
      <w:tr w:rsidR="00536BCF" w:rsidRPr="007D74AA" w:rsidTr="00536BCF">
        <w:trPr>
          <w:trHeight w:val="20"/>
        </w:trPr>
        <w:tc>
          <w:tcPr>
            <w:tcW w:w="0" w:type="auto"/>
            <w:vAlign w:val="center"/>
          </w:tcPr>
          <w:p w:rsidR="00F14D44" w:rsidRPr="007D74AA" w:rsidRDefault="00F14D44" w:rsidP="00536BCF">
            <w:pPr>
              <w:jc w:val="center"/>
              <w:rPr>
                <w:rFonts w:cs="Times New Roman"/>
                <w:b/>
                <w:sz w:val="16"/>
                <w:szCs w:val="16"/>
              </w:rPr>
            </w:pPr>
            <w:r w:rsidRPr="007D74AA">
              <w:rPr>
                <w:rFonts w:cs="Times New Roman"/>
                <w:sz w:val="16"/>
                <w:szCs w:val="16"/>
              </w:rPr>
              <w:t>ROE (log)</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1.015</w:t>
            </w:r>
          </w:p>
        </w:tc>
        <w:tc>
          <w:tcPr>
            <w:tcW w:w="0" w:type="auto"/>
            <w:vAlign w:val="center"/>
          </w:tcPr>
          <w:p w:rsidR="00F14D44" w:rsidRPr="007D74AA" w:rsidRDefault="00F14D44" w:rsidP="00536BCF">
            <w:pPr>
              <w:jc w:val="center"/>
              <w:rPr>
                <w:rFonts w:cs="Times New Roman"/>
                <w:b/>
                <w:sz w:val="16"/>
                <w:szCs w:val="16"/>
              </w:rPr>
            </w:pPr>
            <w:r w:rsidRPr="007D74AA">
              <w:rPr>
                <w:rFonts w:cs="Times New Roman"/>
                <w:sz w:val="16"/>
                <w:szCs w:val="16"/>
              </w:rPr>
              <w:t>ROE (log)</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1.014</w:t>
            </w:r>
          </w:p>
        </w:tc>
        <w:tc>
          <w:tcPr>
            <w:tcW w:w="0" w:type="auto"/>
            <w:vAlign w:val="center"/>
          </w:tcPr>
          <w:p w:rsidR="00F14D44" w:rsidRPr="007D74AA" w:rsidRDefault="00F14D44" w:rsidP="00536BCF">
            <w:pPr>
              <w:jc w:val="center"/>
              <w:rPr>
                <w:rFonts w:cs="Times New Roman"/>
                <w:b/>
                <w:sz w:val="16"/>
                <w:szCs w:val="16"/>
              </w:rPr>
            </w:pPr>
            <w:r w:rsidRPr="007D74AA">
              <w:rPr>
                <w:rFonts w:cs="Times New Roman"/>
                <w:sz w:val="16"/>
                <w:szCs w:val="16"/>
              </w:rPr>
              <w:t>ROE (log)</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1.015</w:t>
            </w:r>
          </w:p>
        </w:tc>
        <w:tc>
          <w:tcPr>
            <w:tcW w:w="0" w:type="auto"/>
            <w:vAlign w:val="center"/>
          </w:tcPr>
          <w:p w:rsidR="00F14D44" w:rsidRPr="007D74AA" w:rsidRDefault="00F14D44" w:rsidP="00536BCF">
            <w:pPr>
              <w:jc w:val="center"/>
              <w:rPr>
                <w:rFonts w:cs="Times New Roman"/>
                <w:b/>
                <w:sz w:val="16"/>
                <w:szCs w:val="16"/>
              </w:rPr>
            </w:pPr>
            <w:r w:rsidRPr="007D74AA">
              <w:rPr>
                <w:rFonts w:cs="Times New Roman"/>
                <w:sz w:val="16"/>
                <w:szCs w:val="16"/>
              </w:rPr>
              <w:t>ROE (log)</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1.016</w:t>
            </w:r>
          </w:p>
        </w:tc>
        <w:tc>
          <w:tcPr>
            <w:tcW w:w="0" w:type="auto"/>
            <w:vAlign w:val="center"/>
          </w:tcPr>
          <w:p w:rsidR="00F14D44" w:rsidRPr="007D74AA" w:rsidRDefault="00F14D44" w:rsidP="00536BCF">
            <w:pPr>
              <w:jc w:val="center"/>
              <w:rPr>
                <w:rFonts w:cs="Times New Roman"/>
                <w:b/>
                <w:sz w:val="16"/>
                <w:szCs w:val="16"/>
              </w:rPr>
            </w:pPr>
            <w:r w:rsidRPr="007D74AA">
              <w:rPr>
                <w:rFonts w:cs="Times New Roman"/>
                <w:sz w:val="16"/>
                <w:szCs w:val="16"/>
              </w:rPr>
              <w:t>ROE (log)</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1.014</w:t>
            </w:r>
          </w:p>
        </w:tc>
        <w:tc>
          <w:tcPr>
            <w:tcW w:w="0" w:type="auto"/>
            <w:vAlign w:val="center"/>
          </w:tcPr>
          <w:p w:rsidR="00F14D44" w:rsidRPr="007D74AA" w:rsidRDefault="00F14D44" w:rsidP="00536BCF">
            <w:pPr>
              <w:jc w:val="center"/>
              <w:rPr>
                <w:rFonts w:cs="Times New Roman"/>
                <w:b/>
                <w:sz w:val="16"/>
                <w:szCs w:val="16"/>
              </w:rPr>
            </w:pPr>
            <w:r w:rsidRPr="007D74AA">
              <w:rPr>
                <w:rFonts w:cs="Times New Roman"/>
                <w:sz w:val="16"/>
                <w:szCs w:val="16"/>
              </w:rPr>
              <w:t>ROE (log)</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1.015</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ROE</w:t>
            </w:r>
          </w:p>
          <w:p w:rsidR="00F14D44" w:rsidRPr="007D74AA" w:rsidRDefault="00F14D44" w:rsidP="00536BCF">
            <w:pPr>
              <w:jc w:val="center"/>
              <w:rPr>
                <w:rFonts w:cs="Times New Roman"/>
                <w:sz w:val="16"/>
                <w:szCs w:val="16"/>
              </w:rPr>
            </w:pPr>
            <w:r w:rsidRPr="007D74AA">
              <w:rPr>
                <w:rFonts w:cs="Times New Roman"/>
                <w:sz w:val="16"/>
                <w:szCs w:val="16"/>
              </w:rPr>
              <w:t>(log)</w:t>
            </w:r>
          </w:p>
        </w:tc>
        <w:tc>
          <w:tcPr>
            <w:tcW w:w="0" w:type="auto"/>
            <w:vAlign w:val="center"/>
          </w:tcPr>
          <w:p w:rsidR="00F14D44" w:rsidRPr="00581E98" w:rsidRDefault="00F14D44" w:rsidP="00581E98">
            <w:pPr>
              <w:autoSpaceDE w:val="0"/>
              <w:autoSpaceDN w:val="0"/>
              <w:adjustRightInd w:val="0"/>
              <w:spacing w:line="320" w:lineRule="atLeast"/>
              <w:ind w:left="60" w:right="60"/>
              <w:jc w:val="center"/>
              <w:rPr>
                <w:rFonts w:cs="Times New Roman"/>
                <w:color w:val="000000"/>
                <w:sz w:val="16"/>
                <w:szCs w:val="16"/>
              </w:rPr>
            </w:pPr>
            <w:r w:rsidRPr="00581E98">
              <w:rPr>
                <w:rFonts w:cs="Times New Roman"/>
                <w:color w:val="000000"/>
                <w:sz w:val="16"/>
                <w:szCs w:val="16"/>
              </w:rPr>
              <w:t>1.011</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sz w:val="16"/>
                <w:szCs w:val="16"/>
              </w:rPr>
              <w:t>FS (log)</w:t>
            </w:r>
          </w:p>
        </w:tc>
        <w:tc>
          <w:tcPr>
            <w:tcW w:w="0" w:type="auto"/>
            <w:vAlign w:val="center"/>
          </w:tcPr>
          <w:p w:rsidR="00F14D44" w:rsidRPr="00581E98" w:rsidRDefault="00F14D44" w:rsidP="00581E98">
            <w:pPr>
              <w:autoSpaceDE w:val="0"/>
              <w:autoSpaceDN w:val="0"/>
              <w:adjustRightInd w:val="0"/>
              <w:spacing w:line="320" w:lineRule="atLeast"/>
              <w:ind w:left="60" w:right="60"/>
              <w:jc w:val="center"/>
              <w:rPr>
                <w:rFonts w:cs="Times New Roman"/>
                <w:color w:val="000000"/>
                <w:sz w:val="16"/>
                <w:szCs w:val="16"/>
              </w:rPr>
            </w:pPr>
            <w:r w:rsidRPr="00581E98">
              <w:rPr>
                <w:rFonts w:cs="Times New Roman"/>
                <w:color w:val="000000"/>
                <w:sz w:val="16"/>
                <w:szCs w:val="16"/>
              </w:rPr>
              <w:t>1.220</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sz w:val="16"/>
                <w:szCs w:val="16"/>
              </w:rPr>
              <w:t>FS (log)</w:t>
            </w:r>
          </w:p>
        </w:tc>
        <w:tc>
          <w:tcPr>
            <w:tcW w:w="0" w:type="auto"/>
            <w:vAlign w:val="center"/>
          </w:tcPr>
          <w:p w:rsidR="00F14D44" w:rsidRPr="00581E98" w:rsidRDefault="00F14D44" w:rsidP="00581E98">
            <w:pPr>
              <w:autoSpaceDE w:val="0"/>
              <w:autoSpaceDN w:val="0"/>
              <w:adjustRightInd w:val="0"/>
              <w:spacing w:line="320" w:lineRule="atLeast"/>
              <w:ind w:left="60" w:right="60"/>
              <w:jc w:val="center"/>
              <w:rPr>
                <w:rFonts w:cs="Times New Roman"/>
                <w:color w:val="000000"/>
                <w:sz w:val="16"/>
                <w:szCs w:val="16"/>
              </w:rPr>
            </w:pPr>
            <w:r w:rsidRPr="00581E98">
              <w:rPr>
                <w:rFonts w:cs="Times New Roman"/>
                <w:color w:val="000000"/>
                <w:sz w:val="16"/>
                <w:szCs w:val="16"/>
              </w:rPr>
              <w:t>1.220</w:t>
            </w:r>
          </w:p>
        </w:tc>
      </w:tr>
      <w:tr w:rsidR="00536BCF" w:rsidRPr="007D74AA" w:rsidTr="00536BCF">
        <w:trPr>
          <w:trHeight w:val="20"/>
        </w:trPr>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Leverage (log)</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1.014</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Leverage (log)</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1.015</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Leverage (log)</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1.014</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Leverage (log)</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1.014</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Leverage (log)</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1.014</w:t>
            </w:r>
          </w:p>
        </w:tc>
        <w:tc>
          <w:tcPr>
            <w:tcW w:w="0" w:type="auto"/>
            <w:vAlign w:val="center"/>
          </w:tcPr>
          <w:p w:rsidR="00F14D44" w:rsidRPr="007D74AA" w:rsidRDefault="00F14D44" w:rsidP="00536BCF">
            <w:pPr>
              <w:jc w:val="center"/>
              <w:rPr>
                <w:rFonts w:cs="Times New Roman"/>
                <w:sz w:val="16"/>
                <w:szCs w:val="16"/>
              </w:rPr>
            </w:pPr>
            <w:r w:rsidRPr="007D74AA">
              <w:rPr>
                <w:rFonts w:cs="Times New Roman"/>
                <w:sz w:val="16"/>
                <w:szCs w:val="16"/>
              </w:rPr>
              <w:t>Leverage (log)</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color w:val="000000"/>
                <w:sz w:val="16"/>
                <w:szCs w:val="16"/>
              </w:rPr>
              <w:t>1.014</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sz w:val="16"/>
                <w:szCs w:val="16"/>
              </w:rPr>
              <w:t>Leverage (log)</w:t>
            </w:r>
          </w:p>
        </w:tc>
        <w:tc>
          <w:tcPr>
            <w:tcW w:w="0" w:type="auto"/>
            <w:vAlign w:val="center"/>
          </w:tcPr>
          <w:p w:rsidR="00F14D44" w:rsidRPr="00581E98" w:rsidRDefault="00F14D44" w:rsidP="00581E98">
            <w:pPr>
              <w:autoSpaceDE w:val="0"/>
              <w:autoSpaceDN w:val="0"/>
              <w:adjustRightInd w:val="0"/>
              <w:spacing w:line="320" w:lineRule="atLeast"/>
              <w:ind w:left="60" w:right="60"/>
              <w:jc w:val="center"/>
              <w:rPr>
                <w:rFonts w:cs="Times New Roman"/>
                <w:color w:val="000000"/>
                <w:sz w:val="16"/>
                <w:szCs w:val="16"/>
              </w:rPr>
            </w:pPr>
            <w:r w:rsidRPr="00581E98">
              <w:rPr>
                <w:rFonts w:cs="Times New Roman"/>
                <w:color w:val="000000"/>
                <w:sz w:val="16"/>
                <w:szCs w:val="16"/>
              </w:rPr>
              <w:t>1.014</w:t>
            </w:r>
          </w:p>
        </w:tc>
        <w:tc>
          <w:tcPr>
            <w:tcW w:w="0" w:type="auto"/>
            <w:vAlign w:val="center"/>
          </w:tcPr>
          <w:p w:rsidR="00F14D44" w:rsidRPr="007D74AA" w:rsidRDefault="00F14D44" w:rsidP="00536BCF">
            <w:pPr>
              <w:autoSpaceDE w:val="0"/>
              <w:autoSpaceDN w:val="0"/>
              <w:adjustRightInd w:val="0"/>
              <w:spacing w:line="320" w:lineRule="atLeast"/>
              <w:ind w:left="60" w:right="60"/>
              <w:jc w:val="center"/>
              <w:rPr>
                <w:rFonts w:cs="Times New Roman"/>
                <w:color w:val="000000"/>
                <w:sz w:val="16"/>
                <w:szCs w:val="16"/>
              </w:rPr>
            </w:pPr>
            <w:r w:rsidRPr="007D74AA">
              <w:rPr>
                <w:rFonts w:cs="Times New Roman"/>
                <w:sz w:val="16"/>
                <w:szCs w:val="16"/>
              </w:rPr>
              <w:t>Leverage (log)</w:t>
            </w:r>
          </w:p>
        </w:tc>
        <w:tc>
          <w:tcPr>
            <w:tcW w:w="0" w:type="auto"/>
            <w:vAlign w:val="center"/>
          </w:tcPr>
          <w:p w:rsidR="00F14D44" w:rsidRPr="00581E98" w:rsidRDefault="00F14D44" w:rsidP="00581E98">
            <w:pPr>
              <w:autoSpaceDE w:val="0"/>
              <w:autoSpaceDN w:val="0"/>
              <w:adjustRightInd w:val="0"/>
              <w:spacing w:line="320" w:lineRule="atLeast"/>
              <w:ind w:left="60" w:right="60"/>
              <w:jc w:val="center"/>
              <w:rPr>
                <w:rFonts w:cs="Times New Roman"/>
                <w:color w:val="000000"/>
                <w:sz w:val="16"/>
                <w:szCs w:val="16"/>
              </w:rPr>
            </w:pPr>
            <w:r w:rsidRPr="00581E98">
              <w:rPr>
                <w:rFonts w:cs="Times New Roman"/>
                <w:color w:val="000000"/>
                <w:sz w:val="16"/>
                <w:szCs w:val="16"/>
              </w:rPr>
              <w:t>1.016</w:t>
            </w:r>
          </w:p>
        </w:tc>
        <w:tc>
          <w:tcPr>
            <w:tcW w:w="0" w:type="auto"/>
            <w:vAlign w:val="center"/>
          </w:tcPr>
          <w:p w:rsidR="00F14D44" w:rsidRDefault="00F14D44" w:rsidP="00536BCF">
            <w:pPr>
              <w:jc w:val="center"/>
              <w:rPr>
                <w:rFonts w:cs="Times New Roman"/>
                <w:sz w:val="16"/>
                <w:szCs w:val="16"/>
              </w:rPr>
            </w:pPr>
            <w:r w:rsidRPr="007D74AA">
              <w:rPr>
                <w:rFonts w:cs="Times New Roman"/>
                <w:sz w:val="16"/>
                <w:szCs w:val="16"/>
              </w:rPr>
              <w:t>ROE</w:t>
            </w:r>
          </w:p>
          <w:p w:rsidR="00F14D44" w:rsidRPr="007D74AA" w:rsidRDefault="00F14D44" w:rsidP="00536BCF">
            <w:pPr>
              <w:jc w:val="center"/>
              <w:rPr>
                <w:rFonts w:cs="Times New Roman"/>
                <w:sz w:val="16"/>
                <w:szCs w:val="16"/>
              </w:rPr>
            </w:pPr>
            <w:r w:rsidRPr="007D74AA">
              <w:rPr>
                <w:rFonts w:cs="Times New Roman"/>
                <w:sz w:val="16"/>
                <w:szCs w:val="16"/>
              </w:rPr>
              <w:t>(log)</w:t>
            </w:r>
          </w:p>
        </w:tc>
        <w:tc>
          <w:tcPr>
            <w:tcW w:w="0" w:type="auto"/>
            <w:vAlign w:val="center"/>
          </w:tcPr>
          <w:p w:rsidR="00F14D44" w:rsidRPr="00581E98" w:rsidRDefault="00F14D44" w:rsidP="00581E98">
            <w:pPr>
              <w:autoSpaceDE w:val="0"/>
              <w:autoSpaceDN w:val="0"/>
              <w:adjustRightInd w:val="0"/>
              <w:spacing w:line="320" w:lineRule="atLeast"/>
              <w:ind w:left="60" w:right="60"/>
              <w:jc w:val="center"/>
              <w:rPr>
                <w:rFonts w:cs="Times New Roman"/>
                <w:color w:val="000000"/>
                <w:sz w:val="16"/>
                <w:szCs w:val="16"/>
              </w:rPr>
            </w:pPr>
            <w:r w:rsidRPr="00581E98">
              <w:rPr>
                <w:rFonts w:cs="Times New Roman"/>
                <w:color w:val="000000"/>
                <w:sz w:val="16"/>
                <w:szCs w:val="16"/>
              </w:rPr>
              <w:t>1.014</w:t>
            </w:r>
          </w:p>
        </w:tc>
      </w:tr>
    </w:tbl>
    <w:p w:rsidR="00F14D44" w:rsidRDefault="00F14D44" w:rsidP="004F1A6B">
      <w:pPr>
        <w:rPr>
          <w:color w:val="FF0000"/>
        </w:rPr>
      </w:pPr>
    </w:p>
    <w:p w:rsidR="00536BCF" w:rsidRDefault="00536BCF" w:rsidP="004F1A6B">
      <w:pPr>
        <w:rPr>
          <w:color w:val="FF0000"/>
        </w:rPr>
      </w:pPr>
    </w:p>
    <w:p w:rsidR="00536BCF" w:rsidRPr="00F524BE" w:rsidRDefault="00536BCF" w:rsidP="00536BCF">
      <w:pPr>
        <w:pStyle w:val="Caption"/>
        <w:jc w:val="center"/>
        <w:rPr>
          <w:rFonts w:cs="Times New Roman"/>
          <w:szCs w:val="24"/>
        </w:rPr>
      </w:pPr>
      <w:r w:rsidRPr="00F524BE">
        <w:rPr>
          <w:rFonts w:cs="Times New Roman"/>
          <w:szCs w:val="24"/>
        </w:rPr>
        <w:lastRenderedPageBreak/>
        <w:t xml:space="preserve">Table </w:t>
      </w:r>
      <w:r w:rsidR="00EF1EDC">
        <w:rPr>
          <w:rFonts w:cs="Times New Roman"/>
          <w:szCs w:val="24"/>
        </w:rPr>
        <w:fldChar w:fldCharType="begin"/>
      </w:r>
      <w:r>
        <w:rPr>
          <w:rFonts w:cs="Times New Roman"/>
          <w:szCs w:val="24"/>
        </w:rPr>
        <w:instrText xml:space="preserve"> STYLEREF 1 \s </w:instrText>
      </w:r>
      <w:r w:rsidR="00EF1EDC">
        <w:rPr>
          <w:rFonts w:cs="Times New Roman"/>
          <w:szCs w:val="24"/>
        </w:rPr>
        <w:fldChar w:fldCharType="separate"/>
      </w:r>
      <w:r>
        <w:rPr>
          <w:rFonts w:cs="Times New Roman"/>
          <w:noProof/>
          <w:szCs w:val="24"/>
        </w:rPr>
        <w:t>6</w:t>
      </w:r>
      <w:r w:rsidR="00EF1EDC">
        <w:rPr>
          <w:rFonts w:cs="Times New Roman"/>
          <w:szCs w:val="24"/>
        </w:rPr>
        <w:fldChar w:fldCharType="end"/>
      </w:r>
      <w:r>
        <w:rPr>
          <w:rFonts w:cs="Times New Roman"/>
          <w:szCs w:val="24"/>
        </w:rPr>
        <w:t>.</w:t>
      </w:r>
      <w:r w:rsidR="00EF1EDC">
        <w:rPr>
          <w:rFonts w:cs="Times New Roman"/>
          <w:szCs w:val="24"/>
        </w:rPr>
        <w:fldChar w:fldCharType="begin"/>
      </w:r>
      <w:r>
        <w:rPr>
          <w:rFonts w:cs="Times New Roman"/>
          <w:szCs w:val="24"/>
        </w:rPr>
        <w:instrText xml:space="preserve"> SEQ Table \* ARABIC \s 1 </w:instrText>
      </w:r>
      <w:r w:rsidR="00EF1EDC">
        <w:rPr>
          <w:rFonts w:cs="Times New Roman"/>
          <w:szCs w:val="24"/>
        </w:rPr>
        <w:fldChar w:fldCharType="separate"/>
      </w:r>
      <w:r>
        <w:rPr>
          <w:rFonts w:cs="Times New Roman"/>
          <w:noProof/>
          <w:szCs w:val="24"/>
        </w:rPr>
        <w:t>7</w:t>
      </w:r>
      <w:r w:rsidR="00EF1EDC">
        <w:rPr>
          <w:rFonts w:cs="Times New Roman"/>
          <w:szCs w:val="24"/>
        </w:rPr>
        <w:fldChar w:fldCharType="end"/>
      </w:r>
      <w:r w:rsidRPr="00F524BE">
        <w:rPr>
          <w:rFonts w:cs="Times New Roman"/>
          <w:szCs w:val="24"/>
        </w:rPr>
        <w:t xml:space="preserve">. Collinearity </w:t>
      </w:r>
      <w:r w:rsidRPr="00F524BE">
        <w:rPr>
          <w:rFonts w:cs="Times New Roman" w:hint="eastAsia"/>
          <w:szCs w:val="24"/>
        </w:rPr>
        <w:t>D</w:t>
      </w:r>
      <w:r w:rsidRPr="00F524BE">
        <w:rPr>
          <w:rFonts w:cs="Times New Roman"/>
          <w:szCs w:val="24"/>
        </w:rPr>
        <w:t>iagnostics of U.S.</w:t>
      </w:r>
    </w:p>
    <w:tbl>
      <w:tblPr>
        <w:tblStyle w:val="TableGrid"/>
        <w:tblW w:w="0" w:type="auto"/>
        <w:tblLook w:val="04A0"/>
      </w:tblPr>
      <w:tblGrid>
        <w:gridCol w:w="870"/>
        <w:gridCol w:w="697"/>
        <w:gridCol w:w="870"/>
        <w:gridCol w:w="696"/>
        <w:gridCol w:w="869"/>
        <w:gridCol w:w="696"/>
        <w:gridCol w:w="869"/>
        <w:gridCol w:w="696"/>
        <w:gridCol w:w="869"/>
        <w:gridCol w:w="696"/>
        <w:gridCol w:w="869"/>
        <w:gridCol w:w="696"/>
        <w:gridCol w:w="989"/>
        <w:gridCol w:w="696"/>
        <w:gridCol w:w="989"/>
        <w:gridCol w:w="696"/>
        <w:gridCol w:w="869"/>
        <w:gridCol w:w="696"/>
      </w:tblGrid>
      <w:tr w:rsidR="00536BCF" w:rsidRPr="00C87410" w:rsidTr="009C7D5B">
        <w:trPr>
          <w:trHeight w:val="638"/>
        </w:trPr>
        <w:tc>
          <w:tcPr>
            <w:tcW w:w="0" w:type="auto"/>
            <w:vAlign w:val="center"/>
          </w:tcPr>
          <w:p w:rsidR="00536BCF" w:rsidRPr="00C87410" w:rsidRDefault="00536BCF" w:rsidP="009C7D5B">
            <w:pPr>
              <w:jc w:val="center"/>
              <w:rPr>
                <w:rFonts w:cs="Times New Roman"/>
                <w:sz w:val="16"/>
                <w:szCs w:val="16"/>
              </w:rPr>
            </w:pPr>
            <w:r w:rsidRPr="00C87410">
              <w:rPr>
                <w:rFonts w:cs="Times New Roman"/>
                <w:b/>
                <w:i/>
                <w:sz w:val="16"/>
                <w:szCs w:val="16"/>
              </w:rPr>
              <w:t>EDS</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VIF</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BI</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VIF</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CEO-dummy</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VIF</w:t>
            </w:r>
          </w:p>
        </w:tc>
        <w:tc>
          <w:tcPr>
            <w:tcW w:w="0" w:type="auto"/>
            <w:vAlign w:val="center"/>
          </w:tcPr>
          <w:p w:rsidR="00536BCF" w:rsidRPr="00C87410" w:rsidRDefault="00536BCF" w:rsidP="009C7D5B">
            <w:pPr>
              <w:jc w:val="center"/>
              <w:rPr>
                <w:rFonts w:cs="Times New Roman"/>
                <w:sz w:val="16"/>
                <w:szCs w:val="16"/>
              </w:rPr>
            </w:pPr>
            <w:r w:rsidRPr="00C87410">
              <w:rPr>
                <w:rFonts w:cs="Times New Roman"/>
                <w:b/>
                <w:i/>
                <w:sz w:val="16"/>
                <w:szCs w:val="16"/>
              </w:rPr>
              <w:t>NEDS</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VIF</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Insider</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VIF</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Block-holder</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VIF</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FS (log)</w:t>
            </w:r>
          </w:p>
        </w:tc>
        <w:tc>
          <w:tcPr>
            <w:tcW w:w="0" w:type="auto"/>
          </w:tcPr>
          <w:p w:rsidR="00536BCF" w:rsidRPr="00C87410" w:rsidRDefault="00536BCF" w:rsidP="009C7D5B">
            <w:pPr>
              <w:jc w:val="center"/>
              <w:rPr>
                <w:rFonts w:cs="Times New Roman"/>
                <w:sz w:val="16"/>
                <w:szCs w:val="16"/>
              </w:rPr>
            </w:pPr>
            <w:r w:rsidRPr="00C87410">
              <w:rPr>
                <w:rFonts w:cs="Times New Roman"/>
                <w:sz w:val="16"/>
                <w:szCs w:val="16"/>
              </w:rPr>
              <w:t>VIF</w:t>
            </w:r>
          </w:p>
        </w:tc>
        <w:tc>
          <w:tcPr>
            <w:tcW w:w="0" w:type="auto"/>
          </w:tcPr>
          <w:p w:rsidR="00536BCF" w:rsidRPr="00C87410" w:rsidRDefault="00536BCF" w:rsidP="009C7D5B">
            <w:pPr>
              <w:jc w:val="center"/>
              <w:rPr>
                <w:rFonts w:cs="Times New Roman"/>
                <w:sz w:val="16"/>
                <w:szCs w:val="16"/>
              </w:rPr>
            </w:pPr>
            <w:r w:rsidRPr="00C87410">
              <w:rPr>
                <w:rFonts w:cs="Times New Roman"/>
                <w:sz w:val="16"/>
                <w:szCs w:val="16"/>
              </w:rPr>
              <w:t>ROE</w:t>
            </w:r>
          </w:p>
          <w:p w:rsidR="00536BCF" w:rsidRPr="00C87410" w:rsidRDefault="00536BCF" w:rsidP="009C7D5B">
            <w:pPr>
              <w:jc w:val="center"/>
              <w:rPr>
                <w:rFonts w:cs="Times New Roman"/>
                <w:sz w:val="16"/>
                <w:szCs w:val="16"/>
              </w:rPr>
            </w:pPr>
            <w:r w:rsidRPr="00C87410">
              <w:rPr>
                <w:rFonts w:cs="Times New Roman"/>
                <w:sz w:val="16"/>
                <w:szCs w:val="16"/>
              </w:rPr>
              <w:t>(log)</w:t>
            </w:r>
          </w:p>
        </w:tc>
        <w:tc>
          <w:tcPr>
            <w:tcW w:w="0" w:type="auto"/>
          </w:tcPr>
          <w:p w:rsidR="00536BCF" w:rsidRPr="00C87410" w:rsidRDefault="00536BCF" w:rsidP="009C7D5B">
            <w:pPr>
              <w:jc w:val="center"/>
              <w:rPr>
                <w:rFonts w:cs="Times New Roman"/>
                <w:sz w:val="16"/>
                <w:szCs w:val="16"/>
              </w:rPr>
            </w:pPr>
            <w:r w:rsidRPr="00C87410">
              <w:rPr>
                <w:rFonts w:cs="Times New Roman"/>
                <w:sz w:val="16"/>
                <w:szCs w:val="16"/>
              </w:rPr>
              <w:t>VIF</w:t>
            </w:r>
          </w:p>
        </w:tc>
        <w:tc>
          <w:tcPr>
            <w:tcW w:w="0" w:type="auto"/>
          </w:tcPr>
          <w:p w:rsidR="00536BCF" w:rsidRPr="00C87410" w:rsidRDefault="00536BCF" w:rsidP="009C7D5B">
            <w:pPr>
              <w:jc w:val="center"/>
              <w:rPr>
                <w:rFonts w:cs="Times New Roman"/>
                <w:sz w:val="16"/>
                <w:szCs w:val="16"/>
              </w:rPr>
            </w:pPr>
            <w:r w:rsidRPr="00C87410">
              <w:rPr>
                <w:rFonts w:cs="Times New Roman"/>
                <w:sz w:val="16"/>
                <w:szCs w:val="16"/>
              </w:rPr>
              <w:t>Leverage (log)</w:t>
            </w:r>
          </w:p>
        </w:tc>
        <w:tc>
          <w:tcPr>
            <w:tcW w:w="0" w:type="auto"/>
          </w:tcPr>
          <w:p w:rsidR="00536BCF" w:rsidRPr="00C87410" w:rsidRDefault="00536BCF" w:rsidP="009C7D5B">
            <w:pPr>
              <w:jc w:val="center"/>
              <w:rPr>
                <w:rFonts w:cs="Times New Roman"/>
                <w:sz w:val="16"/>
                <w:szCs w:val="16"/>
              </w:rPr>
            </w:pPr>
            <w:r w:rsidRPr="00C87410">
              <w:rPr>
                <w:rFonts w:cs="Times New Roman"/>
                <w:sz w:val="16"/>
                <w:szCs w:val="16"/>
              </w:rPr>
              <w:t>VIF</w:t>
            </w:r>
          </w:p>
        </w:tc>
      </w:tr>
      <w:tr w:rsidR="00536BCF" w:rsidRPr="00C87410" w:rsidTr="009C7D5B">
        <w:tc>
          <w:tcPr>
            <w:tcW w:w="0" w:type="auto"/>
            <w:vAlign w:val="center"/>
          </w:tcPr>
          <w:p w:rsidR="00536BCF" w:rsidRPr="00C87410" w:rsidRDefault="00536BCF" w:rsidP="009C7D5B">
            <w:pPr>
              <w:jc w:val="center"/>
              <w:rPr>
                <w:rFonts w:cs="Times New Roman"/>
                <w:b/>
                <w:sz w:val="16"/>
                <w:szCs w:val="16"/>
              </w:rPr>
            </w:pPr>
            <w:r w:rsidRPr="00C87410">
              <w:rPr>
                <w:rFonts w:cs="Times New Roman"/>
                <w:sz w:val="16"/>
                <w:szCs w:val="16"/>
              </w:rPr>
              <w:t>BI</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1.283</w:t>
            </w:r>
          </w:p>
        </w:tc>
        <w:tc>
          <w:tcPr>
            <w:tcW w:w="0" w:type="auto"/>
            <w:vAlign w:val="center"/>
          </w:tcPr>
          <w:p w:rsidR="00536BCF" w:rsidRPr="00C87410" w:rsidRDefault="00536BCF" w:rsidP="009C7D5B">
            <w:pPr>
              <w:jc w:val="center"/>
              <w:rPr>
                <w:rFonts w:cs="Times New Roman"/>
                <w:sz w:val="16"/>
                <w:szCs w:val="16"/>
              </w:rPr>
            </w:pPr>
            <w:r w:rsidRPr="00C87410">
              <w:rPr>
                <w:rFonts w:cs="Times New Roman"/>
                <w:b/>
                <w:i/>
                <w:sz w:val="16"/>
                <w:szCs w:val="16"/>
              </w:rPr>
              <w:t>EDS</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1.178</w:t>
            </w:r>
          </w:p>
        </w:tc>
        <w:tc>
          <w:tcPr>
            <w:tcW w:w="0" w:type="auto"/>
            <w:vAlign w:val="center"/>
          </w:tcPr>
          <w:p w:rsidR="00536BCF" w:rsidRPr="00C87410" w:rsidRDefault="00536BCF" w:rsidP="009C7D5B">
            <w:pPr>
              <w:jc w:val="center"/>
              <w:rPr>
                <w:rFonts w:cs="Times New Roman"/>
                <w:sz w:val="16"/>
                <w:szCs w:val="16"/>
              </w:rPr>
            </w:pPr>
            <w:r w:rsidRPr="00C87410">
              <w:rPr>
                <w:rFonts w:cs="Times New Roman"/>
                <w:b/>
                <w:i/>
                <w:sz w:val="16"/>
                <w:szCs w:val="16"/>
              </w:rPr>
              <w:t>EDS</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1.390</w:t>
            </w:r>
          </w:p>
        </w:tc>
        <w:tc>
          <w:tcPr>
            <w:tcW w:w="0" w:type="auto"/>
            <w:vAlign w:val="center"/>
          </w:tcPr>
          <w:p w:rsidR="00536BCF" w:rsidRPr="00C87410" w:rsidRDefault="00536BCF" w:rsidP="009C7D5B">
            <w:pPr>
              <w:jc w:val="center"/>
              <w:rPr>
                <w:rFonts w:cs="Times New Roman"/>
                <w:sz w:val="16"/>
                <w:szCs w:val="16"/>
              </w:rPr>
            </w:pPr>
            <w:r w:rsidRPr="00C87410">
              <w:rPr>
                <w:rFonts w:cs="Times New Roman"/>
                <w:b/>
                <w:i/>
                <w:sz w:val="16"/>
                <w:szCs w:val="16"/>
              </w:rPr>
              <w:t>EDS</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1.383</w:t>
            </w:r>
          </w:p>
        </w:tc>
        <w:tc>
          <w:tcPr>
            <w:tcW w:w="0" w:type="auto"/>
            <w:vAlign w:val="center"/>
          </w:tcPr>
          <w:p w:rsidR="00536BCF" w:rsidRPr="00C87410" w:rsidRDefault="00536BCF" w:rsidP="009C7D5B">
            <w:pPr>
              <w:jc w:val="center"/>
              <w:rPr>
                <w:rFonts w:cs="Times New Roman"/>
                <w:sz w:val="16"/>
                <w:szCs w:val="16"/>
              </w:rPr>
            </w:pPr>
            <w:r w:rsidRPr="00C87410">
              <w:rPr>
                <w:rFonts w:cs="Times New Roman"/>
                <w:b/>
                <w:i/>
                <w:sz w:val="16"/>
                <w:szCs w:val="16"/>
              </w:rPr>
              <w:t>EDS</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1.343</w:t>
            </w:r>
          </w:p>
        </w:tc>
        <w:tc>
          <w:tcPr>
            <w:tcW w:w="0" w:type="auto"/>
            <w:vAlign w:val="center"/>
          </w:tcPr>
          <w:p w:rsidR="00536BCF" w:rsidRPr="00C87410" w:rsidRDefault="00536BCF" w:rsidP="009C7D5B">
            <w:pPr>
              <w:jc w:val="center"/>
              <w:rPr>
                <w:rFonts w:cs="Times New Roman"/>
                <w:sz w:val="16"/>
                <w:szCs w:val="16"/>
              </w:rPr>
            </w:pPr>
            <w:r w:rsidRPr="00C87410">
              <w:rPr>
                <w:rFonts w:cs="Times New Roman"/>
                <w:b/>
                <w:i/>
                <w:sz w:val="16"/>
                <w:szCs w:val="16"/>
              </w:rPr>
              <w:t>EDS</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1.392</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BS</w:t>
            </w:r>
          </w:p>
        </w:tc>
        <w:tc>
          <w:tcPr>
            <w:tcW w:w="0" w:type="auto"/>
            <w:vAlign w:val="center"/>
          </w:tcPr>
          <w:p w:rsidR="00536BCF" w:rsidRPr="00C87410" w:rsidRDefault="00536BCF" w:rsidP="009C7D5B">
            <w:pPr>
              <w:autoSpaceDE w:val="0"/>
              <w:autoSpaceDN w:val="0"/>
              <w:adjustRightInd w:val="0"/>
              <w:spacing w:after="0" w:line="320" w:lineRule="atLeast"/>
              <w:ind w:left="60" w:right="60"/>
              <w:jc w:val="right"/>
              <w:rPr>
                <w:rFonts w:cs="Times New Roman"/>
                <w:color w:val="000000"/>
                <w:sz w:val="16"/>
                <w:szCs w:val="16"/>
              </w:rPr>
            </w:pPr>
            <w:r w:rsidRPr="00C87410">
              <w:rPr>
                <w:rFonts w:cs="Times New Roman"/>
                <w:color w:val="000000"/>
                <w:sz w:val="16"/>
                <w:szCs w:val="16"/>
              </w:rPr>
              <w:t>1.375</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BS</w:t>
            </w:r>
          </w:p>
        </w:tc>
        <w:tc>
          <w:tcPr>
            <w:tcW w:w="0" w:type="auto"/>
            <w:vAlign w:val="center"/>
          </w:tcPr>
          <w:p w:rsidR="00536BCF" w:rsidRPr="00C87410" w:rsidRDefault="00536BCF" w:rsidP="009C7D5B">
            <w:pPr>
              <w:autoSpaceDE w:val="0"/>
              <w:autoSpaceDN w:val="0"/>
              <w:adjustRightInd w:val="0"/>
              <w:spacing w:after="0" w:line="320" w:lineRule="atLeast"/>
              <w:ind w:left="60" w:right="60"/>
              <w:jc w:val="right"/>
              <w:rPr>
                <w:rFonts w:cs="Times New Roman"/>
                <w:color w:val="000000"/>
                <w:sz w:val="16"/>
                <w:szCs w:val="16"/>
              </w:rPr>
            </w:pPr>
            <w:r w:rsidRPr="00C87410">
              <w:rPr>
                <w:rFonts w:cs="Times New Roman"/>
                <w:color w:val="000000"/>
                <w:sz w:val="16"/>
                <w:szCs w:val="16"/>
              </w:rPr>
              <w:t>1.406</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BS</w:t>
            </w:r>
          </w:p>
        </w:tc>
        <w:tc>
          <w:tcPr>
            <w:tcW w:w="0" w:type="auto"/>
            <w:vAlign w:val="center"/>
          </w:tcPr>
          <w:p w:rsidR="00536BCF" w:rsidRPr="00A175D4" w:rsidRDefault="00536BCF" w:rsidP="009C7D5B">
            <w:pPr>
              <w:autoSpaceDE w:val="0"/>
              <w:autoSpaceDN w:val="0"/>
              <w:adjustRightInd w:val="0"/>
              <w:spacing w:after="0" w:line="320" w:lineRule="atLeast"/>
              <w:ind w:left="60" w:right="60"/>
              <w:jc w:val="right"/>
              <w:rPr>
                <w:rFonts w:cs="Times New Roman"/>
                <w:color w:val="000000"/>
                <w:sz w:val="16"/>
                <w:szCs w:val="16"/>
              </w:rPr>
            </w:pPr>
            <w:r w:rsidRPr="00A175D4">
              <w:rPr>
                <w:rFonts w:cs="Times New Roman"/>
                <w:color w:val="000000"/>
                <w:sz w:val="16"/>
                <w:szCs w:val="16"/>
              </w:rPr>
              <w:t>1.405</w:t>
            </w:r>
          </w:p>
        </w:tc>
      </w:tr>
      <w:tr w:rsidR="00536BCF" w:rsidRPr="00C87410" w:rsidTr="009C7D5B">
        <w:tc>
          <w:tcPr>
            <w:tcW w:w="0" w:type="auto"/>
            <w:vAlign w:val="center"/>
          </w:tcPr>
          <w:p w:rsidR="00536BCF" w:rsidRPr="00C87410" w:rsidRDefault="00536BCF" w:rsidP="009C7D5B">
            <w:pPr>
              <w:jc w:val="center"/>
              <w:rPr>
                <w:rFonts w:cs="Times New Roman"/>
                <w:b/>
                <w:sz w:val="16"/>
                <w:szCs w:val="16"/>
              </w:rPr>
            </w:pPr>
            <w:r w:rsidRPr="00C87410">
              <w:rPr>
                <w:rFonts w:cs="Times New Roman"/>
                <w:sz w:val="16"/>
                <w:szCs w:val="16"/>
              </w:rPr>
              <w:t>CEO-dummy</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1.021</w:t>
            </w:r>
          </w:p>
        </w:tc>
        <w:tc>
          <w:tcPr>
            <w:tcW w:w="0" w:type="auto"/>
            <w:vAlign w:val="center"/>
          </w:tcPr>
          <w:p w:rsidR="00536BCF" w:rsidRPr="00C87410" w:rsidRDefault="00536BCF" w:rsidP="009C7D5B">
            <w:pPr>
              <w:jc w:val="center"/>
              <w:rPr>
                <w:rFonts w:cs="Times New Roman"/>
                <w:b/>
                <w:sz w:val="16"/>
                <w:szCs w:val="16"/>
              </w:rPr>
            </w:pPr>
            <w:r w:rsidRPr="00C87410">
              <w:rPr>
                <w:rFonts w:cs="Times New Roman"/>
                <w:sz w:val="16"/>
                <w:szCs w:val="16"/>
              </w:rPr>
              <w:t>CEO-dummy</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1.022</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BI</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1.516</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BI</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1.503</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BI</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1.403</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BI</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1.516</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BI</w:t>
            </w:r>
          </w:p>
        </w:tc>
        <w:tc>
          <w:tcPr>
            <w:tcW w:w="0" w:type="auto"/>
            <w:vAlign w:val="center"/>
          </w:tcPr>
          <w:p w:rsidR="00536BCF" w:rsidRPr="00C87410" w:rsidRDefault="00536BCF" w:rsidP="009C7D5B">
            <w:pPr>
              <w:autoSpaceDE w:val="0"/>
              <w:autoSpaceDN w:val="0"/>
              <w:adjustRightInd w:val="0"/>
              <w:spacing w:after="0" w:line="320" w:lineRule="atLeast"/>
              <w:ind w:left="60" w:right="60"/>
              <w:jc w:val="right"/>
              <w:rPr>
                <w:rFonts w:cs="Times New Roman"/>
                <w:color w:val="000000"/>
                <w:sz w:val="16"/>
                <w:szCs w:val="16"/>
              </w:rPr>
            </w:pPr>
            <w:r w:rsidRPr="00C87410">
              <w:rPr>
                <w:rFonts w:cs="Times New Roman"/>
                <w:color w:val="000000"/>
                <w:sz w:val="16"/>
                <w:szCs w:val="16"/>
              </w:rPr>
              <w:t>1.545</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BI</w:t>
            </w:r>
          </w:p>
        </w:tc>
        <w:tc>
          <w:tcPr>
            <w:tcW w:w="0" w:type="auto"/>
            <w:vAlign w:val="center"/>
          </w:tcPr>
          <w:p w:rsidR="00536BCF" w:rsidRPr="00C87410" w:rsidRDefault="00536BCF" w:rsidP="009C7D5B">
            <w:pPr>
              <w:autoSpaceDE w:val="0"/>
              <w:autoSpaceDN w:val="0"/>
              <w:adjustRightInd w:val="0"/>
              <w:spacing w:after="0" w:line="320" w:lineRule="atLeast"/>
              <w:ind w:left="60" w:right="60"/>
              <w:jc w:val="right"/>
              <w:rPr>
                <w:rFonts w:cs="Times New Roman"/>
                <w:color w:val="000000"/>
                <w:sz w:val="16"/>
                <w:szCs w:val="16"/>
              </w:rPr>
            </w:pPr>
            <w:r w:rsidRPr="00C87410">
              <w:rPr>
                <w:rFonts w:cs="Times New Roman"/>
                <w:color w:val="000000"/>
                <w:sz w:val="16"/>
                <w:szCs w:val="16"/>
              </w:rPr>
              <w:t>1.545</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BI</w:t>
            </w:r>
          </w:p>
        </w:tc>
        <w:tc>
          <w:tcPr>
            <w:tcW w:w="0" w:type="auto"/>
            <w:vAlign w:val="center"/>
          </w:tcPr>
          <w:p w:rsidR="00536BCF" w:rsidRPr="00A175D4" w:rsidRDefault="00536BCF" w:rsidP="009C7D5B">
            <w:pPr>
              <w:autoSpaceDE w:val="0"/>
              <w:autoSpaceDN w:val="0"/>
              <w:adjustRightInd w:val="0"/>
              <w:spacing w:after="0" w:line="320" w:lineRule="atLeast"/>
              <w:ind w:left="60" w:right="60"/>
              <w:jc w:val="right"/>
              <w:rPr>
                <w:rFonts w:cs="Times New Roman"/>
                <w:color w:val="000000"/>
                <w:sz w:val="16"/>
                <w:szCs w:val="16"/>
              </w:rPr>
            </w:pPr>
            <w:r w:rsidRPr="00A175D4">
              <w:rPr>
                <w:rFonts w:cs="Times New Roman"/>
                <w:color w:val="000000"/>
                <w:sz w:val="16"/>
                <w:szCs w:val="16"/>
              </w:rPr>
              <w:t>1.546</w:t>
            </w:r>
          </w:p>
        </w:tc>
      </w:tr>
      <w:tr w:rsidR="00536BCF" w:rsidRPr="00C87410" w:rsidTr="009C7D5B">
        <w:tc>
          <w:tcPr>
            <w:tcW w:w="0" w:type="auto"/>
            <w:vAlign w:val="center"/>
          </w:tcPr>
          <w:p w:rsidR="00536BCF" w:rsidRPr="00C87410" w:rsidRDefault="00536BCF" w:rsidP="009C7D5B">
            <w:pPr>
              <w:jc w:val="center"/>
              <w:rPr>
                <w:rFonts w:cs="Times New Roman"/>
                <w:b/>
                <w:sz w:val="16"/>
                <w:szCs w:val="16"/>
              </w:rPr>
            </w:pPr>
            <w:r w:rsidRPr="00C87410">
              <w:rPr>
                <w:rFonts w:cs="Times New Roman"/>
                <w:b/>
                <w:i/>
                <w:sz w:val="16"/>
                <w:szCs w:val="16"/>
              </w:rPr>
              <w:t>NEDS</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1.521</w:t>
            </w:r>
          </w:p>
        </w:tc>
        <w:tc>
          <w:tcPr>
            <w:tcW w:w="0" w:type="auto"/>
            <w:vAlign w:val="center"/>
          </w:tcPr>
          <w:p w:rsidR="00536BCF" w:rsidRPr="00C87410" w:rsidRDefault="00536BCF" w:rsidP="009C7D5B">
            <w:pPr>
              <w:jc w:val="center"/>
              <w:rPr>
                <w:rFonts w:cs="Times New Roman"/>
                <w:b/>
                <w:sz w:val="16"/>
                <w:szCs w:val="16"/>
              </w:rPr>
            </w:pPr>
            <w:r w:rsidRPr="00C87410">
              <w:rPr>
                <w:rFonts w:cs="Times New Roman"/>
                <w:b/>
                <w:i/>
                <w:sz w:val="16"/>
                <w:szCs w:val="16"/>
              </w:rPr>
              <w:t>NEDS</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1.518</w:t>
            </w:r>
          </w:p>
        </w:tc>
        <w:tc>
          <w:tcPr>
            <w:tcW w:w="0" w:type="auto"/>
            <w:vAlign w:val="center"/>
          </w:tcPr>
          <w:p w:rsidR="00536BCF" w:rsidRPr="00C87410" w:rsidRDefault="00536BCF" w:rsidP="009C7D5B">
            <w:pPr>
              <w:jc w:val="center"/>
              <w:rPr>
                <w:rFonts w:cs="Times New Roman"/>
                <w:b/>
                <w:sz w:val="16"/>
                <w:szCs w:val="16"/>
              </w:rPr>
            </w:pPr>
            <w:r w:rsidRPr="00C87410">
              <w:rPr>
                <w:rFonts w:cs="Times New Roman"/>
                <w:b/>
                <w:i/>
                <w:sz w:val="16"/>
                <w:szCs w:val="16"/>
              </w:rPr>
              <w:t>NEDS</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1.528</w:t>
            </w:r>
          </w:p>
        </w:tc>
        <w:tc>
          <w:tcPr>
            <w:tcW w:w="0" w:type="auto"/>
            <w:vAlign w:val="center"/>
          </w:tcPr>
          <w:p w:rsidR="00536BCF" w:rsidRPr="00C87410" w:rsidRDefault="00536BCF" w:rsidP="009C7D5B">
            <w:pPr>
              <w:rPr>
                <w:rFonts w:cs="Times New Roman"/>
                <w:sz w:val="16"/>
                <w:szCs w:val="16"/>
              </w:rPr>
            </w:pPr>
            <w:r w:rsidRPr="00C87410">
              <w:rPr>
                <w:rFonts w:cs="Times New Roman"/>
                <w:sz w:val="16"/>
                <w:szCs w:val="16"/>
              </w:rPr>
              <w:t>CEO-dummy</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1.020</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CEO-dummy</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1.021</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CEO-dummy</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1.020</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CEO-dummy</w:t>
            </w:r>
          </w:p>
        </w:tc>
        <w:tc>
          <w:tcPr>
            <w:tcW w:w="0" w:type="auto"/>
            <w:vAlign w:val="center"/>
          </w:tcPr>
          <w:p w:rsidR="00536BCF" w:rsidRPr="00C87410" w:rsidRDefault="00536BCF" w:rsidP="009C7D5B">
            <w:pPr>
              <w:autoSpaceDE w:val="0"/>
              <w:autoSpaceDN w:val="0"/>
              <w:adjustRightInd w:val="0"/>
              <w:spacing w:after="0" w:line="320" w:lineRule="atLeast"/>
              <w:ind w:left="60" w:right="60"/>
              <w:jc w:val="right"/>
              <w:rPr>
                <w:rFonts w:cs="Times New Roman"/>
                <w:color w:val="000000"/>
                <w:sz w:val="16"/>
                <w:szCs w:val="16"/>
              </w:rPr>
            </w:pPr>
            <w:r w:rsidRPr="00C87410">
              <w:rPr>
                <w:rFonts w:cs="Times New Roman"/>
                <w:color w:val="000000"/>
                <w:sz w:val="16"/>
                <w:szCs w:val="16"/>
              </w:rPr>
              <w:t>1.014</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CEO-dummy</w:t>
            </w:r>
          </w:p>
        </w:tc>
        <w:tc>
          <w:tcPr>
            <w:tcW w:w="0" w:type="auto"/>
            <w:vAlign w:val="center"/>
          </w:tcPr>
          <w:p w:rsidR="00536BCF" w:rsidRPr="00C87410" w:rsidRDefault="00536BCF" w:rsidP="009C7D5B">
            <w:pPr>
              <w:autoSpaceDE w:val="0"/>
              <w:autoSpaceDN w:val="0"/>
              <w:adjustRightInd w:val="0"/>
              <w:spacing w:after="0" w:line="320" w:lineRule="atLeast"/>
              <w:ind w:left="60" w:right="60"/>
              <w:jc w:val="right"/>
              <w:rPr>
                <w:rFonts w:cs="Times New Roman"/>
                <w:color w:val="000000"/>
                <w:sz w:val="16"/>
                <w:szCs w:val="16"/>
              </w:rPr>
            </w:pPr>
            <w:r w:rsidRPr="00C87410">
              <w:rPr>
                <w:rFonts w:cs="Times New Roman"/>
                <w:color w:val="000000"/>
                <w:sz w:val="16"/>
                <w:szCs w:val="16"/>
              </w:rPr>
              <w:t>1.025</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CEO-</w:t>
            </w:r>
          </w:p>
          <w:p w:rsidR="00536BCF" w:rsidRPr="00C87410" w:rsidRDefault="00536BCF" w:rsidP="009C7D5B">
            <w:pPr>
              <w:jc w:val="center"/>
              <w:rPr>
                <w:rFonts w:cs="Times New Roman"/>
                <w:sz w:val="16"/>
                <w:szCs w:val="16"/>
              </w:rPr>
            </w:pPr>
            <w:r w:rsidRPr="00C87410">
              <w:rPr>
                <w:rFonts w:cs="Times New Roman"/>
                <w:sz w:val="16"/>
                <w:szCs w:val="16"/>
              </w:rPr>
              <w:t>dummy</w:t>
            </w:r>
          </w:p>
        </w:tc>
        <w:tc>
          <w:tcPr>
            <w:tcW w:w="0" w:type="auto"/>
            <w:vAlign w:val="center"/>
          </w:tcPr>
          <w:p w:rsidR="00536BCF" w:rsidRPr="00A175D4" w:rsidRDefault="00536BCF" w:rsidP="009C7D5B">
            <w:pPr>
              <w:autoSpaceDE w:val="0"/>
              <w:autoSpaceDN w:val="0"/>
              <w:adjustRightInd w:val="0"/>
              <w:spacing w:after="0" w:line="320" w:lineRule="atLeast"/>
              <w:ind w:left="60" w:right="60"/>
              <w:jc w:val="right"/>
              <w:rPr>
                <w:rFonts w:cs="Times New Roman"/>
                <w:color w:val="000000"/>
                <w:sz w:val="16"/>
                <w:szCs w:val="16"/>
              </w:rPr>
            </w:pPr>
            <w:r w:rsidRPr="00A175D4">
              <w:rPr>
                <w:rFonts w:cs="Times New Roman"/>
                <w:color w:val="000000"/>
                <w:sz w:val="16"/>
                <w:szCs w:val="16"/>
              </w:rPr>
              <w:t>1.023</w:t>
            </w:r>
          </w:p>
        </w:tc>
      </w:tr>
      <w:tr w:rsidR="00536BCF" w:rsidRPr="00C87410" w:rsidTr="009C7D5B">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Insider</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1.516</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Insider</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1.454</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Insider</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1.569</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Insider</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1.567</w:t>
            </w:r>
          </w:p>
        </w:tc>
        <w:tc>
          <w:tcPr>
            <w:tcW w:w="0" w:type="auto"/>
            <w:vAlign w:val="center"/>
          </w:tcPr>
          <w:p w:rsidR="00536BCF" w:rsidRPr="00C87410" w:rsidRDefault="00536BCF" w:rsidP="009C7D5B">
            <w:pPr>
              <w:jc w:val="center"/>
              <w:rPr>
                <w:rFonts w:cs="Times New Roman"/>
                <w:sz w:val="16"/>
                <w:szCs w:val="16"/>
              </w:rPr>
            </w:pPr>
            <w:r w:rsidRPr="00C87410">
              <w:rPr>
                <w:rFonts w:cs="Times New Roman"/>
                <w:b/>
                <w:i/>
                <w:sz w:val="16"/>
                <w:szCs w:val="16"/>
              </w:rPr>
              <w:t>NEDS</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1.526</w:t>
            </w:r>
          </w:p>
        </w:tc>
        <w:tc>
          <w:tcPr>
            <w:tcW w:w="0" w:type="auto"/>
            <w:vAlign w:val="center"/>
          </w:tcPr>
          <w:p w:rsidR="00536BCF" w:rsidRPr="00C87410" w:rsidRDefault="00536BCF" w:rsidP="009C7D5B">
            <w:pPr>
              <w:jc w:val="center"/>
              <w:rPr>
                <w:rFonts w:cs="Times New Roman"/>
                <w:sz w:val="16"/>
                <w:szCs w:val="16"/>
              </w:rPr>
            </w:pPr>
            <w:r w:rsidRPr="00C87410">
              <w:rPr>
                <w:rFonts w:cs="Times New Roman"/>
                <w:b/>
                <w:i/>
                <w:sz w:val="16"/>
                <w:szCs w:val="16"/>
              </w:rPr>
              <w:t>NEDS</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1.531</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SBS</w:t>
            </w:r>
          </w:p>
        </w:tc>
        <w:tc>
          <w:tcPr>
            <w:tcW w:w="0" w:type="auto"/>
            <w:vAlign w:val="center"/>
          </w:tcPr>
          <w:p w:rsidR="00536BCF" w:rsidRPr="00C87410" w:rsidRDefault="00536BCF" w:rsidP="009C7D5B">
            <w:pPr>
              <w:autoSpaceDE w:val="0"/>
              <w:autoSpaceDN w:val="0"/>
              <w:adjustRightInd w:val="0"/>
              <w:spacing w:after="0" w:line="320" w:lineRule="atLeast"/>
              <w:ind w:left="60" w:right="60"/>
              <w:jc w:val="right"/>
              <w:rPr>
                <w:rFonts w:cs="Times New Roman"/>
                <w:color w:val="000000"/>
                <w:sz w:val="16"/>
                <w:szCs w:val="16"/>
              </w:rPr>
            </w:pPr>
            <w:r w:rsidRPr="00C87410">
              <w:rPr>
                <w:rFonts w:cs="Times New Roman"/>
                <w:color w:val="000000"/>
                <w:sz w:val="16"/>
                <w:szCs w:val="16"/>
              </w:rPr>
              <w:t>1.174</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SBS</w:t>
            </w:r>
          </w:p>
        </w:tc>
        <w:tc>
          <w:tcPr>
            <w:tcW w:w="0" w:type="auto"/>
            <w:vAlign w:val="center"/>
          </w:tcPr>
          <w:p w:rsidR="00536BCF" w:rsidRPr="00C87410" w:rsidRDefault="00536BCF" w:rsidP="009C7D5B">
            <w:pPr>
              <w:autoSpaceDE w:val="0"/>
              <w:autoSpaceDN w:val="0"/>
              <w:adjustRightInd w:val="0"/>
              <w:spacing w:after="0" w:line="320" w:lineRule="atLeast"/>
              <w:ind w:left="60" w:right="60"/>
              <w:jc w:val="right"/>
              <w:rPr>
                <w:rFonts w:cs="Times New Roman"/>
                <w:color w:val="000000"/>
                <w:sz w:val="16"/>
                <w:szCs w:val="16"/>
              </w:rPr>
            </w:pPr>
            <w:r w:rsidRPr="00C87410">
              <w:rPr>
                <w:rFonts w:cs="Times New Roman"/>
                <w:color w:val="000000"/>
                <w:sz w:val="16"/>
                <w:szCs w:val="16"/>
              </w:rPr>
              <w:t>1.512</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SBS</w:t>
            </w:r>
          </w:p>
        </w:tc>
        <w:tc>
          <w:tcPr>
            <w:tcW w:w="0" w:type="auto"/>
            <w:vAlign w:val="center"/>
          </w:tcPr>
          <w:p w:rsidR="00536BCF" w:rsidRPr="00A175D4" w:rsidRDefault="00536BCF" w:rsidP="009C7D5B">
            <w:pPr>
              <w:autoSpaceDE w:val="0"/>
              <w:autoSpaceDN w:val="0"/>
              <w:adjustRightInd w:val="0"/>
              <w:spacing w:after="0" w:line="320" w:lineRule="atLeast"/>
              <w:ind w:left="60" w:right="60"/>
              <w:jc w:val="right"/>
              <w:rPr>
                <w:rFonts w:cs="Times New Roman"/>
                <w:color w:val="000000"/>
                <w:sz w:val="16"/>
                <w:szCs w:val="16"/>
              </w:rPr>
            </w:pPr>
            <w:r w:rsidRPr="00A175D4">
              <w:rPr>
                <w:rFonts w:cs="Times New Roman"/>
                <w:color w:val="000000"/>
                <w:sz w:val="16"/>
                <w:szCs w:val="16"/>
              </w:rPr>
              <w:t>1.517</w:t>
            </w:r>
          </w:p>
        </w:tc>
      </w:tr>
      <w:tr w:rsidR="00536BCF" w:rsidRPr="00C87410" w:rsidTr="009C7D5B">
        <w:tc>
          <w:tcPr>
            <w:tcW w:w="0" w:type="auto"/>
            <w:vAlign w:val="center"/>
          </w:tcPr>
          <w:p w:rsidR="00536BCF" w:rsidRPr="00C87410" w:rsidRDefault="00536BCF" w:rsidP="009C7D5B">
            <w:pPr>
              <w:jc w:val="center"/>
              <w:rPr>
                <w:rFonts w:cs="Times New Roman"/>
                <w:b/>
                <w:sz w:val="16"/>
                <w:szCs w:val="16"/>
              </w:rPr>
            </w:pPr>
            <w:r w:rsidRPr="00C87410">
              <w:rPr>
                <w:rFonts w:cs="Times New Roman"/>
                <w:sz w:val="16"/>
                <w:szCs w:val="16"/>
              </w:rPr>
              <w:t>Block-holder</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1.271</w:t>
            </w:r>
          </w:p>
        </w:tc>
        <w:tc>
          <w:tcPr>
            <w:tcW w:w="0" w:type="auto"/>
            <w:vAlign w:val="center"/>
          </w:tcPr>
          <w:p w:rsidR="00536BCF" w:rsidRPr="00C87410" w:rsidRDefault="00536BCF" w:rsidP="009C7D5B">
            <w:pPr>
              <w:jc w:val="center"/>
              <w:rPr>
                <w:rFonts w:cs="Times New Roman"/>
                <w:b/>
                <w:sz w:val="16"/>
                <w:szCs w:val="16"/>
              </w:rPr>
            </w:pPr>
            <w:r w:rsidRPr="00C87410">
              <w:rPr>
                <w:rFonts w:cs="Times New Roman"/>
                <w:sz w:val="16"/>
                <w:szCs w:val="16"/>
              </w:rPr>
              <w:t>Block-holder</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1.270</w:t>
            </w:r>
          </w:p>
        </w:tc>
        <w:tc>
          <w:tcPr>
            <w:tcW w:w="0" w:type="auto"/>
            <w:vAlign w:val="center"/>
          </w:tcPr>
          <w:p w:rsidR="00536BCF" w:rsidRPr="00C87410" w:rsidRDefault="00536BCF" w:rsidP="009C7D5B">
            <w:pPr>
              <w:jc w:val="center"/>
              <w:rPr>
                <w:rFonts w:cs="Times New Roman"/>
                <w:b/>
                <w:sz w:val="16"/>
                <w:szCs w:val="16"/>
              </w:rPr>
            </w:pPr>
            <w:r w:rsidRPr="00C87410">
              <w:rPr>
                <w:rFonts w:cs="Times New Roman"/>
                <w:sz w:val="16"/>
                <w:szCs w:val="16"/>
              </w:rPr>
              <w:t>Block-holder</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1.268</w:t>
            </w:r>
          </w:p>
        </w:tc>
        <w:tc>
          <w:tcPr>
            <w:tcW w:w="0" w:type="auto"/>
            <w:vAlign w:val="center"/>
          </w:tcPr>
          <w:p w:rsidR="00536BCF" w:rsidRPr="00C87410" w:rsidRDefault="00536BCF" w:rsidP="009C7D5B">
            <w:pPr>
              <w:jc w:val="center"/>
              <w:rPr>
                <w:rFonts w:cs="Times New Roman"/>
                <w:b/>
                <w:sz w:val="16"/>
                <w:szCs w:val="16"/>
              </w:rPr>
            </w:pPr>
            <w:r w:rsidRPr="00C87410">
              <w:rPr>
                <w:rFonts w:cs="Times New Roman"/>
                <w:sz w:val="16"/>
                <w:szCs w:val="16"/>
              </w:rPr>
              <w:t>Block-holder</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1.270</w:t>
            </w:r>
          </w:p>
        </w:tc>
        <w:tc>
          <w:tcPr>
            <w:tcW w:w="0" w:type="auto"/>
            <w:vAlign w:val="center"/>
          </w:tcPr>
          <w:p w:rsidR="00536BCF" w:rsidRPr="00C87410" w:rsidRDefault="00536BCF" w:rsidP="009C7D5B">
            <w:pPr>
              <w:jc w:val="center"/>
              <w:rPr>
                <w:rFonts w:cs="Times New Roman"/>
                <w:b/>
                <w:sz w:val="16"/>
                <w:szCs w:val="16"/>
              </w:rPr>
            </w:pPr>
            <w:r w:rsidRPr="00C87410">
              <w:rPr>
                <w:rFonts w:cs="Times New Roman"/>
                <w:sz w:val="16"/>
                <w:szCs w:val="16"/>
              </w:rPr>
              <w:t>Block-holder</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1.122</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Insider</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1.387</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Insider</w:t>
            </w:r>
          </w:p>
        </w:tc>
        <w:tc>
          <w:tcPr>
            <w:tcW w:w="0" w:type="auto"/>
            <w:vAlign w:val="center"/>
          </w:tcPr>
          <w:p w:rsidR="00536BCF" w:rsidRPr="00C87410" w:rsidRDefault="00536BCF" w:rsidP="009C7D5B">
            <w:pPr>
              <w:autoSpaceDE w:val="0"/>
              <w:autoSpaceDN w:val="0"/>
              <w:adjustRightInd w:val="0"/>
              <w:spacing w:after="0" w:line="320" w:lineRule="atLeast"/>
              <w:ind w:left="60" w:right="60"/>
              <w:jc w:val="right"/>
              <w:rPr>
                <w:rFonts w:cs="Times New Roman"/>
                <w:color w:val="000000"/>
                <w:sz w:val="16"/>
                <w:szCs w:val="16"/>
              </w:rPr>
            </w:pPr>
            <w:r w:rsidRPr="00C87410">
              <w:rPr>
                <w:rFonts w:cs="Times New Roman"/>
                <w:color w:val="000000"/>
                <w:sz w:val="16"/>
                <w:szCs w:val="16"/>
              </w:rPr>
              <w:t>1.464</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Insider</w:t>
            </w:r>
          </w:p>
        </w:tc>
        <w:tc>
          <w:tcPr>
            <w:tcW w:w="0" w:type="auto"/>
            <w:vAlign w:val="center"/>
          </w:tcPr>
          <w:p w:rsidR="00536BCF" w:rsidRPr="00C87410" w:rsidRDefault="00536BCF" w:rsidP="009C7D5B">
            <w:pPr>
              <w:autoSpaceDE w:val="0"/>
              <w:autoSpaceDN w:val="0"/>
              <w:adjustRightInd w:val="0"/>
              <w:spacing w:after="0" w:line="320" w:lineRule="atLeast"/>
              <w:ind w:left="60" w:right="60"/>
              <w:jc w:val="right"/>
              <w:rPr>
                <w:rFonts w:cs="Times New Roman"/>
                <w:color w:val="000000"/>
                <w:sz w:val="16"/>
                <w:szCs w:val="16"/>
              </w:rPr>
            </w:pPr>
            <w:r w:rsidRPr="00C87410">
              <w:rPr>
                <w:rFonts w:cs="Times New Roman"/>
                <w:color w:val="000000"/>
                <w:sz w:val="16"/>
                <w:szCs w:val="16"/>
              </w:rPr>
              <w:t>1.584</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Insider</w:t>
            </w:r>
          </w:p>
        </w:tc>
        <w:tc>
          <w:tcPr>
            <w:tcW w:w="0" w:type="auto"/>
            <w:vAlign w:val="center"/>
          </w:tcPr>
          <w:p w:rsidR="00536BCF" w:rsidRPr="00A175D4" w:rsidRDefault="00536BCF" w:rsidP="009C7D5B">
            <w:pPr>
              <w:autoSpaceDE w:val="0"/>
              <w:autoSpaceDN w:val="0"/>
              <w:adjustRightInd w:val="0"/>
              <w:spacing w:after="0" w:line="320" w:lineRule="atLeast"/>
              <w:ind w:left="60" w:right="60"/>
              <w:jc w:val="right"/>
              <w:rPr>
                <w:rFonts w:cs="Times New Roman"/>
                <w:color w:val="000000"/>
                <w:sz w:val="16"/>
                <w:szCs w:val="16"/>
              </w:rPr>
            </w:pPr>
            <w:r w:rsidRPr="00A175D4">
              <w:rPr>
                <w:rFonts w:cs="Times New Roman"/>
                <w:color w:val="000000"/>
                <w:sz w:val="16"/>
                <w:szCs w:val="16"/>
              </w:rPr>
              <w:t>1.561</w:t>
            </w:r>
          </w:p>
        </w:tc>
      </w:tr>
      <w:tr w:rsidR="00536BCF" w:rsidRPr="00C87410" w:rsidTr="009C7D5B">
        <w:tc>
          <w:tcPr>
            <w:tcW w:w="0" w:type="auto"/>
            <w:vAlign w:val="center"/>
          </w:tcPr>
          <w:p w:rsidR="00536BCF" w:rsidRPr="00C87410" w:rsidRDefault="00536BCF" w:rsidP="009C7D5B">
            <w:pPr>
              <w:jc w:val="center"/>
              <w:rPr>
                <w:rFonts w:cs="Times New Roman"/>
                <w:b/>
                <w:sz w:val="16"/>
                <w:szCs w:val="16"/>
              </w:rPr>
            </w:pPr>
            <w:r w:rsidRPr="00C87410">
              <w:rPr>
                <w:rFonts w:cs="Times New Roman"/>
                <w:sz w:val="16"/>
                <w:szCs w:val="16"/>
              </w:rPr>
              <w:t>FS (log)</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1.697</w:t>
            </w:r>
          </w:p>
        </w:tc>
        <w:tc>
          <w:tcPr>
            <w:tcW w:w="0" w:type="auto"/>
            <w:vAlign w:val="center"/>
          </w:tcPr>
          <w:p w:rsidR="00536BCF" w:rsidRPr="00C87410" w:rsidRDefault="00536BCF" w:rsidP="009C7D5B">
            <w:pPr>
              <w:jc w:val="center"/>
              <w:rPr>
                <w:rFonts w:cs="Times New Roman"/>
                <w:b/>
                <w:sz w:val="16"/>
                <w:szCs w:val="16"/>
              </w:rPr>
            </w:pPr>
            <w:r w:rsidRPr="00C87410">
              <w:rPr>
                <w:rFonts w:cs="Times New Roman"/>
                <w:sz w:val="16"/>
                <w:szCs w:val="16"/>
              </w:rPr>
              <w:t>FS (log)</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1.742</w:t>
            </w:r>
          </w:p>
        </w:tc>
        <w:tc>
          <w:tcPr>
            <w:tcW w:w="0" w:type="auto"/>
            <w:vAlign w:val="center"/>
          </w:tcPr>
          <w:p w:rsidR="00536BCF" w:rsidRPr="00C87410" w:rsidRDefault="00536BCF" w:rsidP="009C7D5B">
            <w:pPr>
              <w:jc w:val="center"/>
              <w:rPr>
                <w:rFonts w:cs="Times New Roman"/>
                <w:b/>
                <w:sz w:val="16"/>
                <w:szCs w:val="16"/>
              </w:rPr>
            </w:pPr>
            <w:r w:rsidRPr="00C87410">
              <w:rPr>
                <w:rFonts w:cs="Times New Roman"/>
                <w:sz w:val="16"/>
                <w:szCs w:val="16"/>
              </w:rPr>
              <w:t>FS (log)</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1.727</w:t>
            </w:r>
          </w:p>
        </w:tc>
        <w:tc>
          <w:tcPr>
            <w:tcW w:w="0" w:type="auto"/>
            <w:vAlign w:val="center"/>
          </w:tcPr>
          <w:p w:rsidR="00536BCF" w:rsidRPr="00C87410" w:rsidRDefault="00536BCF" w:rsidP="009C7D5B">
            <w:pPr>
              <w:jc w:val="center"/>
              <w:rPr>
                <w:rFonts w:cs="Times New Roman"/>
                <w:b/>
                <w:sz w:val="16"/>
                <w:szCs w:val="16"/>
              </w:rPr>
            </w:pPr>
            <w:r w:rsidRPr="00C87410">
              <w:rPr>
                <w:rFonts w:cs="Times New Roman"/>
                <w:sz w:val="16"/>
                <w:szCs w:val="16"/>
              </w:rPr>
              <w:t>FS (log)</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1.333</w:t>
            </w:r>
          </w:p>
        </w:tc>
        <w:tc>
          <w:tcPr>
            <w:tcW w:w="0" w:type="auto"/>
            <w:vAlign w:val="center"/>
          </w:tcPr>
          <w:p w:rsidR="00536BCF" w:rsidRPr="00C87410" w:rsidRDefault="00536BCF" w:rsidP="009C7D5B">
            <w:pPr>
              <w:jc w:val="center"/>
              <w:rPr>
                <w:rFonts w:cs="Times New Roman"/>
                <w:b/>
                <w:sz w:val="16"/>
                <w:szCs w:val="16"/>
              </w:rPr>
            </w:pPr>
            <w:r w:rsidRPr="00C87410">
              <w:rPr>
                <w:rFonts w:cs="Times New Roman"/>
                <w:sz w:val="16"/>
                <w:szCs w:val="16"/>
              </w:rPr>
              <w:t>FS (log)</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1.613</w:t>
            </w:r>
          </w:p>
        </w:tc>
        <w:tc>
          <w:tcPr>
            <w:tcW w:w="0" w:type="auto"/>
            <w:vAlign w:val="center"/>
          </w:tcPr>
          <w:p w:rsidR="00536BCF" w:rsidRPr="00C87410" w:rsidRDefault="00536BCF" w:rsidP="009C7D5B">
            <w:pPr>
              <w:jc w:val="center"/>
              <w:rPr>
                <w:rFonts w:cs="Times New Roman"/>
                <w:b/>
                <w:sz w:val="16"/>
                <w:szCs w:val="16"/>
              </w:rPr>
            </w:pPr>
            <w:r w:rsidRPr="00C87410">
              <w:rPr>
                <w:rFonts w:cs="Times New Roman"/>
                <w:sz w:val="16"/>
                <w:szCs w:val="16"/>
              </w:rPr>
              <w:t>FS (log)</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1.567</w:t>
            </w:r>
          </w:p>
        </w:tc>
        <w:tc>
          <w:tcPr>
            <w:tcW w:w="0" w:type="auto"/>
            <w:vAlign w:val="center"/>
          </w:tcPr>
          <w:p w:rsidR="00536BCF" w:rsidRPr="00C87410" w:rsidRDefault="00536BCF" w:rsidP="009C7D5B">
            <w:pPr>
              <w:jc w:val="center"/>
              <w:rPr>
                <w:rFonts w:cs="Times New Roman"/>
                <w:b/>
                <w:sz w:val="16"/>
                <w:szCs w:val="16"/>
              </w:rPr>
            </w:pPr>
            <w:r w:rsidRPr="00C87410">
              <w:rPr>
                <w:rFonts w:cs="Times New Roman"/>
                <w:sz w:val="16"/>
                <w:szCs w:val="16"/>
              </w:rPr>
              <w:t>Block-holder</w:t>
            </w:r>
          </w:p>
        </w:tc>
        <w:tc>
          <w:tcPr>
            <w:tcW w:w="0" w:type="auto"/>
            <w:vAlign w:val="center"/>
          </w:tcPr>
          <w:p w:rsidR="00536BCF" w:rsidRPr="00C87410" w:rsidRDefault="00536BCF" w:rsidP="009C7D5B">
            <w:pPr>
              <w:autoSpaceDE w:val="0"/>
              <w:autoSpaceDN w:val="0"/>
              <w:adjustRightInd w:val="0"/>
              <w:spacing w:after="0" w:line="320" w:lineRule="atLeast"/>
              <w:ind w:left="60" w:right="60"/>
              <w:jc w:val="right"/>
              <w:rPr>
                <w:rFonts w:cs="Times New Roman"/>
                <w:color w:val="000000"/>
                <w:sz w:val="16"/>
                <w:szCs w:val="16"/>
              </w:rPr>
            </w:pPr>
            <w:r w:rsidRPr="00C87410">
              <w:rPr>
                <w:rFonts w:cs="Times New Roman"/>
                <w:color w:val="000000"/>
                <w:sz w:val="16"/>
                <w:szCs w:val="16"/>
              </w:rPr>
              <w:t>1.143</w:t>
            </w:r>
          </w:p>
        </w:tc>
        <w:tc>
          <w:tcPr>
            <w:tcW w:w="0" w:type="auto"/>
            <w:vAlign w:val="center"/>
          </w:tcPr>
          <w:p w:rsidR="00536BCF" w:rsidRPr="00C87410" w:rsidRDefault="00536BCF" w:rsidP="009C7D5B">
            <w:pPr>
              <w:jc w:val="center"/>
              <w:rPr>
                <w:rFonts w:cs="Times New Roman"/>
                <w:b/>
                <w:sz w:val="16"/>
                <w:szCs w:val="16"/>
              </w:rPr>
            </w:pPr>
            <w:r w:rsidRPr="00C87410">
              <w:rPr>
                <w:rFonts w:cs="Times New Roman"/>
                <w:sz w:val="16"/>
                <w:szCs w:val="16"/>
              </w:rPr>
              <w:t>Block-holder</w:t>
            </w:r>
          </w:p>
        </w:tc>
        <w:tc>
          <w:tcPr>
            <w:tcW w:w="0" w:type="auto"/>
            <w:vAlign w:val="center"/>
          </w:tcPr>
          <w:p w:rsidR="00536BCF" w:rsidRPr="00C87410" w:rsidRDefault="00536BCF" w:rsidP="009C7D5B">
            <w:pPr>
              <w:autoSpaceDE w:val="0"/>
              <w:autoSpaceDN w:val="0"/>
              <w:adjustRightInd w:val="0"/>
              <w:spacing w:after="0" w:line="320" w:lineRule="atLeast"/>
              <w:ind w:left="60" w:right="60"/>
              <w:jc w:val="right"/>
              <w:rPr>
                <w:rFonts w:cs="Times New Roman"/>
                <w:color w:val="000000"/>
                <w:sz w:val="16"/>
                <w:szCs w:val="16"/>
              </w:rPr>
            </w:pPr>
            <w:r w:rsidRPr="00C87410">
              <w:rPr>
                <w:rFonts w:cs="Times New Roman"/>
                <w:color w:val="000000"/>
                <w:sz w:val="16"/>
                <w:szCs w:val="16"/>
              </w:rPr>
              <w:t>1.274</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Block-</w:t>
            </w:r>
          </w:p>
          <w:p w:rsidR="00536BCF" w:rsidRPr="00C87410" w:rsidRDefault="00536BCF" w:rsidP="009C7D5B">
            <w:pPr>
              <w:jc w:val="center"/>
              <w:rPr>
                <w:rFonts w:cs="Times New Roman"/>
                <w:b/>
                <w:sz w:val="16"/>
                <w:szCs w:val="16"/>
              </w:rPr>
            </w:pPr>
            <w:r w:rsidRPr="00C87410">
              <w:rPr>
                <w:rFonts w:cs="Times New Roman"/>
                <w:sz w:val="16"/>
                <w:szCs w:val="16"/>
              </w:rPr>
              <w:t>holder</w:t>
            </w:r>
          </w:p>
        </w:tc>
        <w:tc>
          <w:tcPr>
            <w:tcW w:w="0" w:type="auto"/>
            <w:vAlign w:val="center"/>
          </w:tcPr>
          <w:p w:rsidR="00536BCF" w:rsidRPr="00A175D4" w:rsidRDefault="00536BCF" w:rsidP="009C7D5B">
            <w:pPr>
              <w:autoSpaceDE w:val="0"/>
              <w:autoSpaceDN w:val="0"/>
              <w:adjustRightInd w:val="0"/>
              <w:spacing w:after="0" w:line="320" w:lineRule="atLeast"/>
              <w:ind w:left="60" w:right="60"/>
              <w:jc w:val="right"/>
              <w:rPr>
                <w:rFonts w:cs="Times New Roman"/>
                <w:color w:val="000000"/>
                <w:sz w:val="16"/>
                <w:szCs w:val="16"/>
              </w:rPr>
            </w:pPr>
            <w:r w:rsidRPr="00A175D4">
              <w:rPr>
                <w:rFonts w:cs="Times New Roman"/>
                <w:color w:val="000000"/>
                <w:sz w:val="16"/>
                <w:szCs w:val="16"/>
              </w:rPr>
              <w:t>1.262</w:t>
            </w:r>
          </w:p>
        </w:tc>
      </w:tr>
      <w:tr w:rsidR="00536BCF" w:rsidRPr="00C87410" w:rsidTr="009C7D5B">
        <w:tc>
          <w:tcPr>
            <w:tcW w:w="0" w:type="auto"/>
            <w:vAlign w:val="center"/>
          </w:tcPr>
          <w:p w:rsidR="00536BCF" w:rsidRPr="00C87410" w:rsidRDefault="00536BCF" w:rsidP="009C7D5B">
            <w:pPr>
              <w:jc w:val="center"/>
              <w:rPr>
                <w:rFonts w:cs="Times New Roman"/>
                <w:b/>
                <w:sz w:val="16"/>
                <w:szCs w:val="16"/>
              </w:rPr>
            </w:pPr>
            <w:r w:rsidRPr="00C87410">
              <w:rPr>
                <w:rFonts w:cs="Times New Roman"/>
                <w:sz w:val="16"/>
                <w:szCs w:val="16"/>
              </w:rPr>
              <w:t>ROE (log)</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1.057</w:t>
            </w:r>
          </w:p>
        </w:tc>
        <w:tc>
          <w:tcPr>
            <w:tcW w:w="0" w:type="auto"/>
            <w:vAlign w:val="center"/>
          </w:tcPr>
          <w:p w:rsidR="00536BCF" w:rsidRPr="00C87410" w:rsidRDefault="00536BCF" w:rsidP="009C7D5B">
            <w:pPr>
              <w:jc w:val="center"/>
              <w:rPr>
                <w:rFonts w:cs="Times New Roman"/>
                <w:b/>
                <w:sz w:val="16"/>
                <w:szCs w:val="16"/>
              </w:rPr>
            </w:pPr>
            <w:r w:rsidRPr="00C87410">
              <w:rPr>
                <w:rFonts w:cs="Times New Roman"/>
                <w:sz w:val="16"/>
                <w:szCs w:val="16"/>
              </w:rPr>
              <w:t>ROE (log)</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1.056</w:t>
            </w:r>
          </w:p>
        </w:tc>
        <w:tc>
          <w:tcPr>
            <w:tcW w:w="0" w:type="auto"/>
            <w:vAlign w:val="center"/>
          </w:tcPr>
          <w:p w:rsidR="00536BCF" w:rsidRPr="00C87410" w:rsidRDefault="00536BCF" w:rsidP="009C7D5B">
            <w:pPr>
              <w:jc w:val="center"/>
              <w:rPr>
                <w:rFonts w:cs="Times New Roman"/>
                <w:b/>
                <w:sz w:val="16"/>
                <w:szCs w:val="16"/>
              </w:rPr>
            </w:pPr>
            <w:r w:rsidRPr="00C87410">
              <w:rPr>
                <w:rFonts w:cs="Times New Roman"/>
                <w:sz w:val="16"/>
                <w:szCs w:val="16"/>
              </w:rPr>
              <w:t>ROE (log)</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1.056</w:t>
            </w:r>
          </w:p>
        </w:tc>
        <w:tc>
          <w:tcPr>
            <w:tcW w:w="0" w:type="auto"/>
            <w:vAlign w:val="center"/>
          </w:tcPr>
          <w:p w:rsidR="00536BCF" w:rsidRPr="00C87410" w:rsidRDefault="00536BCF" w:rsidP="009C7D5B">
            <w:pPr>
              <w:jc w:val="center"/>
              <w:rPr>
                <w:rFonts w:cs="Times New Roman"/>
                <w:b/>
                <w:sz w:val="16"/>
                <w:szCs w:val="16"/>
              </w:rPr>
            </w:pPr>
            <w:r w:rsidRPr="00C87410">
              <w:rPr>
                <w:rFonts w:cs="Times New Roman"/>
                <w:sz w:val="16"/>
                <w:szCs w:val="16"/>
              </w:rPr>
              <w:t>ROE (log)</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1.052</w:t>
            </w:r>
          </w:p>
        </w:tc>
        <w:tc>
          <w:tcPr>
            <w:tcW w:w="0" w:type="auto"/>
            <w:vAlign w:val="center"/>
          </w:tcPr>
          <w:p w:rsidR="00536BCF" w:rsidRPr="00C87410" w:rsidRDefault="00536BCF" w:rsidP="009C7D5B">
            <w:pPr>
              <w:jc w:val="center"/>
              <w:rPr>
                <w:rFonts w:cs="Times New Roman"/>
                <w:b/>
                <w:sz w:val="16"/>
                <w:szCs w:val="16"/>
              </w:rPr>
            </w:pPr>
            <w:r w:rsidRPr="00C87410">
              <w:rPr>
                <w:rFonts w:cs="Times New Roman"/>
                <w:sz w:val="16"/>
                <w:szCs w:val="16"/>
              </w:rPr>
              <w:t>ROE (log)</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1.055</w:t>
            </w:r>
          </w:p>
        </w:tc>
        <w:tc>
          <w:tcPr>
            <w:tcW w:w="0" w:type="auto"/>
            <w:vAlign w:val="center"/>
          </w:tcPr>
          <w:p w:rsidR="00536BCF" w:rsidRPr="00C87410" w:rsidRDefault="00536BCF" w:rsidP="009C7D5B">
            <w:pPr>
              <w:jc w:val="center"/>
              <w:rPr>
                <w:rFonts w:cs="Times New Roman"/>
                <w:b/>
                <w:sz w:val="16"/>
                <w:szCs w:val="16"/>
              </w:rPr>
            </w:pPr>
            <w:r w:rsidRPr="00C87410">
              <w:rPr>
                <w:rFonts w:cs="Times New Roman"/>
                <w:sz w:val="16"/>
                <w:szCs w:val="16"/>
              </w:rPr>
              <w:t>ROE (log)</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1.046</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ROE</w:t>
            </w:r>
          </w:p>
          <w:p w:rsidR="00536BCF" w:rsidRPr="00C87410" w:rsidRDefault="00536BCF" w:rsidP="009C7D5B">
            <w:pPr>
              <w:jc w:val="center"/>
              <w:rPr>
                <w:rFonts w:cs="Times New Roman"/>
                <w:sz w:val="16"/>
                <w:szCs w:val="16"/>
              </w:rPr>
            </w:pPr>
            <w:r w:rsidRPr="00C87410">
              <w:rPr>
                <w:rFonts w:cs="Times New Roman"/>
                <w:sz w:val="16"/>
                <w:szCs w:val="16"/>
              </w:rPr>
              <w:t>(log)</w:t>
            </w:r>
          </w:p>
        </w:tc>
        <w:tc>
          <w:tcPr>
            <w:tcW w:w="0" w:type="auto"/>
            <w:vAlign w:val="center"/>
          </w:tcPr>
          <w:p w:rsidR="00536BCF" w:rsidRPr="00C87410" w:rsidRDefault="00536BCF" w:rsidP="009C7D5B">
            <w:pPr>
              <w:autoSpaceDE w:val="0"/>
              <w:autoSpaceDN w:val="0"/>
              <w:adjustRightInd w:val="0"/>
              <w:spacing w:after="0" w:line="320" w:lineRule="atLeast"/>
              <w:ind w:left="60" w:right="60"/>
              <w:jc w:val="right"/>
              <w:rPr>
                <w:rFonts w:cs="Times New Roman"/>
                <w:color w:val="000000"/>
                <w:sz w:val="16"/>
                <w:szCs w:val="16"/>
              </w:rPr>
            </w:pPr>
            <w:r w:rsidRPr="00C87410">
              <w:rPr>
                <w:rFonts w:cs="Times New Roman"/>
                <w:color w:val="000000"/>
                <w:sz w:val="16"/>
                <w:szCs w:val="16"/>
              </w:rPr>
              <w:t>1.056</w:t>
            </w:r>
          </w:p>
        </w:tc>
        <w:tc>
          <w:tcPr>
            <w:tcW w:w="0" w:type="auto"/>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sz w:val="16"/>
                <w:szCs w:val="16"/>
              </w:rPr>
              <w:t>FS (log)</w:t>
            </w:r>
          </w:p>
        </w:tc>
        <w:tc>
          <w:tcPr>
            <w:tcW w:w="0" w:type="auto"/>
            <w:vAlign w:val="center"/>
          </w:tcPr>
          <w:p w:rsidR="00536BCF" w:rsidRPr="00C87410" w:rsidRDefault="00536BCF" w:rsidP="009C7D5B">
            <w:pPr>
              <w:autoSpaceDE w:val="0"/>
              <w:autoSpaceDN w:val="0"/>
              <w:adjustRightInd w:val="0"/>
              <w:spacing w:after="0" w:line="320" w:lineRule="atLeast"/>
              <w:ind w:left="60" w:right="60"/>
              <w:jc w:val="right"/>
              <w:rPr>
                <w:rFonts w:cs="Times New Roman"/>
                <w:color w:val="000000"/>
                <w:sz w:val="16"/>
                <w:szCs w:val="16"/>
              </w:rPr>
            </w:pPr>
            <w:r w:rsidRPr="00C87410">
              <w:rPr>
                <w:rFonts w:cs="Times New Roman"/>
                <w:color w:val="000000"/>
                <w:sz w:val="16"/>
                <w:szCs w:val="16"/>
              </w:rPr>
              <w:t>1.053</w:t>
            </w:r>
          </w:p>
        </w:tc>
        <w:tc>
          <w:tcPr>
            <w:tcW w:w="0" w:type="auto"/>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sz w:val="16"/>
                <w:szCs w:val="16"/>
              </w:rPr>
              <w:t>FS (log)</w:t>
            </w:r>
          </w:p>
        </w:tc>
        <w:tc>
          <w:tcPr>
            <w:tcW w:w="0" w:type="auto"/>
            <w:vAlign w:val="center"/>
          </w:tcPr>
          <w:p w:rsidR="00536BCF" w:rsidRPr="00A175D4" w:rsidRDefault="00536BCF" w:rsidP="009C7D5B">
            <w:pPr>
              <w:autoSpaceDE w:val="0"/>
              <w:autoSpaceDN w:val="0"/>
              <w:adjustRightInd w:val="0"/>
              <w:spacing w:after="0" w:line="320" w:lineRule="atLeast"/>
              <w:ind w:left="60" w:right="60"/>
              <w:jc w:val="right"/>
              <w:rPr>
                <w:rFonts w:cs="Times New Roman"/>
                <w:color w:val="000000"/>
                <w:sz w:val="16"/>
                <w:szCs w:val="16"/>
              </w:rPr>
            </w:pPr>
            <w:r w:rsidRPr="00A175D4">
              <w:rPr>
                <w:rFonts w:cs="Times New Roman"/>
                <w:color w:val="000000"/>
                <w:sz w:val="16"/>
                <w:szCs w:val="16"/>
              </w:rPr>
              <w:t>1.700</w:t>
            </w:r>
          </w:p>
        </w:tc>
      </w:tr>
      <w:tr w:rsidR="00536BCF" w:rsidRPr="00C87410" w:rsidTr="009C7D5B">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Leverage (log)</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1.092</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Leverage (log)</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1.093</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Leverage (log)</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1.090</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Leverage (log)</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1.091</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Leverage (log)</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1.074</w:t>
            </w:r>
          </w:p>
        </w:tc>
        <w:tc>
          <w:tcPr>
            <w:tcW w:w="0" w:type="auto"/>
            <w:vAlign w:val="center"/>
          </w:tcPr>
          <w:p w:rsidR="00536BCF" w:rsidRPr="00C87410" w:rsidRDefault="00536BCF" w:rsidP="009C7D5B">
            <w:pPr>
              <w:jc w:val="center"/>
              <w:rPr>
                <w:rFonts w:cs="Times New Roman"/>
                <w:sz w:val="16"/>
                <w:szCs w:val="16"/>
              </w:rPr>
            </w:pPr>
            <w:r w:rsidRPr="00C87410">
              <w:rPr>
                <w:rFonts w:cs="Times New Roman"/>
                <w:sz w:val="16"/>
                <w:szCs w:val="16"/>
              </w:rPr>
              <w:t>Leverage (log)</w:t>
            </w:r>
          </w:p>
        </w:tc>
        <w:tc>
          <w:tcPr>
            <w:tcW w:w="0" w:type="auto"/>
            <w:vAlign w:val="center"/>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color w:val="000000"/>
                <w:sz w:val="16"/>
                <w:szCs w:val="16"/>
              </w:rPr>
              <w:t>1.070</w:t>
            </w:r>
          </w:p>
        </w:tc>
        <w:tc>
          <w:tcPr>
            <w:tcW w:w="0" w:type="auto"/>
            <w:vAlign w:val="center"/>
          </w:tcPr>
          <w:p w:rsidR="00536BCF" w:rsidRPr="00C87410" w:rsidRDefault="00536BCF" w:rsidP="009C7D5B">
            <w:pPr>
              <w:autoSpaceDE w:val="0"/>
              <w:autoSpaceDN w:val="0"/>
              <w:adjustRightInd w:val="0"/>
              <w:spacing w:line="320" w:lineRule="atLeast"/>
              <w:ind w:left="60" w:right="60"/>
              <w:jc w:val="center"/>
              <w:rPr>
                <w:rFonts w:cs="Times New Roman"/>
                <w:color w:val="000000"/>
                <w:sz w:val="16"/>
                <w:szCs w:val="16"/>
              </w:rPr>
            </w:pPr>
            <w:r w:rsidRPr="00C87410">
              <w:rPr>
                <w:rFonts w:cs="Times New Roman"/>
                <w:sz w:val="16"/>
                <w:szCs w:val="16"/>
              </w:rPr>
              <w:t>Leverage (log)</w:t>
            </w:r>
          </w:p>
        </w:tc>
        <w:tc>
          <w:tcPr>
            <w:tcW w:w="0" w:type="auto"/>
            <w:vAlign w:val="center"/>
          </w:tcPr>
          <w:p w:rsidR="00536BCF" w:rsidRPr="00C87410" w:rsidRDefault="00536BCF" w:rsidP="009C7D5B">
            <w:pPr>
              <w:autoSpaceDE w:val="0"/>
              <w:autoSpaceDN w:val="0"/>
              <w:adjustRightInd w:val="0"/>
              <w:spacing w:after="0" w:line="320" w:lineRule="atLeast"/>
              <w:ind w:left="60" w:right="60"/>
              <w:jc w:val="right"/>
              <w:rPr>
                <w:rFonts w:cs="Times New Roman"/>
                <w:color w:val="000000"/>
                <w:sz w:val="16"/>
                <w:szCs w:val="16"/>
              </w:rPr>
            </w:pPr>
            <w:r w:rsidRPr="00C87410">
              <w:rPr>
                <w:rFonts w:cs="Times New Roman"/>
                <w:color w:val="000000"/>
                <w:sz w:val="16"/>
                <w:szCs w:val="16"/>
              </w:rPr>
              <w:t>1.064</w:t>
            </w:r>
          </w:p>
        </w:tc>
        <w:tc>
          <w:tcPr>
            <w:tcW w:w="0" w:type="auto"/>
          </w:tcPr>
          <w:p w:rsidR="00536BCF" w:rsidRPr="00C87410" w:rsidRDefault="00536BCF" w:rsidP="009C7D5B">
            <w:pPr>
              <w:autoSpaceDE w:val="0"/>
              <w:autoSpaceDN w:val="0"/>
              <w:adjustRightInd w:val="0"/>
              <w:spacing w:line="320" w:lineRule="atLeast"/>
              <w:ind w:left="60" w:right="60"/>
              <w:jc w:val="right"/>
              <w:rPr>
                <w:rFonts w:cs="Times New Roman"/>
                <w:color w:val="000000"/>
                <w:sz w:val="16"/>
                <w:szCs w:val="16"/>
              </w:rPr>
            </w:pPr>
            <w:r w:rsidRPr="00C87410">
              <w:rPr>
                <w:rFonts w:cs="Times New Roman"/>
                <w:sz w:val="16"/>
                <w:szCs w:val="16"/>
              </w:rPr>
              <w:t>Leverage (log)</w:t>
            </w:r>
          </w:p>
        </w:tc>
        <w:tc>
          <w:tcPr>
            <w:tcW w:w="0" w:type="auto"/>
            <w:vAlign w:val="center"/>
          </w:tcPr>
          <w:p w:rsidR="00536BCF" w:rsidRPr="00C87410" w:rsidRDefault="00536BCF" w:rsidP="009C7D5B">
            <w:pPr>
              <w:autoSpaceDE w:val="0"/>
              <w:autoSpaceDN w:val="0"/>
              <w:adjustRightInd w:val="0"/>
              <w:spacing w:after="0" w:line="320" w:lineRule="atLeast"/>
              <w:ind w:left="60" w:right="60"/>
              <w:jc w:val="right"/>
              <w:rPr>
                <w:rFonts w:cs="Times New Roman"/>
                <w:color w:val="000000"/>
                <w:sz w:val="16"/>
                <w:szCs w:val="16"/>
              </w:rPr>
            </w:pPr>
            <w:r w:rsidRPr="00C87410">
              <w:rPr>
                <w:rFonts w:cs="Times New Roman"/>
                <w:color w:val="000000"/>
                <w:sz w:val="16"/>
                <w:szCs w:val="16"/>
              </w:rPr>
              <w:t>1.741</w:t>
            </w:r>
          </w:p>
        </w:tc>
        <w:tc>
          <w:tcPr>
            <w:tcW w:w="0" w:type="auto"/>
          </w:tcPr>
          <w:p w:rsidR="00536BCF" w:rsidRPr="00C87410" w:rsidRDefault="00536BCF" w:rsidP="009C7D5B">
            <w:pPr>
              <w:jc w:val="center"/>
              <w:rPr>
                <w:rFonts w:cs="Times New Roman"/>
                <w:sz w:val="16"/>
                <w:szCs w:val="16"/>
              </w:rPr>
            </w:pPr>
            <w:r w:rsidRPr="00C87410">
              <w:rPr>
                <w:rFonts w:cs="Times New Roman"/>
                <w:sz w:val="16"/>
                <w:szCs w:val="16"/>
              </w:rPr>
              <w:t>ROE</w:t>
            </w:r>
          </w:p>
          <w:p w:rsidR="00536BCF" w:rsidRPr="00C87410" w:rsidRDefault="00536BCF" w:rsidP="009C7D5B">
            <w:pPr>
              <w:jc w:val="center"/>
              <w:rPr>
                <w:rFonts w:cs="Times New Roman"/>
                <w:sz w:val="16"/>
                <w:szCs w:val="16"/>
              </w:rPr>
            </w:pPr>
            <w:r w:rsidRPr="00C87410">
              <w:rPr>
                <w:rFonts w:cs="Times New Roman"/>
                <w:sz w:val="16"/>
                <w:szCs w:val="16"/>
              </w:rPr>
              <w:t>(log)</w:t>
            </w:r>
          </w:p>
        </w:tc>
        <w:tc>
          <w:tcPr>
            <w:tcW w:w="0" w:type="auto"/>
            <w:vAlign w:val="center"/>
          </w:tcPr>
          <w:p w:rsidR="00536BCF" w:rsidRPr="00A175D4" w:rsidRDefault="00536BCF" w:rsidP="009C7D5B">
            <w:pPr>
              <w:autoSpaceDE w:val="0"/>
              <w:autoSpaceDN w:val="0"/>
              <w:adjustRightInd w:val="0"/>
              <w:spacing w:after="0" w:line="320" w:lineRule="atLeast"/>
              <w:ind w:left="60" w:right="60"/>
              <w:jc w:val="right"/>
              <w:rPr>
                <w:rFonts w:cs="Times New Roman"/>
                <w:color w:val="000000"/>
                <w:sz w:val="16"/>
                <w:szCs w:val="16"/>
              </w:rPr>
            </w:pPr>
            <w:r w:rsidRPr="00A175D4">
              <w:rPr>
                <w:rFonts w:cs="Times New Roman"/>
                <w:color w:val="000000"/>
                <w:sz w:val="16"/>
                <w:szCs w:val="16"/>
              </w:rPr>
              <w:t>1.021</w:t>
            </w:r>
          </w:p>
        </w:tc>
      </w:tr>
    </w:tbl>
    <w:p w:rsidR="00536BCF" w:rsidRDefault="00536BCF" w:rsidP="00536BCF"/>
    <w:p w:rsidR="00536BCF" w:rsidRDefault="00536BCF" w:rsidP="004F1A6B">
      <w:pPr>
        <w:rPr>
          <w:color w:val="FF0000"/>
        </w:rPr>
        <w:sectPr w:rsidR="00536BCF" w:rsidSect="00F14D44">
          <w:pgSz w:w="15840" w:h="12240" w:orient="landscape"/>
          <w:pgMar w:top="1440" w:right="864" w:bottom="1440" w:left="864" w:header="720" w:footer="720" w:gutter="0"/>
          <w:cols w:space="720"/>
          <w:docGrid w:linePitch="360"/>
        </w:sectPr>
      </w:pPr>
    </w:p>
    <w:p w:rsidR="00ED6A8D" w:rsidRDefault="00ED6A8D" w:rsidP="00ED6A8D">
      <w:pPr>
        <w:pStyle w:val="Heading2"/>
      </w:pPr>
      <w:bookmarkStart w:id="47" w:name="_Toc400916069"/>
      <w:r>
        <w:lastRenderedPageBreak/>
        <w:t xml:space="preserve">Results and </w:t>
      </w:r>
      <w:r w:rsidR="00435A93">
        <w:t>a</w:t>
      </w:r>
      <w:r>
        <w:t>nalysis</w:t>
      </w:r>
      <w:bookmarkEnd w:id="47"/>
    </w:p>
    <w:p w:rsidR="005247FF" w:rsidRPr="002E5C78" w:rsidRDefault="005247FF" w:rsidP="005247FF">
      <w:pPr>
        <w:rPr>
          <w:rFonts w:cs="Times New Roman"/>
          <w:color w:val="000000" w:themeColor="text1"/>
          <w:szCs w:val="24"/>
        </w:rPr>
      </w:pPr>
      <w:bookmarkStart w:id="48" w:name="_Toc400916070"/>
      <w:r w:rsidRPr="002E5C78">
        <w:rPr>
          <w:rFonts w:cs="Times New Roman"/>
          <w:color w:val="000000" w:themeColor="text1"/>
          <w:szCs w:val="24"/>
        </w:rPr>
        <w:t>In this section, the results of ordinary least squares (OLS) regression</w:t>
      </w:r>
      <w:r w:rsidRPr="002E5C78">
        <w:rPr>
          <w:rFonts w:cs="Times New Roman" w:hint="eastAsia"/>
          <w:color w:val="000000" w:themeColor="text1"/>
          <w:szCs w:val="24"/>
        </w:rPr>
        <w:t xml:space="preserve">, </w:t>
      </w:r>
      <w:r w:rsidRPr="002E5C78">
        <w:rPr>
          <w:rFonts w:cs="Times New Roman"/>
          <w:color w:val="000000" w:themeColor="text1"/>
          <w:szCs w:val="24"/>
        </w:rPr>
        <w:t xml:space="preserve">Hausman test, </w:t>
      </w:r>
      <w:r w:rsidRPr="002E5C78">
        <w:rPr>
          <w:rFonts w:cs="Times New Roman" w:hint="eastAsia"/>
          <w:color w:val="000000" w:themeColor="text1"/>
          <w:szCs w:val="24"/>
        </w:rPr>
        <w:t xml:space="preserve">and </w:t>
      </w:r>
      <w:r w:rsidRPr="002E5C78">
        <w:rPr>
          <w:rFonts w:cs="Times New Roman"/>
          <w:color w:val="000000" w:themeColor="text1"/>
          <w:szCs w:val="24"/>
        </w:rPr>
        <w:t>two-</w:t>
      </w:r>
      <w:r w:rsidR="00D35FEA">
        <w:rPr>
          <w:rFonts w:cs="Times New Roman"/>
          <w:color w:val="000000" w:themeColor="text1"/>
          <w:szCs w:val="24"/>
        </w:rPr>
        <w:t xml:space="preserve">way </w:t>
      </w:r>
      <w:r w:rsidRPr="002E5C78">
        <w:rPr>
          <w:rFonts w:cs="Times New Roman"/>
          <w:color w:val="000000" w:themeColor="text1"/>
          <w:szCs w:val="24"/>
        </w:rPr>
        <w:t>fix</w:t>
      </w:r>
      <w:r w:rsidR="004500C6">
        <w:rPr>
          <w:rFonts w:cs="Times New Roman"/>
          <w:color w:val="000000" w:themeColor="text1"/>
          <w:szCs w:val="24"/>
        </w:rPr>
        <w:t>ed</w:t>
      </w:r>
      <w:r w:rsidRPr="002E5C78">
        <w:rPr>
          <w:rFonts w:cs="Times New Roman"/>
          <w:color w:val="000000" w:themeColor="text1"/>
          <w:szCs w:val="24"/>
        </w:rPr>
        <w:t xml:space="preserve"> effect model will be presented.</w:t>
      </w:r>
    </w:p>
    <w:p w:rsidR="00F524BE" w:rsidRPr="00F524BE" w:rsidRDefault="00F524BE" w:rsidP="00252752">
      <w:pPr>
        <w:pStyle w:val="Heading3"/>
      </w:pPr>
      <w:r w:rsidRPr="00F524BE">
        <w:t xml:space="preserve">OLS </w:t>
      </w:r>
      <w:r w:rsidRPr="00F524BE">
        <w:rPr>
          <w:rFonts w:hint="eastAsia"/>
        </w:rPr>
        <w:t>R</w:t>
      </w:r>
      <w:r w:rsidRPr="00F524BE">
        <w:t>esults</w:t>
      </w:r>
      <w:bookmarkEnd w:id="48"/>
      <w:r w:rsidRPr="00F524BE">
        <w:t xml:space="preserve"> </w:t>
      </w:r>
    </w:p>
    <w:p w:rsidR="004F1A6B" w:rsidRDefault="004F1A6B" w:rsidP="00CF3C78">
      <w:pPr>
        <w:rPr>
          <w:rFonts w:cs="Times New Roman"/>
          <w:noProof/>
        </w:rPr>
      </w:pPr>
      <w:r>
        <w:rPr>
          <w:rFonts w:cs="Times New Roman"/>
          <w:szCs w:val="24"/>
        </w:rPr>
        <w:t>The results of OLS regression based on China and U.S</w:t>
      </w:r>
      <w:r>
        <w:rPr>
          <w:rFonts w:cs="Times New Roman" w:hint="eastAsia"/>
          <w:szCs w:val="24"/>
        </w:rPr>
        <w:t>.</w:t>
      </w:r>
      <w:r>
        <w:rPr>
          <w:rFonts w:cs="Times New Roman"/>
          <w:szCs w:val="24"/>
        </w:rPr>
        <w:t xml:space="preserve"> sample firms are presented at first. As observed in </w:t>
      </w:r>
      <w:r>
        <w:rPr>
          <w:rFonts w:cs="Times New Roman" w:hint="eastAsia"/>
          <w:szCs w:val="24"/>
        </w:rPr>
        <w:t>Table</w:t>
      </w:r>
      <w:r>
        <w:rPr>
          <w:rFonts w:cs="Times New Roman"/>
          <w:szCs w:val="24"/>
        </w:rPr>
        <w:t xml:space="preserve"> 6.</w:t>
      </w:r>
      <w:r>
        <w:rPr>
          <w:rFonts w:cs="Times New Roman" w:hint="eastAsia"/>
          <w:szCs w:val="24"/>
        </w:rPr>
        <w:t>8</w:t>
      </w:r>
      <w:r>
        <w:rPr>
          <w:rFonts w:cs="Times New Roman"/>
          <w:szCs w:val="24"/>
        </w:rPr>
        <w:t>, the value</w:t>
      </w:r>
      <w:r>
        <w:rPr>
          <w:rFonts w:cs="Times New Roman" w:hint="eastAsia"/>
          <w:szCs w:val="24"/>
        </w:rPr>
        <w:t>s</w:t>
      </w:r>
      <w:r>
        <w:rPr>
          <w:rFonts w:cs="Times New Roman"/>
          <w:szCs w:val="24"/>
        </w:rPr>
        <w:t xml:space="preserve"> of F-statistics (p-value) of China and U.S</w:t>
      </w:r>
      <w:r>
        <w:rPr>
          <w:rFonts w:cs="Times New Roman" w:hint="eastAsia"/>
          <w:szCs w:val="24"/>
        </w:rPr>
        <w:t>.</w:t>
      </w:r>
      <w:r>
        <w:rPr>
          <w:rFonts w:cs="Times New Roman"/>
          <w:szCs w:val="24"/>
        </w:rPr>
        <w:t xml:space="preserve"> are 8.00</w:t>
      </w:r>
      <w:r w:rsidRPr="007D286D">
        <w:rPr>
          <w:rFonts w:cs="Times New Roman"/>
          <w:szCs w:val="24"/>
        </w:rPr>
        <w:t>(</w:t>
      </w:r>
      <w:r w:rsidR="0096148F">
        <w:rPr>
          <w:rFonts w:cs="Times New Roman"/>
          <w:szCs w:val="24"/>
        </w:rPr>
        <w:t>0</w:t>
      </w:r>
      <w:r w:rsidRPr="007D286D">
        <w:rPr>
          <w:rFonts w:cs="Times New Roman"/>
          <w:szCs w:val="24"/>
        </w:rPr>
        <w:t>.000***)</w:t>
      </w:r>
      <w:r>
        <w:rPr>
          <w:rFonts w:ascii="Arial" w:hAnsi="Arial" w:cs="Arial"/>
          <w:color w:val="000000"/>
          <w:sz w:val="18"/>
          <w:szCs w:val="18"/>
        </w:rPr>
        <w:t xml:space="preserve"> </w:t>
      </w:r>
      <w:r>
        <w:rPr>
          <w:rFonts w:cs="Times New Roman"/>
          <w:szCs w:val="24"/>
        </w:rPr>
        <w:t>and 16.817</w:t>
      </w:r>
      <w:r w:rsidRPr="007D286D">
        <w:rPr>
          <w:rFonts w:cs="Times New Roman"/>
          <w:szCs w:val="24"/>
        </w:rPr>
        <w:t>(</w:t>
      </w:r>
      <w:r w:rsidR="0096148F">
        <w:rPr>
          <w:rFonts w:cs="Times New Roman"/>
          <w:szCs w:val="24"/>
        </w:rPr>
        <w:t>0</w:t>
      </w:r>
      <w:r w:rsidRPr="007D286D">
        <w:rPr>
          <w:rFonts w:cs="Times New Roman"/>
          <w:szCs w:val="24"/>
        </w:rPr>
        <w:t>.000***)</w:t>
      </w:r>
      <w:r>
        <w:rPr>
          <w:rFonts w:cs="Times New Roman"/>
          <w:szCs w:val="24"/>
        </w:rPr>
        <w:t>, respectively</w:t>
      </w:r>
      <w:r>
        <w:rPr>
          <w:rFonts w:cs="Times New Roman" w:hint="eastAsia"/>
          <w:szCs w:val="24"/>
        </w:rPr>
        <w:t>.</w:t>
      </w:r>
      <w:r>
        <w:rPr>
          <w:rFonts w:cs="Times New Roman"/>
          <w:szCs w:val="24"/>
        </w:rPr>
        <w:t xml:space="preserve"> </w:t>
      </w:r>
      <w:r>
        <w:rPr>
          <w:rFonts w:cs="Times New Roman" w:hint="eastAsia"/>
          <w:szCs w:val="24"/>
        </w:rPr>
        <w:t xml:space="preserve">This </w:t>
      </w:r>
      <w:r>
        <w:rPr>
          <w:rFonts w:cs="Times New Roman"/>
          <w:szCs w:val="24"/>
        </w:rPr>
        <w:t>means both OLS models of China and U.S</w:t>
      </w:r>
      <w:r>
        <w:rPr>
          <w:rFonts w:cs="Times New Roman" w:hint="eastAsia"/>
          <w:szCs w:val="24"/>
        </w:rPr>
        <w:t>.</w:t>
      </w:r>
      <w:r>
        <w:rPr>
          <w:rFonts w:cs="Times New Roman"/>
          <w:szCs w:val="24"/>
        </w:rPr>
        <w:t xml:space="preserve"> are significant,</w:t>
      </w:r>
      <w:r>
        <w:rPr>
          <w:rFonts w:cs="Times New Roman" w:hint="eastAsia"/>
          <w:szCs w:val="24"/>
        </w:rPr>
        <w:t xml:space="preserve"> and indicates that </w:t>
      </w:r>
      <w:r>
        <w:rPr>
          <w:rFonts w:cs="Times New Roman"/>
          <w:szCs w:val="24"/>
        </w:rPr>
        <w:t>there is a relationship between corporate governance and earnings management</w:t>
      </w:r>
      <w:r w:rsidR="005247FF" w:rsidRPr="005247FF">
        <w:rPr>
          <w:rFonts w:cs="Times New Roman"/>
          <w:szCs w:val="24"/>
        </w:rPr>
        <w:t xml:space="preserve"> </w:t>
      </w:r>
      <w:r w:rsidR="005247FF">
        <w:rPr>
          <w:rFonts w:cs="Times New Roman"/>
          <w:szCs w:val="24"/>
        </w:rPr>
        <w:t>based on the sample firms of China and U.S., which</w:t>
      </w:r>
      <w:r w:rsidR="00CF3C78">
        <w:rPr>
          <w:rFonts w:cs="Times New Roman"/>
          <w:szCs w:val="24"/>
        </w:rPr>
        <w:t xml:space="preserve"> </w:t>
      </w:r>
      <w:r>
        <w:rPr>
          <w:rFonts w:cs="Times New Roman"/>
          <w:szCs w:val="24"/>
        </w:rPr>
        <w:t>confirm</w:t>
      </w:r>
      <w:r>
        <w:rPr>
          <w:rFonts w:cs="Times New Roman" w:hint="eastAsia"/>
          <w:szCs w:val="24"/>
        </w:rPr>
        <w:t>s</w:t>
      </w:r>
      <w:r>
        <w:rPr>
          <w:rFonts w:cs="Times New Roman"/>
          <w:szCs w:val="24"/>
        </w:rPr>
        <w:t xml:space="preserve"> the first and th</w:t>
      </w:r>
      <w:r w:rsidR="00C87410">
        <w:rPr>
          <w:rFonts w:cs="Times New Roman"/>
          <w:szCs w:val="24"/>
        </w:rPr>
        <w:t>e</w:t>
      </w:r>
      <w:r w:rsidR="00CF3C78">
        <w:rPr>
          <w:rFonts w:cs="Times New Roman"/>
          <w:szCs w:val="24"/>
        </w:rPr>
        <w:t xml:space="preserve"> second alternative hypotheses. </w:t>
      </w:r>
      <w:r>
        <w:rPr>
          <w:rFonts w:cs="Times New Roman"/>
          <w:szCs w:val="24"/>
        </w:rPr>
        <w:t xml:space="preserve">Moreover, </w:t>
      </w:r>
      <w:r>
        <w:rPr>
          <w:rFonts w:cs="Times New Roman" w:hint="eastAsia"/>
          <w:szCs w:val="24"/>
        </w:rPr>
        <w:t>b</w:t>
      </w:r>
      <w:r>
        <w:rPr>
          <w:rFonts w:cs="Times New Roman"/>
          <w:szCs w:val="24"/>
        </w:rPr>
        <w:t>oard size (</w:t>
      </w:r>
      <w:r w:rsidR="00CF3C78" w:rsidRPr="00FC4F0B">
        <w:rPr>
          <w:rFonts w:ascii="Cambria Math" w:hAnsi="Cambria Math" w:cs="Times New Roman"/>
          <w:b/>
          <w:i/>
          <w:color w:val="000000" w:themeColor="text1"/>
          <w:szCs w:val="20"/>
        </w:rPr>
        <w:t>BS</w:t>
      </w:r>
      <w:r w:rsidR="00CF3C78" w:rsidRPr="00FC4F0B">
        <w:rPr>
          <w:rFonts w:ascii="Cambria Math" w:hAnsi="Cambria Math" w:cs="Times New Roman"/>
          <w:i/>
          <w:color w:val="000000" w:themeColor="text1"/>
          <w:szCs w:val="20"/>
          <w:vertAlign w:val="subscript"/>
        </w:rPr>
        <w:t>i,t</w:t>
      </w:r>
      <w:r w:rsidRPr="00CF3C78">
        <w:rPr>
          <w:rFonts w:cs="Times New Roman"/>
          <w:color w:val="000000" w:themeColor="text1"/>
          <w:szCs w:val="24"/>
        </w:rPr>
        <w:t>)</w:t>
      </w:r>
      <w:r>
        <w:rPr>
          <w:rFonts w:cs="Times New Roman"/>
          <w:szCs w:val="24"/>
        </w:rPr>
        <w:t xml:space="preserve"> has a negative relationship with earnings management at </w:t>
      </w:r>
      <w:r w:rsidRPr="00480438">
        <w:rPr>
          <w:rFonts w:cs="Times New Roman"/>
          <w:szCs w:val="24"/>
        </w:rPr>
        <w:t>5% significance level</w:t>
      </w:r>
      <w:r w:rsidR="0047797C">
        <w:rPr>
          <w:rFonts w:cs="Times New Roman"/>
          <w:szCs w:val="24"/>
        </w:rPr>
        <w:t xml:space="preserve"> in China (t=-2.062,</w:t>
      </w:r>
      <w:r>
        <w:rPr>
          <w:rFonts w:cs="Times New Roman"/>
          <w:szCs w:val="24"/>
        </w:rPr>
        <w:t xml:space="preserve"> </w:t>
      </w:r>
      <w:r>
        <w:rPr>
          <w:rFonts w:cs="Times New Roman" w:hint="eastAsia"/>
          <w:szCs w:val="24"/>
        </w:rPr>
        <w:t>p</w:t>
      </w:r>
      <w:r>
        <w:rPr>
          <w:rFonts w:cs="Times New Roman"/>
          <w:szCs w:val="24"/>
        </w:rPr>
        <w:t xml:space="preserve">-value=0.039), suggesting </w:t>
      </w:r>
      <w:r>
        <w:rPr>
          <w:rFonts w:cs="Times New Roman" w:hint="eastAsia"/>
          <w:szCs w:val="24"/>
        </w:rPr>
        <w:t xml:space="preserve">that the </w:t>
      </w:r>
      <w:r>
        <w:rPr>
          <w:rFonts w:cs="Times New Roman"/>
          <w:szCs w:val="24"/>
        </w:rPr>
        <w:t>listed firms with larger board size in China have a lower level of earnings management activities.</w:t>
      </w:r>
      <w:r>
        <w:rPr>
          <w:rFonts w:cs="Times New Roman" w:hint="eastAsia"/>
          <w:szCs w:val="24"/>
        </w:rPr>
        <w:t xml:space="preserve"> </w:t>
      </w:r>
      <w:r>
        <w:rPr>
          <w:rFonts w:cs="Times New Roman"/>
          <w:szCs w:val="24"/>
        </w:rPr>
        <w:t xml:space="preserve">This result is consistent </w:t>
      </w:r>
      <w:r>
        <w:rPr>
          <w:rFonts w:cs="Times New Roman" w:hint="eastAsia"/>
          <w:szCs w:val="24"/>
        </w:rPr>
        <w:t xml:space="preserve">with </w:t>
      </w:r>
      <w:r>
        <w:rPr>
          <w:rFonts w:cs="Times New Roman"/>
          <w:szCs w:val="24"/>
        </w:rPr>
        <w:t xml:space="preserve">Xie </w:t>
      </w:r>
      <w:r w:rsidRPr="005A04E9">
        <w:rPr>
          <w:rFonts w:cs="Times New Roman"/>
          <w:i/>
          <w:szCs w:val="24"/>
        </w:rPr>
        <w:t>et al</w:t>
      </w:r>
      <w:r>
        <w:rPr>
          <w:rFonts w:cs="Times New Roman"/>
          <w:szCs w:val="24"/>
        </w:rPr>
        <w:t>. (2003)</w:t>
      </w:r>
      <w:r>
        <w:rPr>
          <w:rFonts w:cs="Times New Roman" w:hint="eastAsia"/>
          <w:szCs w:val="24"/>
        </w:rPr>
        <w:t xml:space="preserve"> and</w:t>
      </w:r>
      <w:r>
        <w:rPr>
          <w:rFonts w:cs="Times New Roman"/>
          <w:szCs w:val="24"/>
        </w:rPr>
        <w:t xml:space="preserve"> </w:t>
      </w:r>
      <w:r w:rsidRPr="002B243A">
        <w:rPr>
          <w:rFonts w:cs="Times New Roman"/>
          <w:szCs w:val="24"/>
        </w:rPr>
        <w:t xml:space="preserve">Chtourou </w:t>
      </w:r>
      <w:r w:rsidRPr="006742C7">
        <w:rPr>
          <w:rFonts w:cs="Times New Roman"/>
          <w:i/>
          <w:szCs w:val="24"/>
        </w:rPr>
        <w:t>et al</w:t>
      </w:r>
      <w:r w:rsidRPr="002B243A">
        <w:rPr>
          <w:rFonts w:cs="Times New Roman"/>
          <w:szCs w:val="24"/>
        </w:rPr>
        <w:t>. (2001)</w:t>
      </w:r>
      <w:r>
        <w:rPr>
          <w:rFonts w:cs="Times New Roman"/>
          <w:szCs w:val="24"/>
        </w:rPr>
        <w:t>. In U.S</w:t>
      </w:r>
      <w:r>
        <w:rPr>
          <w:rFonts w:cs="Times New Roman" w:hint="eastAsia"/>
          <w:szCs w:val="24"/>
        </w:rPr>
        <w:t>.</w:t>
      </w:r>
      <w:r>
        <w:rPr>
          <w:rFonts w:cs="Times New Roman"/>
          <w:szCs w:val="24"/>
        </w:rPr>
        <w:t xml:space="preserve"> sample firms, the evidence indicate</w:t>
      </w:r>
      <w:r>
        <w:rPr>
          <w:rFonts w:cs="Times New Roman" w:hint="eastAsia"/>
          <w:szCs w:val="24"/>
        </w:rPr>
        <w:t>s</w:t>
      </w:r>
      <w:r>
        <w:rPr>
          <w:rFonts w:cs="Times New Roman"/>
          <w:szCs w:val="24"/>
        </w:rPr>
        <w:t xml:space="preserve"> that the executive directors have a negative relationship </w:t>
      </w:r>
      <w:r w:rsidR="00CF3C78">
        <w:rPr>
          <w:rFonts w:cs="Times New Roman"/>
          <w:szCs w:val="24"/>
        </w:rPr>
        <w:t xml:space="preserve">with </w:t>
      </w:r>
      <w:r>
        <w:rPr>
          <w:rFonts w:cs="Times New Roman"/>
          <w:szCs w:val="24"/>
        </w:rPr>
        <w:t xml:space="preserve">earnings management at </w:t>
      </w:r>
      <w:r w:rsidRPr="00881637">
        <w:rPr>
          <w:rFonts w:cs="Times New Roman"/>
          <w:szCs w:val="24"/>
        </w:rPr>
        <w:t>10% significance level</w:t>
      </w:r>
      <w:r>
        <w:rPr>
          <w:rFonts w:cs="Times New Roman"/>
          <w:szCs w:val="24"/>
        </w:rPr>
        <w:t xml:space="preserve">, which is </w:t>
      </w:r>
      <w:r w:rsidRPr="00881637">
        <w:rPr>
          <w:rFonts w:cs="Times New Roman" w:hint="eastAsia"/>
          <w:szCs w:val="24"/>
        </w:rPr>
        <w:t>similar to</w:t>
      </w:r>
      <w:r w:rsidRPr="00881637">
        <w:rPr>
          <w:rFonts w:cs="Times New Roman"/>
          <w:szCs w:val="24"/>
        </w:rPr>
        <w:t xml:space="preserve"> </w:t>
      </w:r>
      <w:r w:rsidRPr="0041594A">
        <w:rPr>
          <w:rFonts w:cs="Times New Roman"/>
          <w:szCs w:val="24"/>
        </w:rPr>
        <w:t xml:space="preserve">Bowen </w:t>
      </w:r>
      <w:r w:rsidRPr="00E55BF2">
        <w:rPr>
          <w:rFonts w:cs="Times New Roman"/>
          <w:i/>
          <w:szCs w:val="24"/>
        </w:rPr>
        <w:t>et al.</w:t>
      </w:r>
      <w:r w:rsidRPr="0041594A">
        <w:rPr>
          <w:rFonts w:cs="Times New Roman"/>
          <w:szCs w:val="24"/>
        </w:rPr>
        <w:t xml:space="preserve"> (2008)</w:t>
      </w:r>
      <w:r>
        <w:rPr>
          <w:rFonts w:cs="Times New Roman"/>
          <w:szCs w:val="24"/>
        </w:rPr>
        <w:t xml:space="preserve">. Furthermore, the supervisory board size has </w:t>
      </w:r>
      <w:r w:rsidR="0047797C">
        <w:rPr>
          <w:rFonts w:cs="Times New Roman"/>
          <w:szCs w:val="24"/>
        </w:rPr>
        <w:t>a negative and significant (t=-2.055</w:t>
      </w:r>
      <w:r>
        <w:rPr>
          <w:rFonts w:cs="Times New Roman"/>
          <w:szCs w:val="24"/>
        </w:rPr>
        <w:t>, p-value=0.04) relationship with earnings management in China</w:t>
      </w:r>
      <w:r>
        <w:rPr>
          <w:rFonts w:cs="Times New Roman" w:hint="eastAsia"/>
          <w:szCs w:val="24"/>
        </w:rPr>
        <w:t>, which means</w:t>
      </w:r>
      <w:r w:rsidRPr="0090415F">
        <w:rPr>
          <w:rFonts w:cs="Times New Roman"/>
          <w:szCs w:val="24"/>
        </w:rPr>
        <w:t xml:space="preserve"> </w:t>
      </w:r>
      <w:r>
        <w:rPr>
          <w:rFonts w:cs="Times New Roman" w:hint="eastAsia"/>
          <w:szCs w:val="24"/>
        </w:rPr>
        <w:t xml:space="preserve">that </w:t>
      </w:r>
      <w:r w:rsidRPr="0090415F">
        <w:rPr>
          <w:rFonts w:cs="Times New Roman"/>
          <w:szCs w:val="24"/>
        </w:rPr>
        <w:t xml:space="preserve">more members in </w:t>
      </w:r>
      <w:r>
        <w:rPr>
          <w:rFonts w:cs="Times New Roman"/>
          <w:szCs w:val="24"/>
        </w:rPr>
        <w:t xml:space="preserve">supervisory board </w:t>
      </w:r>
      <w:r w:rsidRPr="0090415F">
        <w:rPr>
          <w:rFonts w:cs="Times New Roman"/>
          <w:szCs w:val="24"/>
        </w:rPr>
        <w:t xml:space="preserve">could </w:t>
      </w:r>
      <w:r>
        <w:rPr>
          <w:rFonts w:cs="Times New Roman"/>
          <w:szCs w:val="24"/>
        </w:rPr>
        <w:t xml:space="preserve">reduce </w:t>
      </w:r>
      <w:r w:rsidRPr="0090415F">
        <w:rPr>
          <w:rFonts w:cs="Times New Roman"/>
          <w:szCs w:val="24"/>
        </w:rPr>
        <w:t>earning</w:t>
      </w:r>
      <w:r>
        <w:rPr>
          <w:rFonts w:cs="Times New Roman"/>
          <w:szCs w:val="24"/>
        </w:rPr>
        <w:t>s</w:t>
      </w:r>
      <w:r w:rsidRPr="0090415F">
        <w:rPr>
          <w:rFonts w:cs="Times New Roman"/>
          <w:szCs w:val="24"/>
        </w:rPr>
        <w:t xml:space="preserve"> management</w:t>
      </w:r>
      <w:r>
        <w:rPr>
          <w:rFonts w:cs="Times New Roman"/>
          <w:szCs w:val="24"/>
        </w:rPr>
        <w:t xml:space="preserve"> activities</w:t>
      </w:r>
      <w:r w:rsidRPr="001A0ADD">
        <w:rPr>
          <w:rFonts w:cs="Times New Roman"/>
          <w:szCs w:val="24"/>
        </w:rPr>
        <w:t xml:space="preserve"> </w:t>
      </w:r>
      <w:r w:rsidRPr="0090415F">
        <w:rPr>
          <w:rFonts w:cs="Times New Roman"/>
          <w:szCs w:val="24"/>
        </w:rPr>
        <w:t>more effectively</w:t>
      </w:r>
      <w:r>
        <w:rPr>
          <w:rFonts w:cs="Times New Roman"/>
          <w:szCs w:val="24"/>
        </w:rPr>
        <w:t xml:space="preserve">. </w:t>
      </w:r>
      <w:r w:rsidRPr="00881637">
        <w:rPr>
          <w:rFonts w:cs="Times New Roman" w:hint="eastAsia"/>
          <w:szCs w:val="24"/>
        </w:rPr>
        <w:t xml:space="preserve">Firth </w:t>
      </w:r>
      <w:r w:rsidRPr="00E55BF2">
        <w:rPr>
          <w:rFonts w:cs="Times New Roman" w:hint="eastAsia"/>
          <w:i/>
          <w:szCs w:val="24"/>
        </w:rPr>
        <w:t>et al</w:t>
      </w:r>
      <w:r w:rsidR="00CF3C78">
        <w:rPr>
          <w:rFonts w:cs="Times New Roman"/>
          <w:szCs w:val="24"/>
        </w:rPr>
        <w:t>.</w:t>
      </w:r>
      <w:r w:rsidR="00C87410">
        <w:rPr>
          <w:rFonts w:cs="Times New Roman"/>
          <w:i/>
          <w:szCs w:val="24"/>
        </w:rPr>
        <w:t xml:space="preserve"> </w:t>
      </w:r>
      <w:r w:rsidRPr="00881637">
        <w:rPr>
          <w:rFonts w:cs="Times New Roman" w:hint="eastAsia"/>
          <w:szCs w:val="24"/>
        </w:rPr>
        <w:t>(2007)</w:t>
      </w:r>
      <w:r w:rsidRPr="00881637">
        <w:rPr>
          <w:rFonts w:cs="Times New Roman"/>
          <w:szCs w:val="24"/>
        </w:rPr>
        <w:t xml:space="preserve"> and Quttainah </w:t>
      </w:r>
      <w:r w:rsidRPr="00E55BF2">
        <w:rPr>
          <w:rFonts w:cs="Times New Roman"/>
          <w:i/>
          <w:szCs w:val="24"/>
        </w:rPr>
        <w:t>et al</w:t>
      </w:r>
      <w:r w:rsidR="00CF3C78">
        <w:rPr>
          <w:rFonts w:cs="Times New Roman"/>
          <w:szCs w:val="24"/>
        </w:rPr>
        <w:t>.</w:t>
      </w:r>
      <w:r w:rsidR="00C87410">
        <w:rPr>
          <w:rFonts w:cs="Times New Roman"/>
          <w:szCs w:val="24"/>
        </w:rPr>
        <w:t xml:space="preserve"> </w:t>
      </w:r>
      <w:r w:rsidRPr="00881637">
        <w:rPr>
          <w:rFonts w:cs="Times New Roman"/>
          <w:szCs w:val="24"/>
        </w:rPr>
        <w:t>(2011)</w:t>
      </w:r>
      <w:r w:rsidRPr="00881637">
        <w:rPr>
          <w:rFonts w:cs="Times New Roman" w:hint="eastAsia"/>
          <w:szCs w:val="24"/>
        </w:rPr>
        <w:t xml:space="preserve"> also drew the similar outcomes</w:t>
      </w:r>
      <w:r>
        <w:rPr>
          <w:rFonts w:cs="Times New Roman" w:hint="eastAsia"/>
          <w:kern w:val="2"/>
          <w:szCs w:val="24"/>
        </w:rPr>
        <w:t>.</w:t>
      </w:r>
      <w:r>
        <w:rPr>
          <w:rFonts w:eastAsia="MS Mincho" w:cs="Times New Roman"/>
          <w:kern w:val="2"/>
          <w:szCs w:val="24"/>
          <w:lang w:eastAsia="ja-JP"/>
        </w:rPr>
        <w:t xml:space="preserve"> A negative relationship between non-executive directors and earnings management </w:t>
      </w:r>
      <w:r>
        <w:rPr>
          <w:rFonts w:cs="Times New Roman" w:hint="eastAsia"/>
          <w:kern w:val="2"/>
          <w:szCs w:val="24"/>
        </w:rPr>
        <w:t>is</w:t>
      </w:r>
      <w:r>
        <w:rPr>
          <w:rFonts w:eastAsia="MS Mincho" w:cs="Times New Roman"/>
          <w:kern w:val="2"/>
          <w:szCs w:val="24"/>
          <w:lang w:eastAsia="ja-JP"/>
        </w:rPr>
        <w:t xml:space="preserve"> also observed</w:t>
      </w:r>
      <w:r w:rsidRPr="001A0ADD">
        <w:rPr>
          <w:rFonts w:eastAsia="MS Mincho" w:cs="Times New Roman"/>
          <w:kern w:val="2"/>
          <w:szCs w:val="24"/>
          <w:lang w:eastAsia="ja-JP"/>
        </w:rPr>
        <w:t xml:space="preserve"> </w:t>
      </w:r>
      <w:r>
        <w:rPr>
          <w:rFonts w:eastAsia="MS Mincho" w:cs="Times New Roman"/>
          <w:kern w:val="2"/>
          <w:szCs w:val="24"/>
          <w:lang w:eastAsia="ja-JP"/>
        </w:rPr>
        <w:t>in the U.S</w:t>
      </w:r>
      <w:r>
        <w:rPr>
          <w:rFonts w:cs="Times New Roman" w:hint="eastAsia"/>
          <w:kern w:val="2"/>
          <w:szCs w:val="24"/>
        </w:rPr>
        <w:t>.</w:t>
      </w:r>
      <w:r>
        <w:rPr>
          <w:rFonts w:eastAsia="MS Mincho" w:cs="Times New Roman"/>
          <w:kern w:val="2"/>
          <w:szCs w:val="24"/>
          <w:lang w:eastAsia="ja-JP"/>
        </w:rPr>
        <w:t xml:space="preserve"> sample firm</w:t>
      </w:r>
      <w:r>
        <w:rPr>
          <w:rFonts w:cs="Times New Roman" w:hint="eastAsia"/>
          <w:kern w:val="2"/>
          <w:szCs w:val="24"/>
        </w:rPr>
        <w:t>s</w:t>
      </w:r>
      <w:r>
        <w:rPr>
          <w:rFonts w:eastAsia="MS Mincho" w:cs="Times New Roman"/>
          <w:kern w:val="2"/>
          <w:szCs w:val="24"/>
          <w:lang w:eastAsia="ja-JP"/>
        </w:rPr>
        <w:t>. This result is significant at 1% significance level</w:t>
      </w:r>
      <w:r>
        <w:rPr>
          <w:rFonts w:cs="Times New Roman" w:hint="eastAsia"/>
          <w:kern w:val="2"/>
          <w:szCs w:val="24"/>
        </w:rPr>
        <w:t>, which is</w:t>
      </w:r>
      <w:r>
        <w:rPr>
          <w:rFonts w:eastAsia="MS Mincho" w:cs="Times New Roman"/>
          <w:kern w:val="2"/>
          <w:szCs w:val="24"/>
          <w:lang w:eastAsia="ja-JP"/>
        </w:rPr>
        <w:t xml:space="preserve"> indicated by the slope coefficient of -0.002 and the p-value of 0.000</w:t>
      </w:r>
      <w:r>
        <w:rPr>
          <w:rFonts w:cs="Times New Roman" w:hint="eastAsia"/>
          <w:kern w:val="2"/>
          <w:szCs w:val="24"/>
        </w:rPr>
        <w:t>.</w:t>
      </w:r>
      <w:r>
        <w:rPr>
          <w:rFonts w:eastAsia="MS Mincho" w:cs="Times New Roman"/>
          <w:kern w:val="2"/>
          <w:szCs w:val="24"/>
          <w:lang w:eastAsia="ja-JP"/>
        </w:rPr>
        <w:t xml:space="preserve"> </w:t>
      </w:r>
      <w:r>
        <w:rPr>
          <w:rFonts w:cs="Times New Roman" w:hint="eastAsia"/>
          <w:kern w:val="2"/>
          <w:szCs w:val="24"/>
        </w:rPr>
        <w:t xml:space="preserve">It is </w:t>
      </w:r>
      <w:r>
        <w:rPr>
          <w:rFonts w:eastAsia="MS Mincho" w:cs="Times New Roman"/>
          <w:kern w:val="2"/>
          <w:szCs w:val="24"/>
          <w:lang w:eastAsia="ja-JP"/>
        </w:rPr>
        <w:t xml:space="preserve">consistent </w:t>
      </w:r>
      <w:r>
        <w:rPr>
          <w:rFonts w:cs="Times New Roman" w:hint="eastAsia"/>
          <w:kern w:val="2"/>
          <w:szCs w:val="24"/>
        </w:rPr>
        <w:t xml:space="preserve">with </w:t>
      </w:r>
      <w:r>
        <w:rPr>
          <w:rFonts w:eastAsia="MS Mincho" w:cs="Times New Roman"/>
          <w:kern w:val="2"/>
          <w:szCs w:val="24"/>
          <w:lang w:eastAsia="ja-JP"/>
        </w:rPr>
        <w:t xml:space="preserve">the research outcomes </w:t>
      </w:r>
      <w:r>
        <w:rPr>
          <w:rFonts w:cs="Times New Roman" w:hint="eastAsia"/>
          <w:kern w:val="2"/>
          <w:szCs w:val="24"/>
        </w:rPr>
        <w:t>of</w:t>
      </w:r>
      <w:r>
        <w:rPr>
          <w:rFonts w:eastAsia="MS Mincho" w:cs="Times New Roman"/>
          <w:kern w:val="2"/>
          <w:szCs w:val="24"/>
          <w:lang w:eastAsia="ja-JP"/>
        </w:rPr>
        <w:t xml:space="preserve"> </w:t>
      </w:r>
      <w:r w:rsidRPr="003F39BD">
        <w:rPr>
          <w:rFonts w:cs="Times New Roman"/>
          <w:noProof/>
        </w:rPr>
        <w:t>Chtourou</w:t>
      </w:r>
      <w:r>
        <w:rPr>
          <w:rFonts w:cs="Times New Roman"/>
          <w:noProof/>
        </w:rPr>
        <w:t xml:space="preserve"> </w:t>
      </w:r>
      <w:r w:rsidRPr="00C727AB">
        <w:rPr>
          <w:rFonts w:cs="Times New Roman"/>
          <w:i/>
          <w:noProof/>
        </w:rPr>
        <w:t>et al</w:t>
      </w:r>
      <w:r w:rsidRPr="00C727AB">
        <w:rPr>
          <w:rFonts w:cs="Times New Roman" w:hint="eastAsia"/>
          <w:i/>
          <w:noProof/>
        </w:rPr>
        <w:t xml:space="preserve">. </w:t>
      </w:r>
      <w:r>
        <w:rPr>
          <w:rFonts w:cs="Times New Roman"/>
          <w:noProof/>
        </w:rPr>
        <w:t xml:space="preserve">(2001). In addition, there is a negative relatioship between CEO-dummy and earnings management </w:t>
      </w:r>
      <w:r>
        <w:rPr>
          <w:rFonts w:cs="Times New Roman" w:hint="eastAsia"/>
          <w:noProof/>
        </w:rPr>
        <w:t xml:space="preserve">in </w:t>
      </w:r>
      <w:r>
        <w:rPr>
          <w:rFonts w:cs="Times New Roman"/>
          <w:noProof/>
        </w:rPr>
        <w:t>U.S</w:t>
      </w:r>
      <w:r>
        <w:rPr>
          <w:rFonts w:cs="Times New Roman" w:hint="eastAsia"/>
          <w:noProof/>
        </w:rPr>
        <w:t>.</w:t>
      </w:r>
      <w:r>
        <w:rPr>
          <w:rFonts w:cs="Times New Roman"/>
          <w:noProof/>
        </w:rPr>
        <w:t xml:space="preserve"> sample firms, whereas no significant association between those two items </w:t>
      </w:r>
      <w:r>
        <w:rPr>
          <w:rFonts w:cs="Times New Roman" w:hint="eastAsia"/>
          <w:noProof/>
        </w:rPr>
        <w:t xml:space="preserve">has </w:t>
      </w:r>
      <w:r>
        <w:rPr>
          <w:rFonts w:cs="Times New Roman"/>
          <w:noProof/>
        </w:rPr>
        <w:t xml:space="preserve">been observed </w:t>
      </w:r>
      <w:r>
        <w:rPr>
          <w:rFonts w:cs="Times New Roman" w:hint="eastAsia"/>
          <w:noProof/>
        </w:rPr>
        <w:t>in</w:t>
      </w:r>
      <w:r>
        <w:rPr>
          <w:rFonts w:cs="Times New Roman"/>
          <w:noProof/>
        </w:rPr>
        <w:t xml:space="preserve"> China </w:t>
      </w:r>
      <w:r>
        <w:rPr>
          <w:rFonts w:cs="Times New Roman" w:hint="eastAsia"/>
          <w:noProof/>
        </w:rPr>
        <w:t>sample</w:t>
      </w:r>
      <w:r>
        <w:rPr>
          <w:rFonts w:cs="Times New Roman"/>
          <w:noProof/>
        </w:rPr>
        <w:t xml:space="preserve"> firms. </w:t>
      </w:r>
      <w:r w:rsidRPr="00881637">
        <w:rPr>
          <w:rFonts w:cs="Times New Roman" w:hint="eastAsia"/>
          <w:noProof/>
        </w:rPr>
        <w:t>No</w:t>
      </w:r>
      <w:r>
        <w:rPr>
          <w:rFonts w:cs="Times New Roman"/>
          <w:noProof/>
        </w:rPr>
        <w:t xml:space="preserve"> </w:t>
      </w:r>
      <w:r>
        <w:rPr>
          <w:rFonts w:cs="Times New Roman" w:hint="eastAsia"/>
          <w:noProof/>
        </w:rPr>
        <w:t xml:space="preserve">significant </w:t>
      </w:r>
      <w:r>
        <w:rPr>
          <w:rFonts w:cs="Times New Roman"/>
          <w:noProof/>
        </w:rPr>
        <w:t>relationship between earnings management and both management ownership and block</w:t>
      </w:r>
      <w:r w:rsidR="00CF3C78">
        <w:rPr>
          <w:rFonts w:cs="Times New Roman"/>
          <w:noProof/>
        </w:rPr>
        <w:t>-</w:t>
      </w:r>
      <w:r>
        <w:rPr>
          <w:rFonts w:cs="Times New Roman"/>
          <w:noProof/>
        </w:rPr>
        <w:t>holder</w:t>
      </w:r>
      <w:r w:rsidR="00A361C2">
        <w:rPr>
          <w:rFonts w:cs="Times New Roman"/>
          <w:noProof/>
        </w:rPr>
        <w:t>s</w:t>
      </w:r>
      <w:r>
        <w:rPr>
          <w:rFonts w:cs="Times New Roman"/>
          <w:noProof/>
        </w:rPr>
        <w:t xml:space="preserve"> ownership </w:t>
      </w:r>
      <w:r w:rsidRPr="00881637">
        <w:rPr>
          <w:rFonts w:cs="Times New Roman" w:hint="eastAsia"/>
          <w:noProof/>
        </w:rPr>
        <w:t>has been found</w:t>
      </w:r>
      <w:r>
        <w:rPr>
          <w:rFonts w:cs="Times New Roman" w:hint="eastAsia"/>
          <w:noProof/>
        </w:rPr>
        <w:t xml:space="preserve"> </w:t>
      </w:r>
      <w:r>
        <w:rPr>
          <w:rFonts w:cs="Times New Roman"/>
          <w:noProof/>
        </w:rPr>
        <w:t xml:space="preserve">in China and U.S. </w:t>
      </w:r>
      <w:r>
        <w:rPr>
          <w:rFonts w:cs="Times New Roman" w:hint="eastAsia"/>
          <w:noProof/>
        </w:rPr>
        <w:t>sample firms.</w:t>
      </w:r>
      <w:r>
        <w:rPr>
          <w:rFonts w:cs="Times New Roman"/>
          <w:noProof/>
        </w:rPr>
        <w:t xml:space="preserve"> On the other hand, </w:t>
      </w:r>
      <w:r>
        <w:rPr>
          <w:rFonts w:cs="Times New Roman" w:hint="eastAsia"/>
          <w:noProof/>
        </w:rPr>
        <w:t>a</w:t>
      </w:r>
      <w:r>
        <w:rPr>
          <w:rFonts w:cs="Times New Roman"/>
          <w:noProof/>
        </w:rPr>
        <w:t xml:space="preserve"> positive relationship </w:t>
      </w:r>
      <w:r>
        <w:rPr>
          <w:rFonts w:cs="Times New Roman" w:hint="eastAsia"/>
          <w:noProof/>
        </w:rPr>
        <w:t xml:space="preserve">is </w:t>
      </w:r>
      <w:r>
        <w:rPr>
          <w:rFonts w:cs="Times New Roman"/>
          <w:noProof/>
        </w:rPr>
        <w:t>presented between firm size (</w:t>
      </w:r>
      <w:r>
        <w:rPr>
          <w:rFonts w:cs="Times New Roman" w:hint="eastAsia"/>
          <w:noProof/>
        </w:rPr>
        <w:t>l</w:t>
      </w:r>
      <w:r>
        <w:rPr>
          <w:rFonts w:cs="Times New Roman"/>
          <w:noProof/>
        </w:rPr>
        <w:t>og of total asset</w:t>
      </w:r>
      <w:r w:rsidR="008F223E">
        <w:rPr>
          <w:rFonts w:cs="Times New Roman"/>
          <w:noProof/>
        </w:rPr>
        <w:t>s</w:t>
      </w:r>
      <w:r>
        <w:rPr>
          <w:rFonts w:cs="Times New Roman"/>
          <w:noProof/>
        </w:rPr>
        <w:t xml:space="preserve">) and earnings management at 1% significance level </w:t>
      </w:r>
      <w:r>
        <w:rPr>
          <w:rFonts w:cs="Times New Roman" w:hint="eastAsia"/>
          <w:noProof/>
        </w:rPr>
        <w:t xml:space="preserve">in </w:t>
      </w:r>
      <w:r>
        <w:rPr>
          <w:rFonts w:cs="Times New Roman"/>
          <w:noProof/>
        </w:rPr>
        <w:t>China</w:t>
      </w:r>
      <w:r>
        <w:rPr>
          <w:rFonts w:cs="Times New Roman" w:hint="eastAsia"/>
          <w:noProof/>
        </w:rPr>
        <w:t xml:space="preserve"> </w:t>
      </w:r>
      <w:r>
        <w:rPr>
          <w:rFonts w:cs="Times New Roman"/>
          <w:noProof/>
        </w:rPr>
        <w:t xml:space="preserve">sample firms, </w:t>
      </w:r>
      <w:r w:rsidRPr="00881637">
        <w:rPr>
          <w:rFonts w:cs="Times New Roman" w:hint="eastAsia"/>
          <w:noProof/>
        </w:rPr>
        <w:t>meaning</w:t>
      </w:r>
      <w:r>
        <w:rPr>
          <w:rFonts w:cs="Times New Roman" w:hint="eastAsia"/>
          <w:noProof/>
        </w:rPr>
        <w:t xml:space="preserve"> </w:t>
      </w:r>
      <w:r>
        <w:rPr>
          <w:rFonts w:cs="Times New Roman"/>
          <w:noProof/>
        </w:rPr>
        <w:t xml:space="preserve">more </w:t>
      </w:r>
      <w:r>
        <w:rPr>
          <w:rFonts w:cs="Times New Roman"/>
          <w:noProof/>
        </w:rPr>
        <w:lastRenderedPageBreak/>
        <w:t xml:space="preserve">earnings management activities </w:t>
      </w:r>
      <w:r w:rsidRPr="00881637">
        <w:rPr>
          <w:rFonts w:cs="Times New Roman"/>
          <w:noProof/>
        </w:rPr>
        <w:t>in large</w:t>
      </w:r>
      <w:r w:rsidRPr="00881637">
        <w:rPr>
          <w:rFonts w:cs="Times New Roman" w:hint="eastAsia"/>
          <w:noProof/>
        </w:rPr>
        <w:t>-</w:t>
      </w:r>
      <w:r w:rsidRPr="00881637">
        <w:rPr>
          <w:rFonts w:cs="Times New Roman"/>
          <w:noProof/>
        </w:rPr>
        <w:t xml:space="preserve">size listed firms </w:t>
      </w:r>
      <w:r w:rsidRPr="00881637">
        <w:rPr>
          <w:rFonts w:cs="Times New Roman" w:hint="eastAsia"/>
          <w:noProof/>
        </w:rPr>
        <w:t>of</w:t>
      </w:r>
      <w:r w:rsidRPr="00881637">
        <w:rPr>
          <w:rFonts w:cs="Times New Roman"/>
          <w:noProof/>
        </w:rPr>
        <w:t xml:space="preserve"> </w:t>
      </w:r>
      <w:r w:rsidRPr="00881637">
        <w:rPr>
          <w:rFonts w:cs="Times New Roman" w:hint="eastAsia"/>
          <w:noProof/>
        </w:rPr>
        <w:t>C</w:t>
      </w:r>
      <w:r w:rsidRPr="00881637">
        <w:rPr>
          <w:rFonts w:cs="Times New Roman"/>
          <w:noProof/>
        </w:rPr>
        <w:t>hina</w:t>
      </w:r>
      <w:r>
        <w:rPr>
          <w:rFonts w:cs="Times New Roman"/>
          <w:noProof/>
        </w:rPr>
        <w:t xml:space="preserve">. </w:t>
      </w:r>
      <w:r>
        <w:rPr>
          <w:rFonts w:cs="Times New Roman" w:hint="eastAsia"/>
          <w:noProof/>
        </w:rPr>
        <w:t>However, a</w:t>
      </w:r>
      <w:r>
        <w:rPr>
          <w:rFonts w:cs="Times New Roman"/>
          <w:noProof/>
        </w:rPr>
        <w:t xml:space="preserve"> negative relationship</w:t>
      </w:r>
      <w:r>
        <w:rPr>
          <w:rFonts w:cs="Times New Roman" w:hint="eastAsia"/>
          <w:noProof/>
        </w:rPr>
        <w:t xml:space="preserve"> </w:t>
      </w:r>
      <w:r>
        <w:rPr>
          <w:rFonts w:cs="Times New Roman"/>
          <w:noProof/>
        </w:rPr>
        <w:t>b</w:t>
      </w:r>
      <w:r>
        <w:rPr>
          <w:rFonts w:cs="Times New Roman" w:hint="eastAsia"/>
          <w:noProof/>
        </w:rPr>
        <w:t>e</w:t>
      </w:r>
      <w:r>
        <w:rPr>
          <w:rFonts w:cs="Times New Roman"/>
          <w:noProof/>
        </w:rPr>
        <w:t>tween firm size and earnings management</w:t>
      </w:r>
      <w:r>
        <w:rPr>
          <w:rFonts w:cs="Times New Roman" w:hint="eastAsia"/>
          <w:noProof/>
        </w:rPr>
        <w:t xml:space="preserve"> is</w:t>
      </w:r>
      <w:r>
        <w:rPr>
          <w:rFonts w:cs="Times New Roman"/>
          <w:noProof/>
        </w:rPr>
        <w:t xml:space="preserve"> obeserved </w:t>
      </w:r>
      <w:r>
        <w:rPr>
          <w:rFonts w:cs="Times New Roman" w:hint="eastAsia"/>
          <w:noProof/>
        </w:rPr>
        <w:t>in</w:t>
      </w:r>
      <w:r>
        <w:rPr>
          <w:rFonts w:cs="Times New Roman"/>
          <w:noProof/>
        </w:rPr>
        <w:t xml:space="preserve"> the sample firms of U.S. </w:t>
      </w:r>
      <w:r>
        <w:rPr>
          <w:rFonts w:cs="Times New Roman" w:hint="eastAsia"/>
          <w:noProof/>
        </w:rPr>
        <w:t>I</w:t>
      </w:r>
      <w:r>
        <w:rPr>
          <w:rFonts w:cs="Times New Roman"/>
          <w:noProof/>
        </w:rPr>
        <w:t>n both China and U</w:t>
      </w:r>
      <w:r>
        <w:rPr>
          <w:rFonts w:cs="Times New Roman" w:hint="eastAsia"/>
          <w:noProof/>
        </w:rPr>
        <w:t>.</w:t>
      </w:r>
      <w:r>
        <w:rPr>
          <w:rFonts w:cs="Times New Roman"/>
          <w:noProof/>
        </w:rPr>
        <w:t>S</w:t>
      </w:r>
      <w:r>
        <w:rPr>
          <w:rFonts w:cs="Times New Roman" w:hint="eastAsia"/>
          <w:noProof/>
        </w:rPr>
        <w:t>.</w:t>
      </w:r>
      <w:r>
        <w:rPr>
          <w:rFonts w:cs="Times New Roman"/>
          <w:noProof/>
        </w:rPr>
        <w:t xml:space="preserve"> sample firms, a positive relationship between ROE and earnings management </w:t>
      </w:r>
      <w:r>
        <w:rPr>
          <w:rFonts w:cs="Times New Roman" w:hint="eastAsia"/>
          <w:noProof/>
        </w:rPr>
        <w:t>is</w:t>
      </w:r>
      <w:r>
        <w:rPr>
          <w:rFonts w:cs="Times New Roman"/>
          <w:noProof/>
        </w:rPr>
        <w:t xml:space="preserve"> found  at 1% significance level, which comfirm</w:t>
      </w:r>
      <w:r>
        <w:rPr>
          <w:rFonts w:cs="Times New Roman" w:hint="eastAsia"/>
          <w:noProof/>
        </w:rPr>
        <w:t>s</w:t>
      </w:r>
      <w:r>
        <w:rPr>
          <w:rFonts w:cs="Times New Roman"/>
          <w:noProof/>
        </w:rPr>
        <w:t xml:space="preserve"> the expec</w:t>
      </w:r>
      <w:r w:rsidR="00DA2620">
        <w:rPr>
          <w:rFonts w:cs="Times New Roman"/>
          <w:noProof/>
        </w:rPr>
        <w:t>ta</w:t>
      </w:r>
      <w:r>
        <w:rPr>
          <w:rFonts w:cs="Times New Roman"/>
          <w:noProof/>
        </w:rPr>
        <w:t>tion of this thesis.</w:t>
      </w:r>
    </w:p>
    <w:p w:rsidR="00F524BE" w:rsidRPr="004636DB" w:rsidRDefault="004F1A6B" w:rsidP="006F79BD">
      <w:pPr>
        <w:rPr>
          <w:rFonts w:cs="Times New Roman"/>
          <w:noProof/>
        </w:rPr>
      </w:pPr>
      <w:r w:rsidRPr="00881637">
        <w:rPr>
          <w:rFonts w:cs="Times New Roman"/>
          <w:noProof/>
        </w:rPr>
        <w:t>Despite some significate variables were detected</w:t>
      </w:r>
      <w:r>
        <w:rPr>
          <w:rFonts w:cs="Times New Roman"/>
          <w:noProof/>
        </w:rPr>
        <w:t xml:space="preserve">, </w:t>
      </w:r>
      <w:r w:rsidRPr="00787D8B">
        <w:rPr>
          <w:rFonts w:cs="Times New Roman"/>
          <w:noProof/>
        </w:rPr>
        <w:t xml:space="preserve"> </w:t>
      </w:r>
      <w:r>
        <w:rPr>
          <w:rFonts w:cs="Times New Roman"/>
          <w:noProof/>
        </w:rPr>
        <w:t xml:space="preserve">as observed in </w:t>
      </w:r>
      <w:r>
        <w:rPr>
          <w:rFonts w:cs="Times New Roman" w:hint="eastAsia"/>
          <w:noProof/>
        </w:rPr>
        <w:t>T</w:t>
      </w:r>
      <w:r>
        <w:rPr>
          <w:rFonts w:cs="Times New Roman"/>
          <w:noProof/>
        </w:rPr>
        <w:t>able 6.</w:t>
      </w:r>
      <w:r>
        <w:rPr>
          <w:rFonts w:cs="Times New Roman" w:hint="eastAsia"/>
          <w:noProof/>
        </w:rPr>
        <w:t>8</w:t>
      </w:r>
      <w:r>
        <w:rPr>
          <w:rFonts w:cs="Times New Roman"/>
          <w:noProof/>
        </w:rPr>
        <w:t>. the value</w:t>
      </w:r>
      <w:r>
        <w:rPr>
          <w:rFonts w:cs="Times New Roman" w:hint="eastAsia"/>
          <w:noProof/>
        </w:rPr>
        <w:t>s</w:t>
      </w:r>
      <w:r>
        <w:rPr>
          <w:rFonts w:cs="Times New Roman"/>
          <w:noProof/>
        </w:rPr>
        <w:t xml:space="preserve"> of </w:t>
      </w:r>
      <w:r>
        <w:rPr>
          <w:rFonts w:cs="Times New Roman" w:hint="eastAsia"/>
          <w:noProof/>
        </w:rPr>
        <w:t xml:space="preserve">the </w:t>
      </w:r>
      <w:r>
        <w:rPr>
          <w:rFonts w:cs="Times New Roman"/>
          <w:noProof/>
        </w:rPr>
        <w:t>adjusted R-squared</w:t>
      </w:r>
      <w:r>
        <w:rPr>
          <w:rStyle w:val="FootnoteReference"/>
          <w:rFonts w:cs="Times New Roman"/>
          <w:noProof/>
        </w:rPr>
        <w:footnoteReference w:id="9"/>
      </w:r>
      <w:r>
        <w:rPr>
          <w:rFonts w:cs="Times New Roman"/>
          <w:noProof/>
        </w:rPr>
        <w:t xml:space="preserve"> in both regression model</w:t>
      </w:r>
      <w:r w:rsidRPr="00D0180F">
        <w:rPr>
          <w:rFonts w:cs="Times New Roman" w:hint="eastAsia"/>
          <w:noProof/>
        </w:rPr>
        <w:t>s</w:t>
      </w:r>
      <w:r>
        <w:rPr>
          <w:rFonts w:cs="Times New Roman"/>
          <w:noProof/>
        </w:rPr>
        <w:t xml:space="preserve"> </w:t>
      </w:r>
      <w:r>
        <w:rPr>
          <w:rFonts w:cs="Times New Roman" w:hint="eastAsia"/>
          <w:noProof/>
        </w:rPr>
        <w:t>are</w:t>
      </w:r>
      <w:r>
        <w:rPr>
          <w:rFonts w:cs="Times New Roman"/>
          <w:noProof/>
        </w:rPr>
        <w:t xml:space="preserve"> very low, which is 0.014 for China and 0.046 for U.S</w:t>
      </w:r>
      <w:r>
        <w:rPr>
          <w:rFonts w:cs="Times New Roman" w:hint="eastAsia"/>
          <w:noProof/>
        </w:rPr>
        <w:t>.</w:t>
      </w:r>
      <w:r>
        <w:rPr>
          <w:rFonts w:cs="Times New Roman"/>
          <w:noProof/>
        </w:rPr>
        <w:t xml:space="preserve">, respectively. </w:t>
      </w:r>
      <w:r w:rsidRPr="00BA7076">
        <w:rPr>
          <w:rFonts w:cs="Times New Roman"/>
          <w:noProof/>
        </w:rPr>
        <w:t xml:space="preserve">This </w:t>
      </w:r>
      <w:r>
        <w:rPr>
          <w:rFonts w:cs="Times New Roman"/>
          <w:noProof/>
        </w:rPr>
        <w:t xml:space="preserve">results </w:t>
      </w:r>
      <w:r w:rsidRPr="00BA7076">
        <w:rPr>
          <w:rFonts w:cs="Times New Roman"/>
          <w:noProof/>
        </w:rPr>
        <w:t>might imply that the independent variables are</w:t>
      </w:r>
      <w:r>
        <w:rPr>
          <w:rFonts w:cs="Times New Roman"/>
          <w:noProof/>
        </w:rPr>
        <w:t xml:space="preserve"> weak predictors, or some important variabl</w:t>
      </w:r>
      <w:r w:rsidR="002F44C9">
        <w:rPr>
          <w:rFonts w:cs="Times New Roman"/>
          <w:noProof/>
        </w:rPr>
        <w:t>e</w:t>
      </w:r>
      <w:r>
        <w:rPr>
          <w:rFonts w:cs="Times New Roman"/>
          <w:noProof/>
        </w:rPr>
        <w:t>s related to earnings management are not inclu</w:t>
      </w:r>
      <w:r>
        <w:rPr>
          <w:rFonts w:cs="Times New Roman" w:hint="eastAsia"/>
          <w:noProof/>
        </w:rPr>
        <w:t>d</w:t>
      </w:r>
      <w:r>
        <w:rPr>
          <w:rFonts w:cs="Times New Roman"/>
          <w:noProof/>
        </w:rPr>
        <w:t>ed in the regression model.</w:t>
      </w:r>
      <w:r w:rsidR="006F79BD">
        <w:rPr>
          <w:rFonts w:cs="Times New Roman"/>
          <w:noProof/>
        </w:rPr>
        <w:t xml:space="preserve"> </w:t>
      </w:r>
      <w:r w:rsidR="00FA4970" w:rsidRPr="004636DB">
        <w:rPr>
          <w:rFonts w:cs="Times New Roman"/>
          <w:noProof/>
        </w:rPr>
        <w:t>In the n</w:t>
      </w:r>
      <w:r w:rsidR="00C87410" w:rsidRPr="004636DB">
        <w:rPr>
          <w:rFonts w:cs="Times New Roman"/>
          <w:noProof/>
        </w:rPr>
        <w:t>ext sec</w:t>
      </w:r>
      <w:r w:rsidR="006F79BD" w:rsidRPr="004636DB">
        <w:rPr>
          <w:rFonts w:cs="Times New Roman"/>
          <w:noProof/>
        </w:rPr>
        <w:t xml:space="preserve">tion, it will attempt to </w:t>
      </w:r>
      <w:r w:rsidR="002F44C9">
        <w:rPr>
          <w:rFonts w:cs="Times New Roman"/>
          <w:noProof/>
        </w:rPr>
        <w:t xml:space="preserve">solve </w:t>
      </w:r>
      <w:r w:rsidR="006F79BD" w:rsidRPr="004636DB">
        <w:rPr>
          <w:rFonts w:cs="Times New Roman"/>
          <w:noProof/>
        </w:rPr>
        <w:t>this problem by establish</w:t>
      </w:r>
      <w:r w:rsidR="00FA4970" w:rsidRPr="004636DB">
        <w:rPr>
          <w:rFonts w:cs="Times New Roman"/>
          <w:noProof/>
        </w:rPr>
        <w:t>ing</w:t>
      </w:r>
      <w:r w:rsidR="006F79BD" w:rsidRPr="004636DB">
        <w:rPr>
          <w:rFonts w:cs="Times New Roman"/>
          <w:noProof/>
        </w:rPr>
        <w:t xml:space="preserve"> fixed effect model or random effect model which </w:t>
      </w:r>
      <w:r w:rsidR="00FA4970" w:rsidRPr="004636DB">
        <w:rPr>
          <w:rFonts w:cs="Times New Roman"/>
          <w:noProof/>
        </w:rPr>
        <w:t xml:space="preserve">is </w:t>
      </w:r>
      <w:r w:rsidR="006F79BD" w:rsidRPr="004636DB">
        <w:rPr>
          <w:rFonts w:cs="Times New Roman"/>
          <w:noProof/>
        </w:rPr>
        <w:t xml:space="preserve">based on the </w:t>
      </w:r>
      <w:r w:rsidR="00FA4970" w:rsidRPr="004636DB">
        <w:rPr>
          <w:rFonts w:cs="Times New Roman"/>
          <w:noProof/>
        </w:rPr>
        <w:t xml:space="preserve">results of the </w:t>
      </w:r>
      <w:r w:rsidR="006F79BD" w:rsidRPr="004636DB">
        <w:rPr>
          <w:rFonts w:cs="Times New Roman"/>
          <w:noProof/>
        </w:rPr>
        <w:t>Hausman test.</w:t>
      </w:r>
    </w:p>
    <w:p w:rsidR="006F79BD" w:rsidRPr="004D4B81" w:rsidRDefault="006F79BD" w:rsidP="006F79BD">
      <w:pPr>
        <w:pStyle w:val="Heading3"/>
      </w:pPr>
      <w:bookmarkStart w:id="49" w:name="_Toc400916071"/>
      <w:r>
        <w:t xml:space="preserve">Hausman </w:t>
      </w:r>
      <w:r w:rsidRPr="004D4B81">
        <w:t>test of China and U.S</w:t>
      </w:r>
      <w:r>
        <w:rPr>
          <w:rFonts w:hint="eastAsia"/>
        </w:rPr>
        <w:t>.</w:t>
      </w:r>
      <w:bookmarkEnd w:id="49"/>
    </w:p>
    <w:p w:rsidR="006F79BD" w:rsidRDefault="006F79BD" w:rsidP="006F79BD">
      <w:pPr>
        <w:rPr>
          <w:color w:val="000000"/>
        </w:rPr>
      </w:pPr>
      <w:r>
        <w:t xml:space="preserve">Firstly, a regression model with random effect </w:t>
      </w:r>
      <w:r w:rsidRPr="00160DAC">
        <w:t>for</w:t>
      </w:r>
      <w:r>
        <w:t xml:space="preserve"> both China and U.S. </w:t>
      </w:r>
      <w:r w:rsidRPr="00160DAC">
        <w:t>is performed</w:t>
      </w:r>
      <w:r w:rsidRPr="00525FAB">
        <w:t xml:space="preserve"> </w:t>
      </w:r>
      <w:r>
        <w:t xml:space="preserve">by using Eviews. As observed in the first column of Table 6.9, the random effect model of China indicates similar results as OLS regression model. Then, the correlated random effects-Hausman test </w:t>
      </w:r>
      <w:r w:rsidRPr="004A0F49">
        <w:t>is performed to</w:t>
      </w:r>
      <w:r>
        <w:t xml:space="preserve"> see whether this random effect model is appropriate or not. As indicated in the second column of </w:t>
      </w:r>
      <w:r>
        <w:rPr>
          <w:rFonts w:hint="eastAsia"/>
        </w:rPr>
        <w:t>T</w:t>
      </w:r>
      <w:r>
        <w:t>able</w:t>
      </w:r>
      <w:r>
        <w:rPr>
          <w:rFonts w:hint="eastAsia"/>
        </w:rPr>
        <w:t xml:space="preserve"> 6.9</w:t>
      </w:r>
      <w:r>
        <w:t>, the Hausman test show</w:t>
      </w:r>
      <w:r>
        <w:rPr>
          <w:rFonts w:hint="eastAsia"/>
        </w:rPr>
        <w:t>s</w:t>
      </w:r>
      <w:r>
        <w:t xml:space="preserve"> a significant result (</w:t>
      </w:r>
      <w:r>
        <w:rPr>
          <w:rFonts w:hint="eastAsia"/>
        </w:rPr>
        <w:t>p</w:t>
      </w:r>
      <w:r>
        <w:t>-value=</w:t>
      </w:r>
      <w:r>
        <w:rPr>
          <w:b/>
          <w:color w:val="000000"/>
        </w:rPr>
        <w:t xml:space="preserve">0.000***) </w:t>
      </w:r>
      <w:r>
        <w:rPr>
          <w:color w:val="000000"/>
        </w:rPr>
        <w:t xml:space="preserve">to reject the null hypothesis, suggesting that </w:t>
      </w:r>
      <w:r>
        <w:rPr>
          <w:rFonts w:hint="eastAsia"/>
          <w:color w:val="000000"/>
        </w:rPr>
        <w:t xml:space="preserve">the </w:t>
      </w:r>
      <w:r>
        <w:rPr>
          <w:color w:val="000000"/>
        </w:rPr>
        <w:t>fixed effect model is better in investigating this research dataset.</w:t>
      </w:r>
      <w:r>
        <w:rPr>
          <w:rFonts w:hint="eastAsia"/>
          <w:color w:val="000000"/>
        </w:rPr>
        <w:t xml:space="preserve"> Similarly</w:t>
      </w:r>
      <w:r>
        <w:rPr>
          <w:color w:val="000000"/>
        </w:rPr>
        <w:t>, the random effect model of U.S</w:t>
      </w:r>
      <w:r>
        <w:rPr>
          <w:rFonts w:hint="eastAsia"/>
          <w:color w:val="000000"/>
        </w:rPr>
        <w:t>.</w:t>
      </w:r>
      <w:r>
        <w:rPr>
          <w:color w:val="000000"/>
        </w:rPr>
        <w:t xml:space="preserve"> sample firms and Hausman test are performed by Eviews</w:t>
      </w:r>
      <w:r>
        <w:rPr>
          <w:rFonts w:hint="eastAsia"/>
          <w:color w:val="000000"/>
        </w:rPr>
        <w:t xml:space="preserve"> (see Table 6.10)</w:t>
      </w:r>
      <w:r>
        <w:rPr>
          <w:color w:val="000000"/>
        </w:rPr>
        <w:t xml:space="preserve">. The </w:t>
      </w:r>
      <w:r>
        <w:rPr>
          <w:rFonts w:hint="eastAsia"/>
          <w:color w:val="000000"/>
        </w:rPr>
        <w:t>H</w:t>
      </w:r>
      <w:r>
        <w:rPr>
          <w:color w:val="000000"/>
        </w:rPr>
        <w:t>ausman test indicate</w:t>
      </w:r>
      <w:r>
        <w:rPr>
          <w:rFonts w:hint="eastAsia"/>
          <w:color w:val="000000"/>
        </w:rPr>
        <w:t>s</w:t>
      </w:r>
      <w:r>
        <w:rPr>
          <w:color w:val="000000"/>
        </w:rPr>
        <w:t xml:space="preserve"> a statistical and significant result (p-value=</w:t>
      </w:r>
      <w:r>
        <w:rPr>
          <w:rFonts w:ascii="Arial" w:hAnsi="Arial" w:cs="Arial"/>
          <w:b/>
          <w:color w:val="000000"/>
        </w:rPr>
        <w:t>0.0009***</w:t>
      </w:r>
      <w:r>
        <w:rPr>
          <w:rFonts w:ascii="Arial" w:hAnsi="Arial" w:cs="Arial"/>
          <w:color w:val="000000"/>
        </w:rPr>
        <w:t xml:space="preserve">), </w:t>
      </w:r>
      <w:r>
        <w:rPr>
          <w:color w:val="000000"/>
        </w:rPr>
        <w:t>which reject</w:t>
      </w:r>
      <w:r>
        <w:rPr>
          <w:rFonts w:hint="eastAsia"/>
          <w:color w:val="000000"/>
        </w:rPr>
        <w:t>s</w:t>
      </w:r>
      <w:r>
        <w:rPr>
          <w:color w:val="000000"/>
        </w:rPr>
        <w:t xml:space="preserve"> the null hypothesis and reveal</w:t>
      </w:r>
      <w:r>
        <w:rPr>
          <w:rFonts w:hint="eastAsia"/>
          <w:color w:val="000000"/>
        </w:rPr>
        <w:t xml:space="preserve">s </w:t>
      </w:r>
      <w:r w:rsidRPr="004A0F49">
        <w:rPr>
          <w:rFonts w:hint="eastAsia"/>
          <w:color w:val="000000"/>
        </w:rPr>
        <w:t>that the</w:t>
      </w:r>
      <w:r>
        <w:rPr>
          <w:color w:val="000000"/>
        </w:rPr>
        <w:t xml:space="preserve"> fixed effect model is also appropriate for U.S</w:t>
      </w:r>
      <w:r>
        <w:rPr>
          <w:rFonts w:hint="eastAsia"/>
          <w:color w:val="000000"/>
        </w:rPr>
        <w:t>.</w:t>
      </w:r>
      <w:r>
        <w:rPr>
          <w:color w:val="000000"/>
        </w:rPr>
        <w:t xml:space="preserve"> dataset. In conclusion, </w:t>
      </w:r>
      <w:r>
        <w:rPr>
          <w:rFonts w:hint="eastAsia"/>
          <w:color w:val="000000"/>
        </w:rPr>
        <w:t>t</w:t>
      </w:r>
      <w:r>
        <w:rPr>
          <w:color w:val="000000"/>
        </w:rPr>
        <w:t xml:space="preserve">his test illustrates that </w:t>
      </w:r>
      <w:r>
        <w:rPr>
          <w:rFonts w:hint="eastAsia"/>
          <w:color w:val="000000"/>
        </w:rPr>
        <w:t xml:space="preserve">the </w:t>
      </w:r>
      <w:r>
        <w:rPr>
          <w:color w:val="000000"/>
        </w:rPr>
        <w:t xml:space="preserve">fixed effect model is better than </w:t>
      </w:r>
      <w:r>
        <w:rPr>
          <w:rFonts w:hint="eastAsia"/>
          <w:color w:val="000000"/>
        </w:rPr>
        <w:t xml:space="preserve">the </w:t>
      </w:r>
      <w:r>
        <w:rPr>
          <w:color w:val="000000"/>
        </w:rPr>
        <w:t xml:space="preserve">random effect model </w:t>
      </w:r>
      <w:r w:rsidRPr="004A0F49">
        <w:rPr>
          <w:color w:val="000000"/>
        </w:rPr>
        <w:t xml:space="preserve">for </w:t>
      </w:r>
      <w:r>
        <w:rPr>
          <w:color w:val="000000"/>
        </w:rPr>
        <w:t>both China and U.S</w:t>
      </w:r>
      <w:r>
        <w:rPr>
          <w:rFonts w:hint="eastAsia"/>
          <w:color w:val="000000"/>
        </w:rPr>
        <w:t>.</w:t>
      </w:r>
      <w:r>
        <w:rPr>
          <w:color w:val="000000"/>
        </w:rPr>
        <w:t xml:space="preserve"> sample firms.</w:t>
      </w:r>
    </w:p>
    <w:p w:rsidR="006F79BD" w:rsidRPr="006F79BD" w:rsidRDefault="006F79BD" w:rsidP="006F79BD">
      <w:pPr>
        <w:rPr>
          <w:rFonts w:cs="Times New Roman"/>
          <w:noProof/>
          <w:color w:val="FF0000"/>
        </w:rPr>
        <w:sectPr w:rsidR="006F79BD" w:rsidRPr="006F79BD">
          <w:pgSz w:w="12240" w:h="15840"/>
          <w:pgMar w:top="1440" w:right="1800" w:bottom="1440" w:left="1800" w:header="720" w:footer="720" w:gutter="0"/>
          <w:cols w:space="720"/>
          <w:docGrid w:linePitch="360"/>
        </w:sectPr>
      </w:pPr>
    </w:p>
    <w:p w:rsidR="00495247" w:rsidRPr="00495247" w:rsidRDefault="00495247" w:rsidP="00495247">
      <w:pPr>
        <w:pStyle w:val="Caption"/>
        <w:jc w:val="center"/>
      </w:pPr>
      <w:r w:rsidRPr="00495247">
        <w:rPr>
          <w:rFonts w:cs="Times New Roman"/>
          <w:szCs w:val="24"/>
        </w:rPr>
        <w:lastRenderedPageBreak/>
        <w:t xml:space="preserve">Table </w:t>
      </w:r>
      <w:r w:rsidR="00EF1EDC">
        <w:rPr>
          <w:rFonts w:cs="Times New Roman"/>
          <w:szCs w:val="24"/>
        </w:rPr>
        <w:fldChar w:fldCharType="begin"/>
      </w:r>
      <w:r w:rsidR="00280DE8">
        <w:rPr>
          <w:rFonts w:cs="Times New Roman"/>
          <w:szCs w:val="24"/>
        </w:rPr>
        <w:instrText xml:space="preserve"> STYLEREF 1 \s </w:instrText>
      </w:r>
      <w:r w:rsidR="00EF1EDC">
        <w:rPr>
          <w:rFonts w:cs="Times New Roman"/>
          <w:szCs w:val="24"/>
        </w:rPr>
        <w:fldChar w:fldCharType="separate"/>
      </w:r>
      <w:r w:rsidR="00280DE8">
        <w:rPr>
          <w:rFonts w:cs="Times New Roman"/>
          <w:noProof/>
          <w:szCs w:val="24"/>
        </w:rPr>
        <w:t>6</w:t>
      </w:r>
      <w:r w:rsidR="00EF1EDC">
        <w:rPr>
          <w:rFonts w:cs="Times New Roman"/>
          <w:szCs w:val="24"/>
        </w:rPr>
        <w:fldChar w:fldCharType="end"/>
      </w:r>
      <w:r w:rsidR="00280DE8">
        <w:rPr>
          <w:rFonts w:cs="Times New Roman"/>
          <w:szCs w:val="24"/>
        </w:rPr>
        <w:t>.</w:t>
      </w:r>
      <w:r w:rsidR="00EF1EDC">
        <w:rPr>
          <w:rFonts w:cs="Times New Roman"/>
          <w:szCs w:val="24"/>
        </w:rPr>
        <w:fldChar w:fldCharType="begin"/>
      </w:r>
      <w:r w:rsidR="00280DE8">
        <w:rPr>
          <w:rFonts w:cs="Times New Roman"/>
          <w:szCs w:val="24"/>
        </w:rPr>
        <w:instrText xml:space="preserve"> SEQ Table \* ARABIC \s 1 </w:instrText>
      </w:r>
      <w:r w:rsidR="00EF1EDC">
        <w:rPr>
          <w:rFonts w:cs="Times New Roman"/>
          <w:szCs w:val="24"/>
        </w:rPr>
        <w:fldChar w:fldCharType="separate"/>
      </w:r>
      <w:r w:rsidR="00280DE8">
        <w:rPr>
          <w:rFonts w:cs="Times New Roman"/>
          <w:noProof/>
          <w:szCs w:val="24"/>
        </w:rPr>
        <w:t>8</w:t>
      </w:r>
      <w:r w:rsidR="00EF1EDC">
        <w:rPr>
          <w:rFonts w:cs="Times New Roman"/>
          <w:szCs w:val="24"/>
        </w:rPr>
        <w:fldChar w:fldCharType="end"/>
      </w:r>
      <w:r w:rsidRPr="00495247">
        <w:rPr>
          <w:rFonts w:cs="Times New Roman"/>
          <w:szCs w:val="24"/>
        </w:rPr>
        <w:t>. Ordinary least squares regression (OLS) of China and U.S.</w:t>
      </w:r>
    </w:p>
    <w:tbl>
      <w:tblPr>
        <w:tblStyle w:val="TableGrid"/>
        <w:tblpPr w:leftFromText="180" w:rightFromText="180" w:vertAnchor="text" w:horzAnchor="margin" w:tblpXSpec="center" w:tblpY="124"/>
        <w:tblW w:w="0" w:type="auto"/>
        <w:tblLook w:val="04A0"/>
      </w:tblPr>
      <w:tblGrid>
        <w:gridCol w:w="2110"/>
        <w:gridCol w:w="1437"/>
        <w:gridCol w:w="1054"/>
        <w:gridCol w:w="1186"/>
        <w:gridCol w:w="1538"/>
        <w:gridCol w:w="1818"/>
        <w:gridCol w:w="1438"/>
        <w:gridCol w:w="1054"/>
        <w:gridCol w:w="1186"/>
        <w:gridCol w:w="1507"/>
      </w:tblGrid>
      <w:tr w:rsidR="00495247" w:rsidTr="00495247">
        <w:trPr>
          <w:trHeight w:hRule="exact" w:val="432"/>
        </w:trPr>
        <w:tc>
          <w:tcPr>
            <w:tcW w:w="0" w:type="auto"/>
            <w:gridSpan w:val="5"/>
          </w:tcPr>
          <w:p w:rsidR="00495247" w:rsidRPr="00982A51" w:rsidRDefault="00495247" w:rsidP="00495247">
            <w:pPr>
              <w:autoSpaceDE w:val="0"/>
              <w:autoSpaceDN w:val="0"/>
              <w:adjustRightInd w:val="0"/>
              <w:ind w:right="10"/>
              <w:jc w:val="center"/>
              <w:rPr>
                <w:rFonts w:cs="Times New Roman"/>
                <w:b/>
                <w:color w:val="000000"/>
                <w:szCs w:val="24"/>
              </w:rPr>
            </w:pPr>
            <w:r w:rsidRPr="00982A51">
              <w:rPr>
                <w:rFonts w:cs="Times New Roman"/>
                <w:b/>
                <w:color w:val="000000"/>
                <w:szCs w:val="24"/>
              </w:rPr>
              <w:t>China</w:t>
            </w:r>
          </w:p>
        </w:tc>
        <w:tc>
          <w:tcPr>
            <w:tcW w:w="0" w:type="auto"/>
            <w:gridSpan w:val="5"/>
          </w:tcPr>
          <w:p w:rsidR="00495247" w:rsidRPr="00982A51" w:rsidRDefault="00495247" w:rsidP="00495247">
            <w:pPr>
              <w:autoSpaceDE w:val="0"/>
              <w:autoSpaceDN w:val="0"/>
              <w:adjustRightInd w:val="0"/>
              <w:ind w:right="10"/>
              <w:jc w:val="center"/>
              <w:rPr>
                <w:rFonts w:cs="Times New Roman"/>
                <w:b/>
                <w:color w:val="000000"/>
                <w:szCs w:val="24"/>
              </w:rPr>
            </w:pPr>
            <w:r w:rsidRPr="00982A51">
              <w:rPr>
                <w:rFonts w:cs="Times New Roman"/>
                <w:b/>
                <w:color w:val="000000"/>
                <w:szCs w:val="24"/>
              </w:rPr>
              <w:t>U.S</w:t>
            </w:r>
            <w:r>
              <w:rPr>
                <w:rFonts w:cs="Times New Roman"/>
                <w:b/>
                <w:color w:val="000000"/>
                <w:szCs w:val="24"/>
              </w:rPr>
              <w:t>.</w:t>
            </w:r>
          </w:p>
        </w:tc>
      </w:tr>
      <w:tr w:rsidR="00495247" w:rsidTr="00495247">
        <w:trPr>
          <w:trHeight w:hRule="exact" w:val="432"/>
        </w:trPr>
        <w:tc>
          <w:tcPr>
            <w:tcW w:w="0" w:type="auto"/>
          </w:tcPr>
          <w:p w:rsidR="00495247" w:rsidRPr="00663DD8" w:rsidRDefault="00495247" w:rsidP="00495247">
            <w:pPr>
              <w:jc w:val="left"/>
              <w:rPr>
                <w:rFonts w:cs="Times New Roman"/>
              </w:rPr>
            </w:pPr>
            <w:r w:rsidRPr="00663DD8">
              <w:rPr>
                <w:rFonts w:cs="Times New Roman"/>
                <w:color w:val="000000"/>
                <w:sz w:val="18"/>
                <w:szCs w:val="18"/>
              </w:rPr>
              <w:t>Variable</w:t>
            </w:r>
          </w:p>
        </w:tc>
        <w:tc>
          <w:tcPr>
            <w:tcW w:w="0" w:type="auto"/>
          </w:tcPr>
          <w:p w:rsidR="00495247" w:rsidRPr="00663DD8" w:rsidRDefault="00495247" w:rsidP="00495247">
            <w:pPr>
              <w:autoSpaceDE w:val="0"/>
              <w:autoSpaceDN w:val="0"/>
              <w:adjustRightInd w:val="0"/>
              <w:ind w:right="10"/>
              <w:jc w:val="center"/>
              <w:rPr>
                <w:rFonts w:cs="Times New Roman"/>
                <w:color w:val="000000"/>
                <w:sz w:val="18"/>
                <w:szCs w:val="18"/>
              </w:rPr>
            </w:pPr>
            <w:r w:rsidRPr="00663DD8">
              <w:rPr>
                <w:rFonts w:cs="Times New Roman"/>
                <w:color w:val="000000"/>
                <w:sz w:val="18"/>
                <w:szCs w:val="18"/>
              </w:rPr>
              <w:t>Coefficient</w:t>
            </w:r>
          </w:p>
        </w:tc>
        <w:tc>
          <w:tcPr>
            <w:tcW w:w="0" w:type="auto"/>
          </w:tcPr>
          <w:p w:rsidR="00495247" w:rsidRPr="00663DD8" w:rsidRDefault="00495247" w:rsidP="00495247">
            <w:pPr>
              <w:autoSpaceDE w:val="0"/>
              <w:autoSpaceDN w:val="0"/>
              <w:adjustRightInd w:val="0"/>
              <w:ind w:right="10"/>
              <w:jc w:val="center"/>
              <w:rPr>
                <w:rFonts w:cs="Times New Roman"/>
                <w:color w:val="000000"/>
                <w:sz w:val="18"/>
                <w:szCs w:val="18"/>
              </w:rPr>
            </w:pPr>
            <w:r w:rsidRPr="00663DD8">
              <w:rPr>
                <w:rFonts w:cs="Times New Roman"/>
                <w:color w:val="000000"/>
                <w:sz w:val="18"/>
                <w:szCs w:val="18"/>
              </w:rPr>
              <w:t>Std. Error</w:t>
            </w:r>
          </w:p>
        </w:tc>
        <w:tc>
          <w:tcPr>
            <w:tcW w:w="0" w:type="auto"/>
          </w:tcPr>
          <w:p w:rsidR="00495247" w:rsidRPr="00663DD8" w:rsidRDefault="00495247" w:rsidP="00495247">
            <w:pPr>
              <w:autoSpaceDE w:val="0"/>
              <w:autoSpaceDN w:val="0"/>
              <w:adjustRightInd w:val="0"/>
              <w:ind w:right="10"/>
              <w:jc w:val="center"/>
              <w:rPr>
                <w:rFonts w:cs="Times New Roman"/>
                <w:color w:val="000000"/>
                <w:sz w:val="18"/>
                <w:szCs w:val="18"/>
              </w:rPr>
            </w:pPr>
            <w:r w:rsidRPr="00663DD8">
              <w:rPr>
                <w:rFonts w:cs="Times New Roman"/>
                <w:color w:val="000000"/>
                <w:sz w:val="18"/>
                <w:szCs w:val="18"/>
              </w:rPr>
              <w:t>t-Statistic</w:t>
            </w:r>
          </w:p>
        </w:tc>
        <w:tc>
          <w:tcPr>
            <w:tcW w:w="0" w:type="auto"/>
          </w:tcPr>
          <w:p w:rsidR="00495247" w:rsidRPr="00663DD8" w:rsidRDefault="00495247" w:rsidP="00495247">
            <w:pPr>
              <w:autoSpaceDE w:val="0"/>
              <w:autoSpaceDN w:val="0"/>
              <w:adjustRightInd w:val="0"/>
              <w:ind w:right="10"/>
              <w:jc w:val="center"/>
              <w:rPr>
                <w:rFonts w:cs="Times New Roman"/>
                <w:color w:val="000000"/>
                <w:sz w:val="18"/>
                <w:szCs w:val="18"/>
              </w:rPr>
            </w:pPr>
            <w:r w:rsidRPr="00663DD8">
              <w:rPr>
                <w:rFonts w:cs="Times New Roman"/>
                <w:color w:val="000000"/>
                <w:sz w:val="18"/>
                <w:szCs w:val="18"/>
              </w:rPr>
              <w:t>Prob.</w:t>
            </w:r>
          </w:p>
        </w:tc>
        <w:tc>
          <w:tcPr>
            <w:tcW w:w="0" w:type="auto"/>
          </w:tcPr>
          <w:p w:rsidR="00495247" w:rsidRPr="00663DD8" w:rsidRDefault="00495247" w:rsidP="00495247">
            <w:pPr>
              <w:jc w:val="left"/>
              <w:rPr>
                <w:rFonts w:cs="Times New Roman"/>
              </w:rPr>
            </w:pPr>
            <w:r w:rsidRPr="00663DD8">
              <w:rPr>
                <w:rFonts w:cs="Times New Roman"/>
                <w:color w:val="000000"/>
                <w:sz w:val="18"/>
                <w:szCs w:val="18"/>
              </w:rPr>
              <w:t>Variable</w:t>
            </w:r>
          </w:p>
        </w:tc>
        <w:tc>
          <w:tcPr>
            <w:tcW w:w="0" w:type="auto"/>
          </w:tcPr>
          <w:p w:rsidR="00495247" w:rsidRPr="00663DD8" w:rsidRDefault="00495247" w:rsidP="00495247">
            <w:pPr>
              <w:autoSpaceDE w:val="0"/>
              <w:autoSpaceDN w:val="0"/>
              <w:adjustRightInd w:val="0"/>
              <w:ind w:right="10"/>
              <w:jc w:val="center"/>
              <w:rPr>
                <w:rFonts w:cs="Times New Roman"/>
                <w:color w:val="000000"/>
                <w:sz w:val="18"/>
                <w:szCs w:val="18"/>
              </w:rPr>
            </w:pPr>
            <w:r w:rsidRPr="00663DD8">
              <w:rPr>
                <w:rFonts w:cs="Times New Roman"/>
                <w:color w:val="000000"/>
                <w:sz w:val="18"/>
                <w:szCs w:val="18"/>
              </w:rPr>
              <w:t>Coefficient</w:t>
            </w:r>
          </w:p>
        </w:tc>
        <w:tc>
          <w:tcPr>
            <w:tcW w:w="0" w:type="auto"/>
          </w:tcPr>
          <w:p w:rsidR="00495247" w:rsidRPr="00663DD8" w:rsidRDefault="00495247" w:rsidP="00495247">
            <w:pPr>
              <w:autoSpaceDE w:val="0"/>
              <w:autoSpaceDN w:val="0"/>
              <w:adjustRightInd w:val="0"/>
              <w:ind w:right="10"/>
              <w:jc w:val="center"/>
              <w:rPr>
                <w:rFonts w:cs="Times New Roman"/>
                <w:color w:val="000000"/>
                <w:sz w:val="18"/>
                <w:szCs w:val="18"/>
              </w:rPr>
            </w:pPr>
            <w:r w:rsidRPr="00663DD8">
              <w:rPr>
                <w:rFonts w:cs="Times New Roman"/>
                <w:color w:val="000000"/>
                <w:sz w:val="18"/>
                <w:szCs w:val="18"/>
              </w:rPr>
              <w:t>Std. Error</w:t>
            </w:r>
          </w:p>
        </w:tc>
        <w:tc>
          <w:tcPr>
            <w:tcW w:w="0" w:type="auto"/>
          </w:tcPr>
          <w:p w:rsidR="00495247" w:rsidRPr="00663DD8" w:rsidRDefault="00495247" w:rsidP="00495247">
            <w:pPr>
              <w:autoSpaceDE w:val="0"/>
              <w:autoSpaceDN w:val="0"/>
              <w:adjustRightInd w:val="0"/>
              <w:ind w:right="10"/>
              <w:jc w:val="center"/>
              <w:rPr>
                <w:rFonts w:cs="Times New Roman"/>
                <w:color w:val="000000"/>
                <w:sz w:val="18"/>
                <w:szCs w:val="18"/>
              </w:rPr>
            </w:pPr>
            <w:r w:rsidRPr="00663DD8">
              <w:rPr>
                <w:rFonts w:cs="Times New Roman"/>
                <w:color w:val="000000"/>
                <w:sz w:val="18"/>
                <w:szCs w:val="18"/>
              </w:rPr>
              <w:t>t-Statistic</w:t>
            </w:r>
          </w:p>
        </w:tc>
        <w:tc>
          <w:tcPr>
            <w:tcW w:w="0" w:type="auto"/>
          </w:tcPr>
          <w:p w:rsidR="00495247" w:rsidRPr="00663DD8" w:rsidRDefault="00495247" w:rsidP="00495247">
            <w:pPr>
              <w:autoSpaceDE w:val="0"/>
              <w:autoSpaceDN w:val="0"/>
              <w:adjustRightInd w:val="0"/>
              <w:ind w:right="10"/>
              <w:jc w:val="center"/>
              <w:rPr>
                <w:rFonts w:cs="Times New Roman"/>
                <w:color w:val="000000"/>
                <w:sz w:val="18"/>
                <w:szCs w:val="18"/>
              </w:rPr>
            </w:pPr>
            <w:r w:rsidRPr="00663DD8">
              <w:rPr>
                <w:rFonts w:cs="Times New Roman"/>
                <w:color w:val="000000"/>
                <w:sz w:val="18"/>
                <w:szCs w:val="18"/>
              </w:rPr>
              <w:t>Prob.</w:t>
            </w:r>
          </w:p>
        </w:tc>
      </w:tr>
      <w:tr w:rsidR="00495247" w:rsidTr="00495247">
        <w:trPr>
          <w:trHeight w:hRule="exact" w:val="432"/>
        </w:trPr>
        <w:tc>
          <w:tcPr>
            <w:tcW w:w="0" w:type="auto"/>
          </w:tcPr>
          <w:p w:rsidR="00495247" w:rsidRPr="00663DD8" w:rsidRDefault="00495247" w:rsidP="00E02AB1">
            <w:pPr>
              <w:rPr>
                <w:rFonts w:cs="Times New Roman"/>
                <w:sz w:val="18"/>
                <w:szCs w:val="18"/>
              </w:rPr>
            </w:pPr>
            <w:r w:rsidRPr="00663DD8">
              <w:rPr>
                <w:rFonts w:cs="Times New Roman"/>
                <w:color w:val="000000"/>
                <w:sz w:val="18"/>
                <w:szCs w:val="18"/>
              </w:rPr>
              <w:t>Constant</w:t>
            </w:r>
          </w:p>
        </w:tc>
        <w:tc>
          <w:tcPr>
            <w:tcW w:w="0" w:type="auto"/>
            <w:vAlign w:val="center"/>
          </w:tcPr>
          <w:p w:rsidR="00495247" w:rsidRPr="004E62ED" w:rsidRDefault="00495247" w:rsidP="00E02AB1">
            <w:pPr>
              <w:jc w:val="center"/>
              <w:rPr>
                <w:rFonts w:cs="Times New Roman"/>
                <w:color w:val="000000"/>
                <w:sz w:val="18"/>
                <w:szCs w:val="18"/>
              </w:rPr>
            </w:pPr>
            <w:r w:rsidRPr="004E62ED">
              <w:rPr>
                <w:rFonts w:cs="Times New Roman"/>
                <w:color w:val="000000"/>
                <w:sz w:val="18"/>
                <w:szCs w:val="18"/>
              </w:rPr>
              <w:t>3.790</w:t>
            </w:r>
          </w:p>
        </w:tc>
        <w:tc>
          <w:tcPr>
            <w:tcW w:w="0" w:type="auto"/>
            <w:vAlign w:val="center"/>
          </w:tcPr>
          <w:p w:rsidR="00495247" w:rsidRPr="004E62ED" w:rsidRDefault="0096148F" w:rsidP="00E02AB1">
            <w:pPr>
              <w:jc w:val="center"/>
              <w:rPr>
                <w:rFonts w:cs="Times New Roman"/>
                <w:color w:val="000000"/>
                <w:sz w:val="18"/>
                <w:szCs w:val="18"/>
              </w:rPr>
            </w:pPr>
            <w:r>
              <w:rPr>
                <w:rFonts w:cs="Times New Roman"/>
                <w:color w:val="000000"/>
                <w:sz w:val="18"/>
                <w:szCs w:val="18"/>
              </w:rPr>
              <w:t>0</w:t>
            </w:r>
            <w:r w:rsidR="00495247" w:rsidRPr="004E62ED">
              <w:rPr>
                <w:rFonts w:cs="Times New Roman"/>
                <w:color w:val="000000"/>
                <w:sz w:val="18"/>
                <w:szCs w:val="18"/>
              </w:rPr>
              <w:t>.439</w:t>
            </w:r>
          </w:p>
        </w:tc>
        <w:tc>
          <w:tcPr>
            <w:tcW w:w="0" w:type="auto"/>
            <w:vAlign w:val="center"/>
          </w:tcPr>
          <w:p w:rsidR="00495247" w:rsidRPr="004E62ED" w:rsidRDefault="00495247" w:rsidP="00E02AB1">
            <w:pPr>
              <w:jc w:val="center"/>
              <w:rPr>
                <w:rFonts w:cs="Times New Roman"/>
                <w:color w:val="000000"/>
                <w:sz w:val="18"/>
                <w:szCs w:val="18"/>
              </w:rPr>
            </w:pPr>
            <w:r w:rsidRPr="004E62ED">
              <w:rPr>
                <w:rFonts w:cs="Times New Roman"/>
                <w:color w:val="000000"/>
                <w:sz w:val="18"/>
                <w:szCs w:val="18"/>
              </w:rPr>
              <w:t>8.627</w:t>
            </w:r>
          </w:p>
        </w:tc>
        <w:tc>
          <w:tcPr>
            <w:tcW w:w="0" w:type="auto"/>
            <w:vAlign w:val="center"/>
          </w:tcPr>
          <w:p w:rsidR="00495247" w:rsidRPr="00912188" w:rsidRDefault="0096148F" w:rsidP="00E02AB1">
            <w:pPr>
              <w:autoSpaceDE w:val="0"/>
              <w:autoSpaceDN w:val="0"/>
              <w:adjustRightInd w:val="0"/>
              <w:spacing w:line="320" w:lineRule="atLeast"/>
              <w:ind w:left="60" w:right="60"/>
              <w:jc w:val="center"/>
              <w:rPr>
                <w:rFonts w:cs="Times New Roman"/>
                <w:b/>
                <w:color w:val="000000"/>
                <w:sz w:val="20"/>
                <w:szCs w:val="20"/>
              </w:rPr>
            </w:pPr>
            <w:r w:rsidRPr="00912188">
              <w:rPr>
                <w:rFonts w:cs="Times New Roman"/>
                <w:b/>
                <w:color w:val="000000"/>
                <w:sz w:val="20"/>
                <w:szCs w:val="20"/>
              </w:rPr>
              <w:t>0</w:t>
            </w:r>
            <w:r w:rsidR="00495247" w:rsidRPr="00912188">
              <w:rPr>
                <w:rFonts w:cs="Times New Roman"/>
                <w:b/>
                <w:color w:val="000000"/>
                <w:sz w:val="20"/>
                <w:szCs w:val="20"/>
              </w:rPr>
              <w:t>.000***</w:t>
            </w:r>
          </w:p>
        </w:tc>
        <w:tc>
          <w:tcPr>
            <w:tcW w:w="0" w:type="auto"/>
          </w:tcPr>
          <w:p w:rsidR="00495247" w:rsidRPr="00663DD8" w:rsidRDefault="00495247" w:rsidP="00E02AB1">
            <w:pPr>
              <w:rPr>
                <w:rFonts w:cs="Times New Roman"/>
                <w:sz w:val="18"/>
                <w:szCs w:val="18"/>
              </w:rPr>
            </w:pPr>
            <w:r w:rsidRPr="00663DD8">
              <w:rPr>
                <w:rFonts w:cs="Times New Roman"/>
                <w:color w:val="000000"/>
                <w:sz w:val="18"/>
                <w:szCs w:val="18"/>
              </w:rPr>
              <w:t>Constant</w:t>
            </w:r>
          </w:p>
        </w:tc>
        <w:tc>
          <w:tcPr>
            <w:tcW w:w="0" w:type="auto"/>
            <w:vAlign w:val="center"/>
          </w:tcPr>
          <w:p w:rsidR="00495247" w:rsidRPr="004E62ED" w:rsidRDefault="0096148F" w:rsidP="00E02AB1">
            <w:pPr>
              <w:jc w:val="center"/>
              <w:rPr>
                <w:rFonts w:cs="Times New Roman"/>
                <w:color w:val="000000"/>
                <w:sz w:val="18"/>
                <w:szCs w:val="18"/>
              </w:rPr>
            </w:pPr>
            <w:r>
              <w:rPr>
                <w:rFonts w:cs="Times New Roman"/>
                <w:color w:val="000000"/>
                <w:sz w:val="18"/>
                <w:szCs w:val="18"/>
              </w:rPr>
              <w:t>0</w:t>
            </w:r>
            <w:r w:rsidR="00495247" w:rsidRPr="004E62ED">
              <w:rPr>
                <w:rFonts w:cs="Times New Roman"/>
                <w:color w:val="000000"/>
                <w:sz w:val="18"/>
                <w:szCs w:val="18"/>
              </w:rPr>
              <w:t>.086</w:t>
            </w:r>
          </w:p>
        </w:tc>
        <w:tc>
          <w:tcPr>
            <w:tcW w:w="0" w:type="auto"/>
            <w:vAlign w:val="center"/>
          </w:tcPr>
          <w:p w:rsidR="00495247" w:rsidRPr="004E62ED" w:rsidRDefault="0096148F" w:rsidP="00E02AB1">
            <w:pPr>
              <w:jc w:val="center"/>
              <w:rPr>
                <w:rFonts w:cs="Times New Roman"/>
                <w:color w:val="000000"/>
                <w:sz w:val="18"/>
                <w:szCs w:val="18"/>
              </w:rPr>
            </w:pPr>
            <w:r>
              <w:rPr>
                <w:rFonts w:cs="Times New Roman"/>
                <w:color w:val="000000"/>
                <w:sz w:val="18"/>
                <w:szCs w:val="18"/>
              </w:rPr>
              <w:t>0</w:t>
            </w:r>
            <w:r w:rsidR="00495247" w:rsidRPr="004E62ED">
              <w:rPr>
                <w:rFonts w:cs="Times New Roman"/>
                <w:color w:val="000000"/>
                <w:sz w:val="18"/>
                <w:szCs w:val="18"/>
              </w:rPr>
              <w:t>.008</w:t>
            </w:r>
          </w:p>
        </w:tc>
        <w:tc>
          <w:tcPr>
            <w:tcW w:w="0" w:type="auto"/>
            <w:vAlign w:val="center"/>
          </w:tcPr>
          <w:p w:rsidR="00495247" w:rsidRPr="004E62ED" w:rsidRDefault="00495247" w:rsidP="00E02AB1">
            <w:pPr>
              <w:jc w:val="center"/>
              <w:rPr>
                <w:rFonts w:cs="Times New Roman"/>
                <w:color w:val="000000"/>
                <w:sz w:val="18"/>
                <w:szCs w:val="18"/>
              </w:rPr>
            </w:pPr>
            <w:r w:rsidRPr="004E62ED">
              <w:rPr>
                <w:rFonts w:cs="Times New Roman"/>
                <w:color w:val="000000"/>
                <w:sz w:val="18"/>
                <w:szCs w:val="18"/>
              </w:rPr>
              <w:t>10.430</w:t>
            </w:r>
          </w:p>
        </w:tc>
        <w:tc>
          <w:tcPr>
            <w:tcW w:w="0" w:type="auto"/>
            <w:vAlign w:val="center"/>
          </w:tcPr>
          <w:p w:rsidR="00495247" w:rsidRPr="00912188" w:rsidRDefault="0096148F" w:rsidP="00E02AB1">
            <w:pPr>
              <w:autoSpaceDE w:val="0"/>
              <w:autoSpaceDN w:val="0"/>
              <w:adjustRightInd w:val="0"/>
              <w:spacing w:line="320" w:lineRule="atLeast"/>
              <w:ind w:left="60" w:right="60"/>
              <w:jc w:val="center"/>
              <w:rPr>
                <w:rFonts w:cs="Times New Roman"/>
                <w:b/>
                <w:color w:val="000000"/>
                <w:sz w:val="20"/>
                <w:szCs w:val="20"/>
              </w:rPr>
            </w:pPr>
            <w:r w:rsidRPr="00912188">
              <w:rPr>
                <w:rFonts w:cs="Times New Roman"/>
                <w:b/>
                <w:color w:val="000000"/>
                <w:sz w:val="20"/>
                <w:szCs w:val="20"/>
              </w:rPr>
              <w:t>0</w:t>
            </w:r>
            <w:r w:rsidR="00495247" w:rsidRPr="00912188">
              <w:rPr>
                <w:rFonts w:cs="Times New Roman"/>
                <w:b/>
                <w:color w:val="000000"/>
                <w:sz w:val="20"/>
                <w:szCs w:val="20"/>
              </w:rPr>
              <w:t>.000***</w:t>
            </w:r>
          </w:p>
        </w:tc>
      </w:tr>
      <w:tr w:rsidR="00136390" w:rsidTr="00495247">
        <w:trPr>
          <w:trHeight w:hRule="exact" w:val="432"/>
        </w:trPr>
        <w:tc>
          <w:tcPr>
            <w:tcW w:w="0" w:type="auto"/>
            <w:vAlign w:val="center"/>
          </w:tcPr>
          <w:p w:rsidR="00136390" w:rsidRPr="00AD6F97" w:rsidRDefault="00136390" w:rsidP="009977C2">
            <w:pPr>
              <w:spacing w:line="240" w:lineRule="auto"/>
              <w:rPr>
                <w:rFonts w:ascii="Cambria Math" w:hAnsi="Cambria Math" w:cs="Times New Roman"/>
                <w:b/>
                <w:i/>
                <w:sz w:val="20"/>
                <w:szCs w:val="20"/>
              </w:rPr>
            </w:pPr>
            <w:r w:rsidRPr="00AD6F97">
              <w:rPr>
                <w:rFonts w:ascii="Cambria Math" w:hAnsi="Cambria Math" w:cs="Times New Roman"/>
                <w:b/>
                <w:i/>
                <w:sz w:val="20"/>
                <w:szCs w:val="20"/>
              </w:rPr>
              <w:t>BS</w:t>
            </w:r>
            <w:r w:rsidRPr="00AD6F97">
              <w:rPr>
                <w:rFonts w:ascii="Cambria Math" w:hAnsi="Cambria Math" w:cs="Times New Roman"/>
                <w:i/>
                <w:sz w:val="20"/>
                <w:szCs w:val="20"/>
                <w:vertAlign w:val="subscript"/>
              </w:rPr>
              <w:t>i,t</w:t>
            </w:r>
          </w:p>
        </w:tc>
        <w:tc>
          <w:tcPr>
            <w:tcW w:w="0" w:type="auto"/>
            <w:vAlign w:val="center"/>
          </w:tcPr>
          <w:p w:rsidR="00136390" w:rsidRPr="004E62ED" w:rsidRDefault="00136390" w:rsidP="00E02AB1">
            <w:pPr>
              <w:jc w:val="center"/>
              <w:rPr>
                <w:rFonts w:cs="Times New Roman"/>
                <w:color w:val="000000"/>
                <w:sz w:val="18"/>
                <w:szCs w:val="18"/>
              </w:rPr>
            </w:pPr>
            <w:r w:rsidRPr="004E62ED">
              <w:rPr>
                <w:rFonts w:cs="Times New Roman"/>
                <w:color w:val="000000"/>
                <w:sz w:val="18"/>
                <w:szCs w:val="18"/>
              </w:rPr>
              <w:t>-</w:t>
            </w:r>
            <w:r w:rsidR="0096148F">
              <w:rPr>
                <w:rFonts w:cs="Times New Roman"/>
                <w:color w:val="000000"/>
                <w:sz w:val="18"/>
                <w:szCs w:val="18"/>
              </w:rPr>
              <w:t>0</w:t>
            </w:r>
            <w:r w:rsidRPr="004E62ED">
              <w:rPr>
                <w:rFonts w:cs="Times New Roman"/>
                <w:color w:val="000000"/>
                <w:sz w:val="18"/>
                <w:szCs w:val="18"/>
              </w:rPr>
              <w:t>.027</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.013</w:t>
            </w:r>
          </w:p>
        </w:tc>
        <w:tc>
          <w:tcPr>
            <w:tcW w:w="0" w:type="auto"/>
            <w:vAlign w:val="center"/>
          </w:tcPr>
          <w:p w:rsidR="00136390" w:rsidRPr="004E62ED" w:rsidRDefault="00136390" w:rsidP="00E02AB1">
            <w:pPr>
              <w:jc w:val="center"/>
              <w:rPr>
                <w:rFonts w:cs="Times New Roman"/>
                <w:color w:val="000000"/>
                <w:sz w:val="18"/>
                <w:szCs w:val="18"/>
              </w:rPr>
            </w:pPr>
            <w:r w:rsidRPr="004E62ED">
              <w:rPr>
                <w:rFonts w:cs="Times New Roman"/>
                <w:color w:val="000000"/>
                <w:sz w:val="18"/>
                <w:szCs w:val="18"/>
              </w:rPr>
              <w:t>-2.062</w:t>
            </w:r>
          </w:p>
        </w:tc>
        <w:tc>
          <w:tcPr>
            <w:tcW w:w="0" w:type="auto"/>
            <w:vAlign w:val="center"/>
          </w:tcPr>
          <w:p w:rsidR="00136390" w:rsidRPr="00912188" w:rsidRDefault="0096148F" w:rsidP="00E02AB1">
            <w:pPr>
              <w:autoSpaceDE w:val="0"/>
              <w:autoSpaceDN w:val="0"/>
              <w:adjustRightInd w:val="0"/>
              <w:spacing w:line="320" w:lineRule="atLeast"/>
              <w:ind w:left="60" w:right="60"/>
              <w:jc w:val="center"/>
              <w:rPr>
                <w:rFonts w:cs="Times New Roman"/>
                <w:b/>
                <w:color w:val="000000"/>
                <w:sz w:val="20"/>
                <w:szCs w:val="20"/>
              </w:rPr>
            </w:pPr>
            <w:r w:rsidRPr="00912188">
              <w:rPr>
                <w:rFonts w:cs="Times New Roman"/>
                <w:b/>
                <w:color w:val="000000"/>
                <w:sz w:val="20"/>
                <w:szCs w:val="20"/>
              </w:rPr>
              <w:t>0</w:t>
            </w:r>
            <w:r w:rsidR="00136390" w:rsidRPr="00912188">
              <w:rPr>
                <w:rFonts w:cs="Times New Roman"/>
                <w:b/>
                <w:color w:val="000000"/>
                <w:sz w:val="20"/>
                <w:szCs w:val="20"/>
              </w:rPr>
              <w:t>.039**</w:t>
            </w:r>
          </w:p>
        </w:tc>
        <w:tc>
          <w:tcPr>
            <w:tcW w:w="0" w:type="auto"/>
            <w:vAlign w:val="center"/>
          </w:tcPr>
          <w:p w:rsidR="00136390" w:rsidRPr="00AD6F97" w:rsidRDefault="00136390" w:rsidP="009977C2">
            <w:pPr>
              <w:spacing w:line="240" w:lineRule="auto"/>
              <w:rPr>
                <w:rFonts w:ascii="Cambria Math" w:hAnsi="Cambria Math" w:cs="Times New Roman"/>
                <w:b/>
                <w:sz w:val="20"/>
                <w:szCs w:val="20"/>
              </w:rPr>
            </w:pPr>
            <w:r w:rsidRPr="00136390">
              <w:rPr>
                <w:rFonts w:ascii="Cambria Math" w:hAnsi="Cambria Math" w:cs="Times New Roman"/>
                <w:b/>
                <w:i/>
                <w:sz w:val="20"/>
                <w:szCs w:val="20"/>
              </w:rPr>
              <w:t>EDS</w:t>
            </w:r>
            <w:r w:rsidRPr="00136390">
              <w:rPr>
                <w:rFonts w:ascii="Cambria Math" w:hAnsi="Cambria Math" w:cs="Times New Roman"/>
                <w:i/>
                <w:sz w:val="20"/>
                <w:szCs w:val="20"/>
                <w:vertAlign w:val="subscript"/>
              </w:rPr>
              <w:t>i,t</w:t>
            </w:r>
          </w:p>
        </w:tc>
        <w:tc>
          <w:tcPr>
            <w:tcW w:w="0" w:type="auto"/>
            <w:vAlign w:val="center"/>
          </w:tcPr>
          <w:p w:rsidR="00136390" w:rsidRPr="004E62ED" w:rsidRDefault="00136390" w:rsidP="00E02AB1">
            <w:pPr>
              <w:jc w:val="center"/>
              <w:rPr>
                <w:rFonts w:cs="Times New Roman"/>
                <w:color w:val="000000"/>
                <w:sz w:val="18"/>
                <w:szCs w:val="18"/>
              </w:rPr>
            </w:pPr>
            <w:r w:rsidRPr="004E62ED">
              <w:rPr>
                <w:rFonts w:cs="Times New Roman"/>
                <w:color w:val="000000"/>
                <w:sz w:val="18"/>
                <w:szCs w:val="18"/>
              </w:rPr>
              <w:t>-</w:t>
            </w:r>
            <w:r w:rsidR="0096148F">
              <w:rPr>
                <w:rFonts w:cs="Times New Roman"/>
                <w:color w:val="000000"/>
                <w:sz w:val="18"/>
                <w:szCs w:val="18"/>
              </w:rPr>
              <w:t>0</w:t>
            </w:r>
            <w:r w:rsidRPr="004E62ED">
              <w:rPr>
                <w:rFonts w:cs="Times New Roman"/>
                <w:color w:val="000000"/>
                <w:sz w:val="18"/>
                <w:szCs w:val="18"/>
              </w:rPr>
              <w:t>.002</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.001</w:t>
            </w:r>
          </w:p>
        </w:tc>
        <w:tc>
          <w:tcPr>
            <w:tcW w:w="0" w:type="auto"/>
            <w:vAlign w:val="center"/>
          </w:tcPr>
          <w:p w:rsidR="00136390" w:rsidRPr="004E62ED" w:rsidRDefault="00136390" w:rsidP="00E02AB1">
            <w:pPr>
              <w:jc w:val="center"/>
              <w:rPr>
                <w:rFonts w:cs="Times New Roman"/>
                <w:color w:val="000000"/>
                <w:sz w:val="18"/>
                <w:szCs w:val="18"/>
              </w:rPr>
            </w:pPr>
            <w:r w:rsidRPr="004E62ED">
              <w:rPr>
                <w:rFonts w:cs="Times New Roman"/>
                <w:color w:val="000000"/>
                <w:sz w:val="18"/>
                <w:szCs w:val="18"/>
              </w:rPr>
              <w:t>-1.713</w:t>
            </w:r>
          </w:p>
        </w:tc>
        <w:tc>
          <w:tcPr>
            <w:tcW w:w="0" w:type="auto"/>
            <w:vAlign w:val="center"/>
          </w:tcPr>
          <w:p w:rsidR="00136390" w:rsidRPr="00912188" w:rsidRDefault="00A33A3B" w:rsidP="00A33A3B">
            <w:pPr>
              <w:autoSpaceDE w:val="0"/>
              <w:autoSpaceDN w:val="0"/>
              <w:adjustRightInd w:val="0"/>
              <w:spacing w:line="320" w:lineRule="atLeast"/>
              <w:ind w:left="60" w:right="60"/>
              <w:rPr>
                <w:rFonts w:cs="Times New Roman"/>
                <w:b/>
                <w:color w:val="000000"/>
                <w:sz w:val="20"/>
                <w:szCs w:val="20"/>
              </w:rPr>
            </w:pPr>
            <w:r>
              <w:rPr>
                <w:rFonts w:cs="Times New Roman"/>
                <w:b/>
                <w:color w:val="000000"/>
                <w:sz w:val="20"/>
                <w:szCs w:val="20"/>
              </w:rPr>
              <w:t xml:space="preserve">    </w:t>
            </w:r>
            <w:r w:rsidR="0096148F" w:rsidRPr="00912188">
              <w:rPr>
                <w:rFonts w:cs="Times New Roman"/>
                <w:b/>
                <w:color w:val="000000"/>
                <w:sz w:val="20"/>
                <w:szCs w:val="20"/>
              </w:rPr>
              <w:t>0</w:t>
            </w:r>
            <w:r w:rsidR="00136390" w:rsidRPr="00912188">
              <w:rPr>
                <w:rFonts w:cs="Times New Roman"/>
                <w:b/>
                <w:color w:val="000000"/>
                <w:sz w:val="20"/>
                <w:szCs w:val="20"/>
              </w:rPr>
              <w:t>.087*</w:t>
            </w:r>
          </w:p>
        </w:tc>
      </w:tr>
      <w:tr w:rsidR="00136390" w:rsidTr="00495247">
        <w:trPr>
          <w:trHeight w:hRule="exact" w:val="432"/>
        </w:trPr>
        <w:tc>
          <w:tcPr>
            <w:tcW w:w="0" w:type="auto"/>
            <w:vAlign w:val="center"/>
          </w:tcPr>
          <w:p w:rsidR="00136390" w:rsidRPr="00AD6F97" w:rsidRDefault="00136390" w:rsidP="009977C2">
            <w:pPr>
              <w:spacing w:line="240" w:lineRule="auto"/>
              <w:rPr>
                <w:rFonts w:ascii="Cambria Math" w:hAnsi="Cambria Math" w:cs="Times New Roman"/>
                <w:sz w:val="20"/>
                <w:szCs w:val="20"/>
              </w:rPr>
            </w:pPr>
            <w:r w:rsidRPr="00AD6F97">
              <w:rPr>
                <w:rFonts w:ascii="Cambria Math" w:hAnsi="Cambria Math" w:cs="Times New Roman"/>
                <w:sz w:val="20"/>
                <w:szCs w:val="20"/>
              </w:rPr>
              <w:t>BI</w:t>
            </w:r>
            <w:r w:rsidRPr="00AD6F97">
              <w:rPr>
                <w:rFonts w:ascii="Cambria Math" w:hAnsi="Cambria Math" w:cs="Times New Roman"/>
                <w:i/>
                <w:sz w:val="20"/>
                <w:szCs w:val="20"/>
                <w:vertAlign w:val="subscript"/>
              </w:rPr>
              <w:t>i,t</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.492</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.450</w:t>
            </w:r>
          </w:p>
        </w:tc>
        <w:tc>
          <w:tcPr>
            <w:tcW w:w="0" w:type="auto"/>
            <w:vAlign w:val="center"/>
          </w:tcPr>
          <w:p w:rsidR="00136390" w:rsidRPr="004E62ED" w:rsidRDefault="00136390" w:rsidP="00E02AB1">
            <w:pPr>
              <w:jc w:val="center"/>
              <w:rPr>
                <w:rFonts w:cs="Times New Roman"/>
                <w:color w:val="000000"/>
                <w:sz w:val="18"/>
                <w:szCs w:val="18"/>
              </w:rPr>
            </w:pPr>
            <w:r w:rsidRPr="004E62ED">
              <w:rPr>
                <w:rFonts w:cs="Times New Roman"/>
                <w:color w:val="000000"/>
                <w:sz w:val="18"/>
                <w:szCs w:val="18"/>
              </w:rPr>
              <w:t>1.094</w:t>
            </w:r>
          </w:p>
        </w:tc>
        <w:tc>
          <w:tcPr>
            <w:tcW w:w="0" w:type="auto"/>
            <w:vAlign w:val="center"/>
          </w:tcPr>
          <w:p w:rsidR="00136390" w:rsidRPr="00912188" w:rsidRDefault="00864160" w:rsidP="00864160">
            <w:pPr>
              <w:autoSpaceDE w:val="0"/>
              <w:autoSpaceDN w:val="0"/>
              <w:adjustRightInd w:val="0"/>
              <w:spacing w:line="320" w:lineRule="atLeast"/>
              <w:ind w:left="60" w:right="60"/>
              <w:rPr>
                <w:rFonts w:cs="Times New Roman"/>
                <w:b/>
                <w:color w:val="000000"/>
                <w:sz w:val="20"/>
                <w:szCs w:val="20"/>
              </w:rPr>
            </w:pPr>
            <w:r>
              <w:rPr>
                <w:rFonts w:cs="Times New Roman"/>
                <w:b/>
                <w:color w:val="000000"/>
                <w:sz w:val="20"/>
                <w:szCs w:val="20"/>
              </w:rPr>
              <w:t xml:space="preserve">     </w:t>
            </w:r>
            <w:r w:rsidR="0096148F" w:rsidRPr="00912188">
              <w:rPr>
                <w:rFonts w:cs="Times New Roman"/>
                <w:b/>
                <w:color w:val="000000"/>
                <w:sz w:val="20"/>
                <w:szCs w:val="20"/>
              </w:rPr>
              <w:t>0</w:t>
            </w:r>
            <w:r w:rsidR="00136390" w:rsidRPr="00912188">
              <w:rPr>
                <w:rFonts w:cs="Times New Roman"/>
                <w:b/>
                <w:color w:val="000000"/>
                <w:sz w:val="20"/>
                <w:szCs w:val="20"/>
              </w:rPr>
              <w:t>.274</w:t>
            </w:r>
          </w:p>
        </w:tc>
        <w:tc>
          <w:tcPr>
            <w:tcW w:w="0" w:type="auto"/>
            <w:vAlign w:val="center"/>
          </w:tcPr>
          <w:p w:rsidR="00136390" w:rsidRPr="00AD6F97" w:rsidRDefault="00136390" w:rsidP="009977C2">
            <w:pPr>
              <w:spacing w:line="240" w:lineRule="auto"/>
              <w:rPr>
                <w:rFonts w:ascii="Cambria Math" w:hAnsi="Cambria Math" w:cs="Times New Roman"/>
                <w:sz w:val="20"/>
                <w:szCs w:val="20"/>
              </w:rPr>
            </w:pPr>
            <w:r w:rsidRPr="00AD6F97">
              <w:rPr>
                <w:rFonts w:ascii="Cambria Math" w:hAnsi="Cambria Math" w:cs="Times New Roman"/>
                <w:sz w:val="20"/>
                <w:szCs w:val="20"/>
              </w:rPr>
              <w:t>BI</w:t>
            </w:r>
            <w:r w:rsidRPr="00AD6F97">
              <w:rPr>
                <w:rFonts w:ascii="Cambria Math" w:hAnsi="Cambria Math" w:cs="Times New Roman"/>
                <w:i/>
                <w:sz w:val="20"/>
                <w:szCs w:val="20"/>
                <w:vertAlign w:val="subscript"/>
              </w:rPr>
              <w:t>i,t</w:t>
            </w:r>
          </w:p>
        </w:tc>
        <w:tc>
          <w:tcPr>
            <w:tcW w:w="0" w:type="auto"/>
            <w:vAlign w:val="center"/>
          </w:tcPr>
          <w:p w:rsidR="00136390" w:rsidRPr="004E62ED" w:rsidRDefault="00797170"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.006</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.007</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.834</w:t>
            </w:r>
          </w:p>
        </w:tc>
        <w:tc>
          <w:tcPr>
            <w:tcW w:w="0" w:type="auto"/>
            <w:vAlign w:val="center"/>
          </w:tcPr>
          <w:p w:rsidR="00136390" w:rsidRPr="00912188" w:rsidRDefault="00A33A3B" w:rsidP="00A33A3B">
            <w:pPr>
              <w:autoSpaceDE w:val="0"/>
              <w:autoSpaceDN w:val="0"/>
              <w:adjustRightInd w:val="0"/>
              <w:spacing w:line="320" w:lineRule="atLeast"/>
              <w:ind w:left="60" w:right="60"/>
              <w:rPr>
                <w:rFonts w:cs="Times New Roman"/>
                <w:b/>
                <w:color w:val="000000"/>
                <w:sz w:val="20"/>
                <w:szCs w:val="20"/>
              </w:rPr>
            </w:pPr>
            <w:r>
              <w:rPr>
                <w:rFonts w:cs="Times New Roman"/>
                <w:b/>
                <w:color w:val="000000"/>
                <w:sz w:val="20"/>
                <w:szCs w:val="20"/>
              </w:rPr>
              <w:t xml:space="preserve">    </w:t>
            </w:r>
            <w:r w:rsidR="0096148F" w:rsidRPr="00912188">
              <w:rPr>
                <w:rFonts w:cs="Times New Roman"/>
                <w:b/>
                <w:color w:val="000000"/>
                <w:sz w:val="20"/>
                <w:szCs w:val="20"/>
              </w:rPr>
              <w:t>0</w:t>
            </w:r>
            <w:r w:rsidR="00136390" w:rsidRPr="00912188">
              <w:rPr>
                <w:rFonts w:cs="Times New Roman"/>
                <w:b/>
                <w:color w:val="000000"/>
                <w:sz w:val="20"/>
                <w:szCs w:val="20"/>
              </w:rPr>
              <w:t>.404</w:t>
            </w:r>
          </w:p>
        </w:tc>
      </w:tr>
      <w:tr w:rsidR="00136390" w:rsidTr="00495247">
        <w:trPr>
          <w:trHeight w:hRule="exact" w:val="432"/>
        </w:trPr>
        <w:tc>
          <w:tcPr>
            <w:tcW w:w="0" w:type="auto"/>
            <w:vAlign w:val="center"/>
          </w:tcPr>
          <w:p w:rsidR="00136390" w:rsidRPr="00AD6F97" w:rsidRDefault="00136390" w:rsidP="009977C2">
            <w:pPr>
              <w:spacing w:line="240" w:lineRule="auto"/>
              <w:rPr>
                <w:rFonts w:ascii="Cambria Math" w:hAnsi="Cambria Math" w:cs="Times New Roman"/>
                <w:sz w:val="20"/>
                <w:szCs w:val="20"/>
              </w:rPr>
            </w:pPr>
            <w:r w:rsidRPr="00AD6F97">
              <w:rPr>
                <w:rFonts w:ascii="Cambria Math" w:hAnsi="Cambria Math" w:cs="Times New Roman"/>
                <w:sz w:val="20"/>
                <w:szCs w:val="20"/>
              </w:rPr>
              <w:t>CEO-dumm</w:t>
            </w:r>
            <w:r w:rsidR="004524FF">
              <w:rPr>
                <w:rFonts w:ascii="Cambria Math" w:hAnsi="Cambria Math" w:cs="Times New Roman"/>
                <w:sz w:val="20"/>
                <w:szCs w:val="20"/>
              </w:rPr>
              <w:t>y</w:t>
            </w:r>
            <w:r w:rsidRPr="00AD6F97">
              <w:rPr>
                <w:rFonts w:ascii="Cambria Math" w:hAnsi="Cambria Math" w:cs="Times New Roman"/>
                <w:i/>
                <w:sz w:val="20"/>
                <w:szCs w:val="20"/>
                <w:vertAlign w:val="subscript"/>
              </w:rPr>
              <w:t>i,t</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.006</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.064</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.088</w:t>
            </w:r>
          </w:p>
        </w:tc>
        <w:tc>
          <w:tcPr>
            <w:tcW w:w="0" w:type="auto"/>
            <w:vAlign w:val="center"/>
          </w:tcPr>
          <w:p w:rsidR="00136390" w:rsidRPr="00912188" w:rsidRDefault="00864160" w:rsidP="00864160">
            <w:pPr>
              <w:autoSpaceDE w:val="0"/>
              <w:autoSpaceDN w:val="0"/>
              <w:adjustRightInd w:val="0"/>
              <w:spacing w:line="320" w:lineRule="atLeast"/>
              <w:ind w:left="60" w:right="60"/>
              <w:rPr>
                <w:rFonts w:cs="Times New Roman"/>
                <w:b/>
                <w:color w:val="000000"/>
                <w:sz w:val="20"/>
                <w:szCs w:val="20"/>
              </w:rPr>
            </w:pPr>
            <w:r>
              <w:rPr>
                <w:rFonts w:cs="Times New Roman"/>
                <w:b/>
                <w:color w:val="000000"/>
                <w:sz w:val="20"/>
                <w:szCs w:val="20"/>
              </w:rPr>
              <w:t xml:space="preserve">     </w:t>
            </w:r>
            <w:r w:rsidR="0096148F" w:rsidRPr="00912188">
              <w:rPr>
                <w:rFonts w:cs="Times New Roman"/>
                <w:b/>
                <w:color w:val="000000"/>
                <w:sz w:val="20"/>
                <w:szCs w:val="20"/>
              </w:rPr>
              <w:t>0</w:t>
            </w:r>
            <w:r w:rsidR="00136390" w:rsidRPr="00912188">
              <w:rPr>
                <w:rFonts w:cs="Times New Roman"/>
                <w:b/>
                <w:color w:val="000000"/>
                <w:sz w:val="20"/>
                <w:szCs w:val="20"/>
              </w:rPr>
              <w:t>.930</w:t>
            </w:r>
          </w:p>
        </w:tc>
        <w:tc>
          <w:tcPr>
            <w:tcW w:w="0" w:type="auto"/>
            <w:vAlign w:val="center"/>
          </w:tcPr>
          <w:p w:rsidR="00136390" w:rsidRPr="00AD6F97" w:rsidRDefault="00136390" w:rsidP="009977C2">
            <w:pPr>
              <w:spacing w:line="240" w:lineRule="auto"/>
              <w:rPr>
                <w:rFonts w:ascii="Cambria Math" w:hAnsi="Cambria Math" w:cs="Times New Roman"/>
                <w:sz w:val="20"/>
                <w:szCs w:val="20"/>
              </w:rPr>
            </w:pPr>
            <w:r w:rsidRPr="00AD6F97">
              <w:rPr>
                <w:rFonts w:ascii="Cambria Math" w:hAnsi="Cambria Math" w:cs="Times New Roman"/>
                <w:sz w:val="20"/>
                <w:szCs w:val="20"/>
              </w:rPr>
              <w:t>CEO-dumm</w:t>
            </w:r>
            <w:r w:rsidR="00C82A02">
              <w:rPr>
                <w:rFonts w:ascii="Cambria Math" w:hAnsi="Cambria Math" w:cs="Times New Roman"/>
                <w:sz w:val="20"/>
                <w:szCs w:val="20"/>
              </w:rPr>
              <w:t>y</w:t>
            </w:r>
            <w:r w:rsidRPr="00AD6F97">
              <w:rPr>
                <w:rFonts w:ascii="Cambria Math" w:hAnsi="Cambria Math" w:cs="Times New Roman"/>
                <w:i/>
                <w:sz w:val="20"/>
                <w:szCs w:val="20"/>
                <w:vertAlign w:val="subscript"/>
              </w:rPr>
              <w:t>i,t</w:t>
            </w:r>
          </w:p>
        </w:tc>
        <w:tc>
          <w:tcPr>
            <w:tcW w:w="0" w:type="auto"/>
            <w:vAlign w:val="center"/>
          </w:tcPr>
          <w:p w:rsidR="00136390" w:rsidRPr="004E62ED" w:rsidRDefault="00136390" w:rsidP="00E02AB1">
            <w:pPr>
              <w:jc w:val="center"/>
              <w:rPr>
                <w:rFonts w:cs="Times New Roman"/>
                <w:color w:val="000000"/>
                <w:sz w:val="18"/>
                <w:szCs w:val="18"/>
              </w:rPr>
            </w:pPr>
            <w:r w:rsidRPr="004E62ED">
              <w:rPr>
                <w:rFonts w:cs="Times New Roman"/>
                <w:color w:val="000000"/>
                <w:sz w:val="18"/>
                <w:szCs w:val="18"/>
              </w:rPr>
              <w:t>-</w:t>
            </w:r>
            <w:r w:rsidR="00797170">
              <w:rPr>
                <w:rFonts w:cs="Times New Roman"/>
                <w:color w:val="000000"/>
                <w:sz w:val="18"/>
                <w:szCs w:val="18"/>
              </w:rPr>
              <w:t>0</w:t>
            </w:r>
            <w:r w:rsidRPr="004E62ED">
              <w:rPr>
                <w:rFonts w:cs="Times New Roman"/>
                <w:color w:val="000000"/>
                <w:sz w:val="18"/>
                <w:szCs w:val="18"/>
              </w:rPr>
              <w:t>.005</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.002</w:t>
            </w:r>
          </w:p>
        </w:tc>
        <w:tc>
          <w:tcPr>
            <w:tcW w:w="0" w:type="auto"/>
            <w:vAlign w:val="center"/>
          </w:tcPr>
          <w:p w:rsidR="00136390" w:rsidRPr="004E62ED" w:rsidRDefault="00136390" w:rsidP="00E02AB1">
            <w:pPr>
              <w:jc w:val="center"/>
              <w:rPr>
                <w:rFonts w:cs="Times New Roman"/>
                <w:color w:val="000000"/>
                <w:sz w:val="18"/>
                <w:szCs w:val="18"/>
              </w:rPr>
            </w:pPr>
            <w:r w:rsidRPr="004E62ED">
              <w:rPr>
                <w:rFonts w:cs="Times New Roman"/>
                <w:color w:val="000000"/>
                <w:sz w:val="18"/>
                <w:szCs w:val="18"/>
              </w:rPr>
              <w:t>-3.104</w:t>
            </w:r>
          </w:p>
        </w:tc>
        <w:tc>
          <w:tcPr>
            <w:tcW w:w="0" w:type="auto"/>
            <w:vAlign w:val="center"/>
          </w:tcPr>
          <w:p w:rsidR="00136390" w:rsidRPr="00912188" w:rsidRDefault="0096148F" w:rsidP="00E02AB1">
            <w:pPr>
              <w:autoSpaceDE w:val="0"/>
              <w:autoSpaceDN w:val="0"/>
              <w:adjustRightInd w:val="0"/>
              <w:spacing w:line="320" w:lineRule="atLeast"/>
              <w:ind w:left="60" w:right="60"/>
              <w:jc w:val="center"/>
              <w:rPr>
                <w:rFonts w:cs="Times New Roman"/>
                <w:b/>
                <w:color w:val="000000"/>
                <w:sz w:val="20"/>
                <w:szCs w:val="20"/>
              </w:rPr>
            </w:pPr>
            <w:r w:rsidRPr="00912188">
              <w:rPr>
                <w:rFonts w:cs="Times New Roman"/>
                <w:b/>
                <w:color w:val="000000"/>
                <w:sz w:val="20"/>
                <w:szCs w:val="20"/>
              </w:rPr>
              <w:t>0</w:t>
            </w:r>
            <w:r w:rsidR="00136390" w:rsidRPr="00912188">
              <w:rPr>
                <w:rFonts w:cs="Times New Roman"/>
                <w:b/>
                <w:color w:val="000000"/>
                <w:sz w:val="20"/>
                <w:szCs w:val="20"/>
              </w:rPr>
              <w:t>.002***</w:t>
            </w:r>
          </w:p>
        </w:tc>
      </w:tr>
      <w:tr w:rsidR="00136390" w:rsidTr="00495247">
        <w:trPr>
          <w:trHeight w:hRule="exact" w:val="432"/>
        </w:trPr>
        <w:tc>
          <w:tcPr>
            <w:tcW w:w="0" w:type="auto"/>
            <w:vAlign w:val="center"/>
          </w:tcPr>
          <w:p w:rsidR="00136390" w:rsidRPr="00AD6F97" w:rsidRDefault="00136390" w:rsidP="009977C2">
            <w:pPr>
              <w:spacing w:line="240" w:lineRule="auto"/>
              <w:rPr>
                <w:rFonts w:ascii="Cambria Math" w:hAnsi="Cambria Math" w:cs="Times New Roman"/>
                <w:b/>
                <w:i/>
                <w:sz w:val="20"/>
                <w:szCs w:val="20"/>
              </w:rPr>
            </w:pPr>
            <w:r w:rsidRPr="00AD6F97">
              <w:rPr>
                <w:rFonts w:ascii="Cambria Math" w:hAnsi="Cambria Math" w:cs="Times New Roman"/>
                <w:b/>
                <w:i/>
                <w:sz w:val="20"/>
                <w:szCs w:val="20"/>
              </w:rPr>
              <w:t>SBS</w:t>
            </w:r>
            <w:r w:rsidRPr="00AD6F97">
              <w:rPr>
                <w:rFonts w:ascii="Cambria Math" w:hAnsi="Cambria Math" w:cs="Times New Roman"/>
                <w:i/>
                <w:sz w:val="20"/>
                <w:szCs w:val="20"/>
                <w:vertAlign w:val="subscript"/>
              </w:rPr>
              <w:t>i,t</w:t>
            </w:r>
          </w:p>
        </w:tc>
        <w:tc>
          <w:tcPr>
            <w:tcW w:w="0" w:type="auto"/>
            <w:vAlign w:val="center"/>
          </w:tcPr>
          <w:p w:rsidR="00136390" w:rsidRPr="004E62ED" w:rsidRDefault="00136390" w:rsidP="00E02AB1">
            <w:pPr>
              <w:jc w:val="center"/>
              <w:rPr>
                <w:rFonts w:cs="Times New Roman"/>
                <w:color w:val="000000"/>
                <w:sz w:val="18"/>
                <w:szCs w:val="18"/>
              </w:rPr>
            </w:pPr>
            <w:r w:rsidRPr="004E62ED">
              <w:rPr>
                <w:rFonts w:cs="Times New Roman"/>
                <w:color w:val="000000"/>
                <w:sz w:val="18"/>
                <w:szCs w:val="18"/>
              </w:rPr>
              <w:t>-</w:t>
            </w:r>
            <w:r w:rsidR="0096148F">
              <w:rPr>
                <w:rFonts w:cs="Times New Roman"/>
                <w:color w:val="000000"/>
                <w:sz w:val="18"/>
                <w:szCs w:val="18"/>
              </w:rPr>
              <w:t>0</w:t>
            </w:r>
            <w:r w:rsidRPr="004E62ED">
              <w:rPr>
                <w:rFonts w:cs="Times New Roman"/>
                <w:color w:val="000000"/>
                <w:sz w:val="18"/>
                <w:szCs w:val="18"/>
              </w:rPr>
              <w:t>.037</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.018</w:t>
            </w:r>
          </w:p>
        </w:tc>
        <w:tc>
          <w:tcPr>
            <w:tcW w:w="0" w:type="auto"/>
            <w:vAlign w:val="center"/>
          </w:tcPr>
          <w:p w:rsidR="00136390" w:rsidRPr="004E62ED" w:rsidRDefault="00136390" w:rsidP="00E02AB1">
            <w:pPr>
              <w:jc w:val="center"/>
              <w:rPr>
                <w:rFonts w:cs="Times New Roman"/>
                <w:color w:val="000000"/>
                <w:sz w:val="18"/>
                <w:szCs w:val="18"/>
              </w:rPr>
            </w:pPr>
            <w:r w:rsidRPr="004E62ED">
              <w:rPr>
                <w:rFonts w:cs="Times New Roman"/>
                <w:color w:val="000000"/>
                <w:sz w:val="18"/>
                <w:szCs w:val="18"/>
              </w:rPr>
              <w:t>-2.055</w:t>
            </w:r>
          </w:p>
        </w:tc>
        <w:tc>
          <w:tcPr>
            <w:tcW w:w="0" w:type="auto"/>
            <w:vAlign w:val="center"/>
          </w:tcPr>
          <w:p w:rsidR="00136390" w:rsidRPr="00912188" w:rsidRDefault="0096148F" w:rsidP="00E02AB1">
            <w:pPr>
              <w:autoSpaceDE w:val="0"/>
              <w:autoSpaceDN w:val="0"/>
              <w:adjustRightInd w:val="0"/>
              <w:spacing w:line="320" w:lineRule="atLeast"/>
              <w:ind w:left="60" w:right="60"/>
              <w:jc w:val="center"/>
              <w:rPr>
                <w:rFonts w:cs="Times New Roman"/>
                <w:b/>
                <w:color w:val="000000"/>
                <w:sz w:val="20"/>
                <w:szCs w:val="20"/>
              </w:rPr>
            </w:pPr>
            <w:r w:rsidRPr="00912188">
              <w:rPr>
                <w:rFonts w:cs="Times New Roman"/>
                <w:b/>
                <w:color w:val="000000"/>
                <w:sz w:val="20"/>
                <w:szCs w:val="20"/>
              </w:rPr>
              <w:t>0</w:t>
            </w:r>
            <w:r w:rsidR="00136390" w:rsidRPr="00912188">
              <w:rPr>
                <w:rFonts w:cs="Times New Roman"/>
                <w:b/>
                <w:color w:val="000000"/>
                <w:sz w:val="20"/>
                <w:szCs w:val="20"/>
              </w:rPr>
              <w:t>.040**</w:t>
            </w:r>
          </w:p>
        </w:tc>
        <w:tc>
          <w:tcPr>
            <w:tcW w:w="0" w:type="auto"/>
            <w:vAlign w:val="center"/>
          </w:tcPr>
          <w:p w:rsidR="00136390" w:rsidRPr="00AD6F97" w:rsidRDefault="00136390" w:rsidP="009977C2">
            <w:pPr>
              <w:spacing w:line="240" w:lineRule="auto"/>
              <w:rPr>
                <w:rFonts w:ascii="Cambria Math" w:hAnsi="Cambria Math" w:cs="Times New Roman"/>
                <w:b/>
                <w:i/>
                <w:sz w:val="20"/>
                <w:szCs w:val="20"/>
              </w:rPr>
            </w:pPr>
            <w:r w:rsidRPr="00AD6F97">
              <w:rPr>
                <w:rFonts w:ascii="Cambria Math" w:hAnsi="Cambria Math" w:cs="Times New Roman"/>
                <w:b/>
                <w:i/>
                <w:sz w:val="20"/>
                <w:szCs w:val="20"/>
              </w:rPr>
              <w:t>NEDS</w:t>
            </w:r>
            <w:r w:rsidRPr="00AD6F97">
              <w:rPr>
                <w:rFonts w:ascii="Cambria Math" w:hAnsi="Cambria Math" w:cs="Times New Roman"/>
                <w:i/>
                <w:sz w:val="20"/>
                <w:szCs w:val="20"/>
                <w:vertAlign w:val="subscript"/>
              </w:rPr>
              <w:t>i,t</w:t>
            </w:r>
          </w:p>
        </w:tc>
        <w:tc>
          <w:tcPr>
            <w:tcW w:w="0" w:type="auto"/>
            <w:vAlign w:val="center"/>
          </w:tcPr>
          <w:p w:rsidR="00136390" w:rsidRPr="004E62ED" w:rsidRDefault="00136390" w:rsidP="00E02AB1">
            <w:pPr>
              <w:jc w:val="center"/>
              <w:rPr>
                <w:rFonts w:cs="Times New Roman"/>
                <w:color w:val="000000"/>
                <w:sz w:val="18"/>
                <w:szCs w:val="18"/>
              </w:rPr>
            </w:pPr>
            <w:r w:rsidRPr="004E62ED">
              <w:rPr>
                <w:rFonts w:cs="Times New Roman"/>
                <w:color w:val="000000"/>
                <w:sz w:val="18"/>
                <w:szCs w:val="18"/>
              </w:rPr>
              <w:t>-</w:t>
            </w:r>
            <w:r w:rsidR="00797170">
              <w:rPr>
                <w:rFonts w:cs="Times New Roman"/>
                <w:color w:val="000000"/>
                <w:sz w:val="18"/>
                <w:szCs w:val="18"/>
              </w:rPr>
              <w:t>0</w:t>
            </w:r>
            <w:r w:rsidRPr="004E62ED">
              <w:rPr>
                <w:rFonts w:cs="Times New Roman"/>
                <w:color w:val="000000"/>
                <w:sz w:val="18"/>
                <w:szCs w:val="18"/>
              </w:rPr>
              <w:t>.002</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.000</w:t>
            </w:r>
          </w:p>
        </w:tc>
        <w:tc>
          <w:tcPr>
            <w:tcW w:w="0" w:type="auto"/>
            <w:vAlign w:val="center"/>
          </w:tcPr>
          <w:p w:rsidR="00136390" w:rsidRPr="004E62ED" w:rsidRDefault="00136390" w:rsidP="00E02AB1">
            <w:pPr>
              <w:jc w:val="center"/>
              <w:rPr>
                <w:rFonts w:cs="Times New Roman"/>
                <w:color w:val="000000"/>
                <w:sz w:val="18"/>
                <w:szCs w:val="18"/>
              </w:rPr>
            </w:pPr>
            <w:r w:rsidRPr="004E62ED">
              <w:rPr>
                <w:rFonts w:cs="Times New Roman"/>
                <w:color w:val="000000"/>
                <w:sz w:val="18"/>
                <w:szCs w:val="18"/>
              </w:rPr>
              <w:t>-4.074</w:t>
            </w:r>
          </w:p>
        </w:tc>
        <w:tc>
          <w:tcPr>
            <w:tcW w:w="0" w:type="auto"/>
            <w:vAlign w:val="center"/>
          </w:tcPr>
          <w:p w:rsidR="00136390" w:rsidRPr="00912188" w:rsidRDefault="0096148F" w:rsidP="00E02AB1">
            <w:pPr>
              <w:autoSpaceDE w:val="0"/>
              <w:autoSpaceDN w:val="0"/>
              <w:adjustRightInd w:val="0"/>
              <w:spacing w:line="320" w:lineRule="atLeast"/>
              <w:ind w:left="60" w:right="60"/>
              <w:jc w:val="center"/>
              <w:rPr>
                <w:rFonts w:cs="Times New Roman"/>
                <w:b/>
                <w:color w:val="000000"/>
                <w:sz w:val="20"/>
                <w:szCs w:val="20"/>
              </w:rPr>
            </w:pPr>
            <w:r w:rsidRPr="00912188">
              <w:rPr>
                <w:rFonts w:cs="Times New Roman"/>
                <w:b/>
                <w:color w:val="000000"/>
                <w:sz w:val="20"/>
                <w:szCs w:val="20"/>
              </w:rPr>
              <w:t>0</w:t>
            </w:r>
            <w:r w:rsidR="00136390" w:rsidRPr="00912188">
              <w:rPr>
                <w:rFonts w:cs="Times New Roman"/>
                <w:b/>
                <w:color w:val="000000"/>
                <w:sz w:val="20"/>
                <w:szCs w:val="20"/>
              </w:rPr>
              <w:t>.000***</w:t>
            </w:r>
          </w:p>
        </w:tc>
      </w:tr>
      <w:tr w:rsidR="00136390" w:rsidTr="00495247">
        <w:trPr>
          <w:trHeight w:hRule="exact" w:val="432"/>
        </w:trPr>
        <w:tc>
          <w:tcPr>
            <w:tcW w:w="0" w:type="auto"/>
            <w:vAlign w:val="center"/>
          </w:tcPr>
          <w:p w:rsidR="00136390" w:rsidRPr="00AD6F97" w:rsidRDefault="00136390" w:rsidP="009977C2">
            <w:pPr>
              <w:spacing w:line="240" w:lineRule="auto"/>
              <w:rPr>
                <w:rFonts w:ascii="Cambria Math" w:hAnsi="Cambria Math" w:cs="Times New Roman"/>
                <w:sz w:val="20"/>
                <w:szCs w:val="20"/>
              </w:rPr>
            </w:pPr>
            <w:r w:rsidRPr="00AD6F97">
              <w:rPr>
                <w:rFonts w:ascii="Cambria Math" w:hAnsi="Cambria Math" w:cs="Times New Roman"/>
                <w:sz w:val="20"/>
                <w:szCs w:val="20"/>
              </w:rPr>
              <w:t>Insider</w:t>
            </w:r>
            <w:r w:rsidRPr="00AD6F97">
              <w:rPr>
                <w:rFonts w:ascii="Cambria Math" w:hAnsi="Cambria Math" w:cs="Times New Roman"/>
                <w:i/>
                <w:sz w:val="20"/>
                <w:szCs w:val="20"/>
                <w:vertAlign w:val="subscript"/>
              </w:rPr>
              <w:t>i,t</w:t>
            </w:r>
          </w:p>
        </w:tc>
        <w:tc>
          <w:tcPr>
            <w:tcW w:w="0" w:type="auto"/>
            <w:vAlign w:val="center"/>
          </w:tcPr>
          <w:p w:rsidR="00136390" w:rsidRPr="004E62ED" w:rsidRDefault="00136390" w:rsidP="00E02AB1">
            <w:pPr>
              <w:jc w:val="center"/>
              <w:rPr>
                <w:rFonts w:cs="Times New Roman"/>
                <w:color w:val="000000"/>
                <w:sz w:val="18"/>
                <w:szCs w:val="18"/>
              </w:rPr>
            </w:pPr>
            <w:r w:rsidRPr="004E62ED">
              <w:rPr>
                <w:rFonts w:cs="Times New Roman"/>
                <w:color w:val="000000"/>
                <w:sz w:val="18"/>
                <w:szCs w:val="18"/>
              </w:rPr>
              <w:t>-</w:t>
            </w:r>
            <w:r w:rsidR="0096148F">
              <w:rPr>
                <w:rFonts w:cs="Times New Roman"/>
                <w:color w:val="000000"/>
                <w:sz w:val="18"/>
                <w:szCs w:val="18"/>
              </w:rPr>
              <w:t>0</w:t>
            </w:r>
            <w:r w:rsidRPr="004E62ED">
              <w:rPr>
                <w:rFonts w:cs="Times New Roman"/>
                <w:color w:val="000000"/>
                <w:sz w:val="18"/>
                <w:szCs w:val="18"/>
              </w:rPr>
              <w:t>.093</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.145</w:t>
            </w:r>
          </w:p>
        </w:tc>
        <w:tc>
          <w:tcPr>
            <w:tcW w:w="0" w:type="auto"/>
            <w:vAlign w:val="center"/>
          </w:tcPr>
          <w:p w:rsidR="00136390" w:rsidRPr="004E62ED" w:rsidRDefault="00136390" w:rsidP="00E02AB1">
            <w:pPr>
              <w:jc w:val="center"/>
              <w:rPr>
                <w:rFonts w:cs="Times New Roman"/>
                <w:color w:val="000000"/>
                <w:sz w:val="18"/>
                <w:szCs w:val="18"/>
              </w:rPr>
            </w:pPr>
            <w:r w:rsidRPr="004E62ED">
              <w:rPr>
                <w:rFonts w:cs="Times New Roman"/>
                <w:color w:val="000000"/>
                <w:sz w:val="18"/>
                <w:szCs w:val="18"/>
              </w:rPr>
              <w:t>-</w:t>
            </w:r>
            <w:r w:rsidR="0096148F">
              <w:rPr>
                <w:rFonts w:cs="Times New Roman"/>
                <w:color w:val="000000"/>
                <w:sz w:val="18"/>
                <w:szCs w:val="18"/>
              </w:rPr>
              <w:t>0</w:t>
            </w:r>
            <w:r w:rsidRPr="004E62ED">
              <w:rPr>
                <w:rFonts w:cs="Times New Roman"/>
                <w:color w:val="000000"/>
                <w:sz w:val="18"/>
                <w:szCs w:val="18"/>
              </w:rPr>
              <w:t>.642</w:t>
            </w:r>
          </w:p>
        </w:tc>
        <w:tc>
          <w:tcPr>
            <w:tcW w:w="0" w:type="auto"/>
            <w:vAlign w:val="center"/>
          </w:tcPr>
          <w:p w:rsidR="00136390" w:rsidRPr="00912188" w:rsidRDefault="00864160" w:rsidP="00864160">
            <w:pPr>
              <w:autoSpaceDE w:val="0"/>
              <w:autoSpaceDN w:val="0"/>
              <w:adjustRightInd w:val="0"/>
              <w:spacing w:line="320" w:lineRule="atLeast"/>
              <w:ind w:left="60" w:right="60"/>
              <w:rPr>
                <w:rFonts w:cs="Times New Roman"/>
                <w:b/>
                <w:color w:val="000000"/>
                <w:sz w:val="20"/>
                <w:szCs w:val="20"/>
              </w:rPr>
            </w:pPr>
            <w:r>
              <w:rPr>
                <w:rFonts w:cs="Times New Roman"/>
                <w:b/>
                <w:color w:val="000000"/>
                <w:sz w:val="20"/>
                <w:szCs w:val="20"/>
              </w:rPr>
              <w:t xml:space="preserve">     </w:t>
            </w:r>
            <w:r w:rsidR="0096148F" w:rsidRPr="00912188">
              <w:rPr>
                <w:rFonts w:cs="Times New Roman"/>
                <w:b/>
                <w:color w:val="000000"/>
                <w:sz w:val="20"/>
                <w:szCs w:val="20"/>
              </w:rPr>
              <w:t>0</w:t>
            </w:r>
            <w:r w:rsidR="00136390" w:rsidRPr="00912188">
              <w:rPr>
                <w:rFonts w:cs="Times New Roman"/>
                <w:b/>
                <w:color w:val="000000"/>
                <w:sz w:val="20"/>
                <w:szCs w:val="20"/>
              </w:rPr>
              <w:t>.521</w:t>
            </w:r>
          </w:p>
        </w:tc>
        <w:tc>
          <w:tcPr>
            <w:tcW w:w="0" w:type="auto"/>
            <w:vAlign w:val="center"/>
          </w:tcPr>
          <w:p w:rsidR="00136390" w:rsidRPr="00AD6F97" w:rsidRDefault="00136390" w:rsidP="009977C2">
            <w:pPr>
              <w:spacing w:line="240" w:lineRule="auto"/>
              <w:rPr>
                <w:rFonts w:ascii="Cambria Math" w:hAnsi="Cambria Math" w:cs="Times New Roman"/>
                <w:sz w:val="20"/>
                <w:szCs w:val="20"/>
              </w:rPr>
            </w:pPr>
            <w:r w:rsidRPr="00AD6F97">
              <w:rPr>
                <w:rFonts w:ascii="Cambria Math" w:hAnsi="Cambria Math" w:cs="Times New Roman"/>
                <w:sz w:val="20"/>
                <w:szCs w:val="20"/>
              </w:rPr>
              <w:t>Insider</w:t>
            </w:r>
            <w:r w:rsidRPr="00AD6F97">
              <w:rPr>
                <w:rFonts w:ascii="Cambria Math" w:hAnsi="Cambria Math" w:cs="Times New Roman"/>
                <w:i/>
                <w:sz w:val="20"/>
                <w:szCs w:val="20"/>
                <w:vertAlign w:val="subscript"/>
              </w:rPr>
              <w:t>i,t</w:t>
            </w:r>
          </w:p>
        </w:tc>
        <w:tc>
          <w:tcPr>
            <w:tcW w:w="0" w:type="auto"/>
            <w:vAlign w:val="center"/>
          </w:tcPr>
          <w:p w:rsidR="00136390" w:rsidRPr="004E62ED" w:rsidRDefault="00797170"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.008</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.005</w:t>
            </w:r>
          </w:p>
        </w:tc>
        <w:tc>
          <w:tcPr>
            <w:tcW w:w="0" w:type="auto"/>
            <w:vAlign w:val="center"/>
          </w:tcPr>
          <w:p w:rsidR="00136390" w:rsidRPr="004E62ED" w:rsidRDefault="00136390" w:rsidP="00E02AB1">
            <w:pPr>
              <w:jc w:val="center"/>
              <w:rPr>
                <w:rFonts w:cs="Times New Roman"/>
                <w:color w:val="000000"/>
                <w:sz w:val="18"/>
                <w:szCs w:val="18"/>
              </w:rPr>
            </w:pPr>
            <w:r w:rsidRPr="004E62ED">
              <w:rPr>
                <w:rFonts w:cs="Times New Roman"/>
                <w:color w:val="000000"/>
                <w:sz w:val="18"/>
                <w:szCs w:val="18"/>
              </w:rPr>
              <w:t>1.479</w:t>
            </w:r>
          </w:p>
        </w:tc>
        <w:tc>
          <w:tcPr>
            <w:tcW w:w="0" w:type="auto"/>
            <w:vAlign w:val="center"/>
          </w:tcPr>
          <w:p w:rsidR="00136390" w:rsidRPr="00912188" w:rsidRDefault="00A33A3B" w:rsidP="00A33A3B">
            <w:pPr>
              <w:autoSpaceDE w:val="0"/>
              <w:autoSpaceDN w:val="0"/>
              <w:adjustRightInd w:val="0"/>
              <w:spacing w:line="320" w:lineRule="atLeast"/>
              <w:ind w:left="60" w:right="60"/>
              <w:rPr>
                <w:rFonts w:cs="Times New Roman"/>
                <w:b/>
                <w:color w:val="000000"/>
                <w:sz w:val="20"/>
                <w:szCs w:val="20"/>
              </w:rPr>
            </w:pPr>
            <w:r>
              <w:rPr>
                <w:rFonts w:cs="Times New Roman"/>
                <w:b/>
                <w:color w:val="000000"/>
                <w:sz w:val="20"/>
                <w:szCs w:val="20"/>
              </w:rPr>
              <w:t xml:space="preserve">    </w:t>
            </w:r>
            <w:r w:rsidR="0096148F" w:rsidRPr="00912188">
              <w:rPr>
                <w:rFonts w:cs="Times New Roman"/>
                <w:b/>
                <w:color w:val="000000"/>
                <w:sz w:val="20"/>
                <w:szCs w:val="20"/>
              </w:rPr>
              <w:t>0</w:t>
            </w:r>
            <w:r w:rsidR="00136390" w:rsidRPr="00912188">
              <w:rPr>
                <w:rFonts w:cs="Times New Roman"/>
                <w:b/>
                <w:color w:val="000000"/>
                <w:sz w:val="20"/>
                <w:szCs w:val="20"/>
              </w:rPr>
              <w:t>.139</w:t>
            </w:r>
          </w:p>
        </w:tc>
      </w:tr>
      <w:tr w:rsidR="00136390" w:rsidTr="00495247">
        <w:trPr>
          <w:trHeight w:hRule="exact" w:val="432"/>
        </w:trPr>
        <w:tc>
          <w:tcPr>
            <w:tcW w:w="0" w:type="auto"/>
            <w:vAlign w:val="center"/>
          </w:tcPr>
          <w:p w:rsidR="00136390" w:rsidRPr="00AD6F97" w:rsidRDefault="00136390" w:rsidP="00DF111B">
            <w:pPr>
              <w:spacing w:line="240" w:lineRule="auto"/>
              <w:rPr>
                <w:rFonts w:ascii="Cambria Math" w:hAnsi="Cambria Math" w:cs="Times New Roman"/>
                <w:sz w:val="20"/>
                <w:szCs w:val="20"/>
              </w:rPr>
            </w:pPr>
            <w:r w:rsidRPr="00AD6F97">
              <w:rPr>
                <w:rFonts w:ascii="Cambria Math" w:hAnsi="Cambria Math" w:cs="Times New Roman"/>
                <w:sz w:val="20"/>
                <w:szCs w:val="20"/>
              </w:rPr>
              <w:t>Block-</w:t>
            </w:r>
            <w:r w:rsidR="00DF111B">
              <w:rPr>
                <w:rFonts w:ascii="Cambria Math" w:hAnsi="Cambria Math" w:cs="Times New Roman"/>
                <w:sz w:val="20"/>
                <w:szCs w:val="20"/>
              </w:rPr>
              <w:t>h</w:t>
            </w:r>
            <w:r w:rsidRPr="00AD6F97">
              <w:rPr>
                <w:rFonts w:ascii="Cambria Math" w:hAnsi="Cambria Math" w:cs="Times New Roman"/>
                <w:sz w:val="20"/>
                <w:szCs w:val="20"/>
              </w:rPr>
              <w:t>older</w:t>
            </w:r>
            <w:r w:rsidRPr="00AD6F97">
              <w:rPr>
                <w:rFonts w:ascii="Cambria Math" w:hAnsi="Cambria Math" w:cs="Times New Roman"/>
                <w:i/>
                <w:sz w:val="20"/>
                <w:szCs w:val="20"/>
                <w:vertAlign w:val="subscript"/>
              </w:rPr>
              <w:t>i,t</w:t>
            </w:r>
          </w:p>
        </w:tc>
        <w:tc>
          <w:tcPr>
            <w:tcW w:w="0" w:type="auto"/>
            <w:vAlign w:val="center"/>
          </w:tcPr>
          <w:p w:rsidR="00136390" w:rsidRPr="004E62ED" w:rsidRDefault="00136390" w:rsidP="00E02AB1">
            <w:pPr>
              <w:jc w:val="center"/>
              <w:rPr>
                <w:rFonts w:cs="Times New Roman"/>
                <w:color w:val="000000"/>
                <w:sz w:val="18"/>
                <w:szCs w:val="18"/>
              </w:rPr>
            </w:pPr>
            <w:r w:rsidRPr="004E62ED">
              <w:rPr>
                <w:rFonts w:cs="Times New Roman"/>
                <w:color w:val="000000"/>
                <w:sz w:val="18"/>
                <w:szCs w:val="18"/>
              </w:rPr>
              <w:t>-</w:t>
            </w:r>
            <w:r w:rsidR="0096148F">
              <w:rPr>
                <w:rFonts w:cs="Times New Roman"/>
                <w:color w:val="000000"/>
                <w:sz w:val="18"/>
                <w:szCs w:val="18"/>
              </w:rPr>
              <w:t>0</w:t>
            </w:r>
            <w:r w:rsidRPr="004E62ED">
              <w:rPr>
                <w:rFonts w:cs="Times New Roman"/>
                <w:color w:val="000000"/>
                <w:sz w:val="18"/>
                <w:szCs w:val="18"/>
              </w:rPr>
              <w:t>.002</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.001</w:t>
            </w:r>
          </w:p>
        </w:tc>
        <w:tc>
          <w:tcPr>
            <w:tcW w:w="0" w:type="auto"/>
            <w:vAlign w:val="center"/>
          </w:tcPr>
          <w:p w:rsidR="00136390" w:rsidRPr="004E62ED" w:rsidRDefault="00136390" w:rsidP="00E02AB1">
            <w:pPr>
              <w:jc w:val="center"/>
              <w:rPr>
                <w:rFonts w:cs="Times New Roman"/>
                <w:color w:val="000000"/>
                <w:sz w:val="18"/>
                <w:szCs w:val="18"/>
              </w:rPr>
            </w:pPr>
            <w:r w:rsidRPr="004E62ED">
              <w:rPr>
                <w:rFonts w:cs="Times New Roman"/>
                <w:color w:val="000000"/>
                <w:sz w:val="18"/>
                <w:szCs w:val="18"/>
              </w:rPr>
              <w:t>-1.266</w:t>
            </w:r>
          </w:p>
        </w:tc>
        <w:tc>
          <w:tcPr>
            <w:tcW w:w="0" w:type="auto"/>
            <w:vAlign w:val="center"/>
          </w:tcPr>
          <w:p w:rsidR="00136390" w:rsidRPr="00912188" w:rsidRDefault="00864160" w:rsidP="00864160">
            <w:pPr>
              <w:autoSpaceDE w:val="0"/>
              <w:autoSpaceDN w:val="0"/>
              <w:adjustRightInd w:val="0"/>
              <w:spacing w:line="320" w:lineRule="atLeast"/>
              <w:ind w:left="60" w:right="60"/>
              <w:rPr>
                <w:rFonts w:cs="Times New Roman"/>
                <w:b/>
                <w:color w:val="000000"/>
                <w:sz w:val="20"/>
                <w:szCs w:val="20"/>
              </w:rPr>
            </w:pPr>
            <w:r>
              <w:rPr>
                <w:rFonts w:cs="Times New Roman"/>
                <w:b/>
                <w:color w:val="000000"/>
                <w:sz w:val="20"/>
                <w:szCs w:val="20"/>
              </w:rPr>
              <w:t xml:space="preserve">     </w:t>
            </w:r>
            <w:r w:rsidR="0096148F" w:rsidRPr="00912188">
              <w:rPr>
                <w:rFonts w:cs="Times New Roman"/>
                <w:b/>
                <w:color w:val="000000"/>
                <w:sz w:val="20"/>
                <w:szCs w:val="20"/>
              </w:rPr>
              <w:t>0</w:t>
            </w:r>
            <w:r w:rsidR="00136390" w:rsidRPr="00912188">
              <w:rPr>
                <w:rFonts w:cs="Times New Roman"/>
                <w:b/>
                <w:color w:val="000000"/>
                <w:sz w:val="20"/>
                <w:szCs w:val="20"/>
              </w:rPr>
              <w:t>.206</w:t>
            </w:r>
          </w:p>
        </w:tc>
        <w:tc>
          <w:tcPr>
            <w:tcW w:w="0" w:type="auto"/>
            <w:vAlign w:val="center"/>
          </w:tcPr>
          <w:p w:rsidR="00136390" w:rsidRPr="00AD6F97" w:rsidRDefault="00136390" w:rsidP="009977C2">
            <w:pPr>
              <w:spacing w:line="240" w:lineRule="auto"/>
              <w:rPr>
                <w:rFonts w:ascii="Cambria Math" w:hAnsi="Cambria Math" w:cs="Times New Roman"/>
                <w:sz w:val="20"/>
                <w:szCs w:val="20"/>
              </w:rPr>
            </w:pPr>
            <w:r w:rsidRPr="00AD6F97">
              <w:rPr>
                <w:rFonts w:ascii="Cambria Math" w:hAnsi="Cambria Math" w:cs="Times New Roman"/>
                <w:sz w:val="20"/>
                <w:szCs w:val="20"/>
              </w:rPr>
              <w:t>Block-holder</w:t>
            </w:r>
            <w:r w:rsidRPr="00AD6F97">
              <w:rPr>
                <w:rFonts w:ascii="Cambria Math" w:hAnsi="Cambria Math" w:cs="Times New Roman"/>
                <w:i/>
                <w:sz w:val="20"/>
                <w:szCs w:val="20"/>
                <w:vertAlign w:val="subscript"/>
              </w:rPr>
              <w:t>i,t</w:t>
            </w:r>
          </w:p>
        </w:tc>
        <w:tc>
          <w:tcPr>
            <w:tcW w:w="0" w:type="auto"/>
            <w:vAlign w:val="center"/>
          </w:tcPr>
          <w:p w:rsidR="00136390" w:rsidRPr="004E62ED" w:rsidRDefault="00797170"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.003</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.006</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.460</w:t>
            </w:r>
          </w:p>
        </w:tc>
        <w:tc>
          <w:tcPr>
            <w:tcW w:w="0" w:type="auto"/>
            <w:vAlign w:val="center"/>
          </w:tcPr>
          <w:p w:rsidR="00136390" w:rsidRPr="00912188" w:rsidRDefault="00A33A3B" w:rsidP="00A33A3B">
            <w:pPr>
              <w:autoSpaceDE w:val="0"/>
              <w:autoSpaceDN w:val="0"/>
              <w:adjustRightInd w:val="0"/>
              <w:spacing w:line="320" w:lineRule="atLeast"/>
              <w:ind w:left="60" w:right="60"/>
              <w:rPr>
                <w:rFonts w:cs="Times New Roman"/>
                <w:b/>
                <w:color w:val="000000"/>
                <w:sz w:val="20"/>
                <w:szCs w:val="20"/>
              </w:rPr>
            </w:pPr>
            <w:r>
              <w:rPr>
                <w:rFonts w:cs="Times New Roman"/>
                <w:b/>
                <w:color w:val="000000"/>
                <w:sz w:val="20"/>
                <w:szCs w:val="20"/>
              </w:rPr>
              <w:t xml:space="preserve">    </w:t>
            </w:r>
            <w:r w:rsidR="0096148F" w:rsidRPr="00912188">
              <w:rPr>
                <w:rFonts w:cs="Times New Roman"/>
                <w:b/>
                <w:color w:val="000000"/>
                <w:sz w:val="20"/>
                <w:szCs w:val="20"/>
              </w:rPr>
              <w:t>0</w:t>
            </w:r>
            <w:r w:rsidR="00136390" w:rsidRPr="00912188">
              <w:rPr>
                <w:rFonts w:cs="Times New Roman"/>
                <w:b/>
                <w:color w:val="000000"/>
                <w:sz w:val="20"/>
                <w:szCs w:val="20"/>
              </w:rPr>
              <w:t>.645</w:t>
            </w:r>
          </w:p>
        </w:tc>
      </w:tr>
      <w:tr w:rsidR="00136390" w:rsidTr="00495247">
        <w:trPr>
          <w:trHeight w:hRule="exact" w:val="432"/>
        </w:trPr>
        <w:tc>
          <w:tcPr>
            <w:tcW w:w="0" w:type="auto"/>
            <w:vAlign w:val="center"/>
          </w:tcPr>
          <w:p w:rsidR="00136390" w:rsidRPr="00AD6F97" w:rsidRDefault="00136390" w:rsidP="009977C2">
            <w:pPr>
              <w:spacing w:line="240" w:lineRule="auto"/>
              <w:rPr>
                <w:rFonts w:ascii="Cambria Math" w:hAnsi="Cambria Math" w:cs="Times New Roman"/>
                <w:sz w:val="20"/>
                <w:szCs w:val="20"/>
              </w:rPr>
            </w:pPr>
            <w:r w:rsidRPr="00AD6F97">
              <w:rPr>
                <w:rFonts w:ascii="Cambria Math" w:hAnsi="Cambria Math" w:cs="Times New Roman"/>
                <w:sz w:val="20"/>
                <w:szCs w:val="20"/>
              </w:rPr>
              <w:t>FS</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.100</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.020</w:t>
            </w:r>
          </w:p>
        </w:tc>
        <w:tc>
          <w:tcPr>
            <w:tcW w:w="0" w:type="auto"/>
            <w:vAlign w:val="center"/>
          </w:tcPr>
          <w:p w:rsidR="00136390" w:rsidRPr="004E62ED" w:rsidRDefault="00136390" w:rsidP="00E02AB1">
            <w:pPr>
              <w:jc w:val="center"/>
              <w:rPr>
                <w:rFonts w:cs="Times New Roman"/>
                <w:color w:val="000000"/>
                <w:sz w:val="18"/>
                <w:szCs w:val="18"/>
              </w:rPr>
            </w:pPr>
            <w:r w:rsidRPr="004E62ED">
              <w:rPr>
                <w:rFonts w:cs="Times New Roman"/>
                <w:color w:val="000000"/>
                <w:sz w:val="18"/>
                <w:szCs w:val="18"/>
              </w:rPr>
              <w:t>5.077</w:t>
            </w:r>
          </w:p>
        </w:tc>
        <w:tc>
          <w:tcPr>
            <w:tcW w:w="0" w:type="auto"/>
            <w:vAlign w:val="center"/>
          </w:tcPr>
          <w:p w:rsidR="00136390" w:rsidRPr="00912188" w:rsidRDefault="00864160" w:rsidP="00E02AB1">
            <w:pPr>
              <w:autoSpaceDE w:val="0"/>
              <w:autoSpaceDN w:val="0"/>
              <w:adjustRightInd w:val="0"/>
              <w:spacing w:line="320" w:lineRule="atLeast"/>
              <w:ind w:left="60" w:right="60"/>
              <w:jc w:val="center"/>
              <w:rPr>
                <w:rFonts w:cs="Times New Roman"/>
                <w:b/>
                <w:color w:val="000000"/>
                <w:sz w:val="20"/>
                <w:szCs w:val="20"/>
              </w:rPr>
            </w:pPr>
            <w:r>
              <w:rPr>
                <w:rFonts w:cs="Times New Roman"/>
                <w:b/>
                <w:color w:val="000000"/>
                <w:sz w:val="20"/>
                <w:szCs w:val="20"/>
              </w:rPr>
              <w:t xml:space="preserve"> </w:t>
            </w:r>
            <w:r w:rsidR="0096148F" w:rsidRPr="00912188">
              <w:rPr>
                <w:rFonts w:cs="Times New Roman"/>
                <w:b/>
                <w:color w:val="000000"/>
                <w:sz w:val="20"/>
                <w:szCs w:val="20"/>
              </w:rPr>
              <w:t>0</w:t>
            </w:r>
            <w:r w:rsidR="00136390" w:rsidRPr="00912188">
              <w:rPr>
                <w:rFonts w:cs="Times New Roman"/>
                <w:b/>
                <w:color w:val="000000"/>
                <w:sz w:val="20"/>
                <w:szCs w:val="20"/>
              </w:rPr>
              <w:t>.000***</w:t>
            </w:r>
          </w:p>
        </w:tc>
        <w:tc>
          <w:tcPr>
            <w:tcW w:w="0" w:type="auto"/>
            <w:vAlign w:val="center"/>
          </w:tcPr>
          <w:p w:rsidR="00136390" w:rsidRPr="00AD6F97" w:rsidRDefault="00136390" w:rsidP="009977C2">
            <w:pPr>
              <w:spacing w:line="240" w:lineRule="auto"/>
              <w:rPr>
                <w:rFonts w:ascii="Cambria Math" w:hAnsi="Cambria Math" w:cs="Times New Roman"/>
                <w:sz w:val="20"/>
                <w:szCs w:val="20"/>
              </w:rPr>
            </w:pPr>
            <w:r w:rsidRPr="00AD6F97">
              <w:rPr>
                <w:rFonts w:ascii="Cambria Math" w:hAnsi="Cambria Math" w:cs="Times New Roman"/>
                <w:sz w:val="20"/>
                <w:szCs w:val="20"/>
              </w:rPr>
              <w:t>FS</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0" w:type="auto"/>
            <w:vAlign w:val="center"/>
          </w:tcPr>
          <w:p w:rsidR="00136390" w:rsidRPr="004E62ED" w:rsidRDefault="00136390" w:rsidP="00E02AB1">
            <w:pPr>
              <w:jc w:val="center"/>
              <w:rPr>
                <w:rFonts w:cs="Times New Roman"/>
                <w:color w:val="000000"/>
                <w:sz w:val="18"/>
                <w:szCs w:val="18"/>
              </w:rPr>
            </w:pPr>
            <w:r w:rsidRPr="004E62ED">
              <w:rPr>
                <w:rFonts w:cs="Times New Roman"/>
                <w:color w:val="000000"/>
                <w:sz w:val="18"/>
                <w:szCs w:val="18"/>
              </w:rPr>
              <w:t>-</w:t>
            </w:r>
            <w:r w:rsidR="00797170">
              <w:rPr>
                <w:rFonts w:cs="Times New Roman"/>
                <w:color w:val="000000"/>
                <w:sz w:val="18"/>
                <w:szCs w:val="18"/>
              </w:rPr>
              <w:t>0</w:t>
            </w:r>
            <w:r w:rsidRPr="004E62ED">
              <w:rPr>
                <w:rFonts w:cs="Times New Roman"/>
                <w:color w:val="000000"/>
                <w:sz w:val="18"/>
                <w:szCs w:val="18"/>
              </w:rPr>
              <w:t>.007</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.002</w:t>
            </w:r>
          </w:p>
        </w:tc>
        <w:tc>
          <w:tcPr>
            <w:tcW w:w="0" w:type="auto"/>
            <w:vAlign w:val="center"/>
          </w:tcPr>
          <w:p w:rsidR="00136390" w:rsidRPr="004E62ED" w:rsidRDefault="00136390" w:rsidP="00E02AB1">
            <w:pPr>
              <w:jc w:val="center"/>
              <w:rPr>
                <w:rFonts w:cs="Times New Roman"/>
                <w:color w:val="000000"/>
                <w:sz w:val="18"/>
                <w:szCs w:val="18"/>
              </w:rPr>
            </w:pPr>
            <w:r w:rsidRPr="004E62ED">
              <w:rPr>
                <w:rFonts w:cs="Times New Roman"/>
                <w:color w:val="000000"/>
                <w:sz w:val="18"/>
                <w:szCs w:val="18"/>
              </w:rPr>
              <w:t>-4.616</w:t>
            </w:r>
          </w:p>
        </w:tc>
        <w:tc>
          <w:tcPr>
            <w:tcW w:w="0" w:type="auto"/>
            <w:vAlign w:val="center"/>
          </w:tcPr>
          <w:p w:rsidR="00136390" w:rsidRPr="00912188" w:rsidRDefault="0096148F" w:rsidP="00E02AB1">
            <w:pPr>
              <w:autoSpaceDE w:val="0"/>
              <w:autoSpaceDN w:val="0"/>
              <w:adjustRightInd w:val="0"/>
              <w:spacing w:line="320" w:lineRule="atLeast"/>
              <w:ind w:left="60" w:right="60"/>
              <w:jc w:val="center"/>
              <w:rPr>
                <w:rFonts w:cs="Times New Roman"/>
                <w:b/>
                <w:color w:val="000000"/>
                <w:sz w:val="20"/>
                <w:szCs w:val="20"/>
              </w:rPr>
            </w:pPr>
            <w:r w:rsidRPr="00912188">
              <w:rPr>
                <w:rFonts w:cs="Times New Roman"/>
                <w:b/>
                <w:color w:val="000000"/>
                <w:sz w:val="20"/>
                <w:szCs w:val="20"/>
              </w:rPr>
              <w:t>0</w:t>
            </w:r>
            <w:r w:rsidR="00136390" w:rsidRPr="00912188">
              <w:rPr>
                <w:rFonts w:cs="Times New Roman"/>
                <w:b/>
                <w:color w:val="000000"/>
                <w:sz w:val="20"/>
                <w:szCs w:val="20"/>
              </w:rPr>
              <w:t>.000***</w:t>
            </w:r>
          </w:p>
        </w:tc>
      </w:tr>
      <w:tr w:rsidR="00136390" w:rsidTr="00495247">
        <w:trPr>
          <w:trHeight w:hRule="exact" w:val="432"/>
        </w:trPr>
        <w:tc>
          <w:tcPr>
            <w:tcW w:w="0" w:type="auto"/>
            <w:vAlign w:val="center"/>
          </w:tcPr>
          <w:p w:rsidR="00136390" w:rsidRPr="00AD6F97" w:rsidRDefault="00136390" w:rsidP="009977C2">
            <w:pPr>
              <w:spacing w:line="240" w:lineRule="auto"/>
              <w:rPr>
                <w:rFonts w:ascii="Cambria Math" w:hAnsi="Cambria Math" w:cs="Times New Roman"/>
                <w:sz w:val="20"/>
                <w:szCs w:val="20"/>
              </w:rPr>
            </w:pPr>
            <w:r w:rsidRPr="00AD6F97">
              <w:rPr>
                <w:rFonts w:ascii="Cambria Math" w:hAnsi="Cambria Math" w:cs="Times New Roman"/>
                <w:sz w:val="20"/>
                <w:szCs w:val="20"/>
              </w:rPr>
              <w:t>ROE</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.111</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.020</w:t>
            </w:r>
          </w:p>
        </w:tc>
        <w:tc>
          <w:tcPr>
            <w:tcW w:w="0" w:type="auto"/>
            <w:vAlign w:val="center"/>
          </w:tcPr>
          <w:p w:rsidR="00136390" w:rsidRPr="004E62ED" w:rsidRDefault="00136390" w:rsidP="00E02AB1">
            <w:pPr>
              <w:jc w:val="center"/>
              <w:rPr>
                <w:rFonts w:cs="Times New Roman"/>
                <w:color w:val="000000"/>
                <w:sz w:val="18"/>
                <w:szCs w:val="18"/>
              </w:rPr>
            </w:pPr>
            <w:r w:rsidRPr="004E62ED">
              <w:rPr>
                <w:rFonts w:cs="Times New Roman"/>
                <w:color w:val="000000"/>
                <w:sz w:val="18"/>
                <w:szCs w:val="18"/>
              </w:rPr>
              <w:t>5.694</w:t>
            </w:r>
          </w:p>
        </w:tc>
        <w:tc>
          <w:tcPr>
            <w:tcW w:w="0" w:type="auto"/>
            <w:vAlign w:val="center"/>
          </w:tcPr>
          <w:p w:rsidR="00136390" w:rsidRPr="00912188" w:rsidRDefault="00864160" w:rsidP="00E02AB1">
            <w:pPr>
              <w:autoSpaceDE w:val="0"/>
              <w:autoSpaceDN w:val="0"/>
              <w:adjustRightInd w:val="0"/>
              <w:spacing w:line="320" w:lineRule="atLeast"/>
              <w:ind w:left="60" w:right="60"/>
              <w:jc w:val="center"/>
              <w:rPr>
                <w:rFonts w:cs="Times New Roman"/>
                <w:b/>
                <w:color w:val="000000"/>
                <w:sz w:val="20"/>
                <w:szCs w:val="20"/>
              </w:rPr>
            </w:pPr>
            <w:r>
              <w:rPr>
                <w:rFonts w:cs="Times New Roman"/>
                <w:b/>
                <w:color w:val="000000"/>
                <w:sz w:val="20"/>
                <w:szCs w:val="20"/>
              </w:rPr>
              <w:t xml:space="preserve"> </w:t>
            </w:r>
            <w:r w:rsidR="0096148F" w:rsidRPr="00912188">
              <w:rPr>
                <w:rFonts w:cs="Times New Roman"/>
                <w:b/>
                <w:color w:val="000000"/>
                <w:sz w:val="20"/>
                <w:szCs w:val="20"/>
              </w:rPr>
              <w:t>0</w:t>
            </w:r>
            <w:r w:rsidR="00136390" w:rsidRPr="00912188">
              <w:rPr>
                <w:rFonts w:cs="Times New Roman"/>
                <w:b/>
                <w:color w:val="000000"/>
                <w:sz w:val="20"/>
                <w:szCs w:val="20"/>
              </w:rPr>
              <w:t>.000***</w:t>
            </w:r>
          </w:p>
        </w:tc>
        <w:tc>
          <w:tcPr>
            <w:tcW w:w="0" w:type="auto"/>
            <w:vAlign w:val="center"/>
          </w:tcPr>
          <w:p w:rsidR="00136390" w:rsidRPr="00AD6F97" w:rsidRDefault="00136390" w:rsidP="009977C2">
            <w:pPr>
              <w:spacing w:line="240" w:lineRule="auto"/>
              <w:rPr>
                <w:rFonts w:ascii="Cambria Math" w:hAnsi="Cambria Math" w:cs="Times New Roman"/>
                <w:sz w:val="20"/>
                <w:szCs w:val="20"/>
              </w:rPr>
            </w:pPr>
            <w:r w:rsidRPr="00AD6F97">
              <w:rPr>
                <w:rFonts w:ascii="Cambria Math" w:hAnsi="Cambria Math" w:cs="Times New Roman"/>
                <w:sz w:val="20"/>
                <w:szCs w:val="20"/>
              </w:rPr>
              <w:t>ROE</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0" w:type="auto"/>
            <w:vAlign w:val="center"/>
          </w:tcPr>
          <w:p w:rsidR="00136390" w:rsidRPr="004E62ED" w:rsidRDefault="00797170"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.005</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.001</w:t>
            </w:r>
          </w:p>
        </w:tc>
        <w:tc>
          <w:tcPr>
            <w:tcW w:w="0" w:type="auto"/>
            <w:vAlign w:val="center"/>
          </w:tcPr>
          <w:p w:rsidR="00136390" w:rsidRPr="004E62ED" w:rsidRDefault="00136390" w:rsidP="00E02AB1">
            <w:pPr>
              <w:jc w:val="center"/>
              <w:rPr>
                <w:rFonts w:cs="Times New Roman"/>
                <w:color w:val="000000"/>
                <w:sz w:val="18"/>
                <w:szCs w:val="18"/>
              </w:rPr>
            </w:pPr>
            <w:r w:rsidRPr="004E62ED">
              <w:rPr>
                <w:rFonts w:cs="Times New Roman"/>
                <w:color w:val="000000"/>
                <w:sz w:val="18"/>
                <w:szCs w:val="18"/>
              </w:rPr>
              <w:t>6.120</w:t>
            </w:r>
          </w:p>
        </w:tc>
        <w:tc>
          <w:tcPr>
            <w:tcW w:w="0" w:type="auto"/>
            <w:vAlign w:val="center"/>
          </w:tcPr>
          <w:p w:rsidR="00136390" w:rsidRPr="00912188" w:rsidRDefault="0096148F" w:rsidP="00E02AB1">
            <w:pPr>
              <w:autoSpaceDE w:val="0"/>
              <w:autoSpaceDN w:val="0"/>
              <w:adjustRightInd w:val="0"/>
              <w:spacing w:line="320" w:lineRule="atLeast"/>
              <w:ind w:left="60" w:right="60"/>
              <w:jc w:val="center"/>
              <w:rPr>
                <w:rFonts w:cs="Times New Roman"/>
                <w:b/>
                <w:color w:val="000000"/>
                <w:sz w:val="20"/>
                <w:szCs w:val="20"/>
              </w:rPr>
            </w:pPr>
            <w:r w:rsidRPr="00912188">
              <w:rPr>
                <w:rFonts w:cs="Times New Roman"/>
                <w:b/>
                <w:color w:val="000000"/>
                <w:sz w:val="20"/>
                <w:szCs w:val="20"/>
              </w:rPr>
              <w:t>0</w:t>
            </w:r>
            <w:r w:rsidR="00136390" w:rsidRPr="00912188">
              <w:rPr>
                <w:rFonts w:cs="Times New Roman"/>
                <w:b/>
                <w:color w:val="000000"/>
                <w:sz w:val="20"/>
                <w:szCs w:val="20"/>
              </w:rPr>
              <w:t>.000***</w:t>
            </w:r>
          </w:p>
        </w:tc>
      </w:tr>
      <w:tr w:rsidR="00136390" w:rsidRPr="00663DD8" w:rsidTr="00495247">
        <w:trPr>
          <w:trHeight w:hRule="exact" w:val="432"/>
        </w:trPr>
        <w:tc>
          <w:tcPr>
            <w:tcW w:w="0" w:type="auto"/>
            <w:vAlign w:val="center"/>
          </w:tcPr>
          <w:p w:rsidR="00136390" w:rsidRPr="00AD6F97" w:rsidRDefault="00136390" w:rsidP="009977C2">
            <w:pPr>
              <w:spacing w:line="240" w:lineRule="auto"/>
              <w:rPr>
                <w:rFonts w:ascii="Cambria Math" w:hAnsi="Cambria Math" w:cs="Times New Roman"/>
                <w:sz w:val="20"/>
                <w:szCs w:val="20"/>
              </w:rPr>
            </w:pPr>
            <w:r w:rsidRPr="00AD6F97">
              <w:rPr>
                <w:rFonts w:ascii="Cambria Math" w:hAnsi="Cambria Math" w:cs="Times New Roman"/>
                <w:sz w:val="20"/>
                <w:szCs w:val="20"/>
              </w:rPr>
              <w:t>Leverage</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.008</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.019</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.396</w:t>
            </w:r>
          </w:p>
        </w:tc>
        <w:tc>
          <w:tcPr>
            <w:tcW w:w="0" w:type="auto"/>
            <w:vAlign w:val="center"/>
          </w:tcPr>
          <w:p w:rsidR="00136390" w:rsidRPr="00912188" w:rsidRDefault="00864160" w:rsidP="00864160">
            <w:pPr>
              <w:autoSpaceDE w:val="0"/>
              <w:autoSpaceDN w:val="0"/>
              <w:adjustRightInd w:val="0"/>
              <w:spacing w:line="320" w:lineRule="atLeast"/>
              <w:ind w:left="60" w:right="60"/>
              <w:rPr>
                <w:rFonts w:cs="Times New Roman"/>
                <w:b/>
                <w:color w:val="000000"/>
                <w:sz w:val="20"/>
                <w:szCs w:val="20"/>
              </w:rPr>
            </w:pPr>
            <w:r>
              <w:rPr>
                <w:rFonts w:cs="Times New Roman"/>
                <w:b/>
                <w:color w:val="000000"/>
                <w:sz w:val="20"/>
                <w:szCs w:val="20"/>
              </w:rPr>
              <w:t xml:space="preserve">     </w:t>
            </w:r>
            <w:r w:rsidR="0096148F" w:rsidRPr="00912188">
              <w:rPr>
                <w:rFonts w:cs="Times New Roman"/>
                <w:b/>
                <w:color w:val="000000"/>
                <w:sz w:val="20"/>
                <w:szCs w:val="20"/>
              </w:rPr>
              <w:t>0</w:t>
            </w:r>
            <w:r w:rsidR="00136390" w:rsidRPr="00912188">
              <w:rPr>
                <w:rFonts w:cs="Times New Roman"/>
                <w:b/>
                <w:color w:val="000000"/>
                <w:sz w:val="20"/>
                <w:szCs w:val="20"/>
              </w:rPr>
              <w:t>.692</w:t>
            </w:r>
          </w:p>
        </w:tc>
        <w:tc>
          <w:tcPr>
            <w:tcW w:w="0" w:type="auto"/>
            <w:vAlign w:val="center"/>
          </w:tcPr>
          <w:p w:rsidR="00136390" w:rsidRPr="00AD6F97" w:rsidRDefault="00136390" w:rsidP="009977C2">
            <w:pPr>
              <w:spacing w:line="240" w:lineRule="auto"/>
              <w:rPr>
                <w:rFonts w:ascii="Cambria Math" w:hAnsi="Cambria Math" w:cs="Times New Roman"/>
                <w:sz w:val="20"/>
                <w:szCs w:val="20"/>
              </w:rPr>
            </w:pPr>
            <w:r w:rsidRPr="00AD6F97">
              <w:rPr>
                <w:rFonts w:ascii="Cambria Math" w:hAnsi="Cambria Math" w:cs="Times New Roman"/>
                <w:sz w:val="20"/>
                <w:szCs w:val="20"/>
              </w:rPr>
              <w:t>Leverage</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0" w:type="auto"/>
            <w:vAlign w:val="center"/>
          </w:tcPr>
          <w:p w:rsidR="00136390" w:rsidRPr="004E62ED" w:rsidRDefault="00136390" w:rsidP="00E02AB1">
            <w:pPr>
              <w:jc w:val="center"/>
              <w:rPr>
                <w:rFonts w:cs="Times New Roman"/>
                <w:color w:val="000000"/>
                <w:sz w:val="18"/>
                <w:szCs w:val="18"/>
              </w:rPr>
            </w:pPr>
            <w:r w:rsidRPr="004E62ED">
              <w:rPr>
                <w:rFonts w:cs="Times New Roman"/>
                <w:color w:val="000000"/>
                <w:sz w:val="18"/>
                <w:szCs w:val="18"/>
              </w:rPr>
              <w:t>-</w:t>
            </w:r>
            <w:r w:rsidR="00797170">
              <w:rPr>
                <w:rFonts w:cs="Times New Roman"/>
                <w:color w:val="000000"/>
                <w:sz w:val="18"/>
                <w:szCs w:val="18"/>
              </w:rPr>
              <w:t>0</w:t>
            </w:r>
            <w:r w:rsidRPr="004E62ED">
              <w:rPr>
                <w:rFonts w:cs="Times New Roman"/>
                <w:color w:val="000000"/>
                <w:sz w:val="18"/>
                <w:szCs w:val="18"/>
              </w:rPr>
              <w:t>.006</w:t>
            </w:r>
          </w:p>
        </w:tc>
        <w:tc>
          <w:tcPr>
            <w:tcW w:w="0" w:type="auto"/>
            <w:vAlign w:val="center"/>
          </w:tcPr>
          <w:p w:rsidR="00136390" w:rsidRPr="004E62ED" w:rsidRDefault="0096148F" w:rsidP="00E02AB1">
            <w:pPr>
              <w:jc w:val="center"/>
              <w:rPr>
                <w:rFonts w:cs="Times New Roman"/>
                <w:color w:val="000000"/>
                <w:sz w:val="18"/>
                <w:szCs w:val="18"/>
              </w:rPr>
            </w:pPr>
            <w:r>
              <w:rPr>
                <w:rFonts w:cs="Times New Roman"/>
                <w:color w:val="000000"/>
                <w:sz w:val="18"/>
                <w:szCs w:val="18"/>
              </w:rPr>
              <w:t>0</w:t>
            </w:r>
            <w:r w:rsidR="00136390" w:rsidRPr="004E62ED">
              <w:rPr>
                <w:rFonts w:cs="Times New Roman"/>
                <w:color w:val="000000"/>
                <w:sz w:val="18"/>
                <w:szCs w:val="18"/>
              </w:rPr>
              <w:t>.004</w:t>
            </w:r>
          </w:p>
        </w:tc>
        <w:tc>
          <w:tcPr>
            <w:tcW w:w="0" w:type="auto"/>
            <w:vAlign w:val="center"/>
          </w:tcPr>
          <w:p w:rsidR="00136390" w:rsidRPr="004E62ED" w:rsidRDefault="00136390" w:rsidP="00E02AB1">
            <w:pPr>
              <w:jc w:val="center"/>
              <w:rPr>
                <w:rFonts w:cs="Times New Roman"/>
                <w:color w:val="000000"/>
                <w:sz w:val="18"/>
                <w:szCs w:val="18"/>
              </w:rPr>
            </w:pPr>
            <w:r w:rsidRPr="004E62ED">
              <w:rPr>
                <w:rFonts w:cs="Times New Roman"/>
                <w:color w:val="000000"/>
                <w:sz w:val="18"/>
                <w:szCs w:val="18"/>
              </w:rPr>
              <w:t>-1.569</w:t>
            </w:r>
          </w:p>
        </w:tc>
        <w:tc>
          <w:tcPr>
            <w:tcW w:w="0" w:type="auto"/>
            <w:vAlign w:val="center"/>
          </w:tcPr>
          <w:p w:rsidR="00136390" w:rsidRPr="00912188" w:rsidRDefault="00A33A3B" w:rsidP="00A33A3B">
            <w:pPr>
              <w:autoSpaceDE w:val="0"/>
              <w:autoSpaceDN w:val="0"/>
              <w:adjustRightInd w:val="0"/>
              <w:spacing w:line="320" w:lineRule="atLeast"/>
              <w:ind w:left="60" w:right="60"/>
              <w:rPr>
                <w:rFonts w:cs="Times New Roman"/>
                <w:b/>
                <w:color w:val="000000"/>
                <w:sz w:val="20"/>
                <w:szCs w:val="20"/>
              </w:rPr>
            </w:pPr>
            <w:r>
              <w:rPr>
                <w:rFonts w:cs="Times New Roman"/>
                <w:b/>
                <w:color w:val="000000"/>
                <w:sz w:val="20"/>
                <w:szCs w:val="20"/>
              </w:rPr>
              <w:t xml:space="preserve">    </w:t>
            </w:r>
            <w:r w:rsidR="0096148F" w:rsidRPr="00912188">
              <w:rPr>
                <w:rFonts w:cs="Times New Roman"/>
                <w:b/>
                <w:color w:val="000000"/>
                <w:sz w:val="20"/>
                <w:szCs w:val="20"/>
              </w:rPr>
              <w:t>0</w:t>
            </w:r>
            <w:r w:rsidR="00136390" w:rsidRPr="00912188">
              <w:rPr>
                <w:rFonts w:cs="Times New Roman"/>
                <w:b/>
                <w:color w:val="000000"/>
                <w:sz w:val="20"/>
                <w:szCs w:val="20"/>
              </w:rPr>
              <w:t>.117</w:t>
            </w:r>
          </w:p>
        </w:tc>
      </w:tr>
      <w:tr w:rsidR="00136390" w:rsidRPr="00663DD8" w:rsidTr="00495247">
        <w:trPr>
          <w:trHeight w:hRule="exact" w:val="432"/>
        </w:trPr>
        <w:tc>
          <w:tcPr>
            <w:tcW w:w="0" w:type="auto"/>
            <w:vAlign w:val="center"/>
          </w:tcPr>
          <w:p w:rsidR="00136390" w:rsidRPr="00DA0653" w:rsidRDefault="00136390" w:rsidP="00E02AB1">
            <w:pPr>
              <w:rPr>
                <w:rFonts w:cs="Times New Roman"/>
                <w:b/>
                <w:sz w:val="20"/>
                <w:szCs w:val="20"/>
              </w:rPr>
            </w:pPr>
            <w:r w:rsidRPr="00DA0653">
              <w:rPr>
                <w:rFonts w:cs="Times New Roman"/>
                <w:b/>
                <w:sz w:val="20"/>
                <w:szCs w:val="20"/>
              </w:rPr>
              <w:t xml:space="preserve">R-squared </w:t>
            </w:r>
          </w:p>
        </w:tc>
        <w:tc>
          <w:tcPr>
            <w:tcW w:w="0" w:type="auto"/>
            <w:gridSpan w:val="4"/>
            <w:vAlign w:val="center"/>
          </w:tcPr>
          <w:p w:rsidR="00136390" w:rsidRPr="004E62ED" w:rsidRDefault="0096148F" w:rsidP="00E02AB1">
            <w:pPr>
              <w:jc w:val="center"/>
              <w:rPr>
                <w:rFonts w:cs="Times New Roman"/>
                <w:sz w:val="18"/>
                <w:szCs w:val="18"/>
              </w:rPr>
            </w:pPr>
            <w:r>
              <w:rPr>
                <w:rFonts w:cs="Times New Roman"/>
                <w:color w:val="000000"/>
                <w:sz w:val="18"/>
                <w:szCs w:val="18"/>
              </w:rPr>
              <w:t>0</w:t>
            </w:r>
            <w:r w:rsidR="00136390" w:rsidRPr="004E62ED">
              <w:rPr>
                <w:rFonts w:cs="Times New Roman"/>
                <w:color w:val="000000"/>
                <w:sz w:val="18"/>
                <w:szCs w:val="18"/>
              </w:rPr>
              <w:t>.016</w:t>
            </w:r>
          </w:p>
        </w:tc>
        <w:tc>
          <w:tcPr>
            <w:tcW w:w="0" w:type="auto"/>
            <w:gridSpan w:val="5"/>
            <w:vAlign w:val="center"/>
          </w:tcPr>
          <w:p w:rsidR="00136390" w:rsidRPr="004E62ED" w:rsidRDefault="0096148F" w:rsidP="00E02AB1">
            <w:pPr>
              <w:jc w:val="center"/>
              <w:rPr>
                <w:rFonts w:cs="Times New Roman"/>
                <w:sz w:val="18"/>
                <w:szCs w:val="18"/>
              </w:rPr>
            </w:pPr>
            <w:r>
              <w:rPr>
                <w:rFonts w:cs="Times New Roman"/>
                <w:color w:val="000000"/>
                <w:sz w:val="18"/>
                <w:szCs w:val="18"/>
              </w:rPr>
              <w:t>0</w:t>
            </w:r>
            <w:r w:rsidR="00136390" w:rsidRPr="004E62ED">
              <w:rPr>
                <w:rFonts w:cs="Times New Roman"/>
                <w:color w:val="000000"/>
                <w:sz w:val="18"/>
                <w:szCs w:val="18"/>
              </w:rPr>
              <w:t>.050</w:t>
            </w:r>
          </w:p>
        </w:tc>
      </w:tr>
      <w:tr w:rsidR="00136390" w:rsidRPr="00663DD8" w:rsidTr="00495247">
        <w:trPr>
          <w:trHeight w:hRule="exact" w:val="432"/>
        </w:trPr>
        <w:tc>
          <w:tcPr>
            <w:tcW w:w="0" w:type="auto"/>
            <w:vAlign w:val="center"/>
          </w:tcPr>
          <w:p w:rsidR="00136390" w:rsidRPr="00DA0653" w:rsidRDefault="00136390" w:rsidP="00E02AB1">
            <w:pPr>
              <w:rPr>
                <w:rFonts w:cs="Times New Roman"/>
                <w:b/>
                <w:sz w:val="20"/>
                <w:szCs w:val="20"/>
              </w:rPr>
            </w:pPr>
            <w:r w:rsidRPr="00DA0653">
              <w:rPr>
                <w:rFonts w:cs="Times New Roman"/>
                <w:b/>
                <w:sz w:val="20"/>
                <w:szCs w:val="20"/>
              </w:rPr>
              <w:t xml:space="preserve">Adjusted R -squared </w:t>
            </w:r>
          </w:p>
        </w:tc>
        <w:tc>
          <w:tcPr>
            <w:tcW w:w="0" w:type="auto"/>
            <w:gridSpan w:val="4"/>
            <w:vAlign w:val="center"/>
          </w:tcPr>
          <w:p w:rsidR="00136390" w:rsidRPr="004E62ED" w:rsidRDefault="0096148F" w:rsidP="00E02AB1">
            <w:pPr>
              <w:jc w:val="center"/>
              <w:rPr>
                <w:rFonts w:cs="Times New Roman"/>
                <w:sz w:val="18"/>
                <w:szCs w:val="18"/>
              </w:rPr>
            </w:pPr>
            <w:r>
              <w:rPr>
                <w:rFonts w:cs="Times New Roman"/>
                <w:color w:val="000000"/>
                <w:sz w:val="18"/>
                <w:szCs w:val="18"/>
              </w:rPr>
              <w:t>0</w:t>
            </w:r>
            <w:r w:rsidR="00136390" w:rsidRPr="004E62ED">
              <w:rPr>
                <w:rFonts w:cs="Times New Roman"/>
                <w:color w:val="000000"/>
                <w:sz w:val="18"/>
                <w:szCs w:val="18"/>
              </w:rPr>
              <w:t>.014</w:t>
            </w:r>
          </w:p>
        </w:tc>
        <w:tc>
          <w:tcPr>
            <w:tcW w:w="0" w:type="auto"/>
            <w:gridSpan w:val="5"/>
            <w:vAlign w:val="center"/>
          </w:tcPr>
          <w:p w:rsidR="00136390" w:rsidRPr="004E62ED" w:rsidRDefault="0096148F" w:rsidP="00E02AB1">
            <w:pPr>
              <w:jc w:val="center"/>
              <w:rPr>
                <w:rFonts w:cs="Times New Roman"/>
                <w:sz w:val="18"/>
                <w:szCs w:val="18"/>
              </w:rPr>
            </w:pPr>
            <w:r>
              <w:rPr>
                <w:rFonts w:cs="Times New Roman"/>
                <w:color w:val="000000"/>
                <w:sz w:val="18"/>
                <w:szCs w:val="18"/>
              </w:rPr>
              <w:t>0</w:t>
            </w:r>
            <w:r w:rsidR="00136390" w:rsidRPr="004E62ED">
              <w:rPr>
                <w:rFonts w:cs="Times New Roman"/>
                <w:color w:val="000000"/>
                <w:sz w:val="18"/>
                <w:szCs w:val="18"/>
              </w:rPr>
              <w:t>.046</w:t>
            </w:r>
          </w:p>
        </w:tc>
      </w:tr>
      <w:tr w:rsidR="00136390" w:rsidRPr="00663DD8" w:rsidTr="00495247">
        <w:trPr>
          <w:trHeight w:hRule="exact" w:val="432"/>
        </w:trPr>
        <w:tc>
          <w:tcPr>
            <w:tcW w:w="0" w:type="auto"/>
            <w:vAlign w:val="center"/>
          </w:tcPr>
          <w:p w:rsidR="00136390" w:rsidRPr="00DA0653" w:rsidRDefault="00136390" w:rsidP="00E02AB1">
            <w:pPr>
              <w:rPr>
                <w:rFonts w:cs="Times New Roman"/>
                <w:b/>
                <w:sz w:val="20"/>
                <w:szCs w:val="20"/>
              </w:rPr>
            </w:pPr>
            <w:r w:rsidRPr="00DA0653">
              <w:rPr>
                <w:rFonts w:cs="Times New Roman"/>
                <w:b/>
                <w:sz w:val="20"/>
                <w:szCs w:val="20"/>
              </w:rPr>
              <w:t>F-Statistic</w:t>
            </w:r>
            <w:r>
              <w:rPr>
                <w:rFonts w:cs="Times New Roman"/>
                <w:b/>
                <w:sz w:val="20"/>
                <w:szCs w:val="20"/>
              </w:rPr>
              <w:t>(p-value )</w:t>
            </w:r>
          </w:p>
        </w:tc>
        <w:tc>
          <w:tcPr>
            <w:tcW w:w="0" w:type="auto"/>
            <w:gridSpan w:val="4"/>
            <w:vAlign w:val="center"/>
          </w:tcPr>
          <w:p w:rsidR="00136390" w:rsidRPr="004E62ED" w:rsidRDefault="00136390" w:rsidP="00E02AB1">
            <w:pPr>
              <w:jc w:val="center"/>
              <w:rPr>
                <w:rFonts w:cs="Times New Roman"/>
                <w:sz w:val="18"/>
                <w:szCs w:val="18"/>
              </w:rPr>
            </w:pPr>
            <w:r w:rsidRPr="004E62ED">
              <w:rPr>
                <w:rFonts w:cs="Times New Roman"/>
                <w:color w:val="000000"/>
                <w:sz w:val="18"/>
                <w:szCs w:val="18"/>
              </w:rPr>
              <w:t>8.00(.000***)</w:t>
            </w:r>
          </w:p>
        </w:tc>
        <w:tc>
          <w:tcPr>
            <w:tcW w:w="0" w:type="auto"/>
            <w:gridSpan w:val="5"/>
            <w:vAlign w:val="center"/>
          </w:tcPr>
          <w:p w:rsidR="00136390" w:rsidRPr="004E62ED" w:rsidRDefault="00136390" w:rsidP="00E02AB1">
            <w:pPr>
              <w:autoSpaceDE w:val="0"/>
              <w:autoSpaceDN w:val="0"/>
              <w:adjustRightInd w:val="0"/>
              <w:spacing w:line="320" w:lineRule="atLeast"/>
              <w:ind w:left="60" w:right="60"/>
              <w:jc w:val="center"/>
              <w:rPr>
                <w:rFonts w:cs="Times New Roman"/>
                <w:sz w:val="18"/>
                <w:szCs w:val="18"/>
              </w:rPr>
            </w:pPr>
            <w:r w:rsidRPr="004E62ED">
              <w:rPr>
                <w:rFonts w:cs="Times New Roman"/>
                <w:color w:val="000000"/>
                <w:sz w:val="18"/>
                <w:szCs w:val="18"/>
              </w:rPr>
              <w:t>16.817(.000***)</w:t>
            </w:r>
          </w:p>
        </w:tc>
      </w:tr>
      <w:tr w:rsidR="00136390" w:rsidRPr="00663DD8" w:rsidTr="00495247">
        <w:trPr>
          <w:trHeight w:val="244"/>
        </w:trPr>
        <w:tc>
          <w:tcPr>
            <w:tcW w:w="0" w:type="auto"/>
            <w:gridSpan w:val="10"/>
          </w:tcPr>
          <w:p w:rsidR="00136390" w:rsidRPr="00982A51" w:rsidRDefault="00136390" w:rsidP="00495247">
            <w:pPr>
              <w:spacing w:before="0" w:after="0" w:line="240" w:lineRule="auto"/>
              <w:rPr>
                <w:rFonts w:cs="Times New Roman"/>
                <w:sz w:val="20"/>
                <w:szCs w:val="20"/>
              </w:rPr>
            </w:pPr>
            <w:r w:rsidRPr="00982A51">
              <w:rPr>
                <w:rFonts w:cs="Times New Roman"/>
                <w:sz w:val="20"/>
                <w:szCs w:val="20"/>
              </w:rPr>
              <w:t>*. Correlation is significant at the 0.</w:t>
            </w:r>
            <w:r>
              <w:rPr>
                <w:rFonts w:cs="Times New Roman"/>
                <w:sz w:val="20"/>
                <w:szCs w:val="20"/>
              </w:rPr>
              <w:t xml:space="preserve">1, </w:t>
            </w:r>
            <w:r w:rsidRPr="00982A51">
              <w:rPr>
                <w:rFonts w:cs="Times New Roman"/>
                <w:sz w:val="20"/>
                <w:szCs w:val="20"/>
              </w:rPr>
              <w:t>**. Correlation is significant at the 0.05</w:t>
            </w:r>
            <w:r>
              <w:rPr>
                <w:rFonts w:cs="Times New Roman"/>
                <w:sz w:val="20"/>
                <w:szCs w:val="20"/>
              </w:rPr>
              <w:t xml:space="preserve">, </w:t>
            </w:r>
            <w:r w:rsidRPr="00982A51">
              <w:rPr>
                <w:rFonts w:cs="Times New Roman"/>
                <w:sz w:val="20"/>
                <w:szCs w:val="20"/>
              </w:rPr>
              <w:t>***.Correlation is significant at the 0.01</w:t>
            </w:r>
            <w:r w:rsidRPr="00982A51">
              <w:rPr>
                <w:rFonts w:cs="Times New Roman"/>
                <w:color w:val="000000"/>
                <w:sz w:val="20"/>
                <w:szCs w:val="20"/>
              </w:rPr>
              <w:t xml:space="preserve"> </w:t>
            </w:r>
          </w:p>
        </w:tc>
      </w:tr>
      <w:tr w:rsidR="00136390" w:rsidRPr="00663DD8" w:rsidTr="00495247">
        <w:trPr>
          <w:trHeight w:val="260"/>
        </w:trPr>
        <w:tc>
          <w:tcPr>
            <w:tcW w:w="0" w:type="auto"/>
            <w:gridSpan w:val="10"/>
            <w:vAlign w:val="center"/>
          </w:tcPr>
          <w:p w:rsidR="00136390" w:rsidRPr="00982A51" w:rsidRDefault="00136390" w:rsidP="00DF111B">
            <w:pPr>
              <w:rPr>
                <w:rFonts w:cs="Times New Roman"/>
                <w:sz w:val="20"/>
                <w:szCs w:val="20"/>
              </w:rPr>
            </w:pPr>
            <w:r w:rsidRPr="00686E2F">
              <w:rPr>
                <w:rFonts w:cs="Times New Roman"/>
                <w:sz w:val="20"/>
                <w:szCs w:val="20"/>
              </w:rPr>
              <w:t xml:space="preserve">This table summarizes the </w:t>
            </w:r>
            <w:r>
              <w:rPr>
                <w:rFonts w:cs="Times New Roman"/>
                <w:sz w:val="20"/>
                <w:szCs w:val="20"/>
              </w:rPr>
              <w:t xml:space="preserve">results of OLS regression based on the sample of </w:t>
            </w:r>
            <w:r w:rsidRPr="00686E2F">
              <w:rPr>
                <w:rFonts w:cs="Times New Roman"/>
                <w:sz w:val="20"/>
                <w:szCs w:val="20"/>
              </w:rPr>
              <w:t xml:space="preserve">China and U.S. </w:t>
            </w:r>
            <w:r w:rsidRPr="00AD6F97">
              <w:rPr>
                <w:rFonts w:ascii="Cambria Math" w:hAnsi="Cambria Math" w:cs="Times New Roman"/>
                <w:b/>
                <w:i/>
                <w:sz w:val="20"/>
                <w:szCs w:val="20"/>
              </w:rPr>
              <w:t xml:space="preserve"> BS</w:t>
            </w:r>
            <w:r w:rsidRPr="00AD6F97">
              <w:rPr>
                <w:rFonts w:ascii="Cambria Math" w:hAnsi="Cambria Math" w:cs="Times New Roman"/>
                <w:i/>
                <w:sz w:val="20"/>
                <w:szCs w:val="20"/>
                <w:vertAlign w:val="subscript"/>
              </w:rPr>
              <w:t>i,t</w:t>
            </w:r>
            <w:r w:rsidRPr="00686E2F">
              <w:rPr>
                <w:rFonts w:cs="Times New Roman"/>
                <w:sz w:val="20"/>
                <w:szCs w:val="20"/>
              </w:rPr>
              <w:t xml:space="preserve"> = the number of board members. </w:t>
            </w:r>
            <w:r w:rsidRPr="00AD6F97">
              <w:rPr>
                <w:rFonts w:ascii="Cambria Math" w:hAnsi="Cambria Math" w:cs="Times New Roman"/>
                <w:sz w:val="20"/>
                <w:szCs w:val="20"/>
              </w:rPr>
              <w:t>BI</w:t>
            </w:r>
            <w:r w:rsidRPr="00AD6F97">
              <w:rPr>
                <w:rFonts w:ascii="Cambria Math" w:hAnsi="Cambria Math" w:cs="Times New Roman"/>
                <w:i/>
                <w:sz w:val="20"/>
                <w:szCs w:val="20"/>
                <w:vertAlign w:val="subscript"/>
              </w:rPr>
              <w:t>i,t</w:t>
            </w:r>
            <w:r w:rsidRPr="00686E2F">
              <w:rPr>
                <w:rFonts w:cs="Times New Roman"/>
                <w:sz w:val="20"/>
                <w:szCs w:val="20"/>
              </w:rPr>
              <w:t xml:space="preserve"> =</w:t>
            </w:r>
            <w:r w:rsidRPr="00686E2F">
              <w:rPr>
                <w:rFonts w:eastAsia="SimSun" w:cs="Times New Roman"/>
                <w:sz w:val="20"/>
                <w:szCs w:val="20"/>
                <w:lang w:eastAsia="en-US"/>
              </w:rPr>
              <w:t xml:space="preserve"> </w:t>
            </w:r>
            <w:r>
              <w:rPr>
                <w:rFonts w:cs="Times New Roman" w:hint="eastAsia"/>
                <w:sz w:val="20"/>
                <w:szCs w:val="20"/>
              </w:rPr>
              <w:t>ratio</w:t>
            </w:r>
            <w:r w:rsidRPr="00686E2F">
              <w:rPr>
                <w:rFonts w:cs="Times New Roman"/>
                <w:sz w:val="20"/>
                <w:szCs w:val="20"/>
              </w:rPr>
              <w:t xml:space="preserve"> of independent directors to total board size. </w:t>
            </w:r>
            <w:r w:rsidRPr="00AD6F97">
              <w:rPr>
                <w:rFonts w:ascii="Cambria Math" w:hAnsi="Cambria Math" w:cs="Times New Roman"/>
                <w:sz w:val="20"/>
                <w:szCs w:val="20"/>
              </w:rPr>
              <w:t>CEO-dumm</w:t>
            </w:r>
            <w:r w:rsidR="00C82A02">
              <w:rPr>
                <w:rFonts w:ascii="Cambria Math" w:hAnsi="Cambria Math" w:cs="Times New Roman"/>
                <w:sz w:val="20"/>
                <w:szCs w:val="20"/>
              </w:rPr>
              <w:t>y</w:t>
            </w:r>
            <w:r w:rsidRPr="00AD6F97">
              <w:rPr>
                <w:rFonts w:ascii="Cambria Math" w:hAnsi="Cambria Math" w:cs="Times New Roman"/>
                <w:i/>
                <w:sz w:val="20"/>
                <w:szCs w:val="20"/>
                <w:vertAlign w:val="subscript"/>
              </w:rPr>
              <w:t>i,t</w:t>
            </w:r>
            <w:r w:rsidRPr="00686E2F">
              <w:rPr>
                <w:rFonts w:cs="Times New Roman"/>
                <w:sz w:val="20"/>
                <w:szCs w:val="20"/>
              </w:rPr>
              <w:t xml:space="preserve"> = 1 if CEO is Chairman, equal to 0 if otherwise. </w:t>
            </w:r>
            <w:r w:rsidRPr="00AD6F97">
              <w:rPr>
                <w:rFonts w:ascii="Cambria Math" w:hAnsi="Cambria Math" w:cs="Times New Roman"/>
                <w:b/>
                <w:i/>
                <w:sz w:val="20"/>
                <w:szCs w:val="20"/>
              </w:rPr>
              <w:t>SBS</w:t>
            </w:r>
            <w:r w:rsidRPr="00AD6F97">
              <w:rPr>
                <w:rFonts w:ascii="Cambria Math" w:hAnsi="Cambria Math" w:cs="Times New Roman"/>
                <w:i/>
                <w:sz w:val="20"/>
                <w:szCs w:val="20"/>
                <w:vertAlign w:val="subscript"/>
              </w:rPr>
              <w:t>i,t</w:t>
            </w:r>
            <w:r w:rsidRPr="00686E2F">
              <w:rPr>
                <w:rFonts w:cs="Times New Roman"/>
                <w:b/>
                <w:i/>
                <w:sz w:val="20"/>
                <w:szCs w:val="20"/>
              </w:rPr>
              <w:t xml:space="preserve"> =</w:t>
            </w:r>
            <w:r w:rsidRPr="00686E2F">
              <w:rPr>
                <w:rFonts w:eastAsia="SimSun" w:cs="Times New Roman"/>
                <w:sz w:val="20"/>
                <w:szCs w:val="20"/>
                <w:lang w:eastAsia="en-US"/>
              </w:rPr>
              <w:t xml:space="preserve"> </w:t>
            </w:r>
            <w:r w:rsidRPr="00686E2F">
              <w:rPr>
                <w:rFonts w:cs="Times New Roman"/>
                <w:sz w:val="20"/>
                <w:szCs w:val="20"/>
              </w:rPr>
              <w:t xml:space="preserve">the number of supervisory board size. </w:t>
            </w:r>
            <w:r w:rsidRPr="00AD6F97">
              <w:rPr>
                <w:rFonts w:ascii="Cambria Math" w:hAnsi="Cambria Math" w:cs="Times New Roman"/>
                <w:sz w:val="20"/>
                <w:szCs w:val="20"/>
              </w:rPr>
              <w:t>Insider</w:t>
            </w:r>
            <w:r w:rsidRPr="00AD6F97">
              <w:rPr>
                <w:rFonts w:ascii="Cambria Math" w:hAnsi="Cambria Math" w:cs="Times New Roman"/>
                <w:i/>
                <w:sz w:val="20"/>
                <w:szCs w:val="20"/>
                <w:vertAlign w:val="subscript"/>
              </w:rPr>
              <w:t>i,t</w:t>
            </w:r>
            <w:r w:rsidRPr="00686E2F">
              <w:rPr>
                <w:rFonts w:cs="Times New Roman"/>
                <w:sz w:val="20"/>
                <w:szCs w:val="20"/>
              </w:rPr>
              <w:t xml:space="preserve"> = percentages of shares </w:t>
            </w:r>
            <w:r>
              <w:rPr>
                <w:rFonts w:cs="Times New Roman"/>
                <w:sz w:val="20"/>
                <w:szCs w:val="20"/>
              </w:rPr>
              <w:t>hold by management</w:t>
            </w:r>
            <w:r w:rsidRPr="00686E2F">
              <w:rPr>
                <w:rFonts w:cs="Times New Roman"/>
                <w:sz w:val="20"/>
                <w:szCs w:val="20"/>
              </w:rPr>
              <w:t xml:space="preserve">. </w:t>
            </w:r>
            <w:r w:rsidRPr="00AD6F97">
              <w:rPr>
                <w:rFonts w:ascii="Cambria Math" w:hAnsi="Cambria Math" w:cs="Times New Roman"/>
                <w:sz w:val="20"/>
                <w:szCs w:val="20"/>
              </w:rPr>
              <w:t>Block-</w:t>
            </w:r>
            <w:r w:rsidR="00DF111B">
              <w:rPr>
                <w:rFonts w:ascii="Cambria Math" w:hAnsi="Cambria Math" w:cs="Times New Roman"/>
                <w:sz w:val="20"/>
                <w:szCs w:val="20"/>
              </w:rPr>
              <w:t>h</w:t>
            </w:r>
            <w:r w:rsidRPr="00AD6F97">
              <w:rPr>
                <w:rFonts w:ascii="Cambria Math" w:hAnsi="Cambria Math" w:cs="Times New Roman"/>
                <w:sz w:val="20"/>
                <w:szCs w:val="20"/>
              </w:rPr>
              <w:t>older</w:t>
            </w:r>
            <w:r w:rsidRPr="00AD6F97">
              <w:rPr>
                <w:rFonts w:ascii="Cambria Math" w:hAnsi="Cambria Math" w:cs="Times New Roman"/>
                <w:i/>
                <w:sz w:val="20"/>
                <w:szCs w:val="20"/>
                <w:vertAlign w:val="subscript"/>
              </w:rPr>
              <w:t>i,t</w:t>
            </w:r>
            <w:r w:rsidRPr="00686E2F">
              <w:rPr>
                <w:rFonts w:cs="Times New Roman"/>
                <w:sz w:val="20"/>
                <w:szCs w:val="20"/>
              </w:rPr>
              <w:t xml:space="preserve"> =</w:t>
            </w:r>
            <w:r w:rsidRPr="00686E2F">
              <w:rPr>
                <w:rFonts w:cs="Times New Roman" w:hint="eastAsia"/>
                <w:sz w:val="20"/>
                <w:szCs w:val="20"/>
              </w:rPr>
              <w:t xml:space="preserve"> </w:t>
            </w:r>
            <w:r w:rsidRPr="00686E2F">
              <w:rPr>
                <w:rFonts w:cs="Times New Roman"/>
                <w:sz w:val="20"/>
                <w:szCs w:val="20"/>
              </w:rPr>
              <w:t>percentages of shares hold by block-holders</w:t>
            </w:r>
            <w:r w:rsidRPr="00686E2F">
              <w:rPr>
                <w:rFonts w:cs="Times New Roman" w:hint="eastAsia"/>
                <w:sz w:val="20"/>
                <w:szCs w:val="20"/>
              </w:rPr>
              <w:t>.</w:t>
            </w:r>
            <w:r w:rsidRPr="00686E2F">
              <w:rPr>
                <w:rFonts w:cs="Times New Roman"/>
                <w:sz w:val="20"/>
                <w:szCs w:val="20"/>
              </w:rPr>
              <w:t xml:space="preserve"> </w:t>
            </w:r>
            <w:r w:rsidRPr="00AD6F97">
              <w:rPr>
                <w:rFonts w:ascii="Cambria Math" w:hAnsi="Cambria Math" w:cs="Times New Roman"/>
                <w:b/>
                <w:i/>
                <w:sz w:val="20"/>
                <w:szCs w:val="20"/>
              </w:rPr>
              <w:t>EDS</w:t>
            </w:r>
            <w:r w:rsidRPr="00AD6F97">
              <w:rPr>
                <w:rFonts w:ascii="Cambria Math" w:hAnsi="Cambria Math" w:cs="Times New Roman"/>
                <w:i/>
                <w:sz w:val="20"/>
                <w:szCs w:val="20"/>
                <w:vertAlign w:val="subscript"/>
              </w:rPr>
              <w:t>i,t</w:t>
            </w:r>
            <w:r w:rsidRPr="00686E2F">
              <w:rPr>
                <w:rFonts w:cs="Times New Roman"/>
                <w:b/>
                <w:i/>
                <w:sz w:val="20"/>
                <w:szCs w:val="20"/>
              </w:rPr>
              <w:t xml:space="preserve"> = </w:t>
            </w:r>
            <w:r w:rsidRPr="00686E2F">
              <w:rPr>
                <w:rFonts w:cs="Times New Roman"/>
                <w:sz w:val="20"/>
                <w:szCs w:val="20"/>
              </w:rPr>
              <w:t>the number of executive directors</w:t>
            </w:r>
            <w:r w:rsidRPr="00686E2F">
              <w:rPr>
                <w:rFonts w:cs="Times New Roman"/>
                <w:b/>
                <w:i/>
                <w:sz w:val="20"/>
                <w:szCs w:val="20"/>
              </w:rPr>
              <w:t xml:space="preserve">. </w:t>
            </w:r>
            <w:r w:rsidRPr="00AD6F97">
              <w:rPr>
                <w:rFonts w:ascii="Cambria Math" w:hAnsi="Cambria Math" w:cs="Times New Roman"/>
                <w:b/>
                <w:i/>
                <w:sz w:val="20"/>
                <w:szCs w:val="20"/>
              </w:rPr>
              <w:t>NEDS</w:t>
            </w:r>
            <w:r w:rsidRPr="00AD6F97">
              <w:rPr>
                <w:rFonts w:ascii="Cambria Math" w:hAnsi="Cambria Math" w:cs="Times New Roman"/>
                <w:i/>
                <w:sz w:val="20"/>
                <w:szCs w:val="20"/>
                <w:vertAlign w:val="subscript"/>
              </w:rPr>
              <w:t>i,t</w:t>
            </w:r>
            <w:r w:rsidRPr="00686E2F">
              <w:rPr>
                <w:rFonts w:cs="Times New Roman"/>
                <w:b/>
                <w:i/>
                <w:sz w:val="20"/>
                <w:szCs w:val="20"/>
              </w:rPr>
              <w:t xml:space="preserve"> =</w:t>
            </w:r>
            <w:r>
              <w:rPr>
                <w:rFonts w:cs="Times New Roman" w:hint="eastAsia"/>
                <w:b/>
                <w:i/>
                <w:sz w:val="20"/>
                <w:szCs w:val="20"/>
              </w:rPr>
              <w:t xml:space="preserve"> </w:t>
            </w:r>
            <w:r w:rsidRPr="00686E2F">
              <w:rPr>
                <w:rFonts w:cs="Times New Roman"/>
                <w:sz w:val="20"/>
                <w:szCs w:val="20"/>
              </w:rPr>
              <w:t>the number of non-executive directors.</w:t>
            </w:r>
            <w:r w:rsidRPr="00686E2F">
              <w:rPr>
                <w:rFonts w:cs="Times New Roman"/>
                <w:b/>
                <w:i/>
                <w:sz w:val="20"/>
                <w:szCs w:val="20"/>
              </w:rPr>
              <w:t xml:space="preserve"> </w:t>
            </w:r>
            <w:r w:rsidRPr="00AD6F97">
              <w:rPr>
                <w:rFonts w:ascii="Cambria Math" w:hAnsi="Cambria Math" w:cs="Times New Roman"/>
                <w:sz w:val="20"/>
                <w:szCs w:val="20"/>
              </w:rPr>
              <w:t>FS</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r w:rsidR="00B9756C">
              <w:rPr>
                <w:rFonts w:ascii="Cambria Math" w:hAnsi="Cambria Math" w:cs="Times New Roman"/>
                <w:sz w:val="20"/>
                <w:szCs w:val="20"/>
              </w:rPr>
              <w:t xml:space="preserve"> </w:t>
            </w:r>
            <w:r w:rsidRPr="00686E2F">
              <w:rPr>
                <w:rFonts w:cs="Times New Roman"/>
                <w:sz w:val="20"/>
                <w:szCs w:val="20"/>
              </w:rPr>
              <w:t xml:space="preserve">= nature logarithm of total assets as proxy for firm size. </w:t>
            </w:r>
            <w:r w:rsidRPr="00AD6F97">
              <w:rPr>
                <w:rFonts w:ascii="Cambria Math" w:hAnsi="Cambria Math" w:cs="Times New Roman"/>
                <w:sz w:val="20"/>
                <w:szCs w:val="20"/>
              </w:rPr>
              <w:t>ROE</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r w:rsidR="00B9756C">
              <w:rPr>
                <w:rFonts w:ascii="Cambria Math" w:hAnsi="Cambria Math" w:cs="Times New Roman"/>
                <w:sz w:val="20"/>
                <w:szCs w:val="20"/>
              </w:rPr>
              <w:t xml:space="preserve"> </w:t>
            </w:r>
            <w:r w:rsidRPr="00686E2F">
              <w:rPr>
                <w:rFonts w:cs="Times New Roman"/>
                <w:sz w:val="20"/>
                <w:szCs w:val="20"/>
              </w:rPr>
              <w:t xml:space="preserve">= nature logarithm of return on equity. </w:t>
            </w:r>
            <w:r w:rsidRPr="00AD6F97">
              <w:rPr>
                <w:rFonts w:ascii="Cambria Math" w:hAnsi="Cambria Math" w:cs="Times New Roman"/>
                <w:sz w:val="20"/>
                <w:szCs w:val="20"/>
              </w:rPr>
              <w:t>Leverage</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r w:rsidR="00B9756C">
              <w:rPr>
                <w:rFonts w:ascii="Cambria Math" w:hAnsi="Cambria Math" w:cs="Times New Roman"/>
                <w:sz w:val="20"/>
                <w:szCs w:val="20"/>
              </w:rPr>
              <w:t xml:space="preserve"> </w:t>
            </w:r>
            <w:r w:rsidRPr="00686E2F">
              <w:rPr>
                <w:rFonts w:cs="Times New Roman"/>
                <w:sz w:val="20"/>
                <w:szCs w:val="20"/>
              </w:rPr>
              <w:t>= nature logarithm of leverage.</w:t>
            </w:r>
          </w:p>
        </w:tc>
      </w:tr>
    </w:tbl>
    <w:p w:rsidR="00495247" w:rsidRDefault="00495247" w:rsidP="00F524BE">
      <w:pPr>
        <w:sectPr w:rsidR="00495247" w:rsidSect="00495247">
          <w:pgSz w:w="15840" w:h="12240" w:orient="landscape"/>
          <w:pgMar w:top="1440" w:right="864" w:bottom="1440" w:left="864" w:header="720" w:footer="720" w:gutter="0"/>
          <w:cols w:space="720"/>
          <w:docGrid w:linePitch="360"/>
        </w:sectPr>
      </w:pPr>
    </w:p>
    <w:p w:rsidR="00A63C9E" w:rsidRPr="00323045" w:rsidRDefault="00A63C9E" w:rsidP="00A63C9E">
      <w:pPr>
        <w:pStyle w:val="Caption"/>
        <w:jc w:val="center"/>
        <w:rPr>
          <w:rFonts w:cs="Times New Roman"/>
          <w:szCs w:val="24"/>
        </w:rPr>
      </w:pPr>
      <w:r w:rsidRPr="00323045">
        <w:rPr>
          <w:rFonts w:cs="Times New Roman"/>
          <w:szCs w:val="24"/>
        </w:rPr>
        <w:lastRenderedPageBreak/>
        <w:t xml:space="preserve">Table </w:t>
      </w:r>
      <w:r w:rsidR="00EF1EDC">
        <w:rPr>
          <w:rFonts w:cs="Times New Roman"/>
          <w:szCs w:val="24"/>
        </w:rPr>
        <w:fldChar w:fldCharType="begin"/>
      </w:r>
      <w:r w:rsidR="00280DE8">
        <w:rPr>
          <w:rFonts w:cs="Times New Roman"/>
          <w:szCs w:val="24"/>
        </w:rPr>
        <w:instrText xml:space="preserve"> STYLEREF 1 \s </w:instrText>
      </w:r>
      <w:r w:rsidR="00EF1EDC">
        <w:rPr>
          <w:rFonts w:cs="Times New Roman"/>
          <w:szCs w:val="24"/>
        </w:rPr>
        <w:fldChar w:fldCharType="separate"/>
      </w:r>
      <w:r w:rsidR="00280DE8">
        <w:rPr>
          <w:rFonts w:cs="Times New Roman"/>
          <w:noProof/>
          <w:szCs w:val="24"/>
        </w:rPr>
        <w:t>6</w:t>
      </w:r>
      <w:r w:rsidR="00EF1EDC">
        <w:rPr>
          <w:rFonts w:cs="Times New Roman"/>
          <w:szCs w:val="24"/>
        </w:rPr>
        <w:fldChar w:fldCharType="end"/>
      </w:r>
      <w:r w:rsidR="00280DE8">
        <w:rPr>
          <w:rFonts w:cs="Times New Roman"/>
          <w:szCs w:val="24"/>
        </w:rPr>
        <w:t>.</w:t>
      </w:r>
      <w:r w:rsidR="00EF1EDC">
        <w:rPr>
          <w:rFonts w:cs="Times New Roman"/>
          <w:szCs w:val="24"/>
        </w:rPr>
        <w:fldChar w:fldCharType="begin"/>
      </w:r>
      <w:r w:rsidR="00280DE8">
        <w:rPr>
          <w:rFonts w:cs="Times New Roman"/>
          <w:szCs w:val="24"/>
        </w:rPr>
        <w:instrText xml:space="preserve"> SEQ Table \* ARABIC \s 1 </w:instrText>
      </w:r>
      <w:r w:rsidR="00EF1EDC">
        <w:rPr>
          <w:rFonts w:cs="Times New Roman"/>
          <w:szCs w:val="24"/>
        </w:rPr>
        <w:fldChar w:fldCharType="separate"/>
      </w:r>
      <w:r w:rsidR="00280DE8">
        <w:rPr>
          <w:rFonts w:cs="Times New Roman"/>
          <w:noProof/>
          <w:szCs w:val="24"/>
        </w:rPr>
        <w:t>9</w:t>
      </w:r>
      <w:r w:rsidR="00EF1EDC">
        <w:rPr>
          <w:rFonts w:cs="Times New Roman"/>
          <w:szCs w:val="24"/>
        </w:rPr>
        <w:fldChar w:fldCharType="end"/>
      </w:r>
      <w:r w:rsidRPr="00323045">
        <w:rPr>
          <w:rFonts w:cs="Times New Roman"/>
          <w:szCs w:val="24"/>
        </w:rPr>
        <w:t>. Hausman test of China with random effect model</w:t>
      </w:r>
    </w:p>
    <w:tbl>
      <w:tblPr>
        <w:tblStyle w:val="TableGrid"/>
        <w:tblpPr w:leftFromText="180" w:rightFromText="180" w:vertAnchor="text" w:horzAnchor="margin" w:tblpXSpec="center" w:tblpY="124"/>
        <w:tblW w:w="4942" w:type="pct"/>
        <w:tblLook w:val="04A0"/>
      </w:tblPr>
      <w:tblGrid>
        <w:gridCol w:w="1448"/>
        <w:gridCol w:w="1170"/>
        <w:gridCol w:w="1056"/>
        <w:gridCol w:w="1085"/>
        <w:gridCol w:w="2478"/>
        <w:gridCol w:w="6925"/>
      </w:tblGrid>
      <w:tr w:rsidR="00A63C9E" w:rsidRPr="00323045" w:rsidTr="0074334E">
        <w:trPr>
          <w:trHeight w:val="475"/>
        </w:trPr>
        <w:tc>
          <w:tcPr>
            <w:tcW w:w="2555" w:type="pct"/>
            <w:gridSpan w:val="5"/>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A63C9E">
            <w:pPr>
              <w:autoSpaceDE w:val="0"/>
              <w:autoSpaceDN w:val="0"/>
              <w:adjustRightInd w:val="0"/>
              <w:spacing w:after="0" w:line="240" w:lineRule="auto"/>
              <w:ind w:right="10"/>
              <w:jc w:val="center"/>
              <w:rPr>
                <w:rFonts w:cs="Times New Roman"/>
                <w:b/>
                <w:color w:val="000000"/>
                <w:sz w:val="20"/>
                <w:szCs w:val="20"/>
              </w:rPr>
            </w:pPr>
            <w:r w:rsidRPr="00323045">
              <w:rPr>
                <w:rFonts w:cs="Times New Roman"/>
                <w:b/>
                <w:color w:val="000000"/>
                <w:sz w:val="20"/>
                <w:szCs w:val="20"/>
              </w:rPr>
              <w:t>Random effect model</w:t>
            </w:r>
          </w:p>
        </w:tc>
        <w:tc>
          <w:tcPr>
            <w:tcW w:w="2445" w:type="pct"/>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A63C9E">
            <w:pPr>
              <w:autoSpaceDE w:val="0"/>
              <w:autoSpaceDN w:val="0"/>
              <w:adjustRightInd w:val="0"/>
              <w:spacing w:after="0" w:line="240" w:lineRule="auto"/>
              <w:ind w:right="10"/>
              <w:jc w:val="center"/>
              <w:rPr>
                <w:rFonts w:cs="Times New Roman"/>
                <w:b/>
                <w:color w:val="000000"/>
                <w:sz w:val="20"/>
                <w:szCs w:val="20"/>
              </w:rPr>
            </w:pPr>
            <w:r>
              <w:rPr>
                <w:rFonts w:cs="Times New Roman"/>
                <w:b/>
                <w:color w:val="000000"/>
                <w:sz w:val="20"/>
                <w:szCs w:val="20"/>
              </w:rPr>
              <w:t>Hausman  t</w:t>
            </w:r>
            <w:r w:rsidRPr="00323045">
              <w:rPr>
                <w:rFonts w:cs="Times New Roman"/>
                <w:b/>
                <w:color w:val="000000"/>
                <w:sz w:val="20"/>
                <w:szCs w:val="20"/>
              </w:rPr>
              <w:t>est</w:t>
            </w:r>
          </w:p>
        </w:tc>
      </w:tr>
      <w:tr w:rsidR="00A63C9E" w:rsidRPr="00323045" w:rsidTr="0074334E">
        <w:trPr>
          <w:trHeight w:val="235"/>
        </w:trPr>
        <w:tc>
          <w:tcPr>
            <w:tcW w:w="511" w:type="pct"/>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A63C9E">
            <w:pPr>
              <w:spacing w:after="0" w:line="240" w:lineRule="auto"/>
              <w:jc w:val="left"/>
              <w:rPr>
                <w:rFonts w:cs="Times New Roman"/>
                <w:sz w:val="20"/>
                <w:szCs w:val="20"/>
              </w:rPr>
            </w:pPr>
            <w:r w:rsidRPr="00323045">
              <w:rPr>
                <w:rFonts w:cs="Times New Roman"/>
                <w:color w:val="000000"/>
                <w:sz w:val="20"/>
                <w:szCs w:val="20"/>
              </w:rPr>
              <w:t>Variable</w:t>
            </w:r>
          </w:p>
        </w:tc>
        <w:tc>
          <w:tcPr>
            <w:tcW w:w="413" w:type="pct"/>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A63C9E">
            <w:pPr>
              <w:autoSpaceDE w:val="0"/>
              <w:autoSpaceDN w:val="0"/>
              <w:adjustRightInd w:val="0"/>
              <w:spacing w:after="0" w:line="240" w:lineRule="auto"/>
              <w:ind w:right="10"/>
              <w:jc w:val="center"/>
              <w:rPr>
                <w:rFonts w:cs="Times New Roman"/>
                <w:color w:val="000000"/>
                <w:sz w:val="20"/>
                <w:szCs w:val="20"/>
              </w:rPr>
            </w:pPr>
            <w:r w:rsidRPr="00323045">
              <w:rPr>
                <w:rFonts w:cs="Times New Roman"/>
                <w:color w:val="000000"/>
                <w:sz w:val="20"/>
                <w:szCs w:val="20"/>
              </w:rPr>
              <w:t>Coefficient</w:t>
            </w:r>
          </w:p>
        </w:tc>
        <w:tc>
          <w:tcPr>
            <w:tcW w:w="373" w:type="pct"/>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A63C9E">
            <w:pPr>
              <w:autoSpaceDE w:val="0"/>
              <w:autoSpaceDN w:val="0"/>
              <w:adjustRightInd w:val="0"/>
              <w:spacing w:after="0" w:line="240" w:lineRule="auto"/>
              <w:ind w:right="10"/>
              <w:jc w:val="center"/>
              <w:rPr>
                <w:rFonts w:cs="Times New Roman"/>
                <w:color w:val="000000"/>
                <w:sz w:val="20"/>
                <w:szCs w:val="20"/>
              </w:rPr>
            </w:pPr>
            <w:r w:rsidRPr="00323045">
              <w:rPr>
                <w:rFonts w:cs="Times New Roman"/>
                <w:color w:val="000000"/>
                <w:sz w:val="20"/>
                <w:szCs w:val="20"/>
              </w:rPr>
              <w:t>Std. Error</w:t>
            </w:r>
          </w:p>
        </w:tc>
        <w:tc>
          <w:tcPr>
            <w:tcW w:w="383" w:type="pct"/>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A63C9E">
            <w:pPr>
              <w:autoSpaceDE w:val="0"/>
              <w:autoSpaceDN w:val="0"/>
              <w:adjustRightInd w:val="0"/>
              <w:spacing w:after="0" w:line="240" w:lineRule="auto"/>
              <w:ind w:right="10"/>
              <w:jc w:val="center"/>
              <w:rPr>
                <w:rFonts w:cs="Times New Roman"/>
                <w:color w:val="000000"/>
                <w:sz w:val="20"/>
                <w:szCs w:val="20"/>
              </w:rPr>
            </w:pPr>
            <w:r w:rsidRPr="00323045">
              <w:rPr>
                <w:rFonts w:cs="Times New Roman"/>
                <w:color w:val="000000"/>
                <w:sz w:val="20"/>
                <w:szCs w:val="20"/>
              </w:rPr>
              <w:t>t-Statistic</w:t>
            </w:r>
          </w:p>
        </w:tc>
        <w:tc>
          <w:tcPr>
            <w:tcW w:w="875" w:type="pct"/>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A63C9E">
            <w:pPr>
              <w:autoSpaceDE w:val="0"/>
              <w:autoSpaceDN w:val="0"/>
              <w:adjustRightInd w:val="0"/>
              <w:spacing w:after="0" w:line="240" w:lineRule="auto"/>
              <w:ind w:right="10"/>
              <w:jc w:val="center"/>
              <w:rPr>
                <w:rFonts w:cs="Times New Roman"/>
                <w:color w:val="000000"/>
                <w:sz w:val="20"/>
                <w:szCs w:val="20"/>
              </w:rPr>
            </w:pPr>
            <w:r w:rsidRPr="00323045">
              <w:rPr>
                <w:rFonts w:cs="Times New Roman"/>
                <w:color w:val="000000"/>
                <w:sz w:val="20"/>
                <w:szCs w:val="20"/>
              </w:rPr>
              <w:t>Prob.</w:t>
            </w:r>
          </w:p>
        </w:tc>
        <w:tc>
          <w:tcPr>
            <w:tcW w:w="2445" w:type="pct"/>
            <w:vMerge w:val="restart"/>
            <w:tcBorders>
              <w:top w:val="single" w:sz="4" w:space="0" w:color="auto"/>
              <w:left w:val="single" w:sz="4" w:space="0" w:color="auto"/>
              <w:bottom w:val="single" w:sz="4" w:space="0" w:color="auto"/>
              <w:right w:val="single" w:sz="4" w:space="0" w:color="auto"/>
            </w:tcBorders>
          </w:tcPr>
          <w:p w:rsidR="00A63C9E" w:rsidRPr="00323045" w:rsidRDefault="00A63C9E" w:rsidP="00A63C9E">
            <w:pPr>
              <w:autoSpaceDE w:val="0"/>
              <w:autoSpaceDN w:val="0"/>
              <w:adjustRightInd w:val="0"/>
              <w:spacing w:after="0" w:line="320" w:lineRule="atLeast"/>
              <w:ind w:right="60"/>
              <w:rPr>
                <w:rFonts w:cs="Times New Roman"/>
                <w:color w:val="000000"/>
                <w:sz w:val="20"/>
                <w:szCs w:val="20"/>
              </w:rPr>
            </w:pPr>
          </w:p>
          <w:p w:rsidR="00A63C9E" w:rsidRPr="00323045" w:rsidRDefault="00A63C9E" w:rsidP="00A63C9E">
            <w:pPr>
              <w:autoSpaceDE w:val="0"/>
              <w:autoSpaceDN w:val="0"/>
              <w:adjustRightInd w:val="0"/>
              <w:spacing w:after="0" w:line="320" w:lineRule="atLeast"/>
              <w:ind w:right="60"/>
              <w:rPr>
                <w:rFonts w:cs="Times New Roman"/>
                <w:color w:val="000000"/>
                <w:sz w:val="20"/>
                <w:szCs w:val="20"/>
              </w:rPr>
            </w:pPr>
          </w:p>
          <w:p w:rsidR="00A63C9E" w:rsidRPr="00323045" w:rsidRDefault="00A63C9E" w:rsidP="00A63C9E">
            <w:pPr>
              <w:autoSpaceDE w:val="0"/>
              <w:autoSpaceDN w:val="0"/>
              <w:adjustRightInd w:val="0"/>
              <w:spacing w:after="0" w:line="320" w:lineRule="atLeast"/>
              <w:ind w:right="60"/>
              <w:rPr>
                <w:rFonts w:cs="Times New Roman"/>
                <w:color w:val="000000"/>
                <w:sz w:val="20"/>
                <w:szCs w:val="20"/>
              </w:rPr>
            </w:pPr>
          </w:p>
          <w:p w:rsidR="00A63C9E" w:rsidRPr="00323045" w:rsidRDefault="00A63C9E" w:rsidP="00A63C9E">
            <w:pPr>
              <w:autoSpaceDE w:val="0"/>
              <w:autoSpaceDN w:val="0"/>
              <w:adjustRightInd w:val="0"/>
              <w:spacing w:after="0" w:line="320" w:lineRule="atLeast"/>
              <w:ind w:right="60"/>
              <w:rPr>
                <w:rFonts w:cs="Times New Roman"/>
                <w:b/>
                <w:sz w:val="20"/>
                <w:szCs w:val="20"/>
              </w:rPr>
            </w:pPr>
            <w:r w:rsidRPr="00323045">
              <w:rPr>
                <w:rFonts w:cs="Times New Roman"/>
                <w:color w:val="000000"/>
                <w:sz w:val="20"/>
                <w:szCs w:val="20"/>
              </w:rPr>
              <w:t>Correlated Random Effects - Hausman Test for China</w:t>
            </w:r>
          </w:p>
          <w:p w:rsidR="00A63C9E" w:rsidRPr="00323045" w:rsidRDefault="00A63C9E" w:rsidP="00A63C9E">
            <w:pPr>
              <w:autoSpaceDE w:val="0"/>
              <w:autoSpaceDN w:val="0"/>
              <w:adjustRightInd w:val="0"/>
              <w:spacing w:after="0" w:line="320" w:lineRule="atLeast"/>
              <w:ind w:left="60" w:right="60"/>
              <w:rPr>
                <w:rFonts w:cs="Times New Roman"/>
                <w:b/>
                <w:sz w:val="20"/>
                <w:szCs w:val="20"/>
              </w:rPr>
            </w:pPr>
            <w:r w:rsidRPr="00323045">
              <w:rPr>
                <w:rFonts w:cs="Times New Roman"/>
                <w:color w:val="000000"/>
                <w:sz w:val="20"/>
                <w:szCs w:val="20"/>
              </w:rPr>
              <w:t>Equation: Untitled</w:t>
            </w:r>
          </w:p>
          <w:p w:rsidR="00A63C9E" w:rsidRPr="00323045" w:rsidRDefault="00A63C9E" w:rsidP="00A63C9E">
            <w:pPr>
              <w:autoSpaceDE w:val="0"/>
              <w:autoSpaceDN w:val="0"/>
              <w:adjustRightInd w:val="0"/>
              <w:spacing w:after="0" w:line="320" w:lineRule="atLeast"/>
              <w:ind w:left="60" w:right="60"/>
              <w:rPr>
                <w:rFonts w:cs="Times New Roman"/>
                <w:color w:val="000000"/>
                <w:sz w:val="20"/>
                <w:szCs w:val="20"/>
              </w:rPr>
            </w:pPr>
            <w:r w:rsidRPr="00323045">
              <w:rPr>
                <w:rFonts w:cs="Times New Roman"/>
                <w:color w:val="000000"/>
                <w:sz w:val="20"/>
                <w:szCs w:val="20"/>
              </w:rPr>
              <w:t>Test cross-section random effect</w:t>
            </w:r>
          </w:p>
          <w:tbl>
            <w:tblPr>
              <w:tblStyle w:val="TableGrid"/>
              <w:tblW w:w="0" w:type="auto"/>
              <w:tblBorders>
                <w:top w:val="double" w:sz="4" w:space="0" w:color="auto"/>
                <w:left w:val="none" w:sz="0" w:space="0" w:color="auto"/>
                <w:bottom w:val="double" w:sz="4" w:space="0" w:color="auto"/>
                <w:right w:val="none" w:sz="0" w:space="0" w:color="auto"/>
                <w:insideH w:val="double" w:sz="4" w:space="0" w:color="auto"/>
                <w:insideV w:val="none" w:sz="0" w:space="0" w:color="auto"/>
              </w:tblBorders>
              <w:tblLook w:val="04A0"/>
            </w:tblPr>
            <w:tblGrid>
              <w:gridCol w:w="2116"/>
              <w:gridCol w:w="1640"/>
              <w:gridCol w:w="1174"/>
              <w:gridCol w:w="1138"/>
            </w:tblGrid>
            <w:tr w:rsidR="00A63C9E" w:rsidRPr="00323045" w:rsidTr="0074334E">
              <w:trPr>
                <w:trHeight w:val="332"/>
              </w:trPr>
              <w:tc>
                <w:tcPr>
                  <w:tcW w:w="2116" w:type="dxa"/>
                  <w:tcBorders>
                    <w:top w:val="double" w:sz="4" w:space="0" w:color="auto"/>
                    <w:left w:val="nil"/>
                    <w:bottom w:val="double" w:sz="4" w:space="0" w:color="auto"/>
                    <w:right w:val="nil"/>
                  </w:tcBorders>
                  <w:vAlign w:val="center"/>
                  <w:hideMark/>
                </w:tcPr>
                <w:p w:rsidR="00A63C9E" w:rsidRPr="00323045" w:rsidRDefault="00A63C9E" w:rsidP="00E0407F">
                  <w:pPr>
                    <w:framePr w:hSpace="180" w:wrap="around" w:vAnchor="text" w:hAnchor="margin" w:xAlign="center" w:y="124"/>
                    <w:spacing w:after="0" w:line="240" w:lineRule="auto"/>
                    <w:jc w:val="center"/>
                    <w:rPr>
                      <w:rFonts w:cs="Times New Roman"/>
                      <w:sz w:val="20"/>
                      <w:szCs w:val="20"/>
                    </w:rPr>
                  </w:pPr>
                  <w:r w:rsidRPr="00323045">
                    <w:rPr>
                      <w:rFonts w:cs="Times New Roman"/>
                      <w:color w:val="000000"/>
                      <w:sz w:val="20"/>
                      <w:szCs w:val="20"/>
                    </w:rPr>
                    <w:t>Test Summary</w:t>
                  </w:r>
                </w:p>
              </w:tc>
              <w:tc>
                <w:tcPr>
                  <w:tcW w:w="1640" w:type="dxa"/>
                  <w:tcBorders>
                    <w:top w:val="double" w:sz="4" w:space="0" w:color="auto"/>
                    <w:left w:val="nil"/>
                    <w:bottom w:val="double" w:sz="4" w:space="0" w:color="auto"/>
                    <w:right w:val="nil"/>
                  </w:tcBorders>
                  <w:vAlign w:val="center"/>
                  <w:hideMark/>
                </w:tcPr>
                <w:p w:rsidR="00A63C9E" w:rsidRPr="00323045" w:rsidRDefault="00A63C9E" w:rsidP="00E0407F">
                  <w:pPr>
                    <w:framePr w:hSpace="180" w:wrap="around" w:vAnchor="text" w:hAnchor="margin" w:xAlign="center" w:y="124"/>
                    <w:spacing w:after="0" w:line="240" w:lineRule="auto"/>
                    <w:jc w:val="center"/>
                    <w:rPr>
                      <w:rFonts w:cs="Times New Roman"/>
                      <w:sz w:val="20"/>
                      <w:szCs w:val="20"/>
                    </w:rPr>
                  </w:pPr>
                  <w:r w:rsidRPr="00323045">
                    <w:rPr>
                      <w:rFonts w:cs="Times New Roman"/>
                      <w:color w:val="000000"/>
                      <w:sz w:val="20"/>
                      <w:szCs w:val="20"/>
                    </w:rPr>
                    <w:t>Chi-Sq. Statistic</w:t>
                  </w:r>
                </w:p>
              </w:tc>
              <w:tc>
                <w:tcPr>
                  <w:tcW w:w="1174" w:type="dxa"/>
                  <w:tcBorders>
                    <w:top w:val="double" w:sz="4" w:space="0" w:color="auto"/>
                    <w:left w:val="nil"/>
                    <w:bottom w:val="double" w:sz="4" w:space="0" w:color="auto"/>
                    <w:right w:val="nil"/>
                  </w:tcBorders>
                  <w:vAlign w:val="center"/>
                  <w:hideMark/>
                </w:tcPr>
                <w:p w:rsidR="00A63C9E" w:rsidRPr="00323045" w:rsidRDefault="00A63C9E" w:rsidP="00E0407F">
                  <w:pPr>
                    <w:framePr w:hSpace="180" w:wrap="around" w:vAnchor="text" w:hAnchor="margin" w:xAlign="center" w:y="124"/>
                    <w:spacing w:after="0" w:line="240" w:lineRule="auto"/>
                    <w:jc w:val="center"/>
                    <w:rPr>
                      <w:rFonts w:cs="Times New Roman"/>
                      <w:sz w:val="20"/>
                      <w:szCs w:val="20"/>
                    </w:rPr>
                  </w:pPr>
                  <w:r w:rsidRPr="00323045">
                    <w:rPr>
                      <w:rFonts w:cs="Times New Roman"/>
                      <w:color w:val="000000"/>
                      <w:sz w:val="20"/>
                      <w:szCs w:val="20"/>
                    </w:rPr>
                    <w:t>Chi-Sq. d.f</w:t>
                  </w:r>
                </w:p>
              </w:tc>
              <w:tc>
                <w:tcPr>
                  <w:tcW w:w="1138" w:type="dxa"/>
                  <w:tcBorders>
                    <w:top w:val="double" w:sz="4" w:space="0" w:color="auto"/>
                    <w:left w:val="nil"/>
                    <w:bottom w:val="double" w:sz="4" w:space="0" w:color="auto"/>
                    <w:right w:val="nil"/>
                  </w:tcBorders>
                  <w:vAlign w:val="center"/>
                  <w:hideMark/>
                </w:tcPr>
                <w:p w:rsidR="00A63C9E" w:rsidRPr="00323045" w:rsidRDefault="00A63C9E" w:rsidP="00E0407F">
                  <w:pPr>
                    <w:framePr w:hSpace="180" w:wrap="around" w:vAnchor="text" w:hAnchor="margin" w:xAlign="center" w:y="124"/>
                    <w:spacing w:after="0" w:line="240" w:lineRule="auto"/>
                    <w:jc w:val="center"/>
                    <w:rPr>
                      <w:rFonts w:cs="Times New Roman"/>
                      <w:sz w:val="20"/>
                      <w:szCs w:val="20"/>
                    </w:rPr>
                  </w:pPr>
                  <w:r w:rsidRPr="00323045">
                    <w:rPr>
                      <w:rFonts w:cs="Times New Roman"/>
                      <w:b/>
                      <w:color w:val="000000"/>
                      <w:sz w:val="20"/>
                      <w:szCs w:val="20"/>
                    </w:rPr>
                    <w:t>Prob.</w:t>
                  </w:r>
                </w:p>
              </w:tc>
            </w:tr>
            <w:tr w:rsidR="00A63C9E" w:rsidRPr="00323045" w:rsidTr="0074334E">
              <w:trPr>
                <w:trHeight w:val="348"/>
              </w:trPr>
              <w:tc>
                <w:tcPr>
                  <w:tcW w:w="2116" w:type="dxa"/>
                  <w:tcBorders>
                    <w:top w:val="double" w:sz="4" w:space="0" w:color="auto"/>
                    <w:left w:val="nil"/>
                    <w:bottom w:val="double" w:sz="4" w:space="0" w:color="auto"/>
                    <w:right w:val="nil"/>
                  </w:tcBorders>
                  <w:vAlign w:val="center"/>
                  <w:hideMark/>
                </w:tcPr>
                <w:p w:rsidR="00A63C9E" w:rsidRPr="00323045" w:rsidRDefault="00A63C9E" w:rsidP="00E0407F">
                  <w:pPr>
                    <w:framePr w:hSpace="180" w:wrap="around" w:vAnchor="text" w:hAnchor="margin" w:xAlign="center" w:y="124"/>
                    <w:spacing w:after="0" w:line="240" w:lineRule="auto"/>
                    <w:jc w:val="center"/>
                    <w:rPr>
                      <w:rFonts w:cs="Times New Roman"/>
                      <w:sz w:val="20"/>
                      <w:szCs w:val="20"/>
                    </w:rPr>
                  </w:pPr>
                  <w:r w:rsidRPr="00323045">
                    <w:rPr>
                      <w:rFonts w:cs="Times New Roman"/>
                      <w:color w:val="000000"/>
                      <w:sz w:val="20"/>
                      <w:szCs w:val="20"/>
                    </w:rPr>
                    <w:t>Cross-section random</w:t>
                  </w:r>
                </w:p>
              </w:tc>
              <w:tc>
                <w:tcPr>
                  <w:tcW w:w="1640" w:type="dxa"/>
                  <w:tcBorders>
                    <w:top w:val="double" w:sz="4" w:space="0" w:color="auto"/>
                    <w:left w:val="nil"/>
                    <w:bottom w:val="double" w:sz="4" w:space="0" w:color="auto"/>
                    <w:right w:val="nil"/>
                  </w:tcBorders>
                  <w:vAlign w:val="bottom"/>
                  <w:hideMark/>
                </w:tcPr>
                <w:p w:rsidR="00A63C9E" w:rsidRPr="00323045" w:rsidRDefault="00A63C9E" w:rsidP="00E0407F">
                  <w:pPr>
                    <w:framePr w:hSpace="180" w:wrap="around" w:vAnchor="text" w:hAnchor="margin" w:xAlign="center" w:y="124"/>
                    <w:autoSpaceDE w:val="0"/>
                    <w:autoSpaceDN w:val="0"/>
                    <w:adjustRightInd w:val="0"/>
                    <w:spacing w:after="0" w:line="240" w:lineRule="auto"/>
                    <w:ind w:right="10"/>
                    <w:jc w:val="right"/>
                    <w:rPr>
                      <w:rFonts w:cs="Times New Roman"/>
                      <w:color w:val="000000"/>
                      <w:sz w:val="20"/>
                      <w:szCs w:val="20"/>
                    </w:rPr>
                  </w:pPr>
                  <w:r w:rsidRPr="00323045">
                    <w:rPr>
                      <w:rFonts w:cs="Times New Roman"/>
                      <w:color w:val="000000"/>
                      <w:sz w:val="20"/>
                      <w:szCs w:val="20"/>
                    </w:rPr>
                    <w:t>233.162112</w:t>
                  </w:r>
                </w:p>
              </w:tc>
              <w:tc>
                <w:tcPr>
                  <w:tcW w:w="1174" w:type="dxa"/>
                  <w:tcBorders>
                    <w:top w:val="double" w:sz="4" w:space="0" w:color="auto"/>
                    <w:left w:val="nil"/>
                    <w:bottom w:val="double" w:sz="4" w:space="0" w:color="auto"/>
                    <w:right w:val="nil"/>
                  </w:tcBorders>
                  <w:vAlign w:val="bottom"/>
                  <w:hideMark/>
                </w:tcPr>
                <w:p w:rsidR="00A63C9E" w:rsidRPr="00323045" w:rsidRDefault="00A63C9E" w:rsidP="00E0407F">
                  <w:pPr>
                    <w:framePr w:hSpace="180" w:wrap="around" w:vAnchor="text" w:hAnchor="margin" w:xAlign="center" w:y="124"/>
                    <w:autoSpaceDE w:val="0"/>
                    <w:autoSpaceDN w:val="0"/>
                    <w:adjustRightInd w:val="0"/>
                    <w:spacing w:after="0" w:line="240" w:lineRule="auto"/>
                    <w:ind w:right="370"/>
                    <w:jc w:val="right"/>
                    <w:rPr>
                      <w:rFonts w:cs="Times New Roman"/>
                      <w:color w:val="000000"/>
                      <w:sz w:val="20"/>
                      <w:szCs w:val="20"/>
                    </w:rPr>
                  </w:pPr>
                  <w:r w:rsidRPr="00323045">
                    <w:rPr>
                      <w:rFonts w:cs="Times New Roman"/>
                      <w:color w:val="000000"/>
                      <w:sz w:val="20"/>
                      <w:szCs w:val="20"/>
                    </w:rPr>
                    <w:t>9</w:t>
                  </w:r>
                </w:p>
              </w:tc>
              <w:tc>
                <w:tcPr>
                  <w:tcW w:w="1138" w:type="dxa"/>
                  <w:tcBorders>
                    <w:top w:val="double" w:sz="4" w:space="0" w:color="auto"/>
                    <w:left w:val="nil"/>
                    <w:bottom w:val="double" w:sz="4" w:space="0" w:color="auto"/>
                    <w:right w:val="nil"/>
                  </w:tcBorders>
                  <w:vAlign w:val="center"/>
                  <w:hideMark/>
                </w:tcPr>
                <w:p w:rsidR="00A63C9E" w:rsidRPr="00323045" w:rsidRDefault="00A63C9E" w:rsidP="00E0407F">
                  <w:pPr>
                    <w:framePr w:hSpace="180" w:wrap="around" w:vAnchor="text" w:hAnchor="margin" w:xAlign="center" w:y="124"/>
                    <w:spacing w:after="0" w:line="240" w:lineRule="auto"/>
                    <w:jc w:val="center"/>
                    <w:rPr>
                      <w:rFonts w:cs="Times New Roman"/>
                      <w:sz w:val="20"/>
                      <w:szCs w:val="20"/>
                    </w:rPr>
                  </w:pPr>
                  <w:r w:rsidRPr="00323045">
                    <w:rPr>
                      <w:rFonts w:cs="Times New Roman"/>
                      <w:b/>
                      <w:color w:val="000000"/>
                      <w:sz w:val="20"/>
                      <w:szCs w:val="20"/>
                    </w:rPr>
                    <w:t>0.000***</w:t>
                  </w:r>
                </w:p>
              </w:tc>
            </w:tr>
          </w:tbl>
          <w:p w:rsidR="00A63C9E" w:rsidRPr="00323045" w:rsidRDefault="00A63C9E" w:rsidP="00A63C9E">
            <w:pPr>
              <w:autoSpaceDE w:val="0"/>
              <w:autoSpaceDN w:val="0"/>
              <w:adjustRightInd w:val="0"/>
              <w:spacing w:after="0" w:line="240" w:lineRule="auto"/>
              <w:ind w:right="10"/>
              <w:jc w:val="center"/>
              <w:rPr>
                <w:rFonts w:cs="Times New Roman"/>
                <w:color w:val="000000"/>
                <w:sz w:val="20"/>
                <w:szCs w:val="20"/>
              </w:rPr>
            </w:pPr>
            <w:r w:rsidRPr="00323045">
              <w:rPr>
                <w:rFonts w:cs="Times New Roman"/>
                <w:color w:val="000000"/>
                <w:sz w:val="20"/>
                <w:szCs w:val="20"/>
              </w:rPr>
              <w:t xml:space="preserve"> </w:t>
            </w:r>
          </w:p>
        </w:tc>
      </w:tr>
      <w:tr w:rsidR="00A63C9E" w:rsidRPr="00323045" w:rsidTr="0074334E">
        <w:trPr>
          <w:trHeight w:val="454"/>
        </w:trPr>
        <w:tc>
          <w:tcPr>
            <w:tcW w:w="511" w:type="pct"/>
            <w:tcBorders>
              <w:top w:val="single" w:sz="4" w:space="0" w:color="auto"/>
              <w:left w:val="single" w:sz="4" w:space="0" w:color="auto"/>
              <w:bottom w:val="single" w:sz="4" w:space="0" w:color="auto"/>
              <w:right w:val="single" w:sz="4" w:space="0" w:color="auto"/>
            </w:tcBorders>
            <w:hideMark/>
          </w:tcPr>
          <w:p w:rsidR="00A63C9E" w:rsidRPr="00323045" w:rsidRDefault="00A63C9E" w:rsidP="00A63C9E">
            <w:pPr>
              <w:spacing w:after="0" w:line="240" w:lineRule="auto"/>
              <w:rPr>
                <w:rFonts w:cs="Times New Roman"/>
                <w:sz w:val="20"/>
                <w:szCs w:val="20"/>
              </w:rPr>
            </w:pPr>
            <w:r w:rsidRPr="00323045">
              <w:rPr>
                <w:rFonts w:cs="Times New Roman"/>
                <w:color w:val="000000"/>
                <w:sz w:val="20"/>
                <w:szCs w:val="20"/>
              </w:rPr>
              <w:t>Constant</w:t>
            </w:r>
          </w:p>
        </w:tc>
        <w:tc>
          <w:tcPr>
            <w:tcW w:w="413" w:type="pct"/>
            <w:tcBorders>
              <w:top w:val="single" w:sz="4" w:space="0" w:color="auto"/>
              <w:left w:val="single" w:sz="4" w:space="0" w:color="auto"/>
              <w:bottom w:val="single" w:sz="4" w:space="0" w:color="auto"/>
              <w:right w:val="single" w:sz="4" w:space="0" w:color="auto"/>
            </w:tcBorders>
            <w:vAlign w:val="center"/>
            <w:hideMark/>
          </w:tcPr>
          <w:p w:rsidR="00A63C9E" w:rsidRPr="004E62ED" w:rsidRDefault="00A63C9E" w:rsidP="00A63C9E">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3.847775</w:t>
            </w:r>
          </w:p>
        </w:tc>
        <w:tc>
          <w:tcPr>
            <w:tcW w:w="373" w:type="pct"/>
            <w:tcBorders>
              <w:top w:val="single" w:sz="4" w:space="0" w:color="auto"/>
              <w:left w:val="single" w:sz="4" w:space="0" w:color="auto"/>
              <w:bottom w:val="single" w:sz="4" w:space="0" w:color="auto"/>
              <w:right w:val="single" w:sz="4" w:space="0" w:color="auto"/>
            </w:tcBorders>
            <w:vAlign w:val="center"/>
            <w:hideMark/>
          </w:tcPr>
          <w:p w:rsidR="00A63C9E" w:rsidRPr="004E62ED" w:rsidRDefault="00A63C9E" w:rsidP="00A63C9E">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0.434185</w:t>
            </w:r>
          </w:p>
        </w:tc>
        <w:tc>
          <w:tcPr>
            <w:tcW w:w="383" w:type="pct"/>
            <w:tcBorders>
              <w:top w:val="single" w:sz="4" w:space="0" w:color="auto"/>
              <w:left w:val="single" w:sz="4" w:space="0" w:color="auto"/>
              <w:bottom w:val="single" w:sz="4" w:space="0" w:color="auto"/>
              <w:right w:val="single" w:sz="4" w:space="0" w:color="auto"/>
            </w:tcBorders>
            <w:vAlign w:val="center"/>
            <w:hideMark/>
          </w:tcPr>
          <w:p w:rsidR="00A63C9E" w:rsidRPr="004E62ED" w:rsidRDefault="00A63C9E" w:rsidP="00A63C9E">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8.862070</w:t>
            </w:r>
          </w:p>
        </w:tc>
        <w:tc>
          <w:tcPr>
            <w:tcW w:w="875" w:type="pct"/>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A63C9E">
            <w:pPr>
              <w:autoSpaceDE w:val="0"/>
              <w:autoSpaceDN w:val="0"/>
              <w:adjustRightInd w:val="0"/>
              <w:spacing w:after="0" w:line="240" w:lineRule="auto"/>
              <w:ind w:right="10"/>
              <w:jc w:val="center"/>
              <w:rPr>
                <w:rFonts w:cs="Times New Roman"/>
                <w:color w:val="000000"/>
                <w:sz w:val="20"/>
                <w:szCs w:val="20"/>
              </w:rPr>
            </w:pPr>
            <w:r w:rsidRPr="00323045">
              <w:rPr>
                <w:rFonts w:cs="Times New Roman"/>
                <w:color w:val="000000"/>
                <w:sz w:val="20"/>
                <w:szCs w:val="20"/>
              </w:rPr>
              <w:t>0.0000***</w:t>
            </w:r>
          </w:p>
        </w:tc>
        <w:tc>
          <w:tcPr>
            <w:tcW w:w="2445" w:type="pct"/>
            <w:vMerge/>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A63C9E">
            <w:pPr>
              <w:spacing w:after="0" w:line="240" w:lineRule="auto"/>
              <w:rPr>
                <w:rFonts w:cs="Times New Roman"/>
                <w:color w:val="000000"/>
                <w:sz w:val="20"/>
                <w:szCs w:val="20"/>
              </w:rPr>
            </w:pPr>
          </w:p>
        </w:tc>
      </w:tr>
      <w:tr w:rsidR="00136390" w:rsidRPr="00323045" w:rsidTr="0074334E">
        <w:trPr>
          <w:trHeight w:val="353"/>
        </w:trPr>
        <w:tc>
          <w:tcPr>
            <w:tcW w:w="511" w:type="pct"/>
            <w:tcBorders>
              <w:top w:val="single" w:sz="4" w:space="0" w:color="auto"/>
              <w:left w:val="single" w:sz="4" w:space="0" w:color="auto"/>
              <w:bottom w:val="single" w:sz="4" w:space="0" w:color="auto"/>
              <w:right w:val="single" w:sz="4" w:space="0" w:color="auto"/>
            </w:tcBorders>
            <w:vAlign w:val="center"/>
            <w:hideMark/>
          </w:tcPr>
          <w:p w:rsidR="00136390" w:rsidRPr="00AD6F97" w:rsidRDefault="00136390" w:rsidP="00136390">
            <w:pPr>
              <w:spacing w:line="240" w:lineRule="auto"/>
              <w:rPr>
                <w:rFonts w:ascii="Cambria Math" w:hAnsi="Cambria Math" w:cs="Times New Roman"/>
                <w:b/>
                <w:i/>
                <w:sz w:val="20"/>
                <w:szCs w:val="20"/>
              </w:rPr>
            </w:pPr>
            <w:r w:rsidRPr="00AD6F97">
              <w:rPr>
                <w:rFonts w:ascii="Cambria Math" w:hAnsi="Cambria Math" w:cs="Times New Roman"/>
                <w:b/>
                <w:i/>
                <w:sz w:val="20"/>
                <w:szCs w:val="20"/>
              </w:rPr>
              <w:t>BS</w:t>
            </w:r>
            <w:r w:rsidRPr="00AD6F97">
              <w:rPr>
                <w:rFonts w:ascii="Cambria Math" w:hAnsi="Cambria Math" w:cs="Times New Roman"/>
                <w:i/>
                <w:sz w:val="20"/>
                <w:szCs w:val="20"/>
                <w:vertAlign w:val="subscript"/>
              </w:rPr>
              <w:t>i,t</w:t>
            </w:r>
          </w:p>
        </w:tc>
        <w:tc>
          <w:tcPr>
            <w:tcW w:w="41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-0.028206</w:t>
            </w:r>
          </w:p>
        </w:tc>
        <w:tc>
          <w:tcPr>
            <w:tcW w:w="37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0.013140</w:t>
            </w:r>
          </w:p>
        </w:tc>
        <w:tc>
          <w:tcPr>
            <w:tcW w:w="38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-2.146577</w:t>
            </w:r>
          </w:p>
        </w:tc>
        <w:tc>
          <w:tcPr>
            <w:tcW w:w="875" w:type="pct"/>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20"/>
                <w:szCs w:val="20"/>
              </w:rPr>
            </w:pPr>
            <w:r w:rsidRPr="00323045">
              <w:rPr>
                <w:rFonts w:cs="Times New Roman"/>
                <w:color w:val="000000"/>
                <w:sz w:val="20"/>
                <w:szCs w:val="20"/>
              </w:rPr>
              <w:t>0.0319**</w:t>
            </w:r>
          </w:p>
        </w:tc>
        <w:tc>
          <w:tcPr>
            <w:tcW w:w="2445" w:type="pct"/>
            <w:vMerge/>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spacing w:after="0" w:line="240" w:lineRule="auto"/>
              <w:rPr>
                <w:rFonts w:cs="Times New Roman"/>
                <w:color w:val="000000"/>
                <w:sz w:val="20"/>
                <w:szCs w:val="20"/>
              </w:rPr>
            </w:pPr>
          </w:p>
        </w:tc>
      </w:tr>
      <w:tr w:rsidR="00136390" w:rsidRPr="00323045" w:rsidTr="0074334E">
        <w:trPr>
          <w:trHeight w:val="353"/>
        </w:trPr>
        <w:tc>
          <w:tcPr>
            <w:tcW w:w="511" w:type="pct"/>
            <w:tcBorders>
              <w:top w:val="single" w:sz="4" w:space="0" w:color="auto"/>
              <w:left w:val="single" w:sz="4" w:space="0" w:color="auto"/>
              <w:bottom w:val="single" w:sz="4" w:space="0" w:color="auto"/>
              <w:right w:val="single" w:sz="4" w:space="0" w:color="auto"/>
            </w:tcBorders>
            <w:vAlign w:val="center"/>
            <w:hideMark/>
          </w:tcPr>
          <w:p w:rsidR="00136390" w:rsidRPr="00AD6F97" w:rsidRDefault="00136390" w:rsidP="00136390">
            <w:pPr>
              <w:spacing w:line="240" w:lineRule="auto"/>
              <w:rPr>
                <w:rFonts w:ascii="Cambria Math" w:hAnsi="Cambria Math" w:cs="Times New Roman"/>
                <w:sz w:val="20"/>
                <w:szCs w:val="20"/>
              </w:rPr>
            </w:pPr>
            <w:r w:rsidRPr="00AD6F97">
              <w:rPr>
                <w:rFonts w:ascii="Cambria Math" w:hAnsi="Cambria Math" w:cs="Times New Roman"/>
                <w:sz w:val="20"/>
                <w:szCs w:val="20"/>
              </w:rPr>
              <w:t>BI</w:t>
            </w:r>
            <w:r w:rsidRPr="00AD6F97">
              <w:rPr>
                <w:rFonts w:ascii="Cambria Math" w:hAnsi="Cambria Math" w:cs="Times New Roman"/>
                <w:i/>
                <w:sz w:val="20"/>
                <w:szCs w:val="20"/>
                <w:vertAlign w:val="subscript"/>
              </w:rPr>
              <w:t>i,t</w:t>
            </w:r>
          </w:p>
        </w:tc>
        <w:tc>
          <w:tcPr>
            <w:tcW w:w="41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0.483591</w:t>
            </w:r>
          </w:p>
        </w:tc>
        <w:tc>
          <w:tcPr>
            <w:tcW w:w="37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0.442997</w:t>
            </w:r>
          </w:p>
        </w:tc>
        <w:tc>
          <w:tcPr>
            <w:tcW w:w="38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1.091633</w:t>
            </w:r>
          </w:p>
        </w:tc>
        <w:tc>
          <w:tcPr>
            <w:tcW w:w="875" w:type="pct"/>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20"/>
                <w:szCs w:val="20"/>
              </w:rPr>
            </w:pPr>
            <w:r w:rsidRPr="00323045">
              <w:rPr>
                <w:rFonts w:cs="Times New Roman"/>
                <w:color w:val="000000"/>
                <w:sz w:val="20"/>
                <w:szCs w:val="20"/>
              </w:rPr>
              <w:t>0.2751</w:t>
            </w:r>
          </w:p>
        </w:tc>
        <w:tc>
          <w:tcPr>
            <w:tcW w:w="2445" w:type="pct"/>
            <w:vMerge/>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spacing w:after="0" w:line="240" w:lineRule="auto"/>
              <w:rPr>
                <w:rFonts w:cs="Times New Roman"/>
                <w:color w:val="000000"/>
                <w:sz w:val="20"/>
                <w:szCs w:val="20"/>
              </w:rPr>
            </w:pPr>
          </w:p>
        </w:tc>
      </w:tr>
      <w:tr w:rsidR="00136390" w:rsidRPr="00323045" w:rsidTr="0074334E">
        <w:trPr>
          <w:trHeight w:val="353"/>
        </w:trPr>
        <w:tc>
          <w:tcPr>
            <w:tcW w:w="511" w:type="pct"/>
            <w:tcBorders>
              <w:top w:val="single" w:sz="4" w:space="0" w:color="auto"/>
              <w:left w:val="single" w:sz="4" w:space="0" w:color="auto"/>
              <w:bottom w:val="single" w:sz="4" w:space="0" w:color="auto"/>
              <w:right w:val="single" w:sz="4" w:space="0" w:color="auto"/>
            </w:tcBorders>
            <w:vAlign w:val="center"/>
            <w:hideMark/>
          </w:tcPr>
          <w:p w:rsidR="00136390" w:rsidRPr="00AD6F97" w:rsidRDefault="00136390" w:rsidP="00136390">
            <w:pPr>
              <w:spacing w:line="240" w:lineRule="auto"/>
              <w:rPr>
                <w:rFonts w:ascii="Cambria Math" w:hAnsi="Cambria Math" w:cs="Times New Roman"/>
                <w:sz w:val="20"/>
                <w:szCs w:val="20"/>
              </w:rPr>
            </w:pPr>
            <w:r w:rsidRPr="00AD6F97">
              <w:rPr>
                <w:rFonts w:ascii="Cambria Math" w:hAnsi="Cambria Math" w:cs="Times New Roman"/>
                <w:sz w:val="20"/>
                <w:szCs w:val="20"/>
              </w:rPr>
              <w:t>CEO-dumm</w:t>
            </w:r>
            <w:r w:rsidR="00201281">
              <w:rPr>
                <w:rFonts w:ascii="Cambria Math" w:hAnsi="Cambria Math" w:cs="Times New Roman"/>
                <w:sz w:val="20"/>
                <w:szCs w:val="20"/>
              </w:rPr>
              <w:t>y</w:t>
            </w:r>
            <w:r w:rsidRPr="00AD6F97">
              <w:rPr>
                <w:rFonts w:ascii="Cambria Math" w:hAnsi="Cambria Math" w:cs="Times New Roman"/>
                <w:i/>
                <w:sz w:val="20"/>
                <w:szCs w:val="20"/>
                <w:vertAlign w:val="subscript"/>
              </w:rPr>
              <w:t>i,t</w:t>
            </w:r>
          </w:p>
        </w:tc>
        <w:tc>
          <w:tcPr>
            <w:tcW w:w="41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0.006451</w:t>
            </w:r>
          </w:p>
        </w:tc>
        <w:tc>
          <w:tcPr>
            <w:tcW w:w="37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0.063425</w:t>
            </w:r>
          </w:p>
        </w:tc>
        <w:tc>
          <w:tcPr>
            <w:tcW w:w="38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0.101711</w:t>
            </w:r>
          </w:p>
        </w:tc>
        <w:tc>
          <w:tcPr>
            <w:tcW w:w="875" w:type="pct"/>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20"/>
                <w:szCs w:val="20"/>
              </w:rPr>
            </w:pPr>
            <w:r w:rsidRPr="00323045">
              <w:rPr>
                <w:rFonts w:cs="Times New Roman"/>
                <w:color w:val="000000"/>
                <w:sz w:val="20"/>
                <w:szCs w:val="20"/>
              </w:rPr>
              <w:t>0.9190</w:t>
            </w:r>
          </w:p>
        </w:tc>
        <w:tc>
          <w:tcPr>
            <w:tcW w:w="2445" w:type="pct"/>
            <w:vMerge/>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spacing w:after="0" w:line="240" w:lineRule="auto"/>
              <w:rPr>
                <w:rFonts w:cs="Times New Roman"/>
                <w:color w:val="000000"/>
                <w:sz w:val="20"/>
                <w:szCs w:val="20"/>
              </w:rPr>
            </w:pPr>
          </w:p>
        </w:tc>
      </w:tr>
      <w:tr w:rsidR="00136390" w:rsidRPr="00323045" w:rsidTr="0074334E">
        <w:trPr>
          <w:trHeight w:val="353"/>
        </w:trPr>
        <w:tc>
          <w:tcPr>
            <w:tcW w:w="511" w:type="pct"/>
            <w:tcBorders>
              <w:top w:val="single" w:sz="4" w:space="0" w:color="auto"/>
              <w:left w:val="single" w:sz="4" w:space="0" w:color="auto"/>
              <w:bottom w:val="single" w:sz="4" w:space="0" w:color="auto"/>
              <w:right w:val="single" w:sz="4" w:space="0" w:color="auto"/>
            </w:tcBorders>
            <w:vAlign w:val="center"/>
            <w:hideMark/>
          </w:tcPr>
          <w:p w:rsidR="00136390" w:rsidRPr="00AD6F97" w:rsidRDefault="00136390" w:rsidP="00136390">
            <w:pPr>
              <w:spacing w:line="240" w:lineRule="auto"/>
              <w:rPr>
                <w:rFonts w:ascii="Cambria Math" w:hAnsi="Cambria Math" w:cs="Times New Roman"/>
                <w:b/>
                <w:i/>
                <w:sz w:val="20"/>
                <w:szCs w:val="20"/>
              </w:rPr>
            </w:pPr>
            <w:r w:rsidRPr="00AD6F97">
              <w:rPr>
                <w:rFonts w:ascii="Cambria Math" w:hAnsi="Cambria Math" w:cs="Times New Roman"/>
                <w:b/>
                <w:i/>
                <w:sz w:val="20"/>
                <w:szCs w:val="20"/>
              </w:rPr>
              <w:t>SBS</w:t>
            </w:r>
            <w:r w:rsidRPr="00AD6F97">
              <w:rPr>
                <w:rFonts w:ascii="Cambria Math" w:hAnsi="Cambria Math" w:cs="Times New Roman"/>
                <w:i/>
                <w:sz w:val="20"/>
                <w:szCs w:val="20"/>
                <w:vertAlign w:val="subscript"/>
              </w:rPr>
              <w:t>i,t</w:t>
            </w:r>
          </w:p>
        </w:tc>
        <w:tc>
          <w:tcPr>
            <w:tcW w:w="41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-0.038193</w:t>
            </w:r>
          </w:p>
        </w:tc>
        <w:tc>
          <w:tcPr>
            <w:tcW w:w="37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0.018052</w:t>
            </w:r>
          </w:p>
        </w:tc>
        <w:tc>
          <w:tcPr>
            <w:tcW w:w="38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-2.115706</w:t>
            </w:r>
          </w:p>
        </w:tc>
        <w:tc>
          <w:tcPr>
            <w:tcW w:w="875" w:type="pct"/>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20"/>
                <w:szCs w:val="20"/>
              </w:rPr>
            </w:pPr>
            <w:r w:rsidRPr="00323045">
              <w:rPr>
                <w:rFonts w:cs="Times New Roman"/>
                <w:color w:val="000000"/>
                <w:sz w:val="20"/>
                <w:szCs w:val="20"/>
              </w:rPr>
              <w:t>0.0344**</w:t>
            </w:r>
          </w:p>
        </w:tc>
        <w:tc>
          <w:tcPr>
            <w:tcW w:w="2445" w:type="pct"/>
            <w:vMerge/>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spacing w:after="0" w:line="240" w:lineRule="auto"/>
              <w:rPr>
                <w:rFonts w:cs="Times New Roman"/>
                <w:color w:val="000000"/>
                <w:sz w:val="20"/>
                <w:szCs w:val="20"/>
              </w:rPr>
            </w:pPr>
          </w:p>
        </w:tc>
      </w:tr>
      <w:tr w:rsidR="00136390" w:rsidRPr="00323045" w:rsidTr="0074334E">
        <w:trPr>
          <w:trHeight w:val="353"/>
        </w:trPr>
        <w:tc>
          <w:tcPr>
            <w:tcW w:w="511" w:type="pct"/>
            <w:tcBorders>
              <w:top w:val="single" w:sz="4" w:space="0" w:color="auto"/>
              <w:left w:val="single" w:sz="4" w:space="0" w:color="auto"/>
              <w:bottom w:val="single" w:sz="4" w:space="0" w:color="auto"/>
              <w:right w:val="single" w:sz="4" w:space="0" w:color="auto"/>
            </w:tcBorders>
            <w:vAlign w:val="center"/>
            <w:hideMark/>
          </w:tcPr>
          <w:p w:rsidR="00136390" w:rsidRPr="00AD6F97" w:rsidRDefault="00136390" w:rsidP="00136390">
            <w:pPr>
              <w:spacing w:line="240" w:lineRule="auto"/>
              <w:rPr>
                <w:rFonts w:ascii="Cambria Math" w:hAnsi="Cambria Math" w:cs="Times New Roman"/>
                <w:sz w:val="20"/>
                <w:szCs w:val="20"/>
              </w:rPr>
            </w:pPr>
            <w:r w:rsidRPr="00AD6F97">
              <w:rPr>
                <w:rFonts w:ascii="Cambria Math" w:hAnsi="Cambria Math" w:cs="Times New Roman"/>
                <w:sz w:val="20"/>
                <w:szCs w:val="20"/>
              </w:rPr>
              <w:t>Insider</w:t>
            </w:r>
            <w:r w:rsidRPr="00AD6F97">
              <w:rPr>
                <w:rFonts w:ascii="Cambria Math" w:hAnsi="Cambria Math" w:cs="Times New Roman"/>
                <w:i/>
                <w:sz w:val="20"/>
                <w:szCs w:val="20"/>
                <w:vertAlign w:val="subscript"/>
              </w:rPr>
              <w:t>i,t</w:t>
            </w:r>
          </w:p>
        </w:tc>
        <w:tc>
          <w:tcPr>
            <w:tcW w:w="41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-0.091003</w:t>
            </w:r>
          </w:p>
        </w:tc>
        <w:tc>
          <w:tcPr>
            <w:tcW w:w="37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0.143215</w:t>
            </w:r>
          </w:p>
        </w:tc>
        <w:tc>
          <w:tcPr>
            <w:tcW w:w="38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-0.635429</w:t>
            </w:r>
          </w:p>
        </w:tc>
        <w:tc>
          <w:tcPr>
            <w:tcW w:w="875" w:type="pct"/>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20"/>
                <w:szCs w:val="20"/>
              </w:rPr>
            </w:pPr>
            <w:r w:rsidRPr="00323045">
              <w:rPr>
                <w:rFonts w:cs="Times New Roman"/>
                <w:color w:val="000000"/>
                <w:sz w:val="20"/>
                <w:szCs w:val="20"/>
              </w:rPr>
              <w:t>0.5252</w:t>
            </w:r>
          </w:p>
        </w:tc>
        <w:tc>
          <w:tcPr>
            <w:tcW w:w="2445" w:type="pct"/>
            <w:vMerge/>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spacing w:after="0" w:line="240" w:lineRule="auto"/>
              <w:rPr>
                <w:rFonts w:cs="Times New Roman"/>
                <w:color w:val="000000"/>
                <w:sz w:val="20"/>
                <w:szCs w:val="20"/>
              </w:rPr>
            </w:pPr>
          </w:p>
        </w:tc>
      </w:tr>
      <w:tr w:rsidR="00136390" w:rsidRPr="00323045" w:rsidTr="0074334E">
        <w:trPr>
          <w:trHeight w:val="353"/>
        </w:trPr>
        <w:tc>
          <w:tcPr>
            <w:tcW w:w="511" w:type="pct"/>
            <w:tcBorders>
              <w:top w:val="single" w:sz="4" w:space="0" w:color="auto"/>
              <w:left w:val="single" w:sz="4" w:space="0" w:color="auto"/>
              <w:bottom w:val="single" w:sz="4" w:space="0" w:color="auto"/>
              <w:right w:val="single" w:sz="4" w:space="0" w:color="auto"/>
            </w:tcBorders>
            <w:vAlign w:val="center"/>
            <w:hideMark/>
          </w:tcPr>
          <w:p w:rsidR="00136390" w:rsidRPr="00AD6F97" w:rsidRDefault="00136390" w:rsidP="00DF111B">
            <w:pPr>
              <w:spacing w:line="240" w:lineRule="auto"/>
              <w:rPr>
                <w:rFonts w:ascii="Cambria Math" w:hAnsi="Cambria Math" w:cs="Times New Roman"/>
                <w:sz w:val="20"/>
                <w:szCs w:val="20"/>
              </w:rPr>
            </w:pPr>
            <w:r w:rsidRPr="00AD6F97">
              <w:rPr>
                <w:rFonts w:ascii="Cambria Math" w:hAnsi="Cambria Math" w:cs="Times New Roman"/>
                <w:sz w:val="20"/>
                <w:szCs w:val="20"/>
              </w:rPr>
              <w:t>Block-</w:t>
            </w:r>
            <w:r w:rsidR="00DF111B">
              <w:rPr>
                <w:rFonts w:ascii="Cambria Math" w:hAnsi="Cambria Math" w:cs="Times New Roman"/>
                <w:sz w:val="20"/>
                <w:szCs w:val="20"/>
              </w:rPr>
              <w:t>h</w:t>
            </w:r>
            <w:r w:rsidRPr="00AD6F97">
              <w:rPr>
                <w:rFonts w:ascii="Cambria Math" w:hAnsi="Cambria Math" w:cs="Times New Roman"/>
                <w:sz w:val="20"/>
                <w:szCs w:val="20"/>
              </w:rPr>
              <w:t>older</w:t>
            </w:r>
            <w:r w:rsidRPr="00AD6F97">
              <w:rPr>
                <w:rFonts w:ascii="Cambria Math" w:hAnsi="Cambria Math" w:cs="Times New Roman"/>
                <w:i/>
                <w:sz w:val="20"/>
                <w:szCs w:val="20"/>
                <w:vertAlign w:val="subscript"/>
              </w:rPr>
              <w:t>i,t</w:t>
            </w:r>
          </w:p>
        </w:tc>
        <w:tc>
          <w:tcPr>
            <w:tcW w:w="41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-0.001950</w:t>
            </w:r>
          </w:p>
        </w:tc>
        <w:tc>
          <w:tcPr>
            <w:tcW w:w="37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0.001465</w:t>
            </w:r>
          </w:p>
        </w:tc>
        <w:tc>
          <w:tcPr>
            <w:tcW w:w="38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-1.330779</w:t>
            </w:r>
          </w:p>
        </w:tc>
        <w:tc>
          <w:tcPr>
            <w:tcW w:w="875" w:type="pct"/>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20"/>
                <w:szCs w:val="20"/>
              </w:rPr>
            </w:pPr>
            <w:r w:rsidRPr="00323045">
              <w:rPr>
                <w:rFonts w:cs="Times New Roman"/>
                <w:color w:val="000000"/>
                <w:sz w:val="20"/>
                <w:szCs w:val="20"/>
              </w:rPr>
              <w:t>0.1833</w:t>
            </w:r>
          </w:p>
        </w:tc>
        <w:tc>
          <w:tcPr>
            <w:tcW w:w="2445" w:type="pct"/>
            <w:vMerge/>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spacing w:after="0" w:line="240" w:lineRule="auto"/>
              <w:rPr>
                <w:rFonts w:cs="Times New Roman"/>
                <w:color w:val="000000"/>
                <w:sz w:val="20"/>
                <w:szCs w:val="20"/>
              </w:rPr>
            </w:pPr>
          </w:p>
        </w:tc>
      </w:tr>
      <w:tr w:rsidR="00136390" w:rsidRPr="00323045" w:rsidTr="0074334E">
        <w:trPr>
          <w:trHeight w:val="353"/>
        </w:trPr>
        <w:tc>
          <w:tcPr>
            <w:tcW w:w="511" w:type="pct"/>
            <w:tcBorders>
              <w:top w:val="single" w:sz="4" w:space="0" w:color="auto"/>
              <w:left w:val="single" w:sz="4" w:space="0" w:color="auto"/>
              <w:bottom w:val="single" w:sz="4" w:space="0" w:color="auto"/>
              <w:right w:val="single" w:sz="4" w:space="0" w:color="auto"/>
            </w:tcBorders>
            <w:vAlign w:val="center"/>
            <w:hideMark/>
          </w:tcPr>
          <w:p w:rsidR="00136390" w:rsidRPr="00AD6F97" w:rsidRDefault="00136390" w:rsidP="00136390">
            <w:pPr>
              <w:spacing w:line="240" w:lineRule="auto"/>
              <w:rPr>
                <w:rFonts w:ascii="Cambria Math" w:hAnsi="Cambria Math" w:cs="Times New Roman"/>
                <w:sz w:val="20"/>
                <w:szCs w:val="20"/>
              </w:rPr>
            </w:pPr>
            <w:r w:rsidRPr="00AD6F97">
              <w:rPr>
                <w:rFonts w:ascii="Cambria Math" w:hAnsi="Cambria Math" w:cs="Times New Roman"/>
                <w:sz w:val="20"/>
                <w:szCs w:val="20"/>
              </w:rPr>
              <w:t>FS</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41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0.103327</w:t>
            </w:r>
          </w:p>
        </w:tc>
        <w:tc>
          <w:tcPr>
            <w:tcW w:w="37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0.019464</w:t>
            </w:r>
          </w:p>
        </w:tc>
        <w:tc>
          <w:tcPr>
            <w:tcW w:w="38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5.308530</w:t>
            </w:r>
          </w:p>
        </w:tc>
        <w:tc>
          <w:tcPr>
            <w:tcW w:w="875" w:type="pct"/>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20"/>
                <w:szCs w:val="20"/>
              </w:rPr>
            </w:pPr>
            <w:r w:rsidRPr="00323045">
              <w:rPr>
                <w:rFonts w:cs="Times New Roman"/>
                <w:color w:val="000000"/>
                <w:sz w:val="20"/>
                <w:szCs w:val="20"/>
              </w:rPr>
              <w:t>0.0000***</w:t>
            </w:r>
          </w:p>
        </w:tc>
        <w:tc>
          <w:tcPr>
            <w:tcW w:w="2445" w:type="pct"/>
            <w:vMerge/>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spacing w:after="0" w:line="240" w:lineRule="auto"/>
              <w:rPr>
                <w:rFonts w:cs="Times New Roman"/>
                <w:color w:val="000000"/>
                <w:sz w:val="20"/>
                <w:szCs w:val="20"/>
              </w:rPr>
            </w:pPr>
          </w:p>
        </w:tc>
      </w:tr>
      <w:tr w:rsidR="00136390" w:rsidRPr="00323045" w:rsidTr="0074334E">
        <w:trPr>
          <w:trHeight w:val="353"/>
        </w:trPr>
        <w:tc>
          <w:tcPr>
            <w:tcW w:w="511" w:type="pct"/>
            <w:tcBorders>
              <w:top w:val="single" w:sz="4" w:space="0" w:color="auto"/>
              <w:left w:val="single" w:sz="4" w:space="0" w:color="auto"/>
              <w:bottom w:val="single" w:sz="4" w:space="0" w:color="auto"/>
              <w:right w:val="single" w:sz="4" w:space="0" w:color="auto"/>
            </w:tcBorders>
            <w:vAlign w:val="center"/>
            <w:hideMark/>
          </w:tcPr>
          <w:p w:rsidR="00136390" w:rsidRPr="00AD6F97" w:rsidRDefault="00136390" w:rsidP="00136390">
            <w:pPr>
              <w:spacing w:line="240" w:lineRule="auto"/>
              <w:rPr>
                <w:rFonts w:ascii="Cambria Math" w:hAnsi="Cambria Math" w:cs="Times New Roman"/>
                <w:sz w:val="20"/>
                <w:szCs w:val="20"/>
              </w:rPr>
            </w:pPr>
            <w:r w:rsidRPr="00AD6F97">
              <w:rPr>
                <w:rFonts w:ascii="Cambria Math" w:hAnsi="Cambria Math" w:cs="Times New Roman"/>
                <w:sz w:val="20"/>
                <w:szCs w:val="20"/>
              </w:rPr>
              <w:t>ROE</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41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0.111357</w:t>
            </w:r>
          </w:p>
        </w:tc>
        <w:tc>
          <w:tcPr>
            <w:tcW w:w="37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0.019177</w:t>
            </w:r>
          </w:p>
        </w:tc>
        <w:tc>
          <w:tcPr>
            <w:tcW w:w="38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5.806678</w:t>
            </w:r>
          </w:p>
        </w:tc>
        <w:tc>
          <w:tcPr>
            <w:tcW w:w="875" w:type="pct"/>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20"/>
                <w:szCs w:val="20"/>
              </w:rPr>
            </w:pPr>
            <w:r w:rsidRPr="00323045">
              <w:rPr>
                <w:rFonts w:cs="Times New Roman"/>
                <w:color w:val="000000"/>
                <w:sz w:val="20"/>
                <w:szCs w:val="20"/>
              </w:rPr>
              <w:t>0.0000***</w:t>
            </w:r>
          </w:p>
        </w:tc>
        <w:tc>
          <w:tcPr>
            <w:tcW w:w="2445" w:type="pct"/>
            <w:vMerge/>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spacing w:after="0" w:line="240" w:lineRule="auto"/>
              <w:rPr>
                <w:rFonts w:cs="Times New Roman"/>
                <w:color w:val="000000"/>
                <w:sz w:val="20"/>
                <w:szCs w:val="20"/>
              </w:rPr>
            </w:pPr>
          </w:p>
        </w:tc>
      </w:tr>
      <w:tr w:rsidR="00136390" w:rsidRPr="00323045" w:rsidTr="0074334E">
        <w:trPr>
          <w:trHeight w:val="266"/>
        </w:trPr>
        <w:tc>
          <w:tcPr>
            <w:tcW w:w="511" w:type="pct"/>
            <w:tcBorders>
              <w:top w:val="single" w:sz="4" w:space="0" w:color="auto"/>
              <w:left w:val="single" w:sz="4" w:space="0" w:color="auto"/>
              <w:bottom w:val="single" w:sz="4" w:space="0" w:color="auto"/>
              <w:right w:val="single" w:sz="4" w:space="0" w:color="auto"/>
            </w:tcBorders>
            <w:vAlign w:val="center"/>
            <w:hideMark/>
          </w:tcPr>
          <w:p w:rsidR="00136390" w:rsidRPr="00AD6F97" w:rsidRDefault="00136390" w:rsidP="00136390">
            <w:pPr>
              <w:spacing w:line="240" w:lineRule="auto"/>
              <w:rPr>
                <w:rFonts w:ascii="Cambria Math" w:hAnsi="Cambria Math" w:cs="Times New Roman"/>
                <w:sz w:val="20"/>
                <w:szCs w:val="20"/>
              </w:rPr>
            </w:pPr>
            <w:r w:rsidRPr="00AD6F97">
              <w:rPr>
                <w:rFonts w:ascii="Cambria Math" w:hAnsi="Cambria Math" w:cs="Times New Roman"/>
                <w:sz w:val="20"/>
                <w:szCs w:val="20"/>
              </w:rPr>
              <w:t>Leverage</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41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0.006481</w:t>
            </w:r>
          </w:p>
        </w:tc>
        <w:tc>
          <w:tcPr>
            <w:tcW w:w="37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0.019040</w:t>
            </w:r>
          </w:p>
        </w:tc>
        <w:tc>
          <w:tcPr>
            <w:tcW w:w="383" w:type="pct"/>
            <w:tcBorders>
              <w:top w:val="single" w:sz="4" w:space="0" w:color="auto"/>
              <w:left w:val="single" w:sz="4" w:space="0" w:color="auto"/>
              <w:bottom w:val="single" w:sz="4" w:space="0" w:color="auto"/>
              <w:right w:val="single" w:sz="4" w:space="0" w:color="auto"/>
            </w:tcBorders>
            <w:vAlign w:val="center"/>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18"/>
                <w:szCs w:val="18"/>
              </w:rPr>
            </w:pPr>
            <w:r w:rsidRPr="004E62ED">
              <w:rPr>
                <w:rFonts w:cs="Times New Roman"/>
                <w:color w:val="000000"/>
                <w:sz w:val="18"/>
                <w:szCs w:val="18"/>
              </w:rPr>
              <w:t>0.340368</w:t>
            </w:r>
          </w:p>
        </w:tc>
        <w:tc>
          <w:tcPr>
            <w:tcW w:w="875" w:type="pct"/>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20"/>
                <w:szCs w:val="20"/>
              </w:rPr>
            </w:pPr>
            <w:r w:rsidRPr="00323045">
              <w:rPr>
                <w:rFonts w:cs="Times New Roman"/>
                <w:color w:val="000000"/>
                <w:sz w:val="20"/>
                <w:szCs w:val="20"/>
              </w:rPr>
              <w:t>0.7336</w:t>
            </w:r>
          </w:p>
        </w:tc>
        <w:tc>
          <w:tcPr>
            <w:tcW w:w="2445" w:type="pct"/>
            <w:vMerge/>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spacing w:after="0" w:line="240" w:lineRule="auto"/>
              <w:rPr>
                <w:rFonts w:cs="Times New Roman"/>
                <w:color w:val="000000"/>
                <w:sz w:val="20"/>
                <w:szCs w:val="20"/>
              </w:rPr>
            </w:pPr>
          </w:p>
        </w:tc>
      </w:tr>
      <w:tr w:rsidR="00A63C9E" w:rsidRPr="00323045" w:rsidTr="0074334E">
        <w:trPr>
          <w:trHeight w:val="252"/>
        </w:trPr>
        <w:tc>
          <w:tcPr>
            <w:tcW w:w="2555" w:type="pct"/>
            <w:gridSpan w:val="5"/>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A63C9E">
            <w:pPr>
              <w:spacing w:after="0" w:line="240" w:lineRule="auto"/>
              <w:rPr>
                <w:rFonts w:cs="Times New Roman"/>
                <w:sz w:val="20"/>
                <w:szCs w:val="20"/>
              </w:rPr>
            </w:pPr>
            <w:r w:rsidRPr="00323045">
              <w:rPr>
                <w:rFonts w:cs="Times New Roman"/>
                <w:sz w:val="20"/>
                <w:szCs w:val="20"/>
              </w:rPr>
              <w:t xml:space="preserve">R-squared                                                                   </w:t>
            </w:r>
            <w:r w:rsidRPr="00323045">
              <w:rPr>
                <w:rFonts w:cs="Times New Roman"/>
                <w:color w:val="000000"/>
                <w:sz w:val="20"/>
                <w:szCs w:val="20"/>
              </w:rPr>
              <w:t>0.016329</w:t>
            </w:r>
            <w:r w:rsidRPr="00323045">
              <w:rPr>
                <w:rFonts w:cs="Times New Roman"/>
                <w:sz w:val="20"/>
                <w:szCs w:val="20"/>
              </w:rPr>
              <w:t xml:space="preserve">                                                                                     </w:t>
            </w:r>
          </w:p>
        </w:tc>
        <w:tc>
          <w:tcPr>
            <w:tcW w:w="2445" w:type="pct"/>
            <w:vMerge/>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A63C9E">
            <w:pPr>
              <w:spacing w:after="0" w:line="240" w:lineRule="auto"/>
              <w:rPr>
                <w:rFonts w:cs="Times New Roman"/>
                <w:color w:val="000000"/>
                <w:sz w:val="20"/>
                <w:szCs w:val="20"/>
              </w:rPr>
            </w:pPr>
          </w:p>
        </w:tc>
      </w:tr>
      <w:tr w:rsidR="00A63C9E" w:rsidRPr="00323045" w:rsidTr="0074334E">
        <w:trPr>
          <w:trHeight w:val="322"/>
        </w:trPr>
        <w:tc>
          <w:tcPr>
            <w:tcW w:w="2555" w:type="pct"/>
            <w:gridSpan w:val="5"/>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A63C9E">
            <w:pPr>
              <w:spacing w:after="0" w:line="240" w:lineRule="auto"/>
              <w:rPr>
                <w:rFonts w:cs="Times New Roman"/>
                <w:sz w:val="20"/>
                <w:szCs w:val="20"/>
              </w:rPr>
            </w:pPr>
            <w:r w:rsidRPr="00323045">
              <w:rPr>
                <w:rFonts w:cs="Times New Roman"/>
                <w:sz w:val="20"/>
                <w:szCs w:val="20"/>
              </w:rPr>
              <w:t xml:space="preserve">Adjusted R -squared                                                  </w:t>
            </w:r>
            <w:r w:rsidRPr="00323045">
              <w:rPr>
                <w:rFonts w:cs="Times New Roman"/>
                <w:color w:val="000000"/>
                <w:sz w:val="20"/>
                <w:szCs w:val="20"/>
              </w:rPr>
              <w:t>0.014304</w:t>
            </w:r>
            <w:r w:rsidRPr="00323045">
              <w:rPr>
                <w:rFonts w:cs="Times New Roman"/>
                <w:sz w:val="20"/>
                <w:szCs w:val="20"/>
              </w:rPr>
              <w:t xml:space="preserve">                                                                                </w:t>
            </w:r>
          </w:p>
        </w:tc>
        <w:tc>
          <w:tcPr>
            <w:tcW w:w="2445" w:type="pct"/>
            <w:vMerge/>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A63C9E">
            <w:pPr>
              <w:spacing w:after="0" w:line="240" w:lineRule="auto"/>
              <w:rPr>
                <w:rFonts w:cs="Times New Roman"/>
                <w:color w:val="000000"/>
                <w:sz w:val="20"/>
                <w:szCs w:val="20"/>
              </w:rPr>
            </w:pPr>
          </w:p>
        </w:tc>
      </w:tr>
      <w:tr w:rsidR="00A63C9E" w:rsidRPr="00323045" w:rsidTr="0074334E">
        <w:trPr>
          <w:trHeight w:val="322"/>
        </w:trPr>
        <w:tc>
          <w:tcPr>
            <w:tcW w:w="5000" w:type="pct"/>
            <w:gridSpan w:val="6"/>
            <w:tcBorders>
              <w:top w:val="single" w:sz="4" w:space="0" w:color="auto"/>
              <w:left w:val="single" w:sz="4" w:space="0" w:color="auto"/>
              <w:bottom w:val="single" w:sz="4" w:space="0" w:color="auto"/>
              <w:right w:val="single" w:sz="4" w:space="0" w:color="auto"/>
            </w:tcBorders>
            <w:hideMark/>
          </w:tcPr>
          <w:p w:rsidR="00A63C9E" w:rsidRPr="00323045" w:rsidRDefault="00A63C9E" w:rsidP="00A63C9E">
            <w:pPr>
              <w:spacing w:after="0" w:line="240" w:lineRule="auto"/>
              <w:rPr>
                <w:rFonts w:cs="Times New Roman"/>
                <w:sz w:val="20"/>
                <w:szCs w:val="20"/>
              </w:rPr>
            </w:pPr>
            <w:r w:rsidRPr="00323045">
              <w:rPr>
                <w:rFonts w:cs="Times New Roman"/>
                <w:sz w:val="20"/>
                <w:szCs w:val="20"/>
              </w:rPr>
              <w:t>*. Correlation is significant at the 0.1</w:t>
            </w:r>
            <w:r>
              <w:rPr>
                <w:rFonts w:cs="Times New Roman"/>
                <w:sz w:val="20"/>
                <w:szCs w:val="20"/>
              </w:rPr>
              <w:t xml:space="preserve">, </w:t>
            </w:r>
            <w:r w:rsidRPr="00323045">
              <w:rPr>
                <w:rFonts w:cs="Times New Roman"/>
                <w:sz w:val="20"/>
                <w:szCs w:val="20"/>
              </w:rPr>
              <w:t>**. Correlation is significant at the 0.05</w:t>
            </w:r>
            <w:r w:rsidRPr="00323045">
              <w:rPr>
                <w:rFonts w:cs="Times New Roman"/>
                <w:color w:val="000000"/>
                <w:sz w:val="20"/>
                <w:szCs w:val="20"/>
              </w:rPr>
              <w:t xml:space="preserve"> </w:t>
            </w:r>
            <w:r>
              <w:rPr>
                <w:rFonts w:cs="Times New Roman"/>
                <w:color w:val="000000"/>
                <w:sz w:val="20"/>
                <w:szCs w:val="20"/>
              </w:rPr>
              <w:t xml:space="preserve">, </w:t>
            </w:r>
            <w:r w:rsidRPr="00323045">
              <w:rPr>
                <w:rFonts w:cs="Times New Roman"/>
                <w:sz w:val="20"/>
                <w:szCs w:val="20"/>
              </w:rPr>
              <w:t>***.Correlation is significant at the 0.01</w:t>
            </w:r>
            <w:r w:rsidRPr="00323045">
              <w:rPr>
                <w:rFonts w:cs="Times New Roman"/>
                <w:color w:val="000000"/>
                <w:sz w:val="20"/>
                <w:szCs w:val="20"/>
              </w:rPr>
              <w:t xml:space="preserve"> </w:t>
            </w:r>
          </w:p>
        </w:tc>
      </w:tr>
      <w:tr w:rsidR="00A63C9E" w:rsidRPr="00323045" w:rsidTr="0074334E">
        <w:trPr>
          <w:trHeight w:val="322"/>
        </w:trPr>
        <w:tc>
          <w:tcPr>
            <w:tcW w:w="5000" w:type="pct"/>
            <w:gridSpan w:val="6"/>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DF111B">
            <w:pPr>
              <w:spacing w:after="0" w:line="240" w:lineRule="auto"/>
              <w:rPr>
                <w:rFonts w:cs="Times New Roman"/>
                <w:sz w:val="20"/>
                <w:szCs w:val="20"/>
              </w:rPr>
            </w:pPr>
            <w:r w:rsidRPr="00323045">
              <w:rPr>
                <w:rFonts w:cs="Times New Roman"/>
                <w:sz w:val="20"/>
                <w:szCs w:val="20"/>
              </w:rPr>
              <w:t xml:space="preserve">This table summarizes the results of random effect model and Hausman </w:t>
            </w:r>
            <w:r w:rsidR="00136390" w:rsidRPr="00323045">
              <w:rPr>
                <w:rFonts w:cs="Times New Roman"/>
                <w:sz w:val="20"/>
                <w:szCs w:val="20"/>
              </w:rPr>
              <w:t>test based</w:t>
            </w:r>
            <w:r w:rsidRPr="00323045">
              <w:rPr>
                <w:rFonts w:cs="Times New Roman"/>
                <w:sz w:val="20"/>
                <w:szCs w:val="20"/>
              </w:rPr>
              <w:t xml:space="preserve"> on the sample firms of China.</w:t>
            </w:r>
            <w:r w:rsidR="00136390">
              <w:rPr>
                <w:rFonts w:cs="Times New Roman"/>
                <w:sz w:val="20"/>
                <w:szCs w:val="20"/>
              </w:rPr>
              <w:t xml:space="preserve"> </w:t>
            </w:r>
            <w:r w:rsidR="00136390" w:rsidRPr="00AD6F97">
              <w:rPr>
                <w:rFonts w:ascii="Cambria Math" w:hAnsi="Cambria Math" w:cs="Times New Roman"/>
                <w:b/>
                <w:i/>
                <w:sz w:val="20"/>
                <w:szCs w:val="20"/>
              </w:rPr>
              <w:t>BS</w:t>
            </w:r>
            <w:r w:rsidR="00136390" w:rsidRPr="00AD6F97">
              <w:rPr>
                <w:rFonts w:ascii="Cambria Math" w:hAnsi="Cambria Math" w:cs="Times New Roman"/>
                <w:i/>
                <w:sz w:val="20"/>
                <w:szCs w:val="20"/>
                <w:vertAlign w:val="subscript"/>
              </w:rPr>
              <w:t>i,t</w:t>
            </w:r>
            <w:r w:rsidR="00136390" w:rsidRPr="00686E2F">
              <w:rPr>
                <w:rFonts w:cs="Times New Roman"/>
                <w:sz w:val="20"/>
                <w:szCs w:val="20"/>
              </w:rPr>
              <w:t xml:space="preserve"> = the number of board members. </w:t>
            </w:r>
            <w:r w:rsidR="00136390" w:rsidRPr="00AD6F97">
              <w:rPr>
                <w:rFonts w:ascii="Cambria Math" w:hAnsi="Cambria Math" w:cs="Times New Roman"/>
                <w:sz w:val="20"/>
                <w:szCs w:val="20"/>
              </w:rPr>
              <w:t>BI</w:t>
            </w:r>
            <w:r w:rsidR="00136390" w:rsidRPr="00AD6F97">
              <w:rPr>
                <w:rFonts w:ascii="Cambria Math" w:hAnsi="Cambria Math" w:cs="Times New Roman"/>
                <w:i/>
                <w:sz w:val="20"/>
                <w:szCs w:val="20"/>
                <w:vertAlign w:val="subscript"/>
              </w:rPr>
              <w:t>i,t</w:t>
            </w:r>
            <w:r w:rsidR="00136390" w:rsidRPr="00686E2F">
              <w:rPr>
                <w:rFonts w:cs="Times New Roman"/>
                <w:sz w:val="20"/>
                <w:szCs w:val="20"/>
              </w:rPr>
              <w:t xml:space="preserve"> =</w:t>
            </w:r>
            <w:r w:rsidR="00136390" w:rsidRPr="00686E2F">
              <w:rPr>
                <w:rFonts w:eastAsia="SimSun" w:cs="Times New Roman"/>
                <w:sz w:val="20"/>
                <w:szCs w:val="20"/>
                <w:lang w:eastAsia="en-US"/>
              </w:rPr>
              <w:t xml:space="preserve"> </w:t>
            </w:r>
            <w:r w:rsidR="00136390">
              <w:rPr>
                <w:rFonts w:cs="Times New Roman" w:hint="eastAsia"/>
                <w:sz w:val="20"/>
                <w:szCs w:val="20"/>
              </w:rPr>
              <w:t>ratio</w:t>
            </w:r>
            <w:r w:rsidR="00136390" w:rsidRPr="00686E2F">
              <w:rPr>
                <w:rFonts w:cs="Times New Roman"/>
                <w:sz w:val="20"/>
                <w:szCs w:val="20"/>
              </w:rPr>
              <w:t xml:space="preserve"> of independent directors to total board size. </w:t>
            </w:r>
            <w:r w:rsidR="00136390" w:rsidRPr="00AD6F97">
              <w:rPr>
                <w:rFonts w:ascii="Cambria Math" w:hAnsi="Cambria Math" w:cs="Times New Roman"/>
                <w:sz w:val="20"/>
                <w:szCs w:val="20"/>
              </w:rPr>
              <w:t>CEO-dumm</w:t>
            </w:r>
            <w:r w:rsidR="00201281">
              <w:rPr>
                <w:rFonts w:ascii="Cambria Math" w:hAnsi="Cambria Math" w:cs="Times New Roman"/>
                <w:sz w:val="20"/>
                <w:szCs w:val="20"/>
              </w:rPr>
              <w:t>y</w:t>
            </w:r>
            <w:r w:rsidR="00136390" w:rsidRPr="00AD6F97">
              <w:rPr>
                <w:rFonts w:ascii="Cambria Math" w:hAnsi="Cambria Math" w:cs="Times New Roman"/>
                <w:i/>
                <w:sz w:val="20"/>
                <w:szCs w:val="20"/>
                <w:vertAlign w:val="subscript"/>
              </w:rPr>
              <w:t>i,t</w:t>
            </w:r>
            <w:r w:rsidR="00136390" w:rsidRPr="00686E2F">
              <w:rPr>
                <w:rFonts w:cs="Times New Roman"/>
                <w:sz w:val="20"/>
                <w:szCs w:val="20"/>
              </w:rPr>
              <w:t xml:space="preserve"> = 1 if CEO is Chairman, equal to 0 if otherwise. </w:t>
            </w:r>
            <w:r w:rsidR="00136390" w:rsidRPr="00AD6F97">
              <w:rPr>
                <w:rFonts w:ascii="Cambria Math" w:hAnsi="Cambria Math" w:cs="Times New Roman"/>
                <w:b/>
                <w:i/>
                <w:sz w:val="20"/>
                <w:szCs w:val="20"/>
              </w:rPr>
              <w:t>SBS</w:t>
            </w:r>
            <w:r w:rsidR="00136390" w:rsidRPr="00AD6F97">
              <w:rPr>
                <w:rFonts w:ascii="Cambria Math" w:hAnsi="Cambria Math" w:cs="Times New Roman"/>
                <w:i/>
                <w:sz w:val="20"/>
                <w:szCs w:val="20"/>
                <w:vertAlign w:val="subscript"/>
              </w:rPr>
              <w:t>i,t</w:t>
            </w:r>
            <w:r w:rsidR="00136390" w:rsidRPr="00686E2F">
              <w:rPr>
                <w:rFonts w:cs="Times New Roman"/>
                <w:b/>
                <w:i/>
                <w:sz w:val="20"/>
                <w:szCs w:val="20"/>
              </w:rPr>
              <w:t xml:space="preserve"> =</w:t>
            </w:r>
            <w:r w:rsidR="00136390" w:rsidRPr="00686E2F">
              <w:rPr>
                <w:rFonts w:eastAsia="SimSun" w:cs="Times New Roman"/>
                <w:sz w:val="20"/>
                <w:szCs w:val="20"/>
                <w:lang w:eastAsia="en-US"/>
              </w:rPr>
              <w:t xml:space="preserve"> </w:t>
            </w:r>
            <w:r w:rsidR="00136390" w:rsidRPr="00686E2F">
              <w:rPr>
                <w:rFonts w:cs="Times New Roman"/>
                <w:sz w:val="20"/>
                <w:szCs w:val="20"/>
              </w:rPr>
              <w:t xml:space="preserve">the number of supervisory board size. </w:t>
            </w:r>
            <w:r w:rsidR="00136390" w:rsidRPr="00AD6F97">
              <w:rPr>
                <w:rFonts w:ascii="Cambria Math" w:hAnsi="Cambria Math" w:cs="Times New Roman"/>
                <w:sz w:val="20"/>
                <w:szCs w:val="20"/>
              </w:rPr>
              <w:t>Inside</w:t>
            </w:r>
            <w:r w:rsidR="00201281">
              <w:rPr>
                <w:rFonts w:ascii="Cambria Math" w:hAnsi="Cambria Math" w:cs="Times New Roman"/>
                <w:sz w:val="20"/>
                <w:szCs w:val="20"/>
              </w:rPr>
              <w:t>r</w:t>
            </w:r>
            <w:r w:rsidR="00136390" w:rsidRPr="00AD6F97">
              <w:rPr>
                <w:rFonts w:ascii="Cambria Math" w:hAnsi="Cambria Math" w:cs="Times New Roman"/>
                <w:i/>
                <w:sz w:val="20"/>
                <w:szCs w:val="20"/>
                <w:vertAlign w:val="subscript"/>
              </w:rPr>
              <w:t>i,t</w:t>
            </w:r>
            <w:r w:rsidR="00136390" w:rsidRPr="00686E2F">
              <w:rPr>
                <w:rFonts w:cs="Times New Roman"/>
                <w:sz w:val="20"/>
                <w:szCs w:val="20"/>
              </w:rPr>
              <w:t xml:space="preserve"> = percentages of shares </w:t>
            </w:r>
            <w:r w:rsidR="00136390">
              <w:rPr>
                <w:rFonts w:cs="Times New Roman"/>
                <w:sz w:val="20"/>
                <w:szCs w:val="20"/>
              </w:rPr>
              <w:t>hold by management</w:t>
            </w:r>
            <w:r w:rsidR="00136390" w:rsidRPr="00686E2F">
              <w:rPr>
                <w:rFonts w:cs="Times New Roman"/>
                <w:sz w:val="20"/>
                <w:szCs w:val="20"/>
              </w:rPr>
              <w:t xml:space="preserve">. </w:t>
            </w:r>
            <w:r w:rsidR="00136390" w:rsidRPr="00AD6F97">
              <w:rPr>
                <w:rFonts w:ascii="Cambria Math" w:hAnsi="Cambria Math" w:cs="Times New Roman"/>
                <w:sz w:val="20"/>
                <w:szCs w:val="20"/>
              </w:rPr>
              <w:t>Block-</w:t>
            </w:r>
            <w:r w:rsidR="00DF111B">
              <w:rPr>
                <w:rFonts w:ascii="Cambria Math" w:hAnsi="Cambria Math" w:cs="Times New Roman"/>
                <w:sz w:val="20"/>
                <w:szCs w:val="20"/>
              </w:rPr>
              <w:t>ho</w:t>
            </w:r>
            <w:r w:rsidR="00136390" w:rsidRPr="00AD6F97">
              <w:rPr>
                <w:rFonts w:ascii="Cambria Math" w:hAnsi="Cambria Math" w:cs="Times New Roman"/>
                <w:sz w:val="20"/>
                <w:szCs w:val="20"/>
              </w:rPr>
              <w:t>lder</w:t>
            </w:r>
            <w:r w:rsidR="00136390" w:rsidRPr="00AD6F97">
              <w:rPr>
                <w:rFonts w:ascii="Cambria Math" w:hAnsi="Cambria Math" w:cs="Times New Roman"/>
                <w:i/>
                <w:sz w:val="20"/>
                <w:szCs w:val="20"/>
                <w:vertAlign w:val="subscript"/>
              </w:rPr>
              <w:t>i,t</w:t>
            </w:r>
            <w:r w:rsidR="00136390" w:rsidRPr="00686E2F">
              <w:rPr>
                <w:rFonts w:cs="Times New Roman"/>
                <w:sz w:val="20"/>
                <w:szCs w:val="20"/>
              </w:rPr>
              <w:t xml:space="preserve"> =</w:t>
            </w:r>
            <w:r w:rsidR="00136390" w:rsidRPr="00686E2F">
              <w:rPr>
                <w:rFonts w:cs="Times New Roman" w:hint="eastAsia"/>
                <w:sz w:val="20"/>
                <w:szCs w:val="20"/>
              </w:rPr>
              <w:t xml:space="preserve"> </w:t>
            </w:r>
            <w:r w:rsidR="00136390" w:rsidRPr="00686E2F">
              <w:rPr>
                <w:rFonts w:cs="Times New Roman"/>
                <w:sz w:val="20"/>
                <w:szCs w:val="20"/>
              </w:rPr>
              <w:t>percentages of shares hold by block-holders</w:t>
            </w:r>
            <w:r w:rsidR="00136390" w:rsidRPr="00686E2F">
              <w:rPr>
                <w:rFonts w:cs="Times New Roman" w:hint="eastAsia"/>
                <w:sz w:val="20"/>
                <w:szCs w:val="20"/>
              </w:rPr>
              <w:t>.</w:t>
            </w:r>
            <w:r w:rsidR="00136390">
              <w:rPr>
                <w:rFonts w:cs="Times New Roman"/>
                <w:sz w:val="20"/>
                <w:szCs w:val="20"/>
              </w:rPr>
              <w:t xml:space="preserve"> </w:t>
            </w:r>
            <w:r w:rsidR="00136390" w:rsidRPr="00AD6F97">
              <w:rPr>
                <w:rFonts w:ascii="Cambria Math" w:hAnsi="Cambria Math" w:cs="Times New Roman"/>
                <w:sz w:val="20"/>
                <w:szCs w:val="20"/>
              </w:rPr>
              <w:t>FS</w:t>
            </w:r>
            <w:r w:rsidR="00136390" w:rsidRPr="00AD6F97">
              <w:rPr>
                <w:rFonts w:ascii="Cambria Math" w:hAnsi="Cambria Math" w:cs="Times New Roman"/>
                <w:i/>
                <w:sz w:val="20"/>
                <w:szCs w:val="20"/>
                <w:vertAlign w:val="subscript"/>
              </w:rPr>
              <w:t>i,t</w:t>
            </w:r>
            <w:r w:rsidR="00136390" w:rsidRPr="00AD6F97">
              <w:rPr>
                <w:rFonts w:ascii="Cambria Math" w:hAnsi="Cambria Math" w:cs="Times New Roman"/>
                <w:sz w:val="20"/>
                <w:szCs w:val="20"/>
              </w:rPr>
              <w:t xml:space="preserve"> (log)</w:t>
            </w:r>
            <w:r w:rsidR="00061CFD">
              <w:rPr>
                <w:rFonts w:ascii="Cambria Math" w:hAnsi="Cambria Math" w:cs="Times New Roman"/>
                <w:sz w:val="20"/>
                <w:szCs w:val="20"/>
              </w:rPr>
              <w:t xml:space="preserve"> </w:t>
            </w:r>
            <w:r w:rsidR="00136390" w:rsidRPr="00686E2F">
              <w:rPr>
                <w:rFonts w:cs="Times New Roman"/>
                <w:sz w:val="20"/>
                <w:szCs w:val="20"/>
              </w:rPr>
              <w:t xml:space="preserve">= nature logarithm of total assets as proxy for firm size. </w:t>
            </w:r>
            <w:r w:rsidR="00136390" w:rsidRPr="00AD6F97">
              <w:rPr>
                <w:rFonts w:ascii="Cambria Math" w:hAnsi="Cambria Math" w:cs="Times New Roman"/>
                <w:sz w:val="20"/>
                <w:szCs w:val="20"/>
              </w:rPr>
              <w:t>ROE</w:t>
            </w:r>
            <w:r w:rsidR="00136390" w:rsidRPr="00AD6F97">
              <w:rPr>
                <w:rFonts w:ascii="Cambria Math" w:hAnsi="Cambria Math" w:cs="Times New Roman"/>
                <w:i/>
                <w:sz w:val="20"/>
                <w:szCs w:val="20"/>
                <w:vertAlign w:val="subscript"/>
              </w:rPr>
              <w:t>i,t</w:t>
            </w:r>
            <w:r w:rsidR="00136390" w:rsidRPr="00AD6F97">
              <w:rPr>
                <w:rFonts w:ascii="Cambria Math" w:hAnsi="Cambria Math" w:cs="Times New Roman"/>
                <w:sz w:val="20"/>
                <w:szCs w:val="20"/>
              </w:rPr>
              <w:t xml:space="preserve"> (log)</w:t>
            </w:r>
            <w:r w:rsidR="00061CFD">
              <w:rPr>
                <w:rFonts w:ascii="Cambria Math" w:hAnsi="Cambria Math" w:cs="Times New Roman"/>
                <w:sz w:val="20"/>
                <w:szCs w:val="20"/>
              </w:rPr>
              <w:t xml:space="preserve"> </w:t>
            </w:r>
            <w:r w:rsidR="00136390" w:rsidRPr="00686E2F">
              <w:rPr>
                <w:rFonts w:cs="Times New Roman"/>
                <w:sz w:val="20"/>
                <w:szCs w:val="20"/>
              </w:rPr>
              <w:t xml:space="preserve">= nature logarithm of return on equity. </w:t>
            </w:r>
            <w:r w:rsidR="00136390" w:rsidRPr="00AD6F97">
              <w:rPr>
                <w:rFonts w:ascii="Cambria Math" w:hAnsi="Cambria Math" w:cs="Times New Roman"/>
                <w:sz w:val="20"/>
                <w:szCs w:val="20"/>
              </w:rPr>
              <w:t>Leverage</w:t>
            </w:r>
            <w:r w:rsidR="00136390" w:rsidRPr="00AD6F97">
              <w:rPr>
                <w:rFonts w:ascii="Cambria Math" w:hAnsi="Cambria Math" w:cs="Times New Roman"/>
                <w:i/>
                <w:sz w:val="20"/>
                <w:szCs w:val="20"/>
                <w:vertAlign w:val="subscript"/>
              </w:rPr>
              <w:t>i,t</w:t>
            </w:r>
            <w:r w:rsidR="00136390" w:rsidRPr="00AD6F97">
              <w:rPr>
                <w:rFonts w:ascii="Cambria Math" w:hAnsi="Cambria Math" w:cs="Times New Roman"/>
                <w:sz w:val="20"/>
                <w:szCs w:val="20"/>
              </w:rPr>
              <w:t xml:space="preserve"> (log)</w:t>
            </w:r>
            <w:r w:rsidR="00061CFD">
              <w:rPr>
                <w:rFonts w:ascii="Cambria Math" w:hAnsi="Cambria Math" w:cs="Times New Roman"/>
                <w:sz w:val="20"/>
                <w:szCs w:val="20"/>
              </w:rPr>
              <w:t xml:space="preserve"> </w:t>
            </w:r>
            <w:r w:rsidR="00136390" w:rsidRPr="00686E2F">
              <w:rPr>
                <w:rFonts w:cs="Times New Roman"/>
                <w:sz w:val="20"/>
                <w:szCs w:val="20"/>
              </w:rPr>
              <w:t>= nature logarithm of leverage.</w:t>
            </w:r>
          </w:p>
        </w:tc>
      </w:tr>
    </w:tbl>
    <w:p w:rsidR="00A63C9E" w:rsidRPr="00323045" w:rsidRDefault="00A63C9E" w:rsidP="00A63C9E">
      <w:pPr>
        <w:pStyle w:val="Caption"/>
        <w:jc w:val="center"/>
        <w:rPr>
          <w:rFonts w:cs="Times New Roman"/>
          <w:szCs w:val="24"/>
        </w:rPr>
      </w:pPr>
      <w:r w:rsidRPr="00323045">
        <w:rPr>
          <w:rFonts w:cs="Times New Roman"/>
          <w:szCs w:val="24"/>
        </w:rPr>
        <w:lastRenderedPageBreak/>
        <w:t xml:space="preserve">Table </w:t>
      </w:r>
      <w:r w:rsidR="00EF1EDC">
        <w:rPr>
          <w:rFonts w:cs="Times New Roman"/>
          <w:szCs w:val="24"/>
        </w:rPr>
        <w:fldChar w:fldCharType="begin"/>
      </w:r>
      <w:r w:rsidR="00280DE8">
        <w:rPr>
          <w:rFonts w:cs="Times New Roman"/>
          <w:szCs w:val="24"/>
        </w:rPr>
        <w:instrText xml:space="preserve"> STYLEREF 1 \s </w:instrText>
      </w:r>
      <w:r w:rsidR="00EF1EDC">
        <w:rPr>
          <w:rFonts w:cs="Times New Roman"/>
          <w:szCs w:val="24"/>
        </w:rPr>
        <w:fldChar w:fldCharType="separate"/>
      </w:r>
      <w:r w:rsidR="00280DE8">
        <w:rPr>
          <w:rFonts w:cs="Times New Roman"/>
          <w:noProof/>
          <w:szCs w:val="24"/>
        </w:rPr>
        <w:t>6</w:t>
      </w:r>
      <w:r w:rsidR="00EF1EDC">
        <w:rPr>
          <w:rFonts w:cs="Times New Roman"/>
          <w:szCs w:val="24"/>
        </w:rPr>
        <w:fldChar w:fldCharType="end"/>
      </w:r>
      <w:r w:rsidR="00280DE8">
        <w:rPr>
          <w:rFonts w:cs="Times New Roman"/>
          <w:szCs w:val="24"/>
        </w:rPr>
        <w:t>.</w:t>
      </w:r>
      <w:r w:rsidR="00EF1EDC">
        <w:rPr>
          <w:rFonts w:cs="Times New Roman"/>
          <w:szCs w:val="24"/>
        </w:rPr>
        <w:fldChar w:fldCharType="begin"/>
      </w:r>
      <w:r w:rsidR="00280DE8">
        <w:rPr>
          <w:rFonts w:cs="Times New Roman"/>
          <w:szCs w:val="24"/>
        </w:rPr>
        <w:instrText xml:space="preserve"> SEQ Table \* ARABIC \s 1 </w:instrText>
      </w:r>
      <w:r w:rsidR="00EF1EDC">
        <w:rPr>
          <w:rFonts w:cs="Times New Roman"/>
          <w:szCs w:val="24"/>
        </w:rPr>
        <w:fldChar w:fldCharType="separate"/>
      </w:r>
      <w:r w:rsidR="00280DE8">
        <w:rPr>
          <w:rFonts w:cs="Times New Roman"/>
          <w:noProof/>
          <w:szCs w:val="24"/>
        </w:rPr>
        <w:t>10</w:t>
      </w:r>
      <w:r w:rsidR="00EF1EDC">
        <w:rPr>
          <w:rFonts w:cs="Times New Roman"/>
          <w:szCs w:val="24"/>
        </w:rPr>
        <w:fldChar w:fldCharType="end"/>
      </w:r>
      <w:r w:rsidRPr="00323045">
        <w:rPr>
          <w:rFonts w:cs="Times New Roman"/>
          <w:szCs w:val="24"/>
        </w:rPr>
        <w:t>. Hausman test of U.S with random effect model</w:t>
      </w:r>
    </w:p>
    <w:tbl>
      <w:tblPr>
        <w:tblStyle w:val="TableGrid"/>
        <w:tblpPr w:leftFromText="180" w:rightFromText="180" w:vertAnchor="text" w:horzAnchor="margin" w:tblpXSpec="center" w:tblpY="124"/>
        <w:tblW w:w="13907" w:type="dxa"/>
        <w:tblLayout w:type="fixed"/>
        <w:tblLook w:val="04A0"/>
      </w:tblPr>
      <w:tblGrid>
        <w:gridCol w:w="1577"/>
        <w:gridCol w:w="1051"/>
        <w:gridCol w:w="1058"/>
        <w:gridCol w:w="1100"/>
        <w:gridCol w:w="2342"/>
        <w:gridCol w:w="6779"/>
      </w:tblGrid>
      <w:tr w:rsidR="00A63C9E" w:rsidRPr="00323045" w:rsidTr="002F44C9">
        <w:trPr>
          <w:trHeight w:val="480"/>
        </w:trPr>
        <w:tc>
          <w:tcPr>
            <w:tcW w:w="7128" w:type="dxa"/>
            <w:gridSpan w:val="5"/>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A63C9E">
            <w:pPr>
              <w:autoSpaceDE w:val="0"/>
              <w:autoSpaceDN w:val="0"/>
              <w:adjustRightInd w:val="0"/>
              <w:spacing w:after="0" w:line="240" w:lineRule="auto"/>
              <w:ind w:right="10"/>
              <w:jc w:val="center"/>
              <w:rPr>
                <w:rFonts w:cs="Times New Roman"/>
                <w:b/>
                <w:color w:val="000000"/>
                <w:szCs w:val="24"/>
              </w:rPr>
            </w:pPr>
            <w:r w:rsidRPr="00323045">
              <w:rPr>
                <w:rFonts w:cs="Times New Roman"/>
                <w:b/>
                <w:color w:val="000000"/>
                <w:szCs w:val="24"/>
              </w:rPr>
              <w:t xml:space="preserve">Random effect model </w:t>
            </w:r>
          </w:p>
        </w:tc>
        <w:tc>
          <w:tcPr>
            <w:tcW w:w="6779" w:type="dxa"/>
            <w:tcBorders>
              <w:top w:val="single" w:sz="4" w:space="0" w:color="auto"/>
              <w:left w:val="single" w:sz="4" w:space="0" w:color="auto"/>
              <w:bottom w:val="single" w:sz="4" w:space="0" w:color="auto"/>
              <w:right w:val="single" w:sz="4" w:space="0" w:color="auto"/>
            </w:tcBorders>
            <w:hideMark/>
          </w:tcPr>
          <w:p w:rsidR="00A63C9E" w:rsidRPr="00323045" w:rsidRDefault="00A63C9E" w:rsidP="00A63C9E">
            <w:pPr>
              <w:autoSpaceDE w:val="0"/>
              <w:autoSpaceDN w:val="0"/>
              <w:adjustRightInd w:val="0"/>
              <w:spacing w:after="0" w:line="240" w:lineRule="auto"/>
              <w:ind w:right="10"/>
              <w:jc w:val="center"/>
              <w:rPr>
                <w:rFonts w:cs="Times New Roman"/>
                <w:b/>
                <w:color w:val="000000"/>
                <w:szCs w:val="24"/>
              </w:rPr>
            </w:pPr>
            <w:r w:rsidRPr="00323045">
              <w:rPr>
                <w:rFonts w:cs="Times New Roman"/>
                <w:b/>
                <w:color w:val="000000"/>
                <w:szCs w:val="24"/>
              </w:rPr>
              <w:t xml:space="preserve">Hausman  test   </w:t>
            </w:r>
          </w:p>
        </w:tc>
      </w:tr>
      <w:tr w:rsidR="00A63C9E" w:rsidRPr="00323045" w:rsidTr="002F44C9">
        <w:trPr>
          <w:trHeight w:val="237"/>
        </w:trPr>
        <w:tc>
          <w:tcPr>
            <w:tcW w:w="1577" w:type="dxa"/>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A63C9E">
            <w:pPr>
              <w:spacing w:after="0" w:line="240" w:lineRule="auto"/>
              <w:jc w:val="left"/>
              <w:rPr>
                <w:rFonts w:cs="Times New Roman"/>
              </w:rPr>
            </w:pPr>
            <w:r w:rsidRPr="00323045">
              <w:rPr>
                <w:rFonts w:cs="Times New Roman"/>
                <w:color w:val="000000"/>
                <w:sz w:val="18"/>
                <w:szCs w:val="18"/>
              </w:rPr>
              <w:t>Variable</w:t>
            </w:r>
          </w:p>
        </w:tc>
        <w:tc>
          <w:tcPr>
            <w:tcW w:w="1051" w:type="dxa"/>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A63C9E">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Coefficient</w:t>
            </w:r>
          </w:p>
        </w:tc>
        <w:tc>
          <w:tcPr>
            <w:tcW w:w="1058" w:type="dxa"/>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A63C9E">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Std. Error</w:t>
            </w:r>
          </w:p>
        </w:tc>
        <w:tc>
          <w:tcPr>
            <w:tcW w:w="1100" w:type="dxa"/>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A63C9E">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t-Statistic</w:t>
            </w:r>
          </w:p>
        </w:tc>
        <w:tc>
          <w:tcPr>
            <w:tcW w:w="2342" w:type="dxa"/>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A63C9E">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Prob.</w:t>
            </w:r>
          </w:p>
        </w:tc>
        <w:tc>
          <w:tcPr>
            <w:tcW w:w="6779" w:type="dxa"/>
            <w:vMerge w:val="restart"/>
            <w:tcBorders>
              <w:top w:val="single" w:sz="4" w:space="0" w:color="auto"/>
              <w:left w:val="single" w:sz="4" w:space="0" w:color="auto"/>
              <w:bottom w:val="single" w:sz="4" w:space="0" w:color="auto"/>
              <w:right w:val="single" w:sz="4" w:space="0" w:color="auto"/>
            </w:tcBorders>
          </w:tcPr>
          <w:p w:rsidR="00A63C9E" w:rsidRPr="00323045" w:rsidRDefault="00A63C9E" w:rsidP="00A63C9E">
            <w:pPr>
              <w:autoSpaceDE w:val="0"/>
              <w:autoSpaceDN w:val="0"/>
              <w:adjustRightInd w:val="0"/>
              <w:spacing w:after="0" w:line="320" w:lineRule="atLeast"/>
              <w:ind w:right="60"/>
              <w:rPr>
                <w:rFonts w:cs="Times New Roman"/>
                <w:color w:val="000000"/>
              </w:rPr>
            </w:pPr>
          </w:p>
          <w:p w:rsidR="00A63C9E" w:rsidRPr="00323045" w:rsidRDefault="00A63C9E" w:rsidP="00A63C9E">
            <w:pPr>
              <w:autoSpaceDE w:val="0"/>
              <w:autoSpaceDN w:val="0"/>
              <w:adjustRightInd w:val="0"/>
              <w:spacing w:after="0" w:line="320" w:lineRule="atLeast"/>
              <w:ind w:right="60"/>
              <w:rPr>
                <w:rFonts w:cs="Times New Roman"/>
                <w:color w:val="000000"/>
              </w:rPr>
            </w:pPr>
          </w:p>
          <w:p w:rsidR="00A63C9E" w:rsidRPr="00323045" w:rsidRDefault="00A63C9E" w:rsidP="00A63C9E">
            <w:pPr>
              <w:autoSpaceDE w:val="0"/>
              <w:autoSpaceDN w:val="0"/>
              <w:adjustRightInd w:val="0"/>
              <w:spacing w:after="0" w:line="320" w:lineRule="atLeast"/>
              <w:ind w:right="60"/>
              <w:rPr>
                <w:rFonts w:cs="Times New Roman"/>
                <w:color w:val="000000"/>
              </w:rPr>
            </w:pPr>
          </w:p>
          <w:p w:rsidR="00A63C9E" w:rsidRPr="00323045" w:rsidRDefault="00A63C9E" w:rsidP="00A63C9E">
            <w:pPr>
              <w:autoSpaceDE w:val="0"/>
              <w:autoSpaceDN w:val="0"/>
              <w:adjustRightInd w:val="0"/>
              <w:spacing w:after="0" w:line="320" w:lineRule="atLeast"/>
              <w:ind w:left="60" w:right="60"/>
              <w:rPr>
                <w:rFonts w:cs="Times New Roman"/>
                <w:color w:val="000000"/>
                <w:sz w:val="20"/>
                <w:szCs w:val="20"/>
              </w:rPr>
            </w:pPr>
            <w:r w:rsidRPr="00323045">
              <w:rPr>
                <w:rFonts w:cs="Times New Roman"/>
                <w:color w:val="000000"/>
                <w:sz w:val="20"/>
                <w:szCs w:val="20"/>
              </w:rPr>
              <w:t>Correlated Random Effects - Hausman Test for U.S</w:t>
            </w:r>
          </w:p>
          <w:p w:rsidR="00A63C9E" w:rsidRPr="00323045" w:rsidRDefault="00A63C9E" w:rsidP="00A63C9E">
            <w:pPr>
              <w:autoSpaceDE w:val="0"/>
              <w:autoSpaceDN w:val="0"/>
              <w:adjustRightInd w:val="0"/>
              <w:spacing w:after="0" w:line="320" w:lineRule="atLeast"/>
              <w:ind w:left="60" w:right="60"/>
              <w:rPr>
                <w:rFonts w:cs="Times New Roman"/>
                <w:color w:val="000000"/>
                <w:sz w:val="20"/>
                <w:szCs w:val="20"/>
              </w:rPr>
            </w:pPr>
            <w:r w:rsidRPr="00323045">
              <w:rPr>
                <w:rFonts w:cs="Times New Roman"/>
                <w:color w:val="000000"/>
                <w:sz w:val="20"/>
                <w:szCs w:val="20"/>
              </w:rPr>
              <w:t>Equation: Untitled</w:t>
            </w:r>
          </w:p>
          <w:p w:rsidR="00A63C9E" w:rsidRPr="00323045" w:rsidRDefault="00A63C9E" w:rsidP="00A63C9E">
            <w:pPr>
              <w:autoSpaceDE w:val="0"/>
              <w:autoSpaceDN w:val="0"/>
              <w:adjustRightInd w:val="0"/>
              <w:spacing w:after="0" w:line="320" w:lineRule="atLeast"/>
              <w:ind w:left="60" w:right="60"/>
              <w:rPr>
                <w:rFonts w:cs="Times New Roman"/>
                <w:color w:val="000000"/>
                <w:sz w:val="20"/>
                <w:szCs w:val="20"/>
              </w:rPr>
            </w:pPr>
            <w:r w:rsidRPr="00323045">
              <w:rPr>
                <w:rFonts w:cs="Times New Roman"/>
                <w:color w:val="000000"/>
                <w:sz w:val="20"/>
                <w:szCs w:val="20"/>
              </w:rPr>
              <w:t>Test cross-section random effect</w:t>
            </w:r>
          </w:p>
          <w:tbl>
            <w:tblPr>
              <w:tblStyle w:val="TableGrid"/>
              <w:tblW w:w="11890" w:type="dxa"/>
              <w:tblInd w:w="5" w:type="dxa"/>
              <w:tblBorders>
                <w:top w:val="double" w:sz="4" w:space="0" w:color="auto"/>
                <w:left w:val="none" w:sz="0" w:space="0" w:color="auto"/>
                <w:bottom w:val="double" w:sz="4" w:space="0" w:color="auto"/>
                <w:right w:val="none" w:sz="0" w:space="0" w:color="auto"/>
                <w:insideH w:val="double" w:sz="4" w:space="0" w:color="auto"/>
                <w:insideV w:val="none" w:sz="0" w:space="0" w:color="auto"/>
              </w:tblBorders>
              <w:tblLayout w:type="fixed"/>
              <w:tblLook w:val="04A0"/>
            </w:tblPr>
            <w:tblGrid>
              <w:gridCol w:w="2248"/>
              <w:gridCol w:w="1742"/>
              <w:gridCol w:w="1247"/>
              <w:gridCol w:w="6653"/>
            </w:tblGrid>
            <w:tr w:rsidR="00A63C9E" w:rsidRPr="00323045" w:rsidTr="00713CDA">
              <w:trPr>
                <w:trHeight w:val="765"/>
              </w:trPr>
              <w:tc>
                <w:tcPr>
                  <w:tcW w:w="2248" w:type="dxa"/>
                  <w:tcBorders>
                    <w:top w:val="double" w:sz="4" w:space="0" w:color="auto"/>
                    <w:left w:val="nil"/>
                    <w:bottom w:val="double" w:sz="4" w:space="0" w:color="auto"/>
                    <w:right w:val="nil"/>
                  </w:tcBorders>
                  <w:vAlign w:val="center"/>
                  <w:hideMark/>
                </w:tcPr>
                <w:p w:rsidR="00A63C9E" w:rsidRPr="00323045" w:rsidRDefault="00A63C9E" w:rsidP="005E7221">
                  <w:pPr>
                    <w:framePr w:hSpace="180" w:wrap="around" w:vAnchor="text" w:hAnchor="margin" w:xAlign="center" w:y="124"/>
                    <w:autoSpaceDE w:val="0"/>
                    <w:autoSpaceDN w:val="0"/>
                    <w:adjustRightInd w:val="0"/>
                    <w:spacing w:after="0" w:line="320" w:lineRule="atLeast"/>
                    <w:ind w:left="60" w:right="60"/>
                    <w:rPr>
                      <w:rFonts w:cs="Times New Roman"/>
                      <w:color w:val="000000"/>
                      <w:sz w:val="20"/>
                      <w:szCs w:val="20"/>
                    </w:rPr>
                  </w:pPr>
                  <w:r w:rsidRPr="00323045">
                    <w:rPr>
                      <w:rFonts w:cs="Times New Roman"/>
                      <w:color w:val="000000"/>
                      <w:sz w:val="20"/>
                      <w:szCs w:val="20"/>
                    </w:rPr>
                    <w:t>Test Summary</w:t>
                  </w:r>
                </w:p>
              </w:tc>
              <w:tc>
                <w:tcPr>
                  <w:tcW w:w="1742" w:type="dxa"/>
                  <w:tcBorders>
                    <w:top w:val="double" w:sz="4" w:space="0" w:color="auto"/>
                    <w:left w:val="nil"/>
                    <w:bottom w:val="double" w:sz="4" w:space="0" w:color="auto"/>
                    <w:right w:val="nil"/>
                  </w:tcBorders>
                  <w:vAlign w:val="center"/>
                  <w:hideMark/>
                </w:tcPr>
                <w:p w:rsidR="00A63C9E" w:rsidRPr="00323045" w:rsidRDefault="00A63C9E" w:rsidP="005E7221">
                  <w:pPr>
                    <w:framePr w:hSpace="180" w:wrap="around" w:vAnchor="text" w:hAnchor="margin" w:xAlign="center" w:y="124"/>
                    <w:autoSpaceDE w:val="0"/>
                    <w:autoSpaceDN w:val="0"/>
                    <w:adjustRightInd w:val="0"/>
                    <w:spacing w:after="0" w:line="320" w:lineRule="atLeast"/>
                    <w:ind w:left="60" w:right="60"/>
                    <w:rPr>
                      <w:rFonts w:cs="Times New Roman"/>
                      <w:color w:val="000000"/>
                      <w:sz w:val="20"/>
                      <w:szCs w:val="20"/>
                    </w:rPr>
                  </w:pPr>
                  <w:r w:rsidRPr="00323045">
                    <w:rPr>
                      <w:rFonts w:cs="Times New Roman"/>
                      <w:color w:val="000000"/>
                      <w:sz w:val="20"/>
                      <w:szCs w:val="20"/>
                    </w:rPr>
                    <w:t>Chi-Sq. Statistic</w:t>
                  </w:r>
                </w:p>
              </w:tc>
              <w:tc>
                <w:tcPr>
                  <w:tcW w:w="1247" w:type="dxa"/>
                  <w:tcBorders>
                    <w:top w:val="double" w:sz="4" w:space="0" w:color="auto"/>
                    <w:left w:val="nil"/>
                    <w:bottom w:val="double" w:sz="4" w:space="0" w:color="auto"/>
                    <w:right w:val="nil"/>
                  </w:tcBorders>
                  <w:vAlign w:val="center"/>
                  <w:hideMark/>
                </w:tcPr>
                <w:p w:rsidR="00A63C9E" w:rsidRPr="00323045" w:rsidRDefault="00A63C9E" w:rsidP="005E7221">
                  <w:pPr>
                    <w:framePr w:hSpace="180" w:wrap="around" w:vAnchor="text" w:hAnchor="margin" w:xAlign="center" w:y="124"/>
                    <w:autoSpaceDE w:val="0"/>
                    <w:autoSpaceDN w:val="0"/>
                    <w:adjustRightInd w:val="0"/>
                    <w:spacing w:after="0" w:line="320" w:lineRule="atLeast"/>
                    <w:ind w:left="60" w:right="60"/>
                    <w:rPr>
                      <w:rFonts w:cs="Times New Roman"/>
                      <w:color w:val="000000"/>
                      <w:sz w:val="20"/>
                      <w:szCs w:val="20"/>
                    </w:rPr>
                  </w:pPr>
                  <w:r w:rsidRPr="00323045">
                    <w:rPr>
                      <w:rFonts w:cs="Times New Roman"/>
                      <w:color w:val="000000"/>
                      <w:sz w:val="20"/>
                      <w:szCs w:val="20"/>
                    </w:rPr>
                    <w:t>Chi-Sq. d.f</w:t>
                  </w:r>
                </w:p>
              </w:tc>
              <w:tc>
                <w:tcPr>
                  <w:tcW w:w="6653" w:type="dxa"/>
                  <w:tcBorders>
                    <w:top w:val="double" w:sz="4" w:space="0" w:color="auto"/>
                    <w:left w:val="nil"/>
                    <w:bottom w:val="double" w:sz="4" w:space="0" w:color="auto"/>
                    <w:right w:val="nil"/>
                  </w:tcBorders>
                  <w:vAlign w:val="center"/>
                  <w:hideMark/>
                </w:tcPr>
                <w:p w:rsidR="00A63C9E" w:rsidRPr="00323045" w:rsidRDefault="00A63C9E" w:rsidP="005E7221">
                  <w:pPr>
                    <w:framePr w:hSpace="180" w:wrap="around" w:vAnchor="text" w:hAnchor="margin" w:xAlign="center" w:y="124"/>
                    <w:autoSpaceDE w:val="0"/>
                    <w:autoSpaceDN w:val="0"/>
                    <w:adjustRightInd w:val="0"/>
                    <w:spacing w:after="0" w:line="320" w:lineRule="atLeast"/>
                    <w:ind w:left="60" w:right="60"/>
                    <w:rPr>
                      <w:rFonts w:cs="Times New Roman"/>
                      <w:b/>
                      <w:color w:val="000000"/>
                      <w:sz w:val="20"/>
                      <w:szCs w:val="20"/>
                    </w:rPr>
                  </w:pPr>
                  <w:r w:rsidRPr="00323045">
                    <w:rPr>
                      <w:rFonts w:cs="Times New Roman"/>
                      <w:b/>
                      <w:color w:val="000000"/>
                      <w:sz w:val="20"/>
                      <w:szCs w:val="20"/>
                    </w:rPr>
                    <w:t>Prob.</w:t>
                  </w:r>
                </w:p>
              </w:tc>
            </w:tr>
            <w:tr w:rsidR="00A63C9E" w:rsidRPr="00323045" w:rsidTr="00713CDA">
              <w:trPr>
                <w:trHeight w:val="428"/>
              </w:trPr>
              <w:tc>
                <w:tcPr>
                  <w:tcW w:w="2248" w:type="dxa"/>
                  <w:tcBorders>
                    <w:top w:val="double" w:sz="4" w:space="0" w:color="auto"/>
                    <w:left w:val="nil"/>
                    <w:bottom w:val="double" w:sz="4" w:space="0" w:color="auto"/>
                    <w:right w:val="nil"/>
                  </w:tcBorders>
                  <w:vAlign w:val="center"/>
                  <w:hideMark/>
                </w:tcPr>
                <w:p w:rsidR="00A63C9E" w:rsidRPr="00323045" w:rsidRDefault="00A63C9E" w:rsidP="005E7221">
                  <w:pPr>
                    <w:framePr w:hSpace="180" w:wrap="around" w:vAnchor="text" w:hAnchor="margin" w:xAlign="center" w:y="124"/>
                    <w:autoSpaceDE w:val="0"/>
                    <w:autoSpaceDN w:val="0"/>
                    <w:adjustRightInd w:val="0"/>
                    <w:spacing w:after="0" w:line="320" w:lineRule="atLeast"/>
                    <w:ind w:left="60" w:right="60"/>
                    <w:rPr>
                      <w:rFonts w:cs="Times New Roman"/>
                      <w:color w:val="000000"/>
                      <w:sz w:val="20"/>
                      <w:szCs w:val="20"/>
                    </w:rPr>
                  </w:pPr>
                  <w:r w:rsidRPr="00323045">
                    <w:rPr>
                      <w:rFonts w:cs="Times New Roman"/>
                      <w:color w:val="000000"/>
                      <w:sz w:val="20"/>
                      <w:szCs w:val="20"/>
                    </w:rPr>
                    <w:t>Cross-section random</w:t>
                  </w:r>
                </w:p>
              </w:tc>
              <w:tc>
                <w:tcPr>
                  <w:tcW w:w="1742" w:type="dxa"/>
                  <w:tcBorders>
                    <w:top w:val="double" w:sz="4" w:space="0" w:color="auto"/>
                    <w:left w:val="nil"/>
                    <w:bottom w:val="double" w:sz="4" w:space="0" w:color="auto"/>
                    <w:right w:val="nil"/>
                  </w:tcBorders>
                  <w:vAlign w:val="bottom"/>
                  <w:hideMark/>
                </w:tcPr>
                <w:p w:rsidR="00A63C9E" w:rsidRPr="00323045" w:rsidRDefault="00A63C9E" w:rsidP="005E7221">
                  <w:pPr>
                    <w:framePr w:hSpace="180" w:wrap="around" w:vAnchor="text" w:hAnchor="margin" w:xAlign="center" w:y="124"/>
                    <w:autoSpaceDE w:val="0"/>
                    <w:autoSpaceDN w:val="0"/>
                    <w:adjustRightInd w:val="0"/>
                    <w:spacing w:after="0" w:line="320" w:lineRule="atLeast"/>
                    <w:ind w:left="60" w:right="60"/>
                    <w:rPr>
                      <w:rFonts w:cs="Times New Roman"/>
                      <w:color w:val="000000"/>
                      <w:sz w:val="20"/>
                      <w:szCs w:val="20"/>
                    </w:rPr>
                  </w:pPr>
                  <w:r w:rsidRPr="00323045">
                    <w:rPr>
                      <w:rFonts w:cs="Times New Roman"/>
                      <w:color w:val="000000"/>
                      <w:sz w:val="20"/>
                      <w:szCs w:val="20"/>
                    </w:rPr>
                    <w:t>26.763974</w:t>
                  </w:r>
                </w:p>
              </w:tc>
              <w:tc>
                <w:tcPr>
                  <w:tcW w:w="1247" w:type="dxa"/>
                  <w:tcBorders>
                    <w:top w:val="double" w:sz="4" w:space="0" w:color="auto"/>
                    <w:left w:val="nil"/>
                    <w:bottom w:val="double" w:sz="4" w:space="0" w:color="auto"/>
                    <w:right w:val="nil"/>
                  </w:tcBorders>
                  <w:vAlign w:val="bottom"/>
                  <w:hideMark/>
                </w:tcPr>
                <w:p w:rsidR="00A63C9E" w:rsidRPr="00323045" w:rsidRDefault="00A63C9E" w:rsidP="005E7221">
                  <w:pPr>
                    <w:framePr w:hSpace="180" w:wrap="around" w:vAnchor="text" w:hAnchor="margin" w:xAlign="center" w:y="124"/>
                    <w:autoSpaceDE w:val="0"/>
                    <w:autoSpaceDN w:val="0"/>
                    <w:adjustRightInd w:val="0"/>
                    <w:spacing w:after="0" w:line="320" w:lineRule="atLeast"/>
                    <w:ind w:left="60" w:right="60"/>
                    <w:rPr>
                      <w:rFonts w:cs="Times New Roman"/>
                      <w:color w:val="000000"/>
                      <w:sz w:val="20"/>
                      <w:szCs w:val="20"/>
                    </w:rPr>
                  </w:pPr>
                  <w:r w:rsidRPr="00323045">
                    <w:rPr>
                      <w:rFonts w:cs="Times New Roman"/>
                      <w:color w:val="000000"/>
                      <w:sz w:val="20"/>
                      <w:szCs w:val="20"/>
                    </w:rPr>
                    <w:t>9</w:t>
                  </w:r>
                </w:p>
              </w:tc>
              <w:tc>
                <w:tcPr>
                  <w:tcW w:w="6653" w:type="dxa"/>
                  <w:tcBorders>
                    <w:top w:val="double" w:sz="4" w:space="0" w:color="auto"/>
                    <w:left w:val="nil"/>
                    <w:bottom w:val="double" w:sz="4" w:space="0" w:color="auto"/>
                    <w:right w:val="nil"/>
                  </w:tcBorders>
                  <w:vAlign w:val="bottom"/>
                  <w:hideMark/>
                </w:tcPr>
                <w:p w:rsidR="00A63C9E" w:rsidRPr="00323045" w:rsidRDefault="00A63C9E" w:rsidP="005E7221">
                  <w:pPr>
                    <w:framePr w:hSpace="180" w:wrap="around" w:vAnchor="text" w:hAnchor="margin" w:xAlign="center" w:y="124"/>
                    <w:autoSpaceDE w:val="0"/>
                    <w:autoSpaceDN w:val="0"/>
                    <w:adjustRightInd w:val="0"/>
                    <w:spacing w:after="0" w:line="320" w:lineRule="atLeast"/>
                    <w:ind w:right="60"/>
                    <w:rPr>
                      <w:rFonts w:cs="Times New Roman"/>
                      <w:b/>
                      <w:color w:val="000000"/>
                      <w:sz w:val="20"/>
                      <w:szCs w:val="20"/>
                    </w:rPr>
                  </w:pPr>
                  <w:r w:rsidRPr="00323045">
                    <w:rPr>
                      <w:rFonts w:cs="Times New Roman"/>
                      <w:b/>
                      <w:color w:val="000000"/>
                      <w:sz w:val="20"/>
                      <w:szCs w:val="20"/>
                    </w:rPr>
                    <w:t>0.0009***</w:t>
                  </w:r>
                </w:p>
              </w:tc>
            </w:tr>
          </w:tbl>
          <w:p w:rsidR="00A63C9E" w:rsidRPr="00323045" w:rsidRDefault="00A63C9E" w:rsidP="00A63C9E">
            <w:pPr>
              <w:autoSpaceDE w:val="0"/>
              <w:autoSpaceDN w:val="0"/>
              <w:adjustRightInd w:val="0"/>
              <w:spacing w:after="0" w:line="320" w:lineRule="atLeast"/>
              <w:ind w:left="60" w:right="60"/>
              <w:rPr>
                <w:rFonts w:cs="Times New Roman"/>
                <w:color w:val="000000"/>
                <w:szCs w:val="24"/>
              </w:rPr>
            </w:pPr>
          </w:p>
          <w:p w:rsidR="00A63C9E" w:rsidRPr="00323045" w:rsidRDefault="00A63C9E" w:rsidP="00A63C9E">
            <w:pPr>
              <w:autoSpaceDE w:val="0"/>
              <w:autoSpaceDN w:val="0"/>
              <w:adjustRightInd w:val="0"/>
              <w:spacing w:after="0" w:line="240" w:lineRule="auto"/>
              <w:ind w:right="10"/>
              <w:rPr>
                <w:rFonts w:cs="Times New Roman"/>
                <w:color w:val="000000"/>
                <w:sz w:val="18"/>
                <w:szCs w:val="18"/>
              </w:rPr>
            </w:pPr>
          </w:p>
        </w:tc>
      </w:tr>
      <w:tr w:rsidR="00A63C9E" w:rsidRPr="00323045" w:rsidTr="002F44C9">
        <w:trPr>
          <w:trHeight w:val="460"/>
        </w:trPr>
        <w:tc>
          <w:tcPr>
            <w:tcW w:w="1577" w:type="dxa"/>
            <w:tcBorders>
              <w:top w:val="single" w:sz="4" w:space="0" w:color="auto"/>
              <w:left w:val="single" w:sz="4" w:space="0" w:color="auto"/>
              <w:bottom w:val="single" w:sz="4" w:space="0" w:color="auto"/>
              <w:right w:val="single" w:sz="4" w:space="0" w:color="auto"/>
            </w:tcBorders>
            <w:hideMark/>
          </w:tcPr>
          <w:p w:rsidR="00A63C9E" w:rsidRPr="00323045" w:rsidRDefault="00A63C9E" w:rsidP="00A63C9E">
            <w:pPr>
              <w:spacing w:after="0" w:line="240" w:lineRule="auto"/>
              <w:rPr>
                <w:rFonts w:cs="Times New Roman"/>
                <w:sz w:val="18"/>
                <w:szCs w:val="18"/>
              </w:rPr>
            </w:pPr>
            <w:r w:rsidRPr="00323045">
              <w:rPr>
                <w:rFonts w:cs="Times New Roman"/>
                <w:color w:val="000000"/>
                <w:sz w:val="18"/>
                <w:szCs w:val="18"/>
              </w:rPr>
              <w:t>Constant</w:t>
            </w:r>
          </w:p>
        </w:tc>
        <w:tc>
          <w:tcPr>
            <w:tcW w:w="1051" w:type="dxa"/>
            <w:tcBorders>
              <w:top w:val="single" w:sz="4" w:space="0" w:color="auto"/>
              <w:left w:val="single" w:sz="4" w:space="0" w:color="auto"/>
              <w:bottom w:val="single" w:sz="4" w:space="0" w:color="auto"/>
              <w:right w:val="single" w:sz="4" w:space="0" w:color="auto"/>
            </w:tcBorders>
            <w:vAlign w:val="bottom"/>
            <w:hideMark/>
          </w:tcPr>
          <w:p w:rsidR="00A63C9E" w:rsidRPr="00323045" w:rsidRDefault="00A63C9E" w:rsidP="00A63C9E">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0.092333</w:t>
            </w:r>
          </w:p>
        </w:tc>
        <w:tc>
          <w:tcPr>
            <w:tcW w:w="1058" w:type="dxa"/>
            <w:tcBorders>
              <w:top w:val="single" w:sz="4" w:space="0" w:color="auto"/>
              <w:left w:val="single" w:sz="4" w:space="0" w:color="auto"/>
              <w:bottom w:val="single" w:sz="4" w:space="0" w:color="auto"/>
              <w:right w:val="single" w:sz="4" w:space="0" w:color="auto"/>
            </w:tcBorders>
            <w:vAlign w:val="bottom"/>
            <w:hideMark/>
          </w:tcPr>
          <w:p w:rsidR="00A63C9E" w:rsidRPr="00323045" w:rsidRDefault="00A63C9E" w:rsidP="00A63C9E">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0.009837</w:t>
            </w:r>
          </w:p>
        </w:tc>
        <w:tc>
          <w:tcPr>
            <w:tcW w:w="1100" w:type="dxa"/>
            <w:tcBorders>
              <w:top w:val="single" w:sz="4" w:space="0" w:color="auto"/>
              <w:left w:val="single" w:sz="4" w:space="0" w:color="auto"/>
              <w:bottom w:val="single" w:sz="4" w:space="0" w:color="auto"/>
              <w:right w:val="single" w:sz="4" w:space="0" w:color="auto"/>
            </w:tcBorders>
            <w:vAlign w:val="bottom"/>
            <w:hideMark/>
          </w:tcPr>
          <w:p w:rsidR="00A63C9E" w:rsidRPr="00323045" w:rsidRDefault="00A63C9E" w:rsidP="00A63C9E">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9.386733</w:t>
            </w:r>
          </w:p>
        </w:tc>
        <w:tc>
          <w:tcPr>
            <w:tcW w:w="2342" w:type="dxa"/>
            <w:tcBorders>
              <w:top w:val="single" w:sz="4" w:space="0" w:color="auto"/>
              <w:left w:val="single" w:sz="4" w:space="0" w:color="auto"/>
              <w:bottom w:val="single" w:sz="4" w:space="0" w:color="auto"/>
              <w:right w:val="single" w:sz="4" w:space="0" w:color="auto"/>
            </w:tcBorders>
            <w:vAlign w:val="bottom"/>
            <w:hideMark/>
          </w:tcPr>
          <w:p w:rsidR="00A63C9E" w:rsidRPr="004E62ED" w:rsidRDefault="00A63C9E" w:rsidP="00A63C9E">
            <w:pPr>
              <w:autoSpaceDE w:val="0"/>
              <w:autoSpaceDN w:val="0"/>
              <w:adjustRightInd w:val="0"/>
              <w:spacing w:after="0" w:line="240" w:lineRule="auto"/>
              <w:ind w:right="10"/>
              <w:jc w:val="center"/>
              <w:rPr>
                <w:rFonts w:cs="Times New Roman"/>
                <w:color w:val="000000"/>
                <w:sz w:val="20"/>
                <w:szCs w:val="20"/>
              </w:rPr>
            </w:pPr>
            <w:r w:rsidRPr="004E62ED">
              <w:rPr>
                <w:rFonts w:cs="Times New Roman"/>
                <w:color w:val="000000"/>
                <w:sz w:val="20"/>
                <w:szCs w:val="20"/>
              </w:rPr>
              <w:t>0.0000***</w:t>
            </w:r>
          </w:p>
        </w:tc>
        <w:tc>
          <w:tcPr>
            <w:tcW w:w="6779" w:type="dxa"/>
            <w:vMerge/>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A63C9E">
            <w:pPr>
              <w:spacing w:after="0" w:line="240" w:lineRule="auto"/>
              <w:rPr>
                <w:rFonts w:cs="Times New Roman"/>
                <w:color w:val="000000"/>
                <w:sz w:val="18"/>
                <w:szCs w:val="18"/>
              </w:rPr>
            </w:pPr>
          </w:p>
        </w:tc>
      </w:tr>
      <w:tr w:rsidR="00136390" w:rsidRPr="00323045" w:rsidTr="002F44C9">
        <w:trPr>
          <w:trHeight w:val="357"/>
        </w:trPr>
        <w:tc>
          <w:tcPr>
            <w:tcW w:w="1577" w:type="dxa"/>
            <w:tcBorders>
              <w:top w:val="single" w:sz="4" w:space="0" w:color="auto"/>
              <w:left w:val="single" w:sz="4" w:space="0" w:color="auto"/>
              <w:bottom w:val="single" w:sz="4" w:space="0" w:color="auto"/>
              <w:right w:val="single" w:sz="4" w:space="0" w:color="auto"/>
            </w:tcBorders>
            <w:vAlign w:val="center"/>
            <w:hideMark/>
          </w:tcPr>
          <w:p w:rsidR="00136390" w:rsidRPr="00AD6F97" w:rsidRDefault="00136390" w:rsidP="00136390">
            <w:pPr>
              <w:spacing w:line="240" w:lineRule="auto"/>
              <w:rPr>
                <w:rFonts w:ascii="Cambria Math" w:hAnsi="Cambria Math" w:cs="Times New Roman"/>
                <w:b/>
                <w:sz w:val="20"/>
                <w:szCs w:val="20"/>
              </w:rPr>
            </w:pPr>
            <w:r w:rsidRPr="00136390">
              <w:rPr>
                <w:rFonts w:ascii="Cambria Math" w:hAnsi="Cambria Math" w:cs="Times New Roman"/>
                <w:b/>
                <w:i/>
                <w:sz w:val="20"/>
                <w:szCs w:val="20"/>
              </w:rPr>
              <w:t>EDS</w:t>
            </w:r>
            <w:r w:rsidRPr="00136390">
              <w:rPr>
                <w:rFonts w:ascii="Cambria Math" w:hAnsi="Cambria Math" w:cs="Times New Roman"/>
                <w:i/>
                <w:sz w:val="20"/>
                <w:szCs w:val="20"/>
                <w:vertAlign w:val="subscript"/>
              </w:rPr>
              <w:t>i,t</w:t>
            </w:r>
          </w:p>
        </w:tc>
        <w:tc>
          <w:tcPr>
            <w:tcW w:w="1051"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-0.001673</w:t>
            </w:r>
          </w:p>
        </w:tc>
        <w:tc>
          <w:tcPr>
            <w:tcW w:w="1058"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0.001400</w:t>
            </w:r>
          </w:p>
        </w:tc>
        <w:tc>
          <w:tcPr>
            <w:tcW w:w="1100"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-1.194438</w:t>
            </w:r>
          </w:p>
        </w:tc>
        <w:tc>
          <w:tcPr>
            <w:tcW w:w="2342" w:type="dxa"/>
            <w:tcBorders>
              <w:top w:val="single" w:sz="4" w:space="0" w:color="auto"/>
              <w:left w:val="single" w:sz="4" w:space="0" w:color="auto"/>
              <w:bottom w:val="single" w:sz="4" w:space="0" w:color="auto"/>
              <w:right w:val="single" w:sz="4" w:space="0" w:color="auto"/>
            </w:tcBorders>
            <w:vAlign w:val="bottom"/>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20"/>
                <w:szCs w:val="20"/>
              </w:rPr>
            </w:pPr>
            <w:r w:rsidRPr="004E62ED">
              <w:rPr>
                <w:rFonts w:cs="Times New Roman"/>
                <w:color w:val="000000"/>
                <w:sz w:val="20"/>
                <w:szCs w:val="20"/>
              </w:rPr>
              <w:t>0.2324</w:t>
            </w:r>
          </w:p>
        </w:tc>
        <w:tc>
          <w:tcPr>
            <w:tcW w:w="6779" w:type="dxa"/>
            <w:vMerge/>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spacing w:after="0" w:line="240" w:lineRule="auto"/>
              <w:rPr>
                <w:rFonts w:cs="Times New Roman"/>
                <w:color w:val="000000"/>
                <w:sz w:val="18"/>
                <w:szCs w:val="18"/>
              </w:rPr>
            </w:pPr>
          </w:p>
        </w:tc>
      </w:tr>
      <w:tr w:rsidR="00136390" w:rsidRPr="00323045" w:rsidTr="002F44C9">
        <w:trPr>
          <w:trHeight w:val="357"/>
        </w:trPr>
        <w:tc>
          <w:tcPr>
            <w:tcW w:w="1577" w:type="dxa"/>
            <w:tcBorders>
              <w:top w:val="single" w:sz="4" w:space="0" w:color="auto"/>
              <w:left w:val="single" w:sz="4" w:space="0" w:color="auto"/>
              <w:bottom w:val="single" w:sz="4" w:space="0" w:color="auto"/>
              <w:right w:val="single" w:sz="4" w:space="0" w:color="auto"/>
            </w:tcBorders>
            <w:vAlign w:val="center"/>
            <w:hideMark/>
          </w:tcPr>
          <w:p w:rsidR="00136390" w:rsidRPr="00AD6F97" w:rsidRDefault="00136390" w:rsidP="00136390">
            <w:pPr>
              <w:spacing w:line="240" w:lineRule="auto"/>
              <w:rPr>
                <w:rFonts w:ascii="Cambria Math" w:hAnsi="Cambria Math" w:cs="Times New Roman"/>
                <w:sz w:val="20"/>
                <w:szCs w:val="20"/>
              </w:rPr>
            </w:pPr>
            <w:r w:rsidRPr="00AD6F97">
              <w:rPr>
                <w:rFonts w:ascii="Cambria Math" w:hAnsi="Cambria Math" w:cs="Times New Roman"/>
                <w:sz w:val="20"/>
                <w:szCs w:val="20"/>
              </w:rPr>
              <w:t>BI</w:t>
            </w:r>
            <w:r w:rsidRPr="00AD6F97">
              <w:rPr>
                <w:rFonts w:ascii="Cambria Math" w:hAnsi="Cambria Math" w:cs="Times New Roman"/>
                <w:i/>
                <w:sz w:val="20"/>
                <w:szCs w:val="20"/>
                <w:vertAlign w:val="subscript"/>
              </w:rPr>
              <w:t>i,t</w:t>
            </w:r>
          </w:p>
        </w:tc>
        <w:tc>
          <w:tcPr>
            <w:tcW w:w="1051"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0.000591</w:t>
            </w:r>
          </w:p>
        </w:tc>
        <w:tc>
          <w:tcPr>
            <w:tcW w:w="1058"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0.008191</w:t>
            </w:r>
          </w:p>
        </w:tc>
        <w:tc>
          <w:tcPr>
            <w:tcW w:w="1100"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0.072114</w:t>
            </w:r>
          </w:p>
        </w:tc>
        <w:tc>
          <w:tcPr>
            <w:tcW w:w="2342" w:type="dxa"/>
            <w:tcBorders>
              <w:top w:val="single" w:sz="4" w:space="0" w:color="auto"/>
              <w:left w:val="single" w:sz="4" w:space="0" w:color="auto"/>
              <w:bottom w:val="single" w:sz="4" w:space="0" w:color="auto"/>
              <w:right w:val="single" w:sz="4" w:space="0" w:color="auto"/>
            </w:tcBorders>
            <w:vAlign w:val="bottom"/>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20"/>
                <w:szCs w:val="20"/>
              </w:rPr>
            </w:pPr>
            <w:r w:rsidRPr="004E62ED">
              <w:rPr>
                <w:rFonts w:cs="Times New Roman"/>
                <w:color w:val="000000"/>
                <w:sz w:val="20"/>
                <w:szCs w:val="20"/>
              </w:rPr>
              <w:t>0.9425</w:t>
            </w:r>
          </w:p>
        </w:tc>
        <w:tc>
          <w:tcPr>
            <w:tcW w:w="6779" w:type="dxa"/>
            <w:vMerge/>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spacing w:after="0" w:line="240" w:lineRule="auto"/>
              <w:rPr>
                <w:rFonts w:cs="Times New Roman"/>
                <w:color w:val="000000"/>
                <w:sz w:val="18"/>
                <w:szCs w:val="18"/>
              </w:rPr>
            </w:pPr>
          </w:p>
        </w:tc>
      </w:tr>
      <w:tr w:rsidR="00136390" w:rsidRPr="00323045" w:rsidTr="002F44C9">
        <w:trPr>
          <w:trHeight w:val="357"/>
        </w:trPr>
        <w:tc>
          <w:tcPr>
            <w:tcW w:w="1577" w:type="dxa"/>
            <w:tcBorders>
              <w:top w:val="single" w:sz="4" w:space="0" w:color="auto"/>
              <w:left w:val="single" w:sz="4" w:space="0" w:color="auto"/>
              <w:bottom w:val="single" w:sz="4" w:space="0" w:color="auto"/>
              <w:right w:val="single" w:sz="4" w:space="0" w:color="auto"/>
            </w:tcBorders>
            <w:vAlign w:val="center"/>
            <w:hideMark/>
          </w:tcPr>
          <w:p w:rsidR="00136390" w:rsidRPr="00AD6F97" w:rsidRDefault="00136390" w:rsidP="00136390">
            <w:pPr>
              <w:spacing w:line="240" w:lineRule="auto"/>
              <w:rPr>
                <w:rFonts w:ascii="Cambria Math" w:hAnsi="Cambria Math" w:cs="Times New Roman"/>
                <w:sz w:val="20"/>
                <w:szCs w:val="20"/>
              </w:rPr>
            </w:pPr>
            <w:r w:rsidRPr="00AD6F97">
              <w:rPr>
                <w:rFonts w:ascii="Cambria Math" w:hAnsi="Cambria Math" w:cs="Times New Roman"/>
                <w:sz w:val="20"/>
                <w:szCs w:val="20"/>
              </w:rPr>
              <w:t>CEO-dummy</w:t>
            </w:r>
            <w:r w:rsidRPr="00AD6F97">
              <w:rPr>
                <w:rFonts w:ascii="Cambria Math" w:hAnsi="Cambria Math" w:cs="Times New Roman"/>
                <w:i/>
                <w:sz w:val="20"/>
                <w:szCs w:val="20"/>
                <w:vertAlign w:val="subscript"/>
              </w:rPr>
              <w:t>i,t</w:t>
            </w:r>
          </w:p>
        </w:tc>
        <w:tc>
          <w:tcPr>
            <w:tcW w:w="1051"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-0.005293</w:t>
            </w:r>
          </w:p>
        </w:tc>
        <w:tc>
          <w:tcPr>
            <w:tcW w:w="1058"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0.002077</w:t>
            </w:r>
          </w:p>
        </w:tc>
        <w:tc>
          <w:tcPr>
            <w:tcW w:w="1100"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-2.547965</w:t>
            </w:r>
          </w:p>
        </w:tc>
        <w:tc>
          <w:tcPr>
            <w:tcW w:w="2342" w:type="dxa"/>
            <w:tcBorders>
              <w:top w:val="single" w:sz="4" w:space="0" w:color="auto"/>
              <w:left w:val="single" w:sz="4" w:space="0" w:color="auto"/>
              <w:bottom w:val="single" w:sz="4" w:space="0" w:color="auto"/>
              <w:right w:val="single" w:sz="4" w:space="0" w:color="auto"/>
            </w:tcBorders>
            <w:vAlign w:val="bottom"/>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20"/>
                <w:szCs w:val="20"/>
              </w:rPr>
            </w:pPr>
            <w:r w:rsidRPr="004E62ED">
              <w:rPr>
                <w:rFonts w:cs="Times New Roman"/>
                <w:color w:val="000000"/>
                <w:sz w:val="20"/>
                <w:szCs w:val="20"/>
              </w:rPr>
              <w:t>0.0109**</w:t>
            </w:r>
          </w:p>
        </w:tc>
        <w:tc>
          <w:tcPr>
            <w:tcW w:w="6779" w:type="dxa"/>
            <w:vMerge/>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spacing w:after="0" w:line="240" w:lineRule="auto"/>
              <w:rPr>
                <w:rFonts w:cs="Times New Roman"/>
                <w:color w:val="000000"/>
                <w:sz w:val="18"/>
                <w:szCs w:val="18"/>
              </w:rPr>
            </w:pPr>
          </w:p>
        </w:tc>
      </w:tr>
      <w:tr w:rsidR="00136390" w:rsidRPr="00323045" w:rsidTr="002F44C9">
        <w:trPr>
          <w:trHeight w:val="357"/>
        </w:trPr>
        <w:tc>
          <w:tcPr>
            <w:tcW w:w="1577" w:type="dxa"/>
            <w:tcBorders>
              <w:top w:val="single" w:sz="4" w:space="0" w:color="auto"/>
              <w:left w:val="single" w:sz="4" w:space="0" w:color="auto"/>
              <w:bottom w:val="single" w:sz="4" w:space="0" w:color="auto"/>
              <w:right w:val="single" w:sz="4" w:space="0" w:color="auto"/>
            </w:tcBorders>
            <w:vAlign w:val="center"/>
            <w:hideMark/>
          </w:tcPr>
          <w:p w:rsidR="00136390" w:rsidRPr="00AD6F97" w:rsidRDefault="00136390" w:rsidP="00136390">
            <w:pPr>
              <w:spacing w:line="240" w:lineRule="auto"/>
              <w:rPr>
                <w:rFonts w:ascii="Cambria Math" w:hAnsi="Cambria Math" w:cs="Times New Roman"/>
                <w:b/>
                <w:i/>
                <w:sz w:val="20"/>
                <w:szCs w:val="20"/>
              </w:rPr>
            </w:pPr>
            <w:r w:rsidRPr="00AD6F97">
              <w:rPr>
                <w:rFonts w:ascii="Cambria Math" w:hAnsi="Cambria Math" w:cs="Times New Roman"/>
                <w:b/>
                <w:i/>
                <w:sz w:val="20"/>
                <w:szCs w:val="20"/>
              </w:rPr>
              <w:t>NEDS</w:t>
            </w:r>
            <w:r w:rsidRPr="00AD6F97">
              <w:rPr>
                <w:rFonts w:ascii="Cambria Math" w:hAnsi="Cambria Math" w:cs="Times New Roman"/>
                <w:i/>
                <w:sz w:val="20"/>
                <w:szCs w:val="20"/>
                <w:vertAlign w:val="subscript"/>
              </w:rPr>
              <w:t>i,t</w:t>
            </w:r>
          </w:p>
        </w:tc>
        <w:tc>
          <w:tcPr>
            <w:tcW w:w="1051"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-0.001964</w:t>
            </w:r>
          </w:p>
        </w:tc>
        <w:tc>
          <w:tcPr>
            <w:tcW w:w="1058"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0.000474</w:t>
            </w:r>
          </w:p>
        </w:tc>
        <w:tc>
          <w:tcPr>
            <w:tcW w:w="1100"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-4.142019</w:t>
            </w:r>
          </w:p>
        </w:tc>
        <w:tc>
          <w:tcPr>
            <w:tcW w:w="2342" w:type="dxa"/>
            <w:tcBorders>
              <w:top w:val="single" w:sz="4" w:space="0" w:color="auto"/>
              <w:left w:val="single" w:sz="4" w:space="0" w:color="auto"/>
              <w:bottom w:val="single" w:sz="4" w:space="0" w:color="auto"/>
              <w:right w:val="single" w:sz="4" w:space="0" w:color="auto"/>
            </w:tcBorders>
            <w:vAlign w:val="bottom"/>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20"/>
                <w:szCs w:val="20"/>
              </w:rPr>
            </w:pPr>
            <w:r w:rsidRPr="004E62ED">
              <w:rPr>
                <w:rFonts w:cs="Times New Roman"/>
                <w:color w:val="000000"/>
                <w:sz w:val="20"/>
                <w:szCs w:val="20"/>
              </w:rPr>
              <w:t>0.0000***</w:t>
            </w:r>
          </w:p>
        </w:tc>
        <w:tc>
          <w:tcPr>
            <w:tcW w:w="6779" w:type="dxa"/>
            <w:vMerge/>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spacing w:after="0" w:line="240" w:lineRule="auto"/>
              <w:rPr>
                <w:rFonts w:cs="Times New Roman"/>
                <w:color w:val="000000"/>
                <w:sz w:val="18"/>
                <w:szCs w:val="18"/>
              </w:rPr>
            </w:pPr>
          </w:p>
        </w:tc>
      </w:tr>
      <w:tr w:rsidR="00136390" w:rsidRPr="00323045" w:rsidTr="002F44C9">
        <w:trPr>
          <w:trHeight w:val="357"/>
        </w:trPr>
        <w:tc>
          <w:tcPr>
            <w:tcW w:w="1577" w:type="dxa"/>
            <w:tcBorders>
              <w:top w:val="single" w:sz="4" w:space="0" w:color="auto"/>
              <w:left w:val="single" w:sz="4" w:space="0" w:color="auto"/>
              <w:bottom w:val="single" w:sz="4" w:space="0" w:color="auto"/>
              <w:right w:val="single" w:sz="4" w:space="0" w:color="auto"/>
            </w:tcBorders>
            <w:vAlign w:val="center"/>
            <w:hideMark/>
          </w:tcPr>
          <w:p w:rsidR="00136390" w:rsidRPr="00AD6F97" w:rsidRDefault="00136390" w:rsidP="00136390">
            <w:pPr>
              <w:spacing w:line="240" w:lineRule="auto"/>
              <w:rPr>
                <w:rFonts w:ascii="Cambria Math" w:hAnsi="Cambria Math" w:cs="Times New Roman"/>
                <w:sz w:val="20"/>
                <w:szCs w:val="20"/>
              </w:rPr>
            </w:pPr>
            <w:r w:rsidRPr="00AD6F97">
              <w:rPr>
                <w:rFonts w:ascii="Cambria Math" w:hAnsi="Cambria Math" w:cs="Times New Roman"/>
                <w:sz w:val="20"/>
                <w:szCs w:val="20"/>
              </w:rPr>
              <w:t>Insider</w:t>
            </w:r>
            <w:r w:rsidRPr="00AD6F97">
              <w:rPr>
                <w:rFonts w:ascii="Cambria Math" w:hAnsi="Cambria Math" w:cs="Times New Roman"/>
                <w:i/>
                <w:sz w:val="20"/>
                <w:szCs w:val="20"/>
                <w:vertAlign w:val="subscript"/>
              </w:rPr>
              <w:t>i,t</w:t>
            </w:r>
          </w:p>
        </w:tc>
        <w:tc>
          <w:tcPr>
            <w:tcW w:w="1051"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0.003557</w:t>
            </w:r>
          </w:p>
        </w:tc>
        <w:tc>
          <w:tcPr>
            <w:tcW w:w="1058"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0.006501</w:t>
            </w:r>
          </w:p>
        </w:tc>
        <w:tc>
          <w:tcPr>
            <w:tcW w:w="1100"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0.547156</w:t>
            </w:r>
          </w:p>
        </w:tc>
        <w:tc>
          <w:tcPr>
            <w:tcW w:w="2342" w:type="dxa"/>
            <w:tcBorders>
              <w:top w:val="single" w:sz="4" w:space="0" w:color="auto"/>
              <w:left w:val="single" w:sz="4" w:space="0" w:color="auto"/>
              <w:bottom w:val="single" w:sz="4" w:space="0" w:color="auto"/>
              <w:right w:val="single" w:sz="4" w:space="0" w:color="auto"/>
            </w:tcBorders>
            <w:vAlign w:val="bottom"/>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20"/>
                <w:szCs w:val="20"/>
              </w:rPr>
            </w:pPr>
            <w:r w:rsidRPr="004E62ED">
              <w:rPr>
                <w:rFonts w:cs="Times New Roman"/>
                <w:color w:val="000000"/>
                <w:sz w:val="20"/>
                <w:szCs w:val="20"/>
              </w:rPr>
              <w:t>0.5843</w:t>
            </w:r>
          </w:p>
        </w:tc>
        <w:tc>
          <w:tcPr>
            <w:tcW w:w="6779" w:type="dxa"/>
            <w:vMerge/>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spacing w:after="0" w:line="240" w:lineRule="auto"/>
              <w:rPr>
                <w:rFonts w:cs="Times New Roman"/>
                <w:color w:val="000000"/>
                <w:sz w:val="18"/>
                <w:szCs w:val="18"/>
              </w:rPr>
            </w:pPr>
          </w:p>
        </w:tc>
      </w:tr>
      <w:tr w:rsidR="00136390" w:rsidRPr="00323045" w:rsidTr="002F44C9">
        <w:trPr>
          <w:trHeight w:val="357"/>
        </w:trPr>
        <w:tc>
          <w:tcPr>
            <w:tcW w:w="1577" w:type="dxa"/>
            <w:tcBorders>
              <w:top w:val="single" w:sz="4" w:space="0" w:color="auto"/>
              <w:left w:val="single" w:sz="4" w:space="0" w:color="auto"/>
              <w:bottom w:val="single" w:sz="4" w:space="0" w:color="auto"/>
              <w:right w:val="single" w:sz="4" w:space="0" w:color="auto"/>
            </w:tcBorders>
            <w:vAlign w:val="center"/>
            <w:hideMark/>
          </w:tcPr>
          <w:p w:rsidR="00136390" w:rsidRPr="00AD6F97" w:rsidRDefault="00136390" w:rsidP="00136390">
            <w:pPr>
              <w:spacing w:line="240" w:lineRule="auto"/>
              <w:rPr>
                <w:rFonts w:ascii="Cambria Math" w:hAnsi="Cambria Math" w:cs="Times New Roman"/>
                <w:sz w:val="20"/>
                <w:szCs w:val="20"/>
              </w:rPr>
            </w:pPr>
            <w:r w:rsidRPr="00AD6F97">
              <w:rPr>
                <w:rFonts w:ascii="Cambria Math" w:hAnsi="Cambria Math" w:cs="Times New Roman"/>
                <w:sz w:val="20"/>
                <w:szCs w:val="20"/>
              </w:rPr>
              <w:t>Block-holder</w:t>
            </w:r>
            <w:r w:rsidRPr="00AD6F97">
              <w:rPr>
                <w:rFonts w:ascii="Cambria Math" w:hAnsi="Cambria Math" w:cs="Times New Roman"/>
                <w:i/>
                <w:sz w:val="20"/>
                <w:szCs w:val="20"/>
                <w:vertAlign w:val="subscript"/>
              </w:rPr>
              <w:t>i,t</w:t>
            </w:r>
          </w:p>
        </w:tc>
        <w:tc>
          <w:tcPr>
            <w:tcW w:w="1051"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-0.005636</w:t>
            </w:r>
          </w:p>
        </w:tc>
        <w:tc>
          <w:tcPr>
            <w:tcW w:w="1058"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0.006410</w:t>
            </w:r>
          </w:p>
        </w:tc>
        <w:tc>
          <w:tcPr>
            <w:tcW w:w="1100"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-0.879234</w:t>
            </w:r>
          </w:p>
        </w:tc>
        <w:tc>
          <w:tcPr>
            <w:tcW w:w="2342" w:type="dxa"/>
            <w:tcBorders>
              <w:top w:val="single" w:sz="4" w:space="0" w:color="auto"/>
              <w:left w:val="single" w:sz="4" w:space="0" w:color="auto"/>
              <w:bottom w:val="single" w:sz="4" w:space="0" w:color="auto"/>
              <w:right w:val="single" w:sz="4" w:space="0" w:color="auto"/>
            </w:tcBorders>
            <w:vAlign w:val="bottom"/>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20"/>
                <w:szCs w:val="20"/>
              </w:rPr>
            </w:pPr>
            <w:r w:rsidRPr="004E62ED">
              <w:rPr>
                <w:rFonts w:cs="Times New Roman"/>
                <w:color w:val="000000"/>
                <w:sz w:val="20"/>
                <w:szCs w:val="20"/>
              </w:rPr>
              <w:t>0.3793</w:t>
            </w:r>
          </w:p>
        </w:tc>
        <w:tc>
          <w:tcPr>
            <w:tcW w:w="6779" w:type="dxa"/>
            <w:vMerge/>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spacing w:after="0" w:line="240" w:lineRule="auto"/>
              <w:rPr>
                <w:rFonts w:cs="Times New Roman"/>
                <w:color w:val="000000"/>
                <w:sz w:val="18"/>
                <w:szCs w:val="18"/>
              </w:rPr>
            </w:pPr>
          </w:p>
        </w:tc>
      </w:tr>
      <w:tr w:rsidR="00136390" w:rsidRPr="00323045" w:rsidTr="002F44C9">
        <w:trPr>
          <w:trHeight w:val="357"/>
        </w:trPr>
        <w:tc>
          <w:tcPr>
            <w:tcW w:w="1577" w:type="dxa"/>
            <w:tcBorders>
              <w:top w:val="single" w:sz="4" w:space="0" w:color="auto"/>
              <w:left w:val="single" w:sz="4" w:space="0" w:color="auto"/>
              <w:bottom w:val="single" w:sz="4" w:space="0" w:color="auto"/>
              <w:right w:val="single" w:sz="4" w:space="0" w:color="auto"/>
            </w:tcBorders>
            <w:vAlign w:val="center"/>
            <w:hideMark/>
          </w:tcPr>
          <w:p w:rsidR="00136390" w:rsidRPr="00AD6F97" w:rsidRDefault="00136390" w:rsidP="00136390">
            <w:pPr>
              <w:spacing w:line="240" w:lineRule="auto"/>
              <w:rPr>
                <w:rFonts w:ascii="Cambria Math" w:hAnsi="Cambria Math" w:cs="Times New Roman"/>
                <w:sz w:val="20"/>
                <w:szCs w:val="20"/>
              </w:rPr>
            </w:pPr>
            <w:r w:rsidRPr="00AD6F97">
              <w:rPr>
                <w:rFonts w:ascii="Cambria Math" w:hAnsi="Cambria Math" w:cs="Times New Roman"/>
                <w:sz w:val="20"/>
                <w:szCs w:val="20"/>
              </w:rPr>
              <w:t>FS</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1051"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-0.006765</w:t>
            </w:r>
          </w:p>
        </w:tc>
        <w:tc>
          <w:tcPr>
            <w:tcW w:w="1058"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0.001944</w:t>
            </w:r>
          </w:p>
        </w:tc>
        <w:tc>
          <w:tcPr>
            <w:tcW w:w="1100"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-3.479412</w:t>
            </w:r>
          </w:p>
        </w:tc>
        <w:tc>
          <w:tcPr>
            <w:tcW w:w="2342" w:type="dxa"/>
            <w:tcBorders>
              <w:top w:val="single" w:sz="4" w:space="0" w:color="auto"/>
              <w:left w:val="single" w:sz="4" w:space="0" w:color="auto"/>
              <w:bottom w:val="single" w:sz="4" w:space="0" w:color="auto"/>
              <w:right w:val="single" w:sz="4" w:space="0" w:color="auto"/>
            </w:tcBorders>
            <w:vAlign w:val="bottom"/>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20"/>
                <w:szCs w:val="20"/>
              </w:rPr>
            </w:pPr>
            <w:r w:rsidRPr="004E62ED">
              <w:rPr>
                <w:rFonts w:cs="Times New Roman"/>
                <w:color w:val="000000"/>
                <w:sz w:val="20"/>
                <w:szCs w:val="20"/>
              </w:rPr>
              <w:t>0.0005***</w:t>
            </w:r>
          </w:p>
        </w:tc>
        <w:tc>
          <w:tcPr>
            <w:tcW w:w="6779" w:type="dxa"/>
            <w:vMerge/>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spacing w:after="0" w:line="240" w:lineRule="auto"/>
              <w:rPr>
                <w:rFonts w:cs="Times New Roman"/>
                <w:color w:val="000000"/>
                <w:sz w:val="18"/>
                <w:szCs w:val="18"/>
              </w:rPr>
            </w:pPr>
          </w:p>
        </w:tc>
      </w:tr>
      <w:tr w:rsidR="00136390" w:rsidRPr="00323045" w:rsidTr="002F44C9">
        <w:trPr>
          <w:trHeight w:val="357"/>
        </w:trPr>
        <w:tc>
          <w:tcPr>
            <w:tcW w:w="1577" w:type="dxa"/>
            <w:tcBorders>
              <w:top w:val="single" w:sz="4" w:space="0" w:color="auto"/>
              <w:left w:val="single" w:sz="4" w:space="0" w:color="auto"/>
              <w:bottom w:val="single" w:sz="4" w:space="0" w:color="auto"/>
              <w:right w:val="single" w:sz="4" w:space="0" w:color="auto"/>
            </w:tcBorders>
            <w:vAlign w:val="center"/>
            <w:hideMark/>
          </w:tcPr>
          <w:p w:rsidR="00136390" w:rsidRPr="00AD6F97" w:rsidRDefault="00136390" w:rsidP="00136390">
            <w:pPr>
              <w:spacing w:line="240" w:lineRule="auto"/>
              <w:rPr>
                <w:rFonts w:ascii="Cambria Math" w:hAnsi="Cambria Math" w:cs="Times New Roman"/>
                <w:sz w:val="20"/>
                <w:szCs w:val="20"/>
              </w:rPr>
            </w:pPr>
            <w:r w:rsidRPr="00AD6F97">
              <w:rPr>
                <w:rFonts w:ascii="Cambria Math" w:hAnsi="Cambria Math" w:cs="Times New Roman"/>
                <w:sz w:val="20"/>
                <w:szCs w:val="20"/>
              </w:rPr>
              <w:t>ROE</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1051"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0.004074</w:t>
            </w:r>
          </w:p>
        </w:tc>
        <w:tc>
          <w:tcPr>
            <w:tcW w:w="1058"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0.000843</w:t>
            </w:r>
          </w:p>
        </w:tc>
        <w:tc>
          <w:tcPr>
            <w:tcW w:w="1100"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4.835554</w:t>
            </w:r>
          </w:p>
        </w:tc>
        <w:tc>
          <w:tcPr>
            <w:tcW w:w="2342" w:type="dxa"/>
            <w:tcBorders>
              <w:top w:val="single" w:sz="4" w:space="0" w:color="auto"/>
              <w:left w:val="single" w:sz="4" w:space="0" w:color="auto"/>
              <w:bottom w:val="single" w:sz="4" w:space="0" w:color="auto"/>
              <w:right w:val="single" w:sz="4" w:space="0" w:color="auto"/>
            </w:tcBorders>
            <w:vAlign w:val="bottom"/>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20"/>
                <w:szCs w:val="20"/>
              </w:rPr>
            </w:pPr>
            <w:r w:rsidRPr="004E62ED">
              <w:rPr>
                <w:rFonts w:cs="Times New Roman"/>
                <w:color w:val="000000"/>
                <w:sz w:val="20"/>
                <w:szCs w:val="20"/>
              </w:rPr>
              <w:t>0.0000***</w:t>
            </w:r>
          </w:p>
        </w:tc>
        <w:tc>
          <w:tcPr>
            <w:tcW w:w="6779" w:type="dxa"/>
            <w:vMerge/>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spacing w:after="0" w:line="240" w:lineRule="auto"/>
              <w:rPr>
                <w:rFonts w:cs="Times New Roman"/>
                <w:color w:val="000000"/>
                <w:sz w:val="18"/>
                <w:szCs w:val="18"/>
              </w:rPr>
            </w:pPr>
          </w:p>
        </w:tc>
      </w:tr>
      <w:tr w:rsidR="00136390" w:rsidRPr="00323045" w:rsidTr="002F44C9">
        <w:trPr>
          <w:trHeight w:val="269"/>
        </w:trPr>
        <w:tc>
          <w:tcPr>
            <w:tcW w:w="1577" w:type="dxa"/>
            <w:tcBorders>
              <w:top w:val="single" w:sz="4" w:space="0" w:color="auto"/>
              <w:left w:val="single" w:sz="4" w:space="0" w:color="auto"/>
              <w:bottom w:val="single" w:sz="4" w:space="0" w:color="auto"/>
              <w:right w:val="single" w:sz="4" w:space="0" w:color="auto"/>
            </w:tcBorders>
            <w:vAlign w:val="center"/>
            <w:hideMark/>
          </w:tcPr>
          <w:p w:rsidR="00136390" w:rsidRPr="00AD6F97" w:rsidRDefault="00136390" w:rsidP="00136390">
            <w:pPr>
              <w:spacing w:line="240" w:lineRule="auto"/>
              <w:rPr>
                <w:rFonts w:ascii="Cambria Math" w:hAnsi="Cambria Math" w:cs="Times New Roman"/>
                <w:sz w:val="20"/>
                <w:szCs w:val="20"/>
              </w:rPr>
            </w:pPr>
            <w:r w:rsidRPr="00AD6F97">
              <w:rPr>
                <w:rFonts w:ascii="Cambria Math" w:hAnsi="Cambria Math" w:cs="Times New Roman"/>
                <w:sz w:val="20"/>
                <w:szCs w:val="20"/>
              </w:rPr>
              <w:t>Leverage</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1051"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-0.007685</w:t>
            </w:r>
          </w:p>
        </w:tc>
        <w:tc>
          <w:tcPr>
            <w:tcW w:w="1058"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0.005081</w:t>
            </w:r>
          </w:p>
        </w:tc>
        <w:tc>
          <w:tcPr>
            <w:tcW w:w="1100" w:type="dxa"/>
            <w:tcBorders>
              <w:top w:val="single" w:sz="4" w:space="0" w:color="auto"/>
              <w:left w:val="single" w:sz="4" w:space="0" w:color="auto"/>
              <w:bottom w:val="single" w:sz="4" w:space="0" w:color="auto"/>
              <w:right w:val="single" w:sz="4" w:space="0" w:color="auto"/>
            </w:tcBorders>
            <w:vAlign w:val="bottom"/>
            <w:hideMark/>
          </w:tcPr>
          <w:p w:rsidR="00136390" w:rsidRPr="00323045" w:rsidRDefault="00136390" w:rsidP="00136390">
            <w:pPr>
              <w:autoSpaceDE w:val="0"/>
              <w:autoSpaceDN w:val="0"/>
              <w:adjustRightInd w:val="0"/>
              <w:spacing w:after="0" w:line="240" w:lineRule="auto"/>
              <w:ind w:right="10"/>
              <w:jc w:val="center"/>
              <w:rPr>
                <w:rFonts w:cs="Times New Roman"/>
                <w:color w:val="000000"/>
                <w:sz w:val="18"/>
                <w:szCs w:val="18"/>
              </w:rPr>
            </w:pPr>
            <w:r w:rsidRPr="00323045">
              <w:rPr>
                <w:rFonts w:cs="Times New Roman"/>
                <w:color w:val="000000"/>
                <w:sz w:val="18"/>
                <w:szCs w:val="18"/>
              </w:rPr>
              <w:t>-1.512512</w:t>
            </w:r>
          </w:p>
        </w:tc>
        <w:tc>
          <w:tcPr>
            <w:tcW w:w="2342" w:type="dxa"/>
            <w:tcBorders>
              <w:top w:val="single" w:sz="4" w:space="0" w:color="auto"/>
              <w:left w:val="single" w:sz="4" w:space="0" w:color="auto"/>
              <w:bottom w:val="single" w:sz="4" w:space="0" w:color="auto"/>
              <w:right w:val="single" w:sz="4" w:space="0" w:color="auto"/>
            </w:tcBorders>
            <w:vAlign w:val="bottom"/>
            <w:hideMark/>
          </w:tcPr>
          <w:p w:rsidR="00136390" w:rsidRPr="004E62ED" w:rsidRDefault="00136390" w:rsidP="00136390">
            <w:pPr>
              <w:autoSpaceDE w:val="0"/>
              <w:autoSpaceDN w:val="0"/>
              <w:adjustRightInd w:val="0"/>
              <w:spacing w:after="0" w:line="240" w:lineRule="auto"/>
              <w:ind w:right="10"/>
              <w:jc w:val="center"/>
              <w:rPr>
                <w:rFonts w:cs="Times New Roman"/>
                <w:color w:val="000000"/>
                <w:sz w:val="20"/>
                <w:szCs w:val="20"/>
              </w:rPr>
            </w:pPr>
            <w:r w:rsidRPr="004E62ED">
              <w:rPr>
                <w:rFonts w:cs="Times New Roman"/>
                <w:color w:val="000000"/>
                <w:sz w:val="20"/>
                <w:szCs w:val="20"/>
              </w:rPr>
              <w:t>0.1305</w:t>
            </w:r>
          </w:p>
        </w:tc>
        <w:tc>
          <w:tcPr>
            <w:tcW w:w="6779" w:type="dxa"/>
            <w:vMerge/>
            <w:tcBorders>
              <w:top w:val="single" w:sz="4" w:space="0" w:color="auto"/>
              <w:left w:val="single" w:sz="4" w:space="0" w:color="auto"/>
              <w:bottom w:val="single" w:sz="4" w:space="0" w:color="auto"/>
              <w:right w:val="single" w:sz="4" w:space="0" w:color="auto"/>
            </w:tcBorders>
            <w:vAlign w:val="center"/>
            <w:hideMark/>
          </w:tcPr>
          <w:p w:rsidR="00136390" w:rsidRPr="00323045" w:rsidRDefault="00136390" w:rsidP="00136390">
            <w:pPr>
              <w:spacing w:after="0" w:line="240" w:lineRule="auto"/>
              <w:rPr>
                <w:rFonts w:cs="Times New Roman"/>
                <w:color w:val="000000"/>
                <w:sz w:val="18"/>
                <w:szCs w:val="18"/>
              </w:rPr>
            </w:pPr>
          </w:p>
        </w:tc>
      </w:tr>
      <w:tr w:rsidR="00A63C9E" w:rsidRPr="00323045" w:rsidTr="002F44C9">
        <w:trPr>
          <w:trHeight w:val="255"/>
        </w:trPr>
        <w:tc>
          <w:tcPr>
            <w:tcW w:w="7128" w:type="dxa"/>
            <w:gridSpan w:val="5"/>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A63C9E">
            <w:pPr>
              <w:spacing w:after="0" w:line="240" w:lineRule="auto"/>
              <w:rPr>
                <w:rFonts w:cs="Times New Roman"/>
                <w:sz w:val="18"/>
                <w:szCs w:val="18"/>
              </w:rPr>
            </w:pPr>
            <w:r w:rsidRPr="00323045">
              <w:rPr>
                <w:rFonts w:cs="Times New Roman"/>
                <w:sz w:val="20"/>
                <w:szCs w:val="20"/>
              </w:rPr>
              <w:t xml:space="preserve">R-squared                               </w:t>
            </w:r>
            <w:r w:rsidRPr="00323045">
              <w:rPr>
                <w:rFonts w:cs="Times New Roman"/>
                <w:color w:val="000000"/>
                <w:sz w:val="18"/>
                <w:szCs w:val="18"/>
              </w:rPr>
              <w:t>0.029816</w:t>
            </w:r>
          </w:p>
        </w:tc>
        <w:tc>
          <w:tcPr>
            <w:tcW w:w="6779" w:type="dxa"/>
            <w:vMerge/>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A63C9E">
            <w:pPr>
              <w:spacing w:after="0" w:line="240" w:lineRule="auto"/>
              <w:rPr>
                <w:rFonts w:cs="Times New Roman"/>
                <w:color w:val="000000"/>
                <w:sz w:val="18"/>
                <w:szCs w:val="18"/>
              </w:rPr>
            </w:pPr>
          </w:p>
        </w:tc>
      </w:tr>
      <w:tr w:rsidR="00A63C9E" w:rsidRPr="00323045" w:rsidTr="002F44C9">
        <w:trPr>
          <w:trHeight w:val="20"/>
        </w:trPr>
        <w:tc>
          <w:tcPr>
            <w:tcW w:w="7128" w:type="dxa"/>
            <w:gridSpan w:val="5"/>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A63C9E">
            <w:pPr>
              <w:spacing w:after="0" w:line="240" w:lineRule="auto"/>
              <w:rPr>
                <w:rFonts w:cs="Times New Roman"/>
                <w:sz w:val="18"/>
                <w:szCs w:val="18"/>
              </w:rPr>
            </w:pPr>
            <w:r w:rsidRPr="00323045">
              <w:rPr>
                <w:rFonts w:cs="Times New Roman"/>
                <w:sz w:val="20"/>
                <w:szCs w:val="20"/>
              </w:rPr>
              <w:t xml:space="preserve">Adjusted R –squared              </w:t>
            </w:r>
            <w:r w:rsidRPr="00323045">
              <w:rPr>
                <w:rFonts w:cs="Times New Roman"/>
                <w:color w:val="000000"/>
                <w:sz w:val="18"/>
                <w:szCs w:val="18"/>
              </w:rPr>
              <w:t>0.026869</w:t>
            </w:r>
          </w:p>
        </w:tc>
        <w:tc>
          <w:tcPr>
            <w:tcW w:w="6779" w:type="dxa"/>
            <w:vMerge/>
            <w:tcBorders>
              <w:top w:val="single" w:sz="4" w:space="0" w:color="auto"/>
              <w:left w:val="single" w:sz="4" w:space="0" w:color="auto"/>
              <w:bottom w:val="single" w:sz="4" w:space="0" w:color="auto"/>
              <w:right w:val="single" w:sz="4" w:space="0" w:color="auto"/>
            </w:tcBorders>
            <w:vAlign w:val="center"/>
            <w:hideMark/>
          </w:tcPr>
          <w:p w:rsidR="00A63C9E" w:rsidRPr="00323045" w:rsidRDefault="00A63C9E" w:rsidP="00A63C9E">
            <w:pPr>
              <w:spacing w:after="0" w:line="240" w:lineRule="auto"/>
              <w:rPr>
                <w:rFonts w:cs="Times New Roman"/>
                <w:color w:val="000000"/>
                <w:sz w:val="18"/>
                <w:szCs w:val="18"/>
              </w:rPr>
            </w:pPr>
          </w:p>
        </w:tc>
      </w:tr>
      <w:tr w:rsidR="00A63C9E" w:rsidRPr="00323045" w:rsidTr="00713CDA">
        <w:trPr>
          <w:trHeight w:val="326"/>
        </w:trPr>
        <w:tc>
          <w:tcPr>
            <w:tcW w:w="13907" w:type="dxa"/>
            <w:gridSpan w:val="6"/>
            <w:tcBorders>
              <w:top w:val="single" w:sz="4" w:space="0" w:color="auto"/>
              <w:left w:val="single" w:sz="4" w:space="0" w:color="auto"/>
              <w:bottom w:val="single" w:sz="4" w:space="0" w:color="auto"/>
              <w:right w:val="single" w:sz="4" w:space="0" w:color="auto"/>
            </w:tcBorders>
            <w:hideMark/>
          </w:tcPr>
          <w:p w:rsidR="00A63C9E" w:rsidRPr="00323045" w:rsidRDefault="00A63C9E" w:rsidP="00A63C9E">
            <w:pPr>
              <w:spacing w:after="0" w:line="240" w:lineRule="auto"/>
              <w:rPr>
                <w:rFonts w:cs="Times New Roman"/>
                <w:sz w:val="20"/>
                <w:szCs w:val="20"/>
              </w:rPr>
            </w:pPr>
            <w:r w:rsidRPr="00323045">
              <w:rPr>
                <w:rFonts w:cs="Times New Roman"/>
                <w:sz w:val="20"/>
                <w:szCs w:val="20"/>
              </w:rPr>
              <w:t>*. Correlation is significant at the 0.1</w:t>
            </w:r>
            <w:r>
              <w:rPr>
                <w:rFonts w:cs="Times New Roman"/>
                <w:sz w:val="20"/>
                <w:szCs w:val="20"/>
              </w:rPr>
              <w:t xml:space="preserve">, </w:t>
            </w:r>
            <w:r w:rsidRPr="00323045">
              <w:rPr>
                <w:rFonts w:cs="Times New Roman"/>
                <w:sz w:val="20"/>
                <w:szCs w:val="20"/>
              </w:rPr>
              <w:t>**. Correlation is significant at the 0.05</w:t>
            </w:r>
            <w:r w:rsidRPr="00323045">
              <w:rPr>
                <w:rFonts w:cs="Times New Roman"/>
                <w:color w:val="000000"/>
                <w:sz w:val="20"/>
                <w:szCs w:val="20"/>
              </w:rPr>
              <w:t xml:space="preserve"> </w:t>
            </w:r>
            <w:r>
              <w:rPr>
                <w:rFonts w:cs="Times New Roman"/>
                <w:color w:val="000000"/>
                <w:sz w:val="20"/>
                <w:szCs w:val="20"/>
              </w:rPr>
              <w:t xml:space="preserve">, </w:t>
            </w:r>
            <w:r w:rsidRPr="00323045">
              <w:rPr>
                <w:rFonts w:cs="Times New Roman"/>
                <w:sz w:val="20"/>
                <w:szCs w:val="20"/>
              </w:rPr>
              <w:t>***.Correlation is significant at the 0.01</w:t>
            </w:r>
            <w:r w:rsidRPr="00323045">
              <w:rPr>
                <w:rFonts w:cs="Times New Roman"/>
                <w:color w:val="000000"/>
                <w:sz w:val="20"/>
                <w:szCs w:val="20"/>
              </w:rPr>
              <w:t xml:space="preserve"> </w:t>
            </w:r>
          </w:p>
        </w:tc>
      </w:tr>
      <w:tr w:rsidR="00A63C9E" w:rsidRPr="00323045" w:rsidTr="00713CDA">
        <w:trPr>
          <w:trHeight w:val="326"/>
        </w:trPr>
        <w:tc>
          <w:tcPr>
            <w:tcW w:w="13907" w:type="dxa"/>
            <w:gridSpan w:val="6"/>
            <w:tcBorders>
              <w:top w:val="single" w:sz="4" w:space="0" w:color="auto"/>
              <w:left w:val="single" w:sz="4" w:space="0" w:color="auto"/>
              <w:bottom w:val="single" w:sz="4" w:space="0" w:color="auto"/>
              <w:right w:val="single" w:sz="4" w:space="0" w:color="auto"/>
            </w:tcBorders>
            <w:vAlign w:val="center"/>
            <w:hideMark/>
          </w:tcPr>
          <w:p w:rsidR="00A63C9E" w:rsidRPr="00136390" w:rsidRDefault="00A63C9E" w:rsidP="00DF111B">
            <w:pPr>
              <w:spacing w:after="0" w:line="240" w:lineRule="auto"/>
              <w:rPr>
                <w:rFonts w:cs="Times New Roman"/>
                <w:sz w:val="20"/>
                <w:szCs w:val="20"/>
              </w:rPr>
            </w:pPr>
            <w:r w:rsidRPr="00323045">
              <w:rPr>
                <w:rFonts w:cs="Times New Roman"/>
                <w:sz w:val="20"/>
                <w:szCs w:val="20"/>
              </w:rPr>
              <w:t xml:space="preserve">This table summarizes the results random effect model and Hausman </w:t>
            </w:r>
            <w:r w:rsidR="006904AD" w:rsidRPr="00323045">
              <w:rPr>
                <w:rFonts w:cs="Times New Roman"/>
                <w:sz w:val="20"/>
                <w:szCs w:val="20"/>
              </w:rPr>
              <w:t>test based</w:t>
            </w:r>
            <w:r w:rsidRPr="00323045">
              <w:rPr>
                <w:rFonts w:cs="Times New Roman"/>
                <w:sz w:val="20"/>
                <w:szCs w:val="20"/>
              </w:rPr>
              <w:t xml:space="preserve"> on the sample firms of U.S.</w:t>
            </w:r>
            <w:r w:rsidR="00201281">
              <w:rPr>
                <w:rFonts w:cs="Times New Roman"/>
                <w:sz w:val="20"/>
                <w:szCs w:val="20"/>
              </w:rPr>
              <w:t xml:space="preserve"> </w:t>
            </w:r>
            <w:r w:rsidR="00136390" w:rsidRPr="00AD6F97">
              <w:rPr>
                <w:rFonts w:ascii="Cambria Math" w:hAnsi="Cambria Math" w:cs="Times New Roman"/>
                <w:sz w:val="20"/>
                <w:szCs w:val="20"/>
              </w:rPr>
              <w:t>CEO-dummy</w:t>
            </w:r>
            <w:r w:rsidR="00136390" w:rsidRPr="00AD6F97">
              <w:rPr>
                <w:rFonts w:ascii="Cambria Math" w:hAnsi="Cambria Math" w:cs="Times New Roman"/>
                <w:i/>
                <w:sz w:val="20"/>
                <w:szCs w:val="20"/>
                <w:vertAlign w:val="subscript"/>
              </w:rPr>
              <w:t>i,t</w:t>
            </w:r>
            <w:r w:rsidR="00201281">
              <w:rPr>
                <w:rFonts w:cs="Times New Roman"/>
                <w:sz w:val="20"/>
                <w:szCs w:val="20"/>
              </w:rPr>
              <w:t xml:space="preserve"> = </w:t>
            </w:r>
            <w:r w:rsidR="00136390" w:rsidRPr="00686E2F">
              <w:rPr>
                <w:rFonts w:cs="Times New Roman"/>
                <w:sz w:val="20"/>
                <w:szCs w:val="20"/>
              </w:rPr>
              <w:t xml:space="preserve">1 if CEO is Chairman, equal to 0 if otherwise. </w:t>
            </w:r>
            <w:r w:rsidR="00136390" w:rsidRPr="00AD6F97">
              <w:rPr>
                <w:rFonts w:ascii="Cambria Math" w:hAnsi="Cambria Math" w:cs="Times New Roman"/>
                <w:sz w:val="20"/>
                <w:szCs w:val="20"/>
              </w:rPr>
              <w:t>Insider</w:t>
            </w:r>
            <w:r w:rsidR="00136390" w:rsidRPr="00AD6F97">
              <w:rPr>
                <w:rFonts w:ascii="Cambria Math" w:hAnsi="Cambria Math" w:cs="Times New Roman"/>
                <w:i/>
                <w:sz w:val="20"/>
                <w:szCs w:val="20"/>
                <w:vertAlign w:val="subscript"/>
              </w:rPr>
              <w:t>i,t</w:t>
            </w:r>
            <w:r w:rsidR="00136390" w:rsidRPr="00686E2F">
              <w:rPr>
                <w:rFonts w:cs="Times New Roman"/>
                <w:sz w:val="20"/>
                <w:szCs w:val="20"/>
              </w:rPr>
              <w:t xml:space="preserve"> = percentages of shares </w:t>
            </w:r>
            <w:r w:rsidR="00136390">
              <w:rPr>
                <w:rFonts w:cs="Times New Roman"/>
                <w:sz w:val="20"/>
                <w:szCs w:val="20"/>
              </w:rPr>
              <w:t>hold</w:t>
            </w:r>
            <w:r w:rsidR="00201281">
              <w:rPr>
                <w:rFonts w:cs="Times New Roman"/>
                <w:sz w:val="20"/>
                <w:szCs w:val="20"/>
              </w:rPr>
              <w:t xml:space="preserve"> by management</w:t>
            </w:r>
            <w:r w:rsidR="00136390" w:rsidRPr="00686E2F">
              <w:rPr>
                <w:rFonts w:cs="Times New Roman"/>
                <w:sz w:val="20"/>
                <w:szCs w:val="20"/>
              </w:rPr>
              <w:t xml:space="preserve">. </w:t>
            </w:r>
            <w:r w:rsidR="00136390" w:rsidRPr="00AD6F97">
              <w:rPr>
                <w:rFonts w:ascii="Cambria Math" w:hAnsi="Cambria Math" w:cs="Times New Roman"/>
                <w:sz w:val="20"/>
                <w:szCs w:val="20"/>
              </w:rPr>
              <w:t>Block-</w:t>
            </w:r>
            <w:r w:rsidR="00DF111B">
              <w:rPr>
                <w:rFonts w:ascii="Cambria Math" w:hAnsi="Cambria Math" w:cs="Times New Roman"/>
                <w:sz w:val="20"/>
                <w:szCs w:val="20"/>
              </w:rPr>
              <w:t>h</w:t>
            </w:r>
            <w:r w:rsidR="00136390" w:rsidRPr="00AD6F97">
              <w:rPr>
                <w:rFonts w:ascii="Cambria Math" w:hAnsi="Cambria Math" w:cs="Times New Roman"/>
                <w:sz w:val="20"/>
                <w:szCs w:val="20"/>
              </w:rPr>
              <w:t>older</w:t>
            </w:r>
            <w:r w:rsidR="00136390" w:rsidRPr="00AD6F97">
              <w:rPr>
                <w:rFonts w:ascii="Cambria Math" w:hAnsi="Cambria Math" w:cs="Times New Roman"/>
                <w:i/>
                <w:sz w:val="20"/>
                <w:szCs w:val="20"/>
                <w:vertAlign w:val="subscript"/>
              </w:rPr>
              <w:t>i,t</w:t>
            </w:r>
            <w:r w:rsidR="00136390" w:rsidRPr="00686E2F">
              <w:rPr>
                <w:rFonts w:cs="Times New Roman"/>
                <w:sz w:val="20"/>
                <w:szCs w:val="20"/>
              </w:rPr>
              <w:t xml:space="preserve"> =</w:t>
            </w:r>
            <w:r w:rsidR="00201281">
              <w:rPr>
                <w:rFonts w:cs="Times New Roman"/>
                <w:sz w:val="20"/>
                <w:szCs w:val="20"/>
              </w:rPr>
              <w:t xml:space="preserve"> </w:t>
            </w:r>
            <w:r w:rsidR="00136390" w:rsidRPr="00686E2F">
              <w:rPr>
                <w:rFonts w:cs="Times New Roman"/>
                <w:sz w:val="20"/>
                <w:szCs w:val="20"/>
              </w:rPr>
              <w:t>percentages of shares hold by block-holders</w:t>
            </w:r>
            <w:r w:rsidR="00136390" w:rsidRPr="00686E2F">
              <w:rPr>
                <w:rFonts w:cs="Times New Roman" w:hint="eastAsia"/>
                <w:sz w:val="20"/>
                <w:szCs w:val="20"/>
              </w:rPr>
              <w:t>.</w:t>
            </w:r>
            <w:r w:rsidR="00136390" w:rsidRPr="00686E2F">
              <w:rPr>
                <w:rFonts w:cs="Times New Roman"/>
                <w:sz w:val="20"/>
                <w:szCs w:val="20"/>
              </w:rPr>
              <w:t xml:space="preserve"> </w:t>
            </w:r>
            <w:r w:rsidR="00136390" w:rsidRPr="00AD6F97">
              <w:rPr>
                <w:rFonts w:ascii="Cambria Math" w:hAnsi="Cambria Math" w:cs="Times New Roman"/>
                <w:b/>
                <w:i/>
                <w:sz w:val="20"/>
                <w:szCs w:val="20"/>
              </w:rPr>
              <w:t>EDS</w:t>
            </w:r>
            <w:r w:rsidR="00136390" w:rsidRPr="00AD6F97">
              <w:rPr>
                <w:rFonts w:ascii="Cambria Math" w:hAnsi="Cambria Math" w:cs="Times New Roman"/>
                <w:i/>
                <w:sz w:val="20"/>
                <w:szCs w:val="20"/>
                <w:vertAlign w:val="subscript"/>
              </w:rPr>
              <w:t>i,t</w:t>
            </w:r>
            <w:r w:rsidR="00136390" w:rsidRPr="00686E2F">
              <w:rPr>
                <w:rFonts w:cs="Times New Roman"/>
                <w:b/>
                <w:i/>
                <w:sz w:val="20"/>
                <w:szCs w:val="20"/>
              </w:rPr>
              <w:t xml:space="preserve"> = </w:t>
            </w:r>
            <w:r w:rsidR="00136390" w:rsidRPr="00686E2F">
              <w:rPr>
                <w:rFonts w:cs="Times New Roman"/>
                <w:sz w:val="20"/>
                <w:szCs w:val="20"/>
              </w:rPr>
              <w:t>the number of executive directors</w:t>
            </w:r>
            <w:r w:rsidR="00136390" w:rsidRPr="00686E2F">
              <w:rPr>
                <w:rFonts w:cs="Times New Roman"/>
                <w:b/>
                <w:i/>
                <w:sz w:val="20"/>
                <w:szCs w:val="20"/>
              </w:rPr>
              <w:t xml:space="preserve">. </w:t>
            </w:r>
            <w:r w:rsidR="00136390" w:rsidRPr="00AD6F97">
              <w:rPr>
                <w:rFonts w:ascii="Cambria Math" w:hAnsi="Cambria Math" w:cs="Times New Roman"/>
                <w:b/>
                <w:i/>
                <w:sz w:val="20"/>
                <w:szCs w:val="20"/>
              </w:rPr>
              <w:t>NEDS</w:t>
            </w:r>
            <w:r w:rsidR="00136390" w:rsidRPr="00AD6F97">
              <w:rPr>
                <w:rFonts w:ascii="Cambria Math" w:hAnsi="Cambria Math" w:cs="Times New Roman"/>
                <w:i/>
                <w:sz w:val="20"/>
                <w:szCs w:val="20"/>
                <w:vertAlign w:val="subscript"/>
              </w:rPr>
              <w:t>i,t</w:t>
            </w:r>
            <w:r w:rsidR="00136390" w:rsidRPr="00686E2F">
              <w:rPr>
                <w:rFonts w:cs="Times New Roman"/>
                <w:b/>
                <w:i/>
                <w:sz w:val="20"/>
                <w:szCs w:val="20"/>
              </w:rPr>
              <w:t xml:space="preserve"> =</w:t>
            </w:r>
            <w:r w:rsidR="00201281">
              <w:rPr>
                <w:rFonts w:cs="Times New Roman"/>
                <w:b/>
                <w:i/>
                <w:sz w:val="20"/>
                <w:szCs w:val="20"/>
              </w:rPr>
              <w:t xml:space="preserve"> </w:t>
            </w:r>
            <w:r w:rsidR="00136390" w:rsidRPr="00686E2F">
              <w:rPr>
                <w:rFonts w:cs="Times New Roman"/>
                <w:sz w:val="20"/>
                <w:szCs w:val="20"/>
              </w:rPr>
              <w:t>the number of non-executive directors.</w:t>
            </w:r>
            <w:r w:rsidR="00136390" w:rsidRPr="00686E2F">
              <w:rPr>
                <w:rFonts w:cs="Times New Roman"/>
                <w:b/>
                <w:i/>
                <w:sz w:val="20"/>
                <w:szCs w:val="20"/>
              </w:rPr>
              <w:t xml:space="preserve"> </w:t>
            </w:r>
            <w:r w:rsidR="00136390" w:rsidRPr="00AD6F97">
              <w:rPr>
                <w:rFonts w:ascii="Cambria Math" w:hAnsi="Cambria Math" w:cs="Times New Roman"/>
                <w:sz w:val="20"/>
                <w:szCs w:val="20"/>
              </w:rPr>
              <w:t>FS</w:t>
            </w:r>
            <w:r w:rsidR="00136390" w:rsidRPr="00AD6F97">
              <w:rPr>
                <w:rFonts w:ascii="Cambria Math" w:hAnsi="Cambria Math" w:cs="Times New Roman"/>
                <w:i/>
                <w:sz w:val="20"/>
                <w:szCs w:val="20"/>
                <w:vertAlign w:val="subscript"/>
              </w:rPr>
              <w:t>i,t</w:t>
            </w:r>
            <w:r w:rsidR="00201281">
              <w:rPr>
                <w:rFonts w:ascii="Cambria Math" w:hAnsi="Cambria Math" w:cs="Times New Roman"/>
                <w:i/>
                <w:sz w:val="20"/>
                <w:szCs w:val="20"/>
                <w:vertAlign w:val="subscript"/>
              </w:rPr>
              <w:t xml:space="preserve"> </w:t>
            </w:r>
            <w:r w:rsidR="00136390" w:rsidRPr="00AD6F97">
              <w:rPr>
                <w:rFonts w:ascii="Cambria Math" w:hAnsi="Cambria Math" w:cs="Times New Roman"/>
                <w:sz w:val="20"/>
                <w:szCs w:val="20"/>
              </w:rPr>
              <w:t>(log)</w:t>
            </w:r>
            <w:r w:rsidR="009F582E">
              <w:rPr>
                <w:rFonts w:ascii="Cambria Math" w:hAnsi="Cambria Math" w:cs="Times New Roman"/>
                <w:sz w:val="20"/>
                <w:szCs w:val="20"/>
              </w:rPr>
              <w:t xml:space="preserve"> </w:t>
            </w:r>
            <w:r w:rsidR="00136390" w:rsidRPr="00686E2F">
              <w:rPr>
                <w:rFonts w:cs="Times New Roman"/>
                <w:sz w:val="20"/>
                <w:szCs w:val="20"/>
              </w:rPr>
              <w:t xml:space="preserve">= nature logarithm of total assets as proxy for firm size. </w:t>
            </w:r>
            <w:r w:rsidR="00136390" w:rsidRPr="00AD6F97">
              <w:rPr>
                <w:rFonts w:ascii="Cambria Math" w:hAnsi="Cambria Math" w:cs="Times New Roman"/>
                <w:sz w:val="20"/>
                <w:szCs w:val="20"/>
              </w:rPr>
              <w:t>ROE</w:t>
            </w:r>
            <w:r w:rsidR="00136390" w:rsidRPr="00AD6F97">
              <w:rPr>
                <w:rFonts w:ascii="Cambria Math" w:hAnsi="Cambria Math" w:cs="Times New Roman"/>
                <w:i/>
                <w:sz w:val="20"/>
                <w:szCs w:val="20"/>
                <w:vertAlign w:val="subscript"/>
              </w:rPr>
              <w:t>i,t</w:t>
            </w:r>
            <w:r w:rsidR="00470932">
              <w:rPr>
                <w:rFonts w:ascii="Cambria Math" w:hAnsi="Cambria Math" w:cs="Times New Roman"/>
                <w:i/>
                <w:sz w:val="20"/>
                <w:szCs w:val="20"/>
                <w:vertAlign w:val="subscript"/>
              </w:rPr>
              <w:t xml:space="preserve"> </w:t>
            </w:r>
            <w:r w:rsidR="00136390" w:rsidRPr="00AD6F97">
              <w:rPr>
                <w:rFonts w:ascii="Cambria Math" w:hAnsi="Cambria Math" w:cs="Times New Roman"/>
                <w:sz w:val="20"/>
                <w:szCs w:val="20"/>
              </w:rPr>
              <w:t>(log)</w:t>
            </w:r>
            <w:r w:rsidR="009F582E">
              <w:rPr>
                <w:rFonts w:ascii="Cambria Math" w:hAnsi="Cambria Math" w:cs="Times New Roman"/>
                <w:sz w:val="20"/>
                <w:szCs w:val="20"/>
              </w:rPr>
              <w:t xml:space="preserve"> </w:t>
            </w:r>
            <w:r w:rsidR="00136390" w:rsidRPr="00686E2F">
              <w:rPr>
                <w:rFonts w:cs="Times New Roman"/>
                <w:sz w:val="20"/>
                <w:szCs w:val="20"/>
              </w:rPr>
              <w:t xml:space="preserve">= nature logarithm of return on equity. </w:t>
            </w:r>
            <w:r w:rsidR="00136390" w:rsidRPr="00AD6F97">
              <w:rPr>
                <w:rFonts w:ascii="Cambria Math" w:hAnsi="Cambria Math" w:cs="Times New Roman"/>
                <w:sz w:val="20"/>
                <w:szCs w:val="20"/>
              </w:rPr>
              <w:t>Leverage</w:t>
            </w:r>
            <w:r w:rsidR="00136390" w:rsidRPr="00AD6F97">
              <w:rPr>
                <w:rFonts w:ascii="Cambria Math" w:hAnsi="Cambria Math" w:cs="Times New Roman"/>
                <w:i/>
                <w:sz w:val="20"/>
                <w:szCs w:val="20"/>
                <w:vertAlign w:val="subscript"/>
              </w:rPr>
              <w:t>i,t</w:t>
            </w:r>
            <w:r w:rsidR="00201281">
              <w:rPr>
                <w:rFonts w:ascii="Cambria Math" w:hAnsi="Cambria Math" w:cs="Times New Roman"/>
                <w:sz w:val="20"/>
                <w:szCs w:val="20"/>
              </w:rPr>
              <w:t xml:space="preserve"> </w:t>
            </w:r>
            <w:r w:rsidR="00136390" w:rsidRPr="00AD6F97">
              <w:rPr>
                <w:rFonts w:ascii="Cambria Math" w:hAnsi="Cambria Math" w:cs="Times New Roman"/>
                <w:sz w:val="20"/>
                <w:szCs w:val="20"/>
              </w:rPr>
              <w:t>(log)</w:t>
            </w:r>
            <w:r w:rsidR="009F582E">
              <w:rPr>
                <w:rFonts w:ascii="Cambria Math" w:hAnsi="Cambria Math" w:cs="Times New Roman"/>
                <w:sz w:val="20"/>
                <w:szCs w:val="20"/>
              </w:rPr>
              <w:t xml:space="preserve"> </w:t>
            </w:r>
            <w:r w:rsidR="00201281">
              <w:rPr>
                <w:rFonts w:cs="Times New Roman"/>
                <w:sz w:val="20"/>
                <w:szCs w:val="20"/>
              </w:rPr>
              <w:t>=</w:t>
            </w:r>
            <w:r w:rsidR="00061CFD">
              <w:rPr>
                <w:rFonts w:cs="Times New Roman"/>
                <w:sz w:val="20"/>
                <w:szCs w:val="20"/>
              </w:rPr>
              <w:t xml:space="preserve"> </w:t>
            </w:r>
            <w:r w:rsidR="00136390" w:rsidRPr="00686E2F">
              <w:rPr>
                <w:rFonts w:cs="Times New Roman"/>
                <w:sz w:val="20"/>
                <w:szCs w:val="20"/>
              </w:rPr>
              <w:t>nature logarithm of leverage.</w:t>
            </w:r>
          </w:p>
        </w:tc>
      </w:tr>
    </w:tbl>
    <w:p w:rsidR="00A63C9E" w:rsidRDefault="00A63C9E" w:rsidP="00A63C9E">
      <w:pPr>
        <w:sectPr w:rsidR="00A63C9E" w:rsidSect="00A63C9E">
          <w:pgSz w:w="15840" w:h="12240" w:orient="landscape"/>
          <w:pgMar w:top="1440" w:right="864" w:bottom="1440" w:left="864" w:header="720" w:footer="720" w:gutter="0"/>
          <w:cols w:space="720"/>
          <w:docGrid w:linePitch="360"/>
        </w:sectPr>
      </w:pPr>
    </w:p>
    <w:p w:rsidR="00A63C9E" w:rsidRPr="007B7CA9" w:rsidRDefault="00A63C9E" w:rsidP="00252752">
      <w:pPr>
        <w:pStyle w:val="Heading3"/>
      </w:pPr>
      <w:bookmarkStart w:id="50" w:name="_Toc400916072"/>
      <w:r w:rsidRPr="007B7CA9">
        <w:lastRenderedPageBreak/>
        <w:t>Fixed effect model development</w:t>
      </w:r>
      <w:bookmarkEnd w:id="50"/>
    </w:p>
    <w:p w:rsidR="004F1A6B" w:rsidRPr="00FA4970" w:rsidRDefault="004F1A6B" w:rsidP="004F1A6B">
      <w:r w:rsidRPr="00FA4970">
        <w:rPr>
          <w:rFonts w:hint="eastAsia"/>
        </w:rPr>
        <w:t xml:space="preserve">Since the </w:t>
      </w:r>
      <w:r w:rsidRPr="00FA4970">
        <w:t xml:space="preserve">fixed effect model is preferred for investigating the relationship between corporate governance </w:t>
      </w:r>
      <w:r w:rsidRPr="00FA4970">
        <w:rPr>
          <w:rFonts w:hint="eastAsia"/>
        </w:rPr>
        <w:t xml:space="preserve">and </w:t>
      </w:r>
      <w:r w:rsidRPr="00FA4970">
        <w:t>earnings management</w:t>
      </w:r>
      <w:r w:rsidRPr="00FA4970">
        <w:rPr>
          <w:rFonts w:hint="eastAsia"/>
        </w:rPr>
        <w:t xml:space="preserve"> based</w:t>
      </w:r>
      <w:r w:rsidR="009C7D5B" w:rsidRPr="00FA4970">
        <w:rPr>
          <w:rFonts w:hint="eastAsia"/>
        </w:rPr>
        <w:t xml:space="preserve"> on the previous discussions</w:t>
      </w:r>
      <w:r w:rsidR="009C7D5B" w:rsidRPr="00FA4970">
        <w:t>. In this section,</w:t>
      </w:r>
      <w:r w:rsidR="005036C1">
        <w:t xml:space="preserve"> based on OLS models,</w:t>
      </w:r>
      <w:r w:rsidR="006F79BD" w:rsidRPr="00FA4970">
        <w:rPr>
          <w:rFonts w:hint="eastAsia"/>
        </w:rPr>
        <w:t xml:space="preserve"> </w:t>
      </w:r>
      <w:r w:rsidRPr="003C4BA4">
        <w:t>two-way fixed effect model</w:t>
      </w:r>
      <w:r w:rsidR="003C4BA4">
        <w:t xml:space="preserve">s are </w:t>
      </w:r>
      <w:r w:rsidR="006F79BD" w:rsidRPr="00FA4970">
        <w:t xml:space="preserve">constructed </w:t>
      </w:r>
      <w:r w:rsidRPr="00FA4970">
        <w:rPr>
          <w:rFonts w:hint="eastAsia"/>
        </w:rPr>
        <w:t xml:space="preserve">to </w:t>
      </w:r>
      <w:r w:rsidR="009C7D5B" w:rsidRPr="00FA4970">
        <w:t>present</w:t>
      </w:r>
      <w:r w:rsidR="006F79BD" w:rsidRPr="00FA4970">
        <w:t xml:space="preserve"> </w:t>
      </w:r>
      <w:r w:rsidR="006F79BD" w:rsidRPr="00FA4970">
        <w:rPr>
          <w:rFonts w:hint="eastAsia"/>
        </w:rPr>
        <w:t>the research</w:t>
      </w:r>
      <w:r w:rsidR="009C7D5B" w:rsidRPr="00FA4970">
        <w:t xml:space="preserve"> results</w:t>
      </w:r>
      <w:r w:rsidR="006F79BD" w:rsidRPr="00FA4970">
        <w:t>.</w:t>
      </w:r>
    </w:p>
    <w:p w:rsidR="00E934DA" w:rsidRPr="00FA4970" w:rsidRDefault="006E1A87" w:rsidP="004F1A6B">
      <w:r w:rsidRPr="00FA4970">
        <w:t>T</w:t>
      </w:r>
      <w:r w:rsidR="004F1A6B" w:rsidRPr="00FA4970">
        <w:rPr>
          <w:rFonts w:hint="eastAsia"/>
        </w:rPr>
        <w:t xml:space="preserve">he </w:t>
      </w:r>
      <w:r w:rsidR="004F1A6B" w:rsidRPr="00FA4970">
        <w:t>two-way fixed model ex</w:t>
      </w:r>
      <w:r w:rsidR="004F1A6B" w:rsidRPr="00FA4970">
        <w:rPr>
          <w:rFonts w:hint="eastAsia"/>
        </w:rPr>
        <w:t>amines</w:t>
      </w:r>
      <w:r w:rsidR="004F1A6B" w:rsidRPr="00FA4970">
        <w:t xml:space="preserve"> </w:t>
      </w:r>
      <w:r w:rsidR="004F1A6B" w:rsidRPr="00FA4970">
        <w:rPr>
          <w:rFonts w:hint="eastAsia"/>
        </w:rPr>
        <w:t xml:space="preserve">the </w:t>
      </w:r>
      <w:r w:rsidR="004F1A6B" w:rsidRPr="00FA4970">
        <w:t>fixed effects includ</w:t>
      </w:r>
      <w:r w:rsidR="004F1A6B" w:rsidRPr="00FA4970">
        <w:rPr>
          <w:rFonts w:hint="eastAsia"/>
        </w:rPr>
        <w:t>ing</w:t>
      </w:r>
      <w:r w:rsidR="004F1A6B" w:rsidRPr="00FA4970">
        <w:t xml:space="preserve"> both cross-section specific effect and time</w:t>
      </w:r>
      <w:r w:rsidR="004F1A6B" w:rsidRPr="00FA4970">
        <w:rPr>
          <w:rFonts w:hint="eastAsia"/>
        </w:rPr>
        <w:t xml:space="preserve"> </w:t>
      </w:r>
      <w:r w:rsidR="004F1A6B" w:rsidRPr="00FA4970">
        <w:t>specific effect. Generally, this model includes cross-section dummies and time dummies (</w:t>
      </w:r>
      <w:r w:rsidR="004F1A6B" w:rsidRPr="00FA4970">
        <w:rPr>
          <w:rFonts w:hint="eastAsia"/>
        </w:rPr>
        <w:t>e.g.,</w:t>
      </w:r>
      <w:r w:rsidR="00370E9E">
        <w:t xml:space="preserve"> firms, years</w:t>
      </w:r>
      <w:r w:rsidR="004F1A6B" w:rsidRPr="00FA4970">
        <w:t xml:space="preserve">) </w:t>
      </w:r>
      <w:r w:rsidR="004F1A6B" w:rsidRPr="00FA4970">
        <w:rPr>
          <w:rFonts w:hint="eastAsia"/>
        </w:rPr>
        <w:t xml:space="preserve">to </w:t>
      </w:r>
      <w:r w:rsidR="004F1A6B" w:rsidRPr="00FA4970">
        <w:t>control th</w:t>
      </w:r>
      <w:r w:rsidR="00FA4970" w:rsidRPr="00FA4970">
        <w:t>e</w:t>
      </w:r>
      <w:r w:rsidR="004F1A6B" w:rsidRPr="00FA4970">
        <w:t xml:space="preserve"> entity and time effects (Baltagi, 2005)</w:t>
      </w:r>
      <w:r w:rsidR="004F1A6B" w:rsidRPr="00FA4970">
        <w:rPr>
          <w:rFonts w:hint="eastAsia"/>
        </w:rPr>
        <w:t>.</w:t>
      </w:r>
      <w:r w:rsidR="00E934DA" w:rsidRPr="00FA4970">
        <w:t xml:space="preserve"> </w:t>
      </w:r>
      <w:r w:rsidR="00E934DA" w:rsidRPr="00FA4970">
        <w:rPr>
          <w:rFonts w:hint="eastAsia"/>
        </w:rPr>
        <w:t xml:space="preserve">By adding </w:t>
      </w:r>
      <w:r w:rsidR="00FA4970" w:rsidRPr="00FA4970">
        <w:t xml:space="preserve">the </w:t>
      </w:r>
      <w:r w:rsidR="00E934DA" w:rsidRPr="00FA4970">
        <w:rPr>
          <w:rFonts w:hint="eastAsia"/>
        </w:rPr>
        <w:t>cross-section dummies</w:t>
      </w:r>
      <w:r w:rsidR="00E934DA" w:rsidRPr="00FA4970">
        <w:t>, this model</w:t>
      </w:r>
      <w:r w:rsidR="00627866" w:rsidRPr="00FA4970">
        <w:t xml:space="preserve"> examines the entity </w:t>
      </w:r>
      <w:r w:rsidR="00627866" w:rsidRPr="00FA4970">
        <w:rPr>
          <w:rFonts w:hint="eastAsia"/>
        </w:rPr>
        <w:t>(</w:t>
      </w:r>
      <w:r w:rsidR="00627866" w:rsidRPr="00FA4970">
        <w:t>e</w:t>
      </w:r>
      <w:r w:rsidR="00627866" w:rsidRPr="00FA4970">
        <w:rPr>
          <w:rFonts w:hint="eastAsia"/>
        </w:rPr>
        <w:t>.</w:t>
      </w:r>
      <w:r w:rsidR="00627866" w:rsidRPr="00FA4970">
        <w:t>g.</w:t>
      </w:r>
      <w:r w:rsidR="00627866" w:rsidRPr="00FA4970">
        <w:rPr>
          <w:rFonts w:hint="eastAsia"/>
        </w:rPr>
        <w:t>,</w:t>
      </w:r>
      <w:r w:rsidR="00627866" w:rsidRPr="00FA4970">
        <w:t xml:space="preserve"> firm, country</w:t>
      </w:r>
      <w:r w:rsidR="00627866" w:rsidRPr="00FA4970">
        <w:rPr>
          <w:rFonts w:hint="eastAsia"/>
        </w:rPr>
        <w:t>)</w:t>
      </w:r>
      <w:r w:rsidR="00627866" w:rsidRPr="00FA4970">
        <w:t xml:space="preserve"> differences in the intercepts and</w:t>
      </w:r>
      <w:r w:rsidR="00E934DA" w:rsidRPr="00FA4970">
        <w:t xml:space="preserve"> controls the differences across entities in any observable or unobservable</w:t>
      </w:r>
      <w:r w:rsidR="00627866" w:rsidRPr="00FA4970">
        <w:t xml:space="preserve"> predictors. Moreover, the time dummies</w:t>
      </w:r>
      <w:r w:rsidR="009C7D5B" w:rsidRPr="00FA4970">
        <w:t xml:space="preserve"> are </w:t>
      </w:r>
      <w:r w:rsidR="009C1B2C" w:rsidRPr="00FA4970">
        <w:t>includ</w:t>
      </w:r>
      <w:r w:rsidR="00FA4970" w:rsidRPr="00FA4970">
        <w:t>ed</w:t>
      </w:r>
      <w:r w:rsidR="009C1B2C" w:rsidRPr="00FA4970">
        <w:t xml:space="preserve"> for measuring</w:t>
      </w:r>
      <w:r w:rsidR="00E934DA" w:rsidRPr="00FA4970">
        <w:t xml:space="preserve"> how </w:t>
      </w:r>
      <w:r w:rsidR="00E934DA" w:rsidRPr="00FA4970">
        <w:rPr>
          <w:rFonts w:hint="eastAsia"/>
        </w:rPr>
        <w:t xml:space="preserve">the </w:t>
      </w:r>
      <w:r w:rsidR="00627866" w:rsidRPr="00FA4970">
        <w:t xml:space="preserve">time affects the intercept. </w:t>
      </w:r>
    </w:p>
    <w:p w:rsidR="00F45698" w:rsidRDefault="004F1A6B" w:rsidP="00F45698">
      <w:pPr>
        <w:rPr>
          <w:rFonts w:ascii="TimesNewRomanPSMT" w:hAnsi="TimesNewRomanPSMT" w:cs="TimesNewRomanPSMT"/>
          <w:color w:val="FF0000"/>
        </w:rPr>
      </w:pPr>
      <w:r w:rsidRPr="00FA4970">
        <w:rPr>
          <w:rFonts w:hint="eastAsia"/>
        </w:rPr>
        <w:t>The</w:t>
      </w:r>
      <w:r w:rsidR="009C7D5B" w:rsidRPr="00FA4970">
        <w:t xml:space="preserve"> results of</w:t>
      </w:r>
      <w:r w:rsidRPr="00FA4970">
        <w:rPr>
          <w:rFonts w:hint="eastAsia"/>
        </w:rPr>
        <w:t xml:space="preserve"> </w:t>
      </w:r>
      <w:r w:rsidR="00627866" w:rsidRPr="00FA4970">
        <w:t xml:space="preserve">two-way </w:t>
      </w:r>
      <w:r w:rsidR="009C1B2C" w:rsidRPr="00FA4970">
        <w:t>fixed effect model of</w:t>
      </w:r>
      <w:r w:rsidR="009C7D5B" w:rsidRPr="00FA4970">
        <w:t xml:space="preserve"> China and U.S. are</w:t>
      </w:r>
      <w:r w:rsidR="009C7D5B" w:rsidRPr="00FA4970">
        <w:rPr>
          <w:rFonts w:hint="eastAsia"/>
        </w:rPr>
        <w:t xml:space="preserve"> given in Table 6.11.</w:t>
      </w:r>
      <w:r w:rsidR="00FA4970">
        <w:t xml:space="preserve"> </w:t>
      </w:r>
      <w:r w:rsidR="009C7D5B" w:rsidRPr="00FA4970">
        <w:t>Firstly</w:t>
      </w:r>
      <w:r w:rsidR="00FA4970" w:rsidRPr="00FA4970">
        <w:t>, in the left column of T</w:t>
      </w:r>
      <w:r w:rsidR="00C76F5D" w:rsidRPr="00FA4970">
        <w:t>able 6.11</w:t>
      </w:r>
      <w:r w:rsidR="00F45698" w:rsidRPr="00FA4970">
        <w:t xml:space="preserve">, </w:t>
      </w:r>
      <w:r w:rsidRPr="00FA4970">
        <w:t xml:space="preserve">a negative relationship </w:t>
      </w:r>
      <w:r w:rsidRPr="00FA4970">
        <w:rPr>
          <w:rFonts w:hint="eastAsia"/>
        </w:rPr>
        <w:t xml:space="preserve">is </w:t>
      </w:r>
      <w:r w:rsidRPr="00FA4970">
        <w:t>observed between board size</w:t>
      </w:r>
      <w:r w:rsidR="005036C1">
        <w:t xml:space="preserve"> (</w:t>
      </w:r>
      <w:r w:rsidR="005036C1" w:rsidRPr="008A2C2D">
        <w:rPr>
          <w:rFonts w:ascii="Cambria Math" w:hAnsi="Cambria Math" w:cs="Times New Roman"/>
          <w:b/>
          <w:i/>
          <w:szCs w:val="20"/>
        </w:rPr>
        <w:t>BS</w:t>
      </w:r>
      <w:r w:rsidR="005036C1" w:rsidRPr="008A2C2D">
        <w:rPr>
          <w:rFonts w:ascii="Cambria Math" w:hAnsi="Cambria Math" w:cs="Times New Roman"/>
          <w:i/>
          <w:szCs w:val="20"/>
          <w:vertAlign w:val="subscript"/>
        </w:rPr>
        <w:t>i,t</w:t>
      </w:r>
      <w:r w:rsidR="005036C1">
        <w:t>)</w:t>
      </w:r>
      <w:r w:rsidRPr="00FA4970">
        <w:t xml:space="preserve"> and earnings management</w:t>
      </w:r>
      <w:r w:rsidR="009C7D5B" w:rsidRPr="00FA4970">
        <w:t xml:space="preserve"> in China at</w:t>
      </w:r>
      <w:r w:rsidR="00AB5D8C" w:rsidRPr="00FA4970">
        <w:t xml:space="preserve"> 10% significance level</w:t>
      </w:r>
      <w:r w:rsidRPr="00FA4970">
        <w:t xml:space="preserve">, implying </w:t>
      </w:r>
      <w:r w:rsidRPr="00FA4970">
        <w:rPr>
          <w:rFonts w:hint="eastAsia"/>
        </w:rPr>
        <w:t xml:space="preserve">that </w:t>
      </w:r>
      <w:r w:rsidRPr="00FA4970">
        <w:t>larger board size could reduce the earning</w:t>
      </w:r>
      <w:r w:rsidR="00AB5D8C" w:rsidRPr="00FA4970">
        <w:t xml:space="preserve">s management </w:t>
      </w:r>
      <w:r w:rsidR="009C7D5B" w:rsidRPr="00FA4970">
        <w:t>activities.</w:t>
      </w:r>
      <w:r w:rsidR="003C4BA4">
        <w:t xml:space="preserve"> </w:t>
      </w:r>
      <w:r w:rsidR="003E6AE8" w:rsidRPr="00FA4970">
        <w:t>However, under the U.S. sample firms, the size of executive directors (</w:t>
      </w:r>
      <w:r w:rsidR="0074334E" w:rsidRPr="008A2C2D">
        <w:rPr>
          <w:rFonts w:ascii="Cambria Math" w:hAnsi="Cambria Math" w:cs="Times New Roman"/>
          <w:b/>
          <w:i/>
          <w:szCs w:val="20"/>
        </w:rPr>
        <w:t>EDS</w:t>
      </w:r>
      <w:r w:rsidR="0074334E" w:rsidRPr="008A2C2D">
        <w:rPr>
          <w:rFonts w:ascii="Cambria Math" w:hAnsi="Cambria Math" w:cs="Times New Roman"/>
          <w:i/>
          <w:szCs w:val="20"/>
          <w:vertAlign w:val="subscript"/>
        </w:rPr>
        <w:t>i,t</w:t>
      </w:r>
      <w:r w:rsidR="003E6AE8" w:rsidRPr="00FA4970">
        <w:t>) does not show a statistical significant correlation with earnings management.</w:t>
      </w:r>
      <w:r w:rsidR="009C7D5B" w:rsidRPr="00FA4970">
        <w:t xml:space="preserve"> </w:t>
      </w:r>
      <w:r w:rsidRPr="00FA4970">
        <w:t>Firm size</w:t>
      </w:r>
      <w:r w:rsidRPr="00FA4970">
        <w:rPr>
          <w:rFonts w:hint="eastAsia"/>
        </w:rPr>
        <w:t xml:space="preserve"> and </w:t>
      </w:r>
      <w:r w:rsidRPr="00FA4970">
        <w:t>ROE have a positive relationship with earnings management at the 1% significance level</w:t>
      </w:r>
      <w:r w:rsidR="00552733">
        <w:t xml:space="preserve"> in China samples</w:t>
      </w:r>
      <w:r w:rsidR="009C1B2C" w:rsidRPr="00FA4970">
        <w:t xml:space="preserve">, which is similar to that based on OLS regression model. Especially, </w:t>
      </w:r>
      <w:r w:rsidRPr="00FA4970">
        <w:t xml:space="preserve">a </w:t>
      </w:r>
      <w:r w:rsidR="009C1B2C" w:rsidRPr="00FA4970">
        <w:t xml:space="preserve">negative relationship was detected between leverage and earnings management at </w:t>
      </w:r>
      <w:r w:rsidR="007736C5" w:rsidRPr="00FA4970">
        <w:t>5</w:t>
      </w:r>
      <w:r w:rsidR="009C1B2C" w:rsidRPr="00FA4970">
        <w:t>% significance level.</w:t>
      </w:r>
      <w:r w:rsidR="009C1B2C">
        <w:rPr>
          <w:color w:val="FF0000"/>
        </w:rPr>
        <w:t xml:space="preserve"> </w:t>
      </w:r>
      <w:r w:rsidR="009C1B2C" w:rsidRPr="003C4BA4">
        <w:t xml:space="preserve">This means when </w:t>
      </w:r>
      <w:r w:rsidR="00FA4970" w:rsidRPr="003C4BA4">
        <w:t xml:space="preserve">the </w:t>
      </w:r>
      <w:r w:rsidR="007736C5" w:rsidRPr="003C4BA4">
        <w:t>ratio of leverage is high in a listed company</w:t>
      </w:r>
      <w:r w:rsidR="00552733">
        <w:t xml:space="preserve"> of China</w:t>
      </w:r>
      <w:r w:rsidR="007736C5" w:rsidRPr="003C4BA4">
        <w:t>, the likelihood of earnings management activities is low.</w:t>
      </w:r>
      <w:r w:rsidR="007736C5">
        <w:rPr>
          <w:color w:val="FF0000"/>
        </w:rPr>
        <w:t xml:space="preserve"> </w:t>
      </w:r>
      <w:r w:rsidR="007736C5" w:rsidRPr="00FA4970">
        <w:t>This result i</w:t>
      </w:r>
      <w:r w:rsidR="00F45698" w:rsidRPr="00FA4970">
        <w:t xml:space="preserve">s </w:t>
      </w:r>
      <w:r w:rsidR="007736C5" w:rsidRPr="00FA4970">
        <w:t xml:space="preserve">consistent </w:t>
      </w:r>
      <w:r w:rsidR="00DA2620" w:rsidRPr="00FA4970">
        <w:t xml:space="preserve">with Alsharairi </w:t>
      </w:r>
      <w:r w:rsidR="00DA2620" w:rsidRPr="00FA4970">
        <w:rPr>
          <w:i/>
        </w:rPr>
        <w:t>et al</w:t>
      </w:r>
      <w:r w:rsidR="00552733">
        <w:t>.</w:t>
      </w:r>
      <w:r w:rsidR="00DA2620" w:rsidRPr="00FA4970">
        <w:t xml:space="preserve"> (2011) and Dechow </w:t>
      </w:r>
      <w:r w:rsidR="00DA2620" w:rsidRPr="00FA4970">
        <w:rPr>
          <w:i/>
        </w:rPr>
        <w:t>et al</w:t>
      </w:r>
      <w:r w:rsidR="00552733">
        <w:t>.</w:t>
      </w:r>
      <w:r w:rsidR="00DA2620" w:rsidRPr="00FA4970">
        <w:t xml:space="preserve"> (2000)</w:t>
      </w:r>
      <w:r w:rsidR="00B63DEB" w:rsidRPr="00FA4970">
        <w:t>, but</w:t>
      </w:r>
      <w:r w:rsidR="00DA2620" w:rsidRPr="00FA4970">
        <w:t xml:space="preserve"> </w:t>
      </w:r>
      <w:r w:rsidR="00B63DEB" w:rsidRPr="00FA4970">
        <w:t xml:space="preserve">is </w:t>
      </w:r>
      <w:r w:rsidR="00DA2620" w:rsidRPr="00FA4970">
        <w:t>not the expectation of this thesis.</w:t>
      </w:r>
      <w:r w:rsidR="00B63DEB">
        <w:rPr>
          <w:color w:val="FF0000"/>
        </w:rPr>
        <w:t xml:space="preserve"> </w:t>
      </w:r>
      <w:r w:rsidRPr="00FA4970">
        <w:t xml:space="preserve">More specific, </w:t>
      </w:r>
      <w:r w:rsidRPr="00FA4970">
        <w:rPr>
          <w:rFonts w:hint="eastAsia"/>
        </w:rPr>
        <w:t>the a</w:t>
      </w:r>
      <w:r w:rsidR="0080758E">
        <w:t>djusted R-</w:t>
      </w:r>
      <w:r w:rsidRPr="00FA4970">
        <w:t>squared reach</w:t>
      </w:r>
      <w:r w:rsidRPr="00FA4970">
        <w:rPr>
          <w:rFonts w:hint="eastAsia"/>
        </w:rPr>
        <w:t>es</w:t>
      </w:r>
      <w:r w:rsidRPr="00FA4970">
        <w:t xml:space="preserve"> to 29%, </w:t>
      </w:r>
      <w:r w:rsidRPr="00FA4970">
        <w:rPr>
          <w:rFonts w:hint="eastAsia"/>
        </w:rPr>
        <w:t xml:space="preserve">which </w:t>
      </w:r>
      <w:r w:rsidRPr="00FA4970">
        <w:t xml:space="preserve">indicates </w:t>
      </w:r>
      <w:r w:rsidRPr="00FA4970">
        <w:rPr>
          <w:rFonts w:hint="eastAsia"/>
        </w:rPr>
        <w:t xml:space="preserve">that </w:t>
      </w:r>
      <w:r w:rsidR="00FA4970" w:rsidRPr="00FA4970">
        <w:t xml:space="preserve">the </w:t>
      </w:r>
      <w:r w:rsidRPr="00FA4970">
        <w:t xml:space="preserve">explanatory power </w:t>
      </w:r>
      <w:r w:rsidR="00FA4970" w:rsidRPr="00FA4970">
        <w:t xml:space="preserve">of this model </w:t>
      </w:r>
      <w:r w:rsidRPr="00FA4970">
        <w:t>increase</w:t>
      </w:r>
      <w:r w:rsidRPr="00FA4970">
        <w:rPr>
          <w:rFonts w:hint="eastAsia"/>
        </w:rPr>
        <w:t>s</w:t>
      </w:r>
      <w:r w:rsidRPr="00FA4970">
        <w:t xml:space="preserve"> after incorporating two-way</w:t>
      </w:r>
      <w:r w:rsidR="005036C1">
        <w:t xml:space="preserve"> fixed</w:t>
      </w:r>
      <w:r w:rsidRPr="00FA4970">
        <w:t xml:space="preserve"> effect.</w:t>
      </w:r>
      <w:r w:rsidR="00FA4970">
        <w:t xml:space="preserve"> </w:t>
      </w:r>
      <w:r w:rsidR="00C76F5D" w:rsidRPr="005C64DE">
        <w:t>Secondly</w:t>
      </w:r>
      <w:r w:rsidR="009C7D5B" w:rsidRPr="005C64DE">
        <w:t xml:space="preserve">, </w:t>
      </w:r>
      <w:r w:rsidR="00FA4970" w:rsidRPr="005C64DE">
        <w:t>in the right column of T</w:t>
      </w:r>
      <w:r w:rsidR="00F45698" w:rsidRPr="005C64DE">
        <w:t xml:space="preserve">able 6.11, </w:t>
      </w:r>
      <w:r w:rsidR="009C7D5B" w:rsidRPr="005C64DE">
        <w:t>the number of non-executive directors (</w:t>
      </w:r>
      <w:r w:rsidR="0074334E" w:rsidRPr="008A2C2D">
        <w:rPr>
          <w:rFonts w:ascii="Cambria Math" w:hAnsi="Cambria Math" w:cs="Times New Roman"/>
          <w:b/>
          <w:i/>
          <w:szCs w:val="20"/>
        </w:rPr>
        <w:t>NEDS</w:t>
      </w:r>
      <w:r w:rsidR="0074334E" w:rsidRPr="008A2C2D">
        <w:rPr>
          <w:rFonts w:ascii="Cambria Math" w:hAnsi="Cambria Math" w:cs="Times New Roman"/>
          <w:i/>
          <w:szCs w:val="20"/>
          <w:vertAlign w:val="subscript"/>
        </w:rPr>
        <w:t>i,t</w:t>
      </w:r>
      <w:r w:rsidR="009C7D5B" w:rsidRPr="005C64DE">
        <w:t>) has a negative relationship with</w:t>
      </w:r>
      <w:r w:rsidR="00FA4970" w:rsidRPr="005C64DE">
        <w:t xml:space="preserve"> </w:t>
      </w:r>
      <w:r w:rsidR="00F45698" w:rsidRPr="005C64DE">
        <w:t xml:space="preserve">earnings management in </w:t>
      </w:r>
      <w:r w:rsidR="005C64DE" w:rsidRPr="005C64DE">
        <w:t xml:space="preserve">the </w:t>
      </w:r>
      <w:r w:rsidR="00F45698" w:rsidRPr="005C64DE">
        <w:t>U.S. sample firms</w:t>
      </w:r>
      <w:r w:rsidR="0047797C">
        <w:t xml:space="preserve"> (t=-3.532</w:t>
      </w:r>
      <w:r w:rsidR="003E6AE8" w:rsidRPr="005C64DE">
        <w:t>, p-value=0.0004).</w:t>
      </w:r>
      <w:r w:rsidR="003E6AE8">
        <w:rPr>
          <w:color w:val="FF0000"/>
        </w:rPr>
        <w:t xml:space="preserve"> </w:t>
      </w:r>
      <w:r w:rsidR="003C4BA4" w:rsidRPr="003C4BA4">
        <w:t>However, s</w:t>
      </w:r>
      <w:r w:rsidR="003E6AE8" w:rsidRPr="003C4BA4">
        <w:t>upervisory board size (</w:t>
      </w:r>
      <w:r w:rsidR="0074334E" w:rsidRPr="008A2C2D">
        <w:rPr>
          <w:rFonts w:ascii="Cambria Math" w:hAnsi="Cambria Math" w:cs="Times New Roman"/>
          <w:b/>
          <w:i/>
          <w:szCs w:val="20"/>
        </w:rPr>
        <w:t>SBS</w:t>
      </w:r>
      <w:r w:rsidR="0074334E" w:rsidRPr="008A2C2D">
        <w:rPr>
          <w:rFonts w:ascii="Cambria Math" w:hAnsi="Cambria Math" w:cs="Times New Roman"/>
          <w:i/>
          <w:szCs w:val="20"/>
          <w:vertAlign w:val="subscript"/>
        </w:rPr>
        <w:t>i,t</w:t>
      </w:r>
      <w:r w:rsidR="003E6AE8" w:rsidRPr="003C4BA4">
        <w:t xml:space="preserve">) in China listed firms does not show a significant correlation with earnings management. </w:t>
      </w:r>
      <w:r w:rsidR="009C7D5B" w:rsidRPr="005C64DE">
        <w:t>Moreover</w:t>
      </w:r>
      <w:r w:rsidR="009C7D5B" w:rsidRPr="005C64DE">
        <w:rPr>
          <w:rFonts w:hint="eastAsia"/>
        </w:rPr>
        <w:t xml:space="preserve">, a </w:t>
      </w:r>
      <w:r w:rsidR="009C7D5B" w:rsidRPr="005C64DE">
        <w:lastRenderedPageBreak/>
        <w:t xml:space="preserve">negative correlation between block-holders ownership and earnings management </w:t>
      </w:r>
      <w:r w:rsidR="009C7D5B" w:rsidRPr="005C64DE">
        <w:rPr>
          <w:rFonts w:hint="eastAsia"/>
        </w:rPr>
        <w:t xml:space="preserve">is </w:t>
      </w:r>
      <w:r w:rsidR="009C7D5B" w:rsidRPr="005C64DE">
        <w:t>detected at 5% significance level, which is not found under the OLS regression</w:t>
      </w:r>
      <w:r w:rsidR="00C5291E" w:rsidRPr="005C64DE">
        <w:t xml:space="preserve"> and</w:t>
      </w:r>
      <w:r w:rsidR="00C5291E">
        <w:rPr>
          <w:color w:val="FF0000"/>
        </w:rPr>
        <w:t xml:space="preserve"> </w:t>
      </w:r>
      <w:r w:rsidR="005C64DE" w:rsidRPr="003C4BA4">
        <w:t>the</w:t>
      </w:r>
      <w:r w:rsidR="00C5291E" w:rsidRPr="003C4BA4">
        <w:t xml:space="preserve"> sample</w:t>
      </w:r>
      <w:r w:rsidR="005C64DE" w:rsidRPr="003C4BA4">
        <w:t xml:space="preserve"> firms of China</w:t>
      </w:r>
      <w:r w:rsidR="009C7D5B" w:rsidRPr="003C4BA4">
        <w:t>.</w:t>
      </w:r>
      <w:r w:rsidR="009C7D5B" w:rsidRPr="00AB5D8C">
        <w:rPr>
          <w:color w:val="FF0000"/>
        </w:rPr>
        <w:t xml:space="preserve"> </w:t>
      </w:r>
      <w:r w:rsidR="003C4BA4">
        <w:t>This result demonstrates that the U.S. listed firms have</w:t>
      </w:r>
      <w:r w:rsidR="009C7D5B" w:rsidRPr="005C64DE">
        <w:t xml:space="preserve"> less earnings manipulations when more shares </w:t>
      </w:r>
      <w:r w:rsidR="005C64DE" w:rsidRPr="005C64DE">
        <w:t xml:space="preserve">are </w:t>
      </w:r>
      <w:r w:rsidR="009C7D5B" w:rsidRPr="005C64DE">
        <w:t>held by block-holders</w:t>
      </w:r>
      <w:r w:rsidR="003C4BA4">
        <w:t xml:space="preserve">, </w:t>
      </w:r>
      <w:r w:rsidR="005C64DE" w:rsidRPr="005C64DE">
        <w:t xml:space="preserve">which </w:t>
      </w:r>
      <w:r w:rsidR="009C7D5B" w:rsidRPr="005C64DE">
        <w:t xml:space="preserve">is consistent </w:t>
      </w:r>
      <w:r w:rsidR="009C7D5B" w:rsidRPr="005C64DE">
        <w:rPr>
          <w:rFonts w:hint="eastAsia"/>
        </w:rPr>
        <w:t>with</w:t>
      </w:r>
      <w:r w:rsidR="009C7D5B" w:rsidRPr="005C64DE">
        <w:t xml:space="preserve"> the findings </w:t>
      </w:r>
      <w:r w:rsidR="005C64DE" w:rsidRPr="005C64DE">
        <w:t>of</w:t>
      </w:r>
      <w:r w:rsidR="009C7D5B" w:rsidRPr="005C64DE">
        <w:rPr>
          <w:rFonts w:hint="eastAsia"/>
        </w:rPr>
        <w:t xml:space="preserve"> </w:t>
      </w:r>
      <w:r w:rsidR="009C7D5B" w:rsidRPr="005C64DE">
        <w:t>Sh</w:t>
      </w:r>
      <w:r w:rsidR="00B63E97">
        <w:t>lei</w:t>
      </w:r>
      <w:r w:rsidR="009C7D5B" w:rsidRPr="005C64DE">
        <w:t xml:space="preserve">fer and Vishny (1986), Klein (2002) and </w:t>
      </w:r>
      <w:r w:rsidR="009C7D5B" w:rsidRPr="005C64DE">
        <w:rPr>
          <w:rFonts w:ascii="TimesNewRomanPSMT" w:hAnsi="TimesNewRomanPSMT" w:cs="TimesNewRomanPSMT"/>
        </w:rPr>
        <w:t>Iturriaga and Hoffmann (2005).</w:t>
      </w:r>
      <w:r w:rsidR="009C7D5B" w:rsidRPr="00AB5D8C">
        <w:rPr>
          <w:rFonts w:ascii="TimesNewRomanPSMT" w:hAnsi="TimesNewRomanPSMT" w:cs="TimesNewRomanPSMT"/>
          <w:color w:val="FF0000"/>
        </w:rPr>
        <w:t xml:space="preserve"> </w:t>
      </w:r>
      <w:r w:rsidR="009C7D5B" w:rsidRPr="005C64DE">
        <w:rPr>
          <w:rFonts w:ascii="TimesNewRomanPSMT" w:hAnsi="TimesNewRomanPSMT" w:cs="TimesNewRomanPSMT"/>
        </w:rPr>
        <w:t>Firm size</w:t>
      </w:r>
      <w:r w:rsidR="009C7D5B" w:rsidRPr="005C64DE">
        <w:rPr>
          <w:rFonts w:ascii="TimesNewRomanPSMT" w:hAnsi="TimesNewRomanPSMT" w:cs="TimesNewRomanPSMT" w:hint="eastAsia"/>
        </w:rPr>
        <w:t xml:space="preserve"> and </w:t>
      </w:r>
      <w:r w:rsidR="009C7D5B" w:rsidRPr="005C64DE">
        <w:rPr>
          <w:rFonts w:ascii="TimesNewRomanPSMT" w:hAnsi="TimesNewRomanPSMT" w:cs="TimesNewRomanPSMT"/>
        </w:rPr>
        <w:t>ROE present a positive relationship with earnings management and 1% significance level.</w:t>
      </w:r>
      <w:r w:rsidR="00F45698" w:rsidRPr="005C64DE">
        <w:rPr>
          <w:rFonts w:ascii="TimesNewRomanPSMT" w:hAnsi="TimesNewRomanPSMT" w:cs="TimesNewRomanPSMT"/>
        </w:rPr>
        <w:t xml:space="preserve"> Leverage has a negative relationship </w:t>
      </w:r>
      <w:r w:rsidR="005C64DE" w:rsidRPr="005C64DE">
        <w:rPr>
          <w:rFonts w:ascii="TimesNewRomanPSMT" w:hAnsi="TimesNewRomanPSMT" w:cs="TimesNewRomanPSMT"/>
        </w:rPr>
        <w:t>with</w:t>
      </w:r>
      <w:r w:rsidR="00F45698" w:rsidRPr="005C64DE">
        <w:rPr>
          <w:rFonts w:ascii="TimesNewRomanPSMT" w:hAnsi="TimesNewRomanPSMT" w:cs="TimesNewRomanPSMT"/>
        </w:rPr>
        <w:t xml:space="preserve"> earnings management at 10% significance level.</w:t>
      </w:r>
      <w:r w:rsidR="009C7D5B" w:rsidRPr="005C64DE">
        <w:rPr>
          <w:rFonts w:ascii="TimesNewRomanPSMT" w:hAnsi="TimesNewRomanPSMT" w:cs="TimesNewRomanPSMT"/>
        </w:rPr>
        <w:t xml:space="preserve"> </w:t>
      </w:r>
      <w:r w:rsidR="009C7D5B" w:rsidRPr="005C64DE">
        <w:rPr>
          <w:rFonts w:ascii="TimesNewRomanPSMT" w:hAnsi="TimesNewRomanPSMT" w:cs="TimesNewRomanPSMT" w:hint="eastAsia"/>
        </w:rPr>
        <w:t>T</w:t>
      </w:r>
      <w:r w:rsidR="009C7D5B" w:rsidRPr="005C64DE">
        <w:rPr>
          <w:rFonts w:ascii="TimesNewRomanPSMT" w:hAnsi="TimesNewRomanPSMT" w:cs="TimesNewRomanPSMT"/>
        </w:rPr>
        <w:t xml:space="preserve">he </w:t>
      </w:r>
      <w:r w:rsidR="009C7D5B" w:rsidRPr="005C64DE">
        <w:rPr>
          <w:rFonts w:ascii="TimesNewRomanPSMT" w:hAnsi="TimesNewRomanPSMT" w:cs="TimesNewRomanPSMT" w:hint="eastAsia"/>
        </w:rPr>
        <w:t>a</w:t>
      </w:r>
      <w:r w:rsidR="009C7D5B" w:rsidRPr="005C64DE">
        <w:rPr>
          <w:rFonts w:ascii="TimesNewRomanPSMT" w:hAnsi="TimesNewRomanPSMT" w:cs="TimesNewRomanPSMT"/>
        </w:rPr>
        <w:t xml:space="preserve">djusted R-squared is improved under this </w:t>
      </w:r>
      <w:r w:rsidR="00F45698" w:rsidRPr="005C64DE">
        <w:rPr>
          <w:rFonts w:ascii="TimesNewRomanPSMT" w:hAnsi="TimesNewRomanPSMT" w:cs="TimesNewRomanPSMT"/>
        </w:rPr>
        <w:t xml:space="preserve">two-way </w:t>
      </w:r>
      <w:r w:rsidR="009C7D5B" w:rsidRPr="005C64DE">
        <w:rPr>
          <w:rFonts w:ascii="TimesNewRomanPSMT" w:hAnsi="TimesNewRomanPSMT" w:cs="TimesNewRomanPSMT"/>
        </w:rPr>
        <w:t>fixed effect and reach</w:t>
      </w:r>
      <w:r w:rsidR="009C7D5B" w:rsidRPr="005C64DE">
        <w:rPr>
          <w:rFonts w:ascii="TimesNewRomanPSMT" w:hAnsi="TimesNewRomanPSMT" w:cs="TimesNewRomanPSMT" w:hint="eastAsia"/>
        </w:rPr>
        <w:t>es to</w:t>
      </w:r>
      <w:r w:rsidR="009C7D5B" w:rsidRPr="005C64DE">
        <w:rPr>
          <w:rFonts w:ascii="TimesNewRomanPSMT" w:hAnsi="TimesNewRomanPSMT" w:cs="TimesNewRomanPSMT"/>
        </w:rPr>
        <w:t xml:space="preserve"> 33</w:t>
      </w:r>
      <w:r w:rsidR="009C7D5B" w:rsidRPr="005C64DE">
        <w:rPr>
          <w:rFonts w:ascii="TimesNewRomanPSMT" w:hAnsi="TimesNewRomanPSMT" w:cs="TimesNewRomanPSMT" w:hint="eastAsia"/>
        </w:rPr>
        <w:t>%</w:t>
      </w:r>
      <w:r w:rsidR="009C7D5B" w:rsidRPr="005C64DE">
        <w:rPr>
          <w:rFonts w:ascii="TimesNewRomanPSMT" w:hAnsi="TimesNewRomanPSMT" w:cs="TimesNewRomanPSMT"/>
        </w:rPr>
        <w:t xml:space="preserve"> compared to that in OLS regression (4.6%).</w:t>
      </w:r>
      <w:r w:rsidR="009C7D5B" w:rsidRPr="00AB5D8C">
        <w:rPr>
          <w:rFonts w:ascii="TimesNewRomanPSMT" w:hAnsi="TimesNewRomanPSMT" w:cs="TimesNewRomanPSMT"/>
          <w:color w:val="FF0000"/>
        </w:rPr>
        <w:t xml:space="preserve"> </w:t>
      </w:r>
    </w:p>
    <w:p w:rsidR="00F45698" w:rsidRDefault="00F45698" w:rsidP="00F45698">
      <w:pPr>
        <w:pStyle w:val="Heading2"/>
      </w:pPr>
      <w:bookmarkStart w:id="51" w:name="_Toc400916073"/>
      <w:r>
        <w:t>Summary</w:t>
      </w:r>
      <w:bookmarkEnd w:id="51"/>
    </w:p>
    <w:p w:rsidR="00F45698" w:rsidRPr="00272D08" w:rsidRDefault="00F45698" w:rsidP="00BC6CC0">
      <w:pPr>
        <w:rPr>
          <w:color w:val="FF0000"/>
        </w:rPr>
      </w:pPr>
      <w:r w:rsidRPr="005C64DE">
        <w:t xml:space="preserve">This </w:t>
      </w:r>
      <w:r w:rsidR="007B4191" w:rsidRPr="005C64DE">
        <w:t>chapter illustrated the empirical findings of this research thesis. At first,</w:t>
      </w:r>
      <w:r w:rsidR="00552733">
        <w:t xml:space="preserve"> by using SPSS,</w:t>
      </w:r>
      <w:r w:rsidR="007B4191" w:rsidRPr="00272D08">
        <w:rPr>
          <w:color w:val="FF0000"/>
        </w:rPr>
        <w:t xml:space="preserve"> </w:t>
      </w:r>
      <w:r w:rsidR="007B4191" w:rsidRPr="003C4BA4">
        <w:t>the descriptive</w:t>
      </w:r>
      <w:r w:rsidR="002E5C78" w:rsidRPr="003C4BA4">
        <w:t xml:space="preserve"> statistics </w:t>
      </w:r>
      <w:r w:rsidR="003C4BA4" w:rsidRPr="003C4BA4">
        <w:t>shows the details of dependent variable, independent variables and control variables</w:t>
      </w:r>
      <w:r w:rsidR="002E5C78" w:rsidRPr="003C4BA4">
        <w:t>.</w:t>
      </w:r>
      <w:r w:rsidR="002E5C78" w:rsidRPr="00272D08">
        <w:rPr>
          <w:color w:val="FF0000"/>
        </w:rPr>
        <w:t xml:space="preserve"> </w:t>
      </w:r>
      <w:r w:rsidR="00552733">
        <w:t>Pearson c</w:t>
      </w:r>
      <w:r w:rsidR="002E5C78" w:rsidRPr="005C64DE">
        <w:t xml:space="preserve">orrelation test was performed to test the association among dependent, independent and control variables. </w:t>
      </w:r>
      <w:r w:rsidR="0096148F">
        <w:t xml:space="preserve">The </w:t>
      </w:r>
      <w:r w:rsidR="00552733">
        <w:t>c</w:t>
      </w:r>
      <w:r w:rsidR="002E5C78" w:rsidRPr="005C64DE">
        <w:t xml:space="preserve">ollinearity diagnostics test is employed to verify whether multicollinearity issue is exist or not. All of </w:t>
      </w:r>
      <w:r w:rsidR="005C64DE" w:rsidRPr="005C64DE">
        <w:t xml:space="preserve">the </w:t>
      </w:r>
      <w:r w:rsidR="002E5C78" w:rsidRPr="005C64DE">
        <w:t>tests show that the datasets of China and U.S. are valid.</w:t>
      </w:r>
    </w:p>
    <w:p w:rsidR="00F45698" w:rsidRPr="007F30FE" w:rsidRDefault="00BC6CC0" w:rsidP="00BC6CC0">
      <w:pPr>
        <w:rPr>
          <w:color w:val="FF0000"/>
          <w:szCs w:val="24"/>
          <w:lang w:eastAsia="en-US"/>
        </w:rPr>
      </w:pPr>
      <w:r w:rsidRPr="007F30FE">
        <w:rPr>
          <w:szCs w:val="24"/>
          <w:lang w:eastAsia="en-US"/>
        </w:rPr>
        <w:t>Secondly, the ordinary least square</w:t>
      </w:r>
      <w:r w:rsidR="0079342C">
        <w:rPr>
          <w:szCs w:val="24"/>
          <w:lang w:eastAsia="en-US"/>
        </w:rPr>
        <w:t>s</w:t>
      </w:r>
      <w:r w:rsidRPr="007F30FE">
        <w:rPr>
          <w:szCs w:val="24"/>
          <w:lang w:eastAsia="en-US"/>
        </w:rPr>
        <w:t xml:space="preserve"> (OLS) regression model </w:t>
      </w:r>
      <w:r w:rsidR="005C64DE" w:rsidRPr="007F30FE">
        <w:rPr>
          <w:szCs w:val="24"/>
          <w:lang w:eastAsia="en-US"/>
        </w:rPr>
        <w:t>was</w:t>
      </w:r>
      <w:r w:rsidRPr="007F30FE">
        <w:rPr>
          <w:szCs w:val="24"/>
          <w:lang w:eastAsia="en-US"/>
        </w:rPr>
        <w:t xml:space="preserve"> </w:t>
      </w:r>
      <w:r w:rsidR="00BF1E76" w:rsidRPr="007F30FE">
        <w:rPr>
          <w:szCs w:val="24"/>
          <w:lang w:eastAsia="en-US"/>
        </w:rPr>
        <w:t>provided to</w:t>
      </w:r>
      <w:r w:rsidRPr="007F30FE">
        <w:rPr>
          <w:szCs w:val="24"/>
          <w:lang w:eastAsia="en-US"/>
        </w:rPr>
        <w:t xml:space="preserve"> indicate the relationship between corporate governance and earnings management in China and U.S.</w:t>
      </w:r>
      <w:r w:rsidRPr="007F30FE">
        <w:rPr>
          <w:color w:val="FF0000"/>
          <w:szCs w:val="24"/>
          <w:lang w:eastAsia="en-US"/>
        </w:rPr>
        <w:t xml:space="preserve"> </w:t>
      </w:r>
      <w:r w:rsidR="00BF1E76" w:rsidRPr="007F30FE">
        <w:rPr>
          <w:color w:val="FF0000"/>
          <w:szCs w:val="24"/>
          <w:lang w:eastAsia="en-US"/>
        </w:rPr>
        <w:t xml:space="preserve"> </w:t>
      </w:r>
      <w:r w:rsidR="00BF1E76" w:rsidRPr="007F30FE">
        <w:rPr>
          <w:szCs w:val="24"/>
          <w:lang w:eastAsia="en-US"/>
        </w:rPr>
        <w:t>Both board size (</w:t>
      </w:r>
      <w:r w:rsidR="0074334E" w:rsidRPr="007F30FE">
        <w:rPr>
          <w:rFonts w:ascii="Cambria Math" w:hAnsi="Cambria Math" w:cs="Times New Roman"/>
          <w:b/>
          <w:i/>
          <w:szCs w:val="24"/>
        </w:rPr>
        <w:t>BS</w:t>
      </w:r>
      <w:r w:rsidR="0074334E" w:rsidRPr="007F30FE">
        <w:rPr>
          <w:rFonts w:ascii="Cambria Math" w:hAnsi="Cambria Math" w:cs="Times New Roman"/>
          <w:i/>
          <w:szCs w:val="24"/>
          <w:vertAlign w:val="subscript"/>
        </w:rPr>
        <w:t>i,t</w:t>
      </w:r>
      <w:r w:rsidR="00BF1E76" w:rsidRPr="007F30FE">
        <w:rPr>
          <w:szCs w:val="24"/>
          <w:lang w:eastAsia="en-US"/>
        </w:rPr>
        <w:t>) of China and the size of executive directors (</w:t>
      </w:r>
      <w:r w:rsidR="0074334E" w:rsidRPr="007F30FE">
        <w:rPr>
          <w:rFonts w:ascii="Cambria Math" w:hAnsi="Cambria Math" w:cs="Times New Roman"/>
          <w:b/>
          <w:i/>
          <w:szCs w:val="24"/>
        </w:rPr>
        <w:t>EDS</w:t>
      </w:r>
      <w:r w:rsidR="0074334E" w:rsidRPr="007F30FE">
        <w:rPr>
          <w:rFonts w:ascii="Cambria Math" w:hAnsi="Cambria Math" w:cs="Times New Roman"/>
          <w:i/>
          <w:szCs w:val="24"/>
          <w:vertAlign w:val="subscript"/>
        </w:rPr>
        <w:t>i,t</w:t>
      </w:r>
      <w:r w:rsidR="00BF1E76" w:rsidRPr="007F30FE">
        <w:rPr>
          <w:szCs w:val="24"/>
          <w:lang w:eastAsia="en-US"/>
        </w:rPr>
        <w:t>) of U.S. have a negative relationship with earnings management. Similarly, supervisory board size (</w:t>
      </w:r>
      <w:r w:rsidR="00552733" w:rsidRPr="007F30FE">
        <w:rPr>
          <w:rFonts w:ascii="Cambria Math" w:hAnsi="Cambria Math" w:cs="Times New Roman"/>
          <w:b/>
          <w:i/>
          <w:szCs w:val="24"/>
        </w:rPr>
        <w:t>SBS</w:t>
      </w:r>
      <w:r w:rsidR="00552733" w:rsidRPr="007F30FE">
        <w:rPr>
          <w:rFonts w:ascii="Cambria Math" w:hAnsi="Cambria Math" w:cs="Times New Roman"/>
          <w:i/>
          <w:szCs w:val="24"/>
          <w:vertAlign w:val="subscript"/>
        </w:rPr>
        <w:t>i,t</w:t>
      </w:r>
      <w:r w:rsidR="00BF1E76" w:rsidRPr="007F30FE">
        <w:rPr>
          <w:szCs w:val="24"/>
          <w:lang w:eastAsia="en-US"/>
        </w:rPr>
        <w:t xml:space="preserve">) </w:t>
      </w:r>
      <w:r w:rsidR="00F2461E" w:rsidRPr="007F30FE">
        <w:rPr>
          <w:szCs w:val="24"/>
          <w:lang w:eastAsia="en-US"/>
        </w:rPr>
        <w:t>of</w:t>
      </w:r>
      <w:r w:rsidR="00BF1E76" w:rsidRPr="007F30FE">
        <w:rPr>
          <w:szCs w:val="24"/>
          <w:lang w:eastAsia="en-US"/>
        </w:rPr>
        <w:t xml:space="preserve"> China and the size of non-executive directors (</w:t>
      </w:r>
      <w:r w:rsidR="0074334E" w:rsidRPr="007F30FE">
        <w:rPr>
          <w:rFonts w:ascii="Cambria Math" w:hAnsi="Cambria Math" w:cs="Times New Roman"/>
          <w:b/>
          <w:i/>
          <w:szCs w:val="24"/>
        </w:rPr>
        <w:t>NEDS</w:t>
      </w:r>
      <w:r w:rsidR="0074334E" w:rsidRPr="007F30FE">
        <w:rPr>
          <w:rFonts w:ascii="Cambria Math" w:hAnsi="Cambria Math" w:cs="Times New Roman"/>
          <w:i/>
          <w:szCs w:val="24"/>
          <w:vertAlign w:val="subscript"/>
        </w:rPr>
        <w:t>i,t</w:t>
      </w:r>
      <w:r w:rsidR="00BF1E76" w:rsidRPr="007F30FE">
        <w:rPr>
          <w:szCs w:val="24"/>
          <w:lang w:eastAsia="en-US"/>
        </w:rPr>
        <w:t xml:space="preserve">) </w:t>
      </w:r>
      <w:r w:rsidR="00F2461E" w:rsidRPr="007F30FE">
        <w:rPr>
          <w:szCs w:val="24"/>
          <w:lang w:eastAsia="en-US"/>
        </w:rPr>
        <w:t xml:space="preserve">of </w:t>
      </w:r>
      <w:r w:rsidR="00BF1E76" w:rsidRPr="007F30FE">
        <w:rPr>
          <w:szCs w:val="24"/>
          <w:lang w:eastAsia="en-US"/>
        </w:rPr>
        <w:t>U.S. have a negative relationship with earnings management. Especially, CEO as chairman (</w:t>
      </w:r>
      <w:r w:rsidR="0074334E" w:rsidRPr="007F30FE">
        <w:rPr>
          <w:rFonts w:ascii="Cambria Math" w:hAnsi="Cambria Math" w:cs="Times New Roman"/>
          <w:szCs w:val="24"/>
        </w:rPr>
        <w:t>CEO-dummy</w:t>
      </w:r>
      <w:r w:rsidR="0074334E" w:rsidRPr="007F30FE">
        <w:rPr>
          <w:rFonts w:ascii="Cambria Math" w:hAnsi="Cambria Math" w:cs="Times New Roman"/>
          <w:i/>
          <w:szCs w:val="24"/>
          <w:vertAlign w:val="subscript"/>
        </w:rPr>
        <w:t>i,t</w:t>
      </w:r>
      <w:r w:rsidR="00BF1E76" w:rsidRPr="007F30FE">
        <w:rPr>
          <w:szCs w:val="24"/>
          <w:lang w:eastAsia="en-US"/>
        </w:rPr>
        <w:t xml:space="preserve">) of U.S. listed firms has </w:t>
      </w:r>
      <w:r w:rsidR="005E1884" w:rsidRPr="007F30FE">
        <w:rPr>
          <w:szCs w:val="24"/>
          <w:lang w:eastAsia="en-US"/>
        </w:rPr>
        <w:t xml:space="preserve">a </w:t>
      </w:r>
      <w:r w:rsidR="00BF1E76" w:rsidRPr="007F30FE">
        <w:rPr>
          <w:szCs w:val="24"/>
          <w:lang w:eastAsia="en-US"/>
        </w:rPr>
        <w:t>negative association with earnings</w:t>
      </w:r>
      <w:r w:rsidR="004119A0" w:rsidRPr="007F30FE">
        <w:rPr>
          <w:szCs w:val="24"/>
          <w:lang w:eastAsia="en-US"/>
        </w:rPr>
        <w:t xml:space="preserve"> management, while China sample</w:t>
      </w:r>
      <w:r w:rsidR="00BF1E76" w:rsidRPr="007F30FE">
        <w:rPr>
          <w:szCs w:val="24"/>
          <w:lang w:eastAsia="en-US"/>
        </w:rPr>
        <w:t xml:space="preserve"> </w:t>
      </w:r>
      <w:r w:rsidR="004119A0" w:rsidRPr="007F30FE">
        <w:rPr>
          <w:szCs w:val="24"/>
          <w:lang w:eastAsia="en-US"/>
        </w:rPr>
        <w:t xml:space="preserve">firms </w:t>
      </w:r>
      <w:r w:rsidR="00BF1E76" w:rsidRPr="007F30FE">
        <w:rPr>
          <w:szCs w:val="24"/>
          <w:lang w:eastAsia="en-US"/>
        </w:rPr>
        <w:t xml:space="preserve">does not </w:t>
      </w:r>
      <w:r w:rsidR="00F2461E" w:rsidRPr="007F30FE">
        <w:rPr>
          <w:szCs w:val="24"/>
          <w:lang w:eastAsia="en-US"/>
        </w:rPr>
        <w:t>show</w:t>
      </w:r>
      <w:r w:rsidR="005E1884" w:rsidRPr="007F30FE">
        <w:rPr>
          <w:szCs w:val="24"/>
          <w:lang w:eastAsia="en-US"/>
        </w:rPr>
        <w:t xml:space="preserve"> this relation. For control</w:t>
      </w:r>
      <w:r w:rsidR="00BF1E76" w:rsidRPr="007F30FE">
        <w:rPr>
          <w:szCs w:val="24"/>
          <w:lang w:eastAsia="en-US"/>
        </w:rPr>
        <w:t xml:space="preserve"> variable</w:t>
      </w:r>
      <w:r w:rsidR="005E1884" w:rsidRPr="007F30FE">
        <w:rPr>
          <w:szCs w:val="24"/>
          <w:lang w:eastAsia="en-US"/>
        </w:rPr>
        <w:t>s</w:t>
      </w:r>
      <w:r w:rsidR="00BF1E76" w:rsidRPr="007F30FE">
        <w:rPr>
          <w:szCs w:val="24"/>
          <w:lang w:eastAsia="en-US"/>
        </w:rPr>
        <w:t xml:space="preserve">, an opposite result </w:t>
      </w:r>
      <w:r w:rsidR="005E1884" w:rsidRPr="007F30FE">
        <w:rPr>
          <w:szCs w:val="24"/>
          <w:lang w:eastAsia="en-US"/>
        </w:rPr>
        <w:t>of</w:t>
      </w:r>
      <w:r w:rsidR="00BF1E76" w:rsidRPr="007F30FE">
        <w:rPr>
          <w:szCs w:val="24"/>
          <w:lang w:eastAsia="en-US"/>
        </w:rPr>
        <w:t xml:space="preserve"> the relationship between firm size and earnings management comparing China and U.S</w:t>
      </w:r>
      <w:r w:rsidR="005E1884" w:rsidRPr="007F30FE">
        <w:rPr>
          <w:szCs w:val="24"/>
          <w:lang w:eastAsia="en-US"/>
        </w:rPr>
        <w:t xml:space="preserve"> was found. </w:t>
      </w:r>
      <w:r w:rsidR="00761274" w:rsidRPr="007F30FE">
        <w:rPr>
          <w:szCs w:val="24"/>
          <w:lang w:eastAsia="en-US"/>
        </w:rPr>
        <w:t>Firm size has a positive correlation with earnings management under China samples, while a negative relationship was detected under U.S. sample firms.</w:t>
      </w:r>
      <w:r w:rsidR="00761274" w:rsidRPr="007F30FE">
        <w:rPr>
          <w:color w:val="FF0000"/>
          <w:szCs w:val="24"/>
          <w:lang w:eastAsia="en-US"/>
        </w:rPr>
        <w:t xml:space="preserve"> </w:t>
      </w:r>
    </w:p>
    <w:p w:rsidR="00761274" w:rsidRPr="00023B3A" w:rsidRDefault="00F2613C" w:rsidP="00BC6CC0">
      <w:pPr>
        <w:rPr>
          <w:lang w:eastAsia="en-US"/>
        </w:rPr>
      </w:pPr>
      <w:r>
        <w:rPr>
          <w:lang w:eastAsia="en-US"/>
        </w:rPr>
        <w:lastRenderedPageBreak/>
        <w:t xml:space="preserve">Thirdly, Hausman </w:t>
      </w:r>
      <w:r w:rsidR="00761274" w:rsidRPr="00023B3A">
        <w:rPr>
          <w:lang w:eastAsia="en-US"/>
        </w:rPr>
        <w:t>test was a</w:t>
      </w:r>
      <w:r w:rsidR="005E1884" w:rsidRPr="00023B3A">
        <w:rPr>
          <w:lang w:eastAsia="en-US"/>
        </w:rPr>
        <w:t>dopted to identify which effect-</w:t>
      </w:r>
      <w:r w:rsidR="00761274" w:rsidRPr="00023B3A">
        <w:rPr>
          <w:lang w:eastAsia="en-US"/>
        </w:rPr>
        <w:t>fixed or random is appropriate for th</w:t>
      </w:r>
      <w:r w:rsidR="00272D08" w:rsidRPr="00023B3A">
        <w:rPr>
          <w:lang w:eastAsia="en-US"/>
        </w:rPr>
        <w:t>ese</w:t>
      </w:r>
      <w:r w:rsidR="00761274" w:rsidRPr="00023B3A">
        <w:rPr>
          <w:lang w:eastAsia="en-US"/>
        </w:rPr>
        <w:t xml:space="preserve"> panel dataset</w:t>
      </w:r>
      <w:r w:rsidR="00272D08" w:rsidRPr="00023B3A">
        <w:rPr>
          <w:lang w:eastAsia="en-US"/>
        </w:rPr>
        <w:t>s</w:t>
      </w:r>
      <w:r w:rsidR="00761274" w:rsidRPr="00023B3A">
        <w:rPr>
          <w:lang w:eastAsia="en-US"/>
        </w:rPr>
        <w:t xml:space="preserve">. </w:t>
      </w:r>
      <w:r w:rsidR="00272D08" w:rsidRPr="00023B3A">
        <w:rPr>
          <w:lang w:eastAsia="en-US"/>
        </w:rPr>
        <w:t xml:space="preserve">The results of this test indicated that fixed effect model is </w:t>
      </w:r>
      <w:r w:rsidR="005E1884" w:rsidRPr="00023B3A">
        <w:rPr>
          <w:lang w:eastAsia="en-US"/>
        </w:rPr>
        <w:t xml:space="preserve">more </w:t>
      </w:r>
      <w:r w:rsidR="00272D08" w:rsidRPr="00023B3A">
        <w:rPr>
          <w:lang w:eastAsia="en-US"/>
        </w:rPr>
        <w:t>suitable than random effect model</w:t>
      </w:r>
      <w:r w:rsidR="002E4416" w:rsidRPr="00023B3A">
        <w:rPr>
          <w:lang w:eastAsia="en-US"/>
        </w:rPr>
        <w:t xml:space="preserve"> for both China and U.S</w:t>
      </w:r>
      <w:r w:rsidR="00272D08" w:rsidRPr="00023B3A">
        <w:rPr>
          <w:lang w:eastAsia="en-US"/>
        </w:rPr>
        <w:t>.</w:t>
      </w:r>
      <w:r w:rsidR="005E1884" w:rsidRPr="00023B3A">
        <w:rPr>
          <w:lang w:eastAsia="en-US"/>
        </w:rPr>
        <w:t xml:space="preserve"> </w:t>
      </w:r>
      <w:r w:rsidR="002E4416" w:rsidRPr="00023B3A">
        <w:rPr>
          <w:lang w:eastAsia="en-US"/>
        </w:rPr>
        <w:t>datasets.</w:t>
      </w:r>
    </w:p>
    <w:p w:rsidR="00F45698" w:rsidRPr="007F30FE" w:rsidRDefault="00272D08" w:rsidP="00BC6CC0">
      <w:pPr>
        <w:rPr>
          <w:color w:val="FF0000"/>
          <w:szCs w:val="24"/>
        </w:rPr>
      </w:pPr>
      <w:r w:rsidRPr="007F30FE">
        <w:rPr>
          <w:szCs w:val="24"/>
          <w:lang w:eastAsia="en-US"/>
        </w:rPr>
        <w:t xml:space="preserve">Finally, </w:t>
      </w:r>
      <w:r w:rsidR="002E4416" w:rsidRPr="007F30FE">
        <w:rPr>
          <w:szCs w:val="24"/>
          <w:lang w:eastAsia="en-US"/>
        </w:rPr>
        <w:t xml:space="preserve">two-way fixed effect model was established for both China and U.S. samples. </w:t>
      </w:r>
      <w:r w:rsidR="00297CC0" w:rsidRPr="007F30FE">
        <w:rPr>
          <w:szCs w:val="24"/>
          <w:lang w:eastAsia="en-US"/>
        </w:rPr>
        <w:t>Board size (</w:t>
      </w:r>
      <w:r w:rsidR="00713CDA" w:rsidRPr="007F30FE">
        <w:rPr>
          <w:rFonts w:ascii="Cambria Math" w:hAnsi="Cambria Math" w:cs="Times New Roman"/>
          <w:b/>
          <w:i/>
          <w:szCs w:val="24"/>
        </w:rPr>
        <w:t>BS</w:t>
      </w:r>
      <w:r w:rsidR="00713CDA" w:rsidRPr="007F30FE">
        <w:rPr>
          <w:rFonts w:ascii="Cambria Math" w:hAnsi="Cambria Math" w:cs="Times New Roman"/>
          <w:i/>
          <w:szCs w:val="24"/>
          <w:vertAlign w:val="subscript"/>
        </w:rPr>
        <w:t>i,t</w:t>
      </w:r>
      <w:r w:rsidR="00297CC0" w:rsidRPr="007F30FE">
        <w:rPr>
          <w:szCs w:val="24"/>
          <w:lang w:eastAsia="en-US"/>
        </w:rPr>
        <w:t>) of China has a negative relationship between earnings management, while the size of executive directors</w:t>
      </w:r>
      <w:r w:rsidR="004119A0" w:rsidRPr="007F30FE">
        <w:rPr>
          <w:szCs w:val="24"/>
          <w:lang w:eastAsia="en-US"/>
        </w:rPr>
        <w:t xml:space="preserve"> (</w:t>
      </w:r>
      <w:r w:rsidR="004119A0" w:rsidRPr="007F30FE">
        <w:rPr>
          <w:rFonts w:ascii="Cambria Math" w:hAnsi="Cambria Math" w:cs="Times New Roman"/>
          <w:b/>
          <w:i/>
          <w:szCs w:val="24"/>
        </w:rPr>
        <w:t>EDS</w:t>
      </w:r>
      <w:r w:rsidR="004119A0" w:rsidRPr="007F30FE">
        <w:rPr>
          <w:rFonts w:ascii="Cambria Math" w:hAnsi="Cambria Math" w:cs="Times New Roman"/>
          <w:i/>
          <w:szCs w:val="24"/>
          <w:vertAlign w:val="subscript"/>
        </w:rPr>
        <w:t>i,t</w:t>
      </w:r>
      <w:r w:rsidR="00470932" w:rsidRPr="007F30FE">
        <w:rPr>
          <w:szCs w:val="24"/>
          <w:lang w:eastAsia="en-US"/>
        </w:rPr>
        <w:t xml:space="preserve">) </w:t>
      </w:r>
      <w:r w:rsidR="00297CC0" w:rsidRPr="007F30FE">
        <w:rPr>
          <w:szCs w:val="24"/>
          <w:lang w:eastAsia="en-US"/>
        </w:rPr>
        <w:t>in U.S. sample firms does not show a statistical</w:t>
      </w:r>
      <w:r w:rsidR="005241A9" w:rsidRPr="007F30FE">
        <w:rPr>
          <w:szCs w:val="24"/>
          <w:lang w:eastAsia="en-US"/>
        </w:rPr>
        <w:t xml:space="preserve"> </w:t>
      </w:r>
      <w:r w:rsidR="00297CC0" w:rsidRPr="007F30FE">
        <w:rPr>
          <w:szCs w:val="24"/>
          <w:lang w:eastAsia="en-US"/>
        </w:rPr>
        <w:t>correlation with earnings management.</w:t>
      </w:r>
      <w:r w:rsidR="005241A9" w:rsidRPr="007F30FE">
        <w:rPr>
          <w:szCs w:val="24"/>
          <w:lang w:eastAsia="en-US"/>
        </w:rPr>
        <w:t xml:space="preserve"> The size of non-executive directors</w:t>
      </w:r>
      <w:r w:rsidR="004119A0" w:rsidRPr="007F30FE">
        <w:rPr>
          <w:szCs w:val="24"/>
          <w:lang w:eastAsia="en-US"/>
        </w:rPr>
        <w:t xml:space="preserve"> (</w:t>
      </w:r>
      <w:r w:rsidR="004119A0" w:rsidRPr="007F30FE">
        <w:rPr>
          <w:rFonts w:ascii="Cambria Math" w:hAnsi="Cambria Math" w:cs="Times New Roman"/>
          <w:b/>
          <w:i/>
          <w:szCs w:val="24"/>
        </w:rPr>
        <w:t>NEDS</w:t>
      </w:r>
      <w:r w:rsidR="004119A0" w:rsidRPr="007F30FE">
        <w:rPr>
          <w:rFonts w:ascii="Cambria Math" w:hAnsi="Cambria Math" w:cs="Times New Roman"/>
          <w:i/>
          <w:szCs w:val="24"/>
          <w:vertAlign w:val="subscript"/>
        </w:rPr>
        <w:t>i,t</w:t>
      </w:r>
      <w:r w:rsidR="007F30FE">
        <w:rPr>
          <w:szCs w:val="24"/>
          <w:lang w:eastAsia="en-US"/>
        </w:rPr>
        <w:t xml:space="preserve">) </w:t>
      </w:r>
      <w:r w:rsidR="005241A9" w:rsidRPr="007F30FE">
        <w:rPr>
          <w:szCs w:val="24"/>
          <w:lang w:eastAsia="en-US"/>
        </w:rPr>
        <w:t>shows a significant and negative relationship with earnings management in U.S. listed firms. However, no statistical association was detected between supervisory board size</w:t>
      </w:r>
      <w:r w:rsidR="004119A0" w:rsidRPr="007F30FE">
        <w:rPr>
          <w:szCs w:val="24"/>
          <w:lang w:eastAsia="en-US"/>
        </w:rPr>
        <w:t xml:space="preserve"> (</w:t>
      </w:r>
      <w:r w:rsidR="004119A0" w:rsidRPr="007F30FE">
        <w:rPr>
          <w:rFonts w:ascii="Cambria Math" w:hAnsi="Cambria Math" w:cs="Times New Roman"/>
          <w:b/>
          <w:i/>
          <w:szCs w:val="24"/>
        </w:rPr>
        <w:t>SBS</w:t>
      </w:r>
      <w:r w:rsidR="004119A0" w:rsidRPr="007F30FE">
        <w:rPr>
          <w:rFonts w:ascii="Cambria Math" w:hAnsi="Cambria Math" w:cs="Times New Roman"/>
          <w:i/>
          <w:szCs w:val="24"/>
          <w:vertAlign w:val="subscript"/>
        </w:rPr>
        <w:t>i,t</w:t>
      </w:r>
      <w:r w:rsidR="004119A0" w:rsidRPr="007F30FE">
        <w:rPr>
          <w:szCs w:val="24"/>
          <w:lang w:eastAsia="en-US"/>
        </w:rPr>
        <w:t>)</w:t>
      </w:r>
      <w:r w:rsidR="005241A9" w:rsidRPr="007F30FE">
        <w:rPr>
          <w:szCs w:val="24"/>
          <w:lang w:eastAsia="en-US"/>
        </w:rPr>
        <w:t xml:space="preserve"> and earnings management in China samples. Moreover, a negative relationship between block-holder</w:t>
      </w:r>
      <w:r w:rsidR="00B50893">
        <w:rPr>
          <w:szCs w:val="24"/>
          <w:lang w:eastAsia="en-US"/>
        </w:rPr>
        <w:t>s</w:t>
      </w:r>
      <w:r w:rsidR="005241A9" w:rsidRPr="007F30FE">
        <w:rPr>
          <w:szCs w:val="24"/>
          <w:lang w:eastAsia="en-US"/>
        </w:rPr>
        <w:t xml:space="preserve"> ownership and earnings management was observed in U.S. samples, which is not detected in China sample firms. Based on th</w:t>
      </w:r>
      <w:r w:rsidR="00023B3A" w:rsidRPr="007F30FE">
        <w:rPr>
          <w:szCs w:val="24"/>
          <w:lang w:eastAsia="en-US"/>
        </w:rPr>
        <w:t>ese</w:t>
      </w:r>
      <w:r w:rsidR="005241A9" w:rsidRPr="007F30FE">
        <w:rPr>
          <w:szCs w:val="24"/>
          <w:lang w:eastAsia="en-US"/>
        </w:rPr>
        <w:t xml:space="preserve"> discussion</w:t>
      </w:r>
      <w:r w:rsidR="00023B3A" w:rsidRPr="007F30FE">
        <w:rPr>
          <w:szCs w:val="24"/>
          <w:lang w:eastAsia="en-US"/>
        </w:rPr>
        <w:t>s</w:t>
      </w:r>
      <w:r w:rsidR="005241A9" w:rsidRPr="007F30FE">
        <w:rPr>
          <w:szCs w:val="24"/>
          <w:lang w:eastAsia="en-US"/>
        </w:rPr>
        <w:t>, the third alternative hypothesis is accepted that there is a difference in relationship between corporate governance and earnings management comparing China and U.S.</w:t>
      </w:r>
      <w:r w:rsidR="005241A9" w:rsidRPr="007F30FE">
        <w:rPr>
          <w:color w:val="FF0000"/>
          <w:szCs w:val="24"/>
        </w:rPr>
        <w:t xml:space="preserve"> </w:t>
      </w:r>
      <w:r w:rsidR="00F45698" w:rsidRPr="007F30FE">
        <w:rPr>
          <w:szCs w:val="24"/>
        </w:rPr>
        <w:t>On the other hand, it is important to notice that numerous research studies of earnings management</w:t>
      </w:r>
      <w:r w:rsidR="00F45698" w:rsidRPr="007F30FE">
        <w:rPr>
          <w:rFonts w:hint="eastAsia"/>
          <w:szCs w:val="24"/>
        </w:rPr>
        <w:t xml:space="preserve"> </w:t>
      </w:r>
      <w:r w:rsidR="00F45698" w:rsidRPr="007F30FE">
        <w:rPr>
          <w:szCs w:val="24"/>
        </w:rPr>
        <w:t>and corporate governance often suffer from endogeneity problem</w:t>
      </w:r>
      <w:r w:rsidR="00F45698" w:rsidRPr="007F30FE">
        <w:rPr>
          <w:rFonts w:hint="eastAsia"/>
          <w:szCs w:val="24"/>
        </w:rPr>
        <w:t xml:space="preserve"> </w:t>
      </w:r>
      <w:r w:rsidR="00EF1EDC" w:rsidRPr="007F30FE">
        <w:rPr>
          <w:szCs w:val="24"/>
        </w:rPr>
        <w:fldChar w:fldCharType="begin" w:fldLock="1"/>
      </w:r>
      <w:r w:rsidR="00B63E97" w:rsidRPr="007F30FE">
        <w:rPr>
          <w:szCs w:val="24"/>
        </w:rPr>
        <w:instrText>ADDIN CSL_CITATION { "citationItems" : [ { "id" : "ITEM-1", "itemData" : { "DOI" : "10.1111/j.1475-679X.2005.00177.x", "author" : [ { "dropping-particle" : "", "family" : "Karamanou", "given" : "I", "non-dropping-particle" : "", "parse-names" : false, "suffix" : "" }, { "dropping-particle" : "", "family" : "Vafeas", "given" : "N", "non-dropping-particle" : "", "parse-names" : false, "suffix" : "" } ], "container-title" : "Journal of Accounting research", "id" : "ITEM-1", "issue" : "3", "issued" : { "date-parts" : [ [ "2005" ] ] }, "page" : "453-486", "title" : "The association between corporate boards, audit committees, and management earnings forecasts: An empirical analysis", "type" : "article-journal", "volume" : "43" }, "uris" : [ "http://www.mendeley.com/documents/?uuid=759846fc-c968-42a1-b5e0-8a240ffdb073" ] } ], "mendeley" : { "manualFormatting" : "(Karamanou and Vafeas, 2005)", "previouslyFormattedCitation" : "(Karamanou &amp; Vafeas, 2005)" }, "properties" : { "noteIndex" : 0 }, "schema" : "https://github.com/citation-style-language/schema/raw/master/csl-citation.json" }</w:instrText>
      </w:r>
      <w:r w:rsidR="00EF1EDC" w:rsidRPr="007F30FE">
        <w:rPr>
          <w:szCs w:val="24"/>
        </w:rPr>
        <w:fldChar w:fldCharType="separate"/>
      </w:r>
      <w:r w:rsidR="00B63E97" w:rsidRPr="007F30FE">
        <w:rPr>
          <w:szCs w:val="24"/>
        </w:rPr>
        <w:t>(Karamanou and</w:t>
      </w:r>
      <w:r w:rsidR="00470932" w:rsidRPr="007F30FE">
        <w:rPr>
          <w:szCs w:val="24"/>
        </w:rPr>
        <w:t xml:space="preserve"> </w:t>
      </w:r>
      <w:r w:rsidR="00F45698" w:rsidRPr="007F30FE">
        <w:rPr>
          <w:szCs w:val="24"/>
        </w:rPr>
        <w:t>Vafeas, 2005)</w:t>
      </w:r>
      <w:r w:rsidR="00EF1EDC" w:rsidRPr="007F30FE">
        <w:rPr>
          <w:szCs w:val="24"/>
        </w:rPr>
        <w:fldChar w:fldCharType="end"/>
      </w:r>
      <w:r w:rsidR="00F45698" w:rsidRPr="007F30FE">
        <w:rPr>
          <w:szCs w:val="24"/>
        </w:rPr>
        <w:t xml:space="preserve">. To some extent, </w:t>
      </w:r>
      <w:r w:rsidR="00F45698" w:rsidRPr="007F30FE">
        <w:rPr>
          <w:rFonts w:hint="eastAsia"/>
          <w:szCs w:val="24"/>
        </w:rPr>
        <w:t xml:space="preserve">the </w:t>
      </w:r>
      <w:r w:rsidR="00F45698" w:rsidRPr="007F30FE">
        <w:rPr>
          <w:szCs w:val="24"/>
        </w:rPr>
        <w:t>fixed effect model can mitigate unobserved effects, for instance, omitted variables which rise endogeneity</w:t>
      </w:r>
      <w:r w:rsidR="005241A9" w:rsidRPr="007F30FE">
        <w:rPr>
          <w:szCs w:val="24"/>
        </w:rPr>
        <w:t xml:space="preserve"> and </w:t>
      </w:r>
      <w:r w:rsidR="00F45698" w:rsidRPr="007F30FE">
        <w:rPr>
          <w:szCs w:val="24"/>
        </w:rPr>
        <w:t>may reduce the level of this problem.</w:t>
      </w:r>
    </w:p>
    <w:p w:rsidR="00F45698" w:rsidRDefault="00F45698" w:rsidP="00F45698">
      <w:pPr>
        <w:sectPr w:rsidR="00F45698">
          <w:pgSz w:w="12240" w:h="15840"/>
          <w:pgMar w:top="1440" w:right="1800" w:bottom="1440" w:left="1800" w:header="720" w:footer="720" w:gutter="0"/>
          <w:cols w:space="720"/>
          <w:docGrid w:linePitch="360"/>
        </w:sectPr>
      </w:pPr>
    </w:p>
    <w:p w:rsidR="00AF59FD" w:rsidRPr="00627866" w:rsidRDefault="00AF59FD" w:rsidP="00AF59FD">
      <w:pPr>
        <w:pStyle w:val="Caption"/>
        <w:jc w:val="center"/>
        <w:rPr>
          <w:rFonts w:cs="Times New Roman"/>
          <w:szCs w:val="24"/>
        </w:rPr>
      </w:pPr>
      <w:r w:rsidRPr="00497A6F">
        <w:rPr>
          <w:rFonts w:cs="Times New Roman"/>
          <w:szCs w:val="24"/>
        </w:rPr>
        <w:lastRenderedPageBreak/>
        <w:t xml:space="preserve">Table </w:t>
      </w:r>
      <w:r w:rsidR="00EF1EDC">
        <w:rPr>
          <w:rFonts w:cs="Times New Roman"/>
          <w:szCs w:val="24"/>
        </w:rPr>
        <w:fldChar w:fldCharType="begin"/>
      </w:r>
      <w:r>
        <w:rPr>
          <w:rFonts w:cs="Times New Roman"/>
          <w:szCs w:val="24"/>
        </w:rPr>
        <w:instrText xml:space="preserve"> STYLEREF 1 \s </w:instrText>
      </w:r>
      <w:r w:rsidR="00EF1EDC">
        <w:rPr>
          <w:rFonts w:cs="Times New Roman"/>
          <w:szCs w:val="24"/>
        </w:rPr>
        <w:fldChar w:fldCharType="separate"/>
      </w:r>
      <w:r>
        <w:rPr>
          <w:rFonts w:cs="Times New Roman"/>
          <w:noProof/>
          <w:szCs w:val="24"/>
        </w:rPr>
        <w:t>6</w:t>
      </w:r>
      <w:r w:rsidR="00EF1EDC">
        <w:rPr>
          <w:rFonts w:cs="Times New Roman"/>
          <w:szCs w:val="24"/>
        </w:rPr>
        <w:fldChar w:fldCharType="end"/>
      </w:r>
      <w:r>
        <w:rPr>
          <w:rFonts w:cs="Times New Roman"/>
          <w:szCs w:val="24"/>
        </w:rPr>
        <w:t>.</w:t>
      </w:r>
      <w:r w:rsidR="00EF1EDC">
        <w:rPr>
          <w:rFonts w:cs="Times New Roman"/>
          <w:szCs w:val="24"/>
        </w:rPr>
        <w:fldChar w:fldCharType="begin"/>
      </w:r>
      <w:r>
        <w:rPr>
          <w:rFonts w:cs="Times New Roman"/>
          <w:szCs w:val="24"/>
        </w:rPr>
        <w:instrText xml:space="preserve"> SEQ Table \* ARABIC \s 1 </w:instrText>
      </w:r>
      <w:r w:rsidR="00EF1EDC">
        <w:rPr>
          <w:rFonts w:cs="Times New Roman"/>
          <w:szCs w:val="24"/>
        </w:rPr>
        <w:fldChar w:fldCharType="separate"/>
      </w:r>
      <w:r>
        <w:rPr>
          <w:rFonts w:cs="Times New Roman"/>
          <w:noProof/>
          <w:szCs w:val="24"/>
        </w:rPr>
        <w:t>11</w:t>
      </w:r>
      <w:r w:rsidR="00EF1EDC">
        <w:rPr>
          <w:rFonts w:cs="Times New Roman"/>
          <w:szCs w:val="24"/>
        </w:rPr>
        <w:fldChar w:fldCharType="end"/>
      </w:r>
      <w:r w:rsidRPr="00497A6F">
        <w:rPr>
          <w:rFonts w:cs="Times New Roman" w:hint="eastAsia"/>
          <w:szCs w:val="24"/>
        </w:rPr>
        <w:t xml:space="preserve">. </w:t>
      </w:r>
      <w:r>
        <w:rPr>
          <w:rFonts w:cs="Times New Roman"/>
          <w:szCs w:val="24"/>
        </w:rPr>
        <w:t>Two-way f</w:t>
      </w:r>
      <w:r w:rsidRPr="00497A6F">
        <w:rPr>
          <w:rFonts w:cs="Times New Roman"/>
          <w:szCs w:val="24"/>
        </w:rPr>
        <w:t>ixed effect model of China</w:t>
      </w:r>
      <w:r>
        <w:rPr>
          <w:rFonts w:cs="Times New Roman"/>
          <w:szCs w:val="24"/>
        </w:rPr>
        <w:t xml:space="preserve"> and U.S.</w:t>
      </w:r>
    </w:p>
    <w:tbl>
      <w:tblPr>
        <w:tblStyle w:val="TableGrid"/>
        <w:tblpPr w:leftFromText="180" w:rightFromText="180" w:vertAnchor="text" w:horzAnchor="margin" w:tblpXSpec="center" w:tblpY="124"/>
        <w:tblW w:w="0" w:type="auto"/>
        <w:tblLook w:val="04A0"/>
      </w:tblPr>
      <w:tblGrid>
        <w:gridCol w:w="1986"/>
        <w:gridCol w:w="1385"/>
        <w:gridCol w:w="1223"/>
        <w:gridCol w:w="1236"/>
        <w:gridCol w:w="1438"/>
        <w:gridCol w:w="1725"/>
        <w:gridCol w:w="1385"/>
        <w:gridCol w:w="1223"/>
        <w:gridCol w:w="1236"/>
        <w:gridCol w:w="1491"/>
      </w:tblGrid>
      <w:tr w:rsidR="00AF59FD" w:rsidTr="009C7D5B">
        <w:trPr>
          <w:trHeight w:hRule="exact" w:val="432"/>
        </w:trPr>
        <w:tc>
          <w:tcPr>
            <w:tcW w:w="0" w:type="auto"/>
            <w:gridSpan w:val="5"/>
          </w:tcPr>
          <w:p w:rsidR="00AF59FD" w:rsidRPr="00982A51" w:rsidRDefault="00AF59FD" w:rsidP="009C7D5B">
            <w:pPr>
              <w:autoSpaceDE w:val="0"/>
              <w:autoSpaceDN w:val="0"/>
              <w:adjustRightInd w:val="0"/>
              <w:ind w:right="10"/>
              <w:jc w:val="center"/>
              <w:rPr>
                <w:rFonts w:cs="Times New Roman"/>
                <w:b/>
                <w:color w:val="000000"/>
                <w:szCs w:val="24"/>
              </w:rPr>
            </w:pPr>
            <w:r w:rsidRPr="00982A51">
              <w:rPr>
                <w:rFonts w:cs="Times New Roman"/>
                <w:b/>
                <w:color w:val="000000"/>
                <w:szCs w:val="24"/>
              </w:rPr>
              <w:t>China</w:t>
            </w:r>
          </w:p>
        </w:tc>
        <w:tc>
          <w:tcPr>
            <w:tcW w:w="0" w:type="auto"/>
            <w:gridSpan w:val="5"/>
          </w:tcPr>
          <w:p w:rsidR="00AF59FD" w:rsidRPr="00982A51" w:rsidRDefault="00AF59FD" w:rsidP="009C7D5B">
            <w:pPr>
              <w:autoSpaceDE w:val="0"/>
              <w:autoSpaceDN w:val="0"/>
              <w:adjustRightInd w:val="0"/>
              <w:ind w:right="10"/>
              <w:jc w:val="center"/>
              <w:rPr>
                <w:rFonts w:cs="Times New Roman"/>
                <w:b/>
                <w:color w:val="000000"/>
                <w:szCs w:val="24"/>
              </w:rPr>
            </w:pPr>
            <w:r w:rsidRPr="00982A51">
              <w:rPr>
                <w:rFonts w:cs="Times New Roman"/>
                <w:b/>
                <w:color w:val="000000"/>
                <w:szCs w:val="24"/>
              </w:rPr>
              <w:t>U.S</w:t>
            </w:r>
            <w:r>
              <w:rPr>
                <w:rFonts w:cs="Times New Roman"/>
                <w:b/>
                <w:color w:val="000000"/>
                <w:szCs w:val="24"/>
              </w:rPr>
              <w:t>.</w:t>
            </w:r>
          </w:p>
        </w:tc>
      </w:tr>
      <w:tr w:rsidR="00AF59FD" w:rsidTr="009C7D5B">
        <w:trPr>
          <w:trHeight w:hRule="exact" w:val="432"/>
        </w:trPr>
        <w:tc>
          <w:tcPr>
            <w:tcW w:w="0" w:type="auto"/>
          </w:tcPr>
          <w:p w:rsidR="00AF59FD" w:rsidRPr="00663DD8" w:rsidRDefault="00AF59FD" w:rsidP="009C7D5B">
            <w:pPr>
              <w:jc w:val="left"/>
              <w:rPr>
                <w:rFonts w:cs="Times New Roman"/>
              </w:rPr>
            </w:pPr>
            <w:r w:rsidRPr="00663DD8">
              <w:rPr>
                <w:rFonts w:cs="Times New Roman"/>
                <w:color w:val="000000"/>
                <w:sz w:val="18"/>
                <w:szCs w:val="18"/>
              </w:rPr>
              <w:t>Variable</w:t>
            </w:r>
          </w:p>
        </w:tc>
        <w:tc>
          <w:tcPr>
            <w:tcW w:w="0" w:type="auto"/>
          </w:tcPr>
          <w:p w:rsidR="00AF59FD" w:rsidRPr="00663DD8" w:rsidRDefault="00AF59FD" w:rsidP="009C7D5B">
            <w:pPr>
              <w:autoSpaceDE w:val="0"/>
              <w:autoSpaceDN w:val="0"/>
              <w:adjustRightInd w:val="0"/>
              <w:ind w:right="10"/>
              <w:jc w:val="center"/>
              <w:rPr>
                <w:rFonts w:cs="Times New Roman"/>
                <w:color w:val="000000"/>
                <w:sz w:val="18"/>
                <w:szCs w:val="18"/>
              </w:rPr>
            </w:pPr>
            <w:r w:rsidRPr="00663DD8">
              <w:rPr>
                <w:rFonts w:cs="Times New Roman"/>
                <w:color w:val="000000"/>
                <w:sz w:val="18"/>
                <w:szCs w:val="18"/>
              </w:rPr>
              <w:t>Coefficient</w:t>
            </w:r>
          </w:p>
        </w:tc>
        <w:tc>
          <w:tcPr>
            <w:tcW w:w="0" w:type="auto"/>
          </w:tcPr>
          <w:p w:rsidR="00AF59FD" w:rsidRPr="00663DD8" w:rsidRDefault="00AF59FD" w:rsidP="009C7D5B">
            <w:pPr>
              <w:autoSpaceDE w:val="0"/>
              <w:autoSpaceDN w:val="0"/>
              <w:adjustRightInd w:val="0"/>
              <w:ind w:right="10"/>
              <w:jc w:val="center"/>
              <w:rPr>
                <w:rFonts w:cs="Times New Roman"/>
                <w:color w:val="000000"/>
                <w:sz w:val="18"/>
                <w:szCs w:val="18"/>
              </w:rPr>
            </w:pPr>
            <w:r w:rsidRPr="00663DD8">
              <w:rPr>
                <w:rFonts w:cs="Times New Roman"/>
                <w:color w:val="000000"/>
                <w:sz w:val="18"/>
                <w:szCs w:val="18"/>
              </w:rPr>
              <w:t>Std. Error</w:t>
            </w:r>
          </w:p>
        </w:tc>
        <w:tc>
          <w:tcPr>
            <w:tcW w:w="0" w:type="auto"/>
          </w:tcPr>
          <w:p w:rsidR="00AF59FD" w:rsidRPr="00663DD8" w:rsidRDefault="00AF59FD" w:rsidP="009C7D5B">
            <w:pPr>
              <w:autoSpaceDE w:val="0"/>
              <w:autoSpaceDN w:val="0"/>
              <w:adjustRightInd w:val="0"/>
              <w:ind w:right="10"/>
              <w:jc w:val="center"/>
              <w:rPr>
                <w:rFonts w:cs="Times New Roman"/>
                <w:color w:val="000000"/>
                <w:sz w:val="18"/>
                <w:szCs w:val="18"/>
              </w:rPr>
            </w:pPr>
            <w:r w:rsidRPr="00663DD8">
              <w:rPr>
                <w:rFonts w:cs="Times New Roman"/>
                <w:color w:val="000000"/>
                <w:sz w:val="18"/>
                <w:szCs w:val="18"/>
              </w:rPr>
              <w:t>t-Statistic</w:t>
            </w:r>
          </w:p>
        </w:tc>
        <w:tc>
          <w:tcPr>
            <w:tcW w:w="0" w:type="auto"/>
          </w:tcPr>
          <w:p w:rsidR="00AF59FD" w:rsidRPr="00663DD8" w:rsidRDefault="00AF59FD" w:rsidP="009C7D5B">
            <w:pPr>
              <w:autoSpaceDE w:val="0"/>
              <w:autoSpaceDN w:val="0"/>
              <w:adjustRightInd w:val="0"/>
              <w:ind w:right="10"/>
              <w:jc w:val="center"/>
              <w:rPr>
                <w:rFonts w:cs="Times New Roman"/>
                <w:color w:val="000000"/>
                <w:sz w:val="18"/>
                <w:szCs w:val="18"/>
              </w:rPr>
            </w:pPr>
            <w:r w:rsidRPr="00663DD8">
              <w:rPr>
                <w:rFonts w:cs="Times New Roman"/>
                <w:color w:val="000000"/>
                <w:sz w:val="18"/>
                <w:szCs w:val="18"/>
              </w:rPr>
              <w:t>Prob.</w:t>
            </w:r>
          </w:p>
        </w:tc>
        <w:tc>
          <w:tcPr>
            <w:tcW w:w="0" w:type="auto"/>
          </w:tcPr>
          <w:p w:rsidR="00AF59FD" w:rsidRPr="00663DD8" w:rsidRDefault="00AF59FD" w:rsidP="009C7D5B">
            <w:pPr>
              <w:jc w:val="left"/>
              <w:rPr>
                <w:rFonts w:cs="Times New Roman"/>
              </w:rPr>
            </w:pPr>
            <w:r w:rsidRPr="00663DD8">
              <w:rPr>
                <w:rFonts w:cs="Times New Roman"/>
                <w:color w:val="000000"/>
                <w:sz w:val="18"/>
                <w:szCs w:val="18"/>
              </w:rPr>
              <w:t>Variable</w:t>
            </w:r>
          </w:p>
        </w:tc>
        <w:tc>
          <w:tcPr>
            <w:tcW w:w="0" w:type="auto"/>
          </w:tcPr>
          <w:p w:rsidR="00AF59FD" w:rsidRPr="00663DD8" w:rsidRDefault="00AF59FD" w:rsidP="009C7D5B">
            <w:pPr>
              <w:autoSpaceDE w:val="0"/>
              <w:autoSpaceDN w:val="0"/>
              <w:adjustRightInd w:val="0"/>
              <w:ind w:right="10"/>
              <w:jc w:val="center"/>
              <w:rPr>
                <w:rFonts w:cs="Times New Roman"/>
                <w:color w:val="000000"/>
                <w:sz w:val="18"/>
                <w:szCs w:val="18"/>
              </w:rPr>
            </w:pPr>
            <w:r w:rsidRPr="00663DD8">
              <w:rPr>
                <w:rFonts w:cs="Times New Roman"/>
                <w:color w:val="000000"/>
                <w:sz w:val="18"/>
                <w:szCs w:val="18"/>
              </w:rPr>
              <w:t>Coefficient</w:t>
            </w:r>
          </w:p>
        </w:tc>
        <w:tc>
          <w:tcPr>
            <w:tcW w:w="0" w:type="auto"/>
          </w:tcPr>
          <w:p w:rsidR="00AF59FD" w:rsidRPr="00663DD8" w:rsidRDefault="00AF59FD" w:rsidP="009C7D5B">
            <w:pPr>
              <w:autoSpaceDE w:val="0"/>
              <w:autoSpaceDN w:val="0"/>
              <w:adjustRightInd w:val="0"/>
              <w:ind w:right="10"/>
              <w:jc w:val="center"/>
              <w:rPr>
                <w:rFonts w:cs="Times New Roman"/>
                <w:color w:val="000000"/>
                <w:sz w:val="18"/>
                <w:szCs w:val="18"/>
              </w:rPr>
            </w:pPr>
            <w:r w:rsidRPr="00663DD8">
              <w:rPr>
                <w:rFonts w:cs="Times New Roman"/>
                <w:color w:val="000000"/>
                <w:sz w:val="18"/>
                <w:szCs w:val="18"/>
              </w:rPr>
              <w:t>Std. Error</w:t>
            </w:r>
          </w:p>
        </w:tc>
        <w:tc>
          <w:tcPr>
            <w:tcW w:w="0" w:type="auto"/>
          </w:tcPr>
          <w:p w:rsidR="00AF59FD" w:rsidRPr="00663DD8" w:rsidRDefault="00AF59FD" w:rsidP="009C7D5B">
            <w:pPr>
              <w:autoSpaceDE w:val="0"/>
              <w:autoSpaceDN w:val="0"/>
              <w:adjustRightInd w:val="0"/>
              <w:ind w:right="10"/>
              <w:jc w:val="center"/>
              <w:rPr>
                <w:rFonts w:cs="Times New Roman"/>
                <w:color w:val="000000"/>
                <w:sz w:val="18"/>
                <w:szCs w:val="18"/>
              </w:rPr>
            </w:pPr>
            <w:r w:rsidRPr="00663DD8">
              <w:rPr>
                <w:rFonts w:cs="Times New Roman"/>
                <w:color w:val="000000"/>
                <w:sz w:val="18"/>
                <w:szCs w:val="18"/>
              </w:rPr>
              <w:t>t-Statistic</w:t>
            </w:r>
          </w:p>
        </w:tc>
        <w:tc>
          <w:tcPr>
            <w:tcW w:w="0" w:type="auto"/>
          </w:tcPr>
          <w:p w:rsidR="00AF59FD" w:rsidRPr="00663DD8" w:rsidRDefault="00AF59FD" w:rsidP="009C7D5B">
            <w:pPr>
              <w:autoSpaceDE w:val="0"/>
              <w:autoSpaceDN w:val="0"/>
              <w:adjustRightInd w:val="0"/>
              <w:ind w:right="10"/>
              <w:jc w:val="center"/>
              <w:rPr>
                <w:rFonts w:cs="Times New Roman"/>
                <w:color w:val="000000"/>
                <w:sz w:val="18"/>
                <w:szCs w:val="18"/>
              </w:rPr>
            </w:pPr>
            <w:r w:rsidRPr="00663DD8">
              <w:rPr>
                <w:rFonts w:cs="Times New Roman"/>
                <w:color w:val="000000"/>
                <w:sz w:val="18"/>
                <w:szCs w:val="18"/>
              </w:rPr>
              <w:t>Prob.</w:t>
            </w:r>
          </w:p>
        </w:tc>
      </w:tr>
      <w:tr w:rsidR="00AF59FD" w:rsidTr="009C7D5B">
        <w:trPr>
          <w:trHeight w:hRule="exact" w:val="432"/>
        </w:trPr>
        <w:tc>
          <w:tcPr>
            <w:tcW w:w="0" w:type="auto"/>
          </w:tcPr>
          <w:p w:rsidR="00AF59FD" w:rsidRPr="00663DD8" w:rsidRDefault="00AF59FD" w:rsidP="009C7D5B">
            <w:pPr>
              <w:rPr>
                <w:rFonts w:cs="Times New Roman"/>
                <w:sz w:val="18"/>
                <w:szCs w:val="18"/>
              </w:rPr>
            </w:pPr>
            <w:r w:rsidRPr="00663DD8">
              <w:rPr>
                <w:rFonts w:cs="Times New Roman"/>
                <w:color w:val="000000"/>
                <w:sz w:val="18"/>
                <w:szCs w:val="18"/>
              </w:rPr>
              <w:t>Constant</w:t>
            </w:r>
          </w:p>
        </w:tc>
        <w:tc>
          <w:tcPr>
            <w:tcW w:w="0" w:type="auto"/>
            <w:vAlign w:val="center"/>
          </w:tcPr>
          <w:p w:rsidR="00AF59FD" w:rsidRPr="009C7D5B" w:rsidRDefault="00AF59FD" w:rsidP="009C7D5B">
            <w:pPr>
              <w:autoSpaceDE w:val="0"/>
              <w:autoSpaceDN w:val="0"/>
              <w:adjustRightInd w:val="0"/>
              <w:spacing w:after="0" w:line="240" w:lineRule="auto"/>
              <w:jc w:val="center"/>
              <w:rPr>
                <w:rFonts w:cs="Times New Roman"/>
                <w:color w:val="000000"/>
                <w:sz w:val="18"/>
                <w:szCs w:val="18"/>
              </w:rPr>
            </w:pPr>
            <w:r w:rsidRPr="009C7D5B">
              <w:rPr>
                <w:rFonts w:cs="Times New Roman"/>
                <w:color w:val="000000"/>
                <w:sz w:val="18"/>
                <w:szCs w:val="18"/>
              </w:rPr>
              <w:t>5.29045</w:t>
            </w:r>
          </w:p>
        </w:tc>
        <w:tc>
          <w:tcPr>
            <w:tcW w:w="0" w:type="auto"/>
            <w:vAlign w:val="center"/>
          </w:tcPr>
          <w:p w:rsidR="00AF59FD" w:rsidRPr="009C7D5B" w:rsidRDefault="00AF59FD" w:rsidP="00D15305">
            <w:pPr>
              <w:autoSpaceDE w:val="0"/>
              <w:autoSpaceDN w:val="0"/>
              <w:adjustRightInd w:val="0"/>
              <w:spacing w:after="0" w:line="240" w:lineRule="auto"/>
              <w:jc w:val="center"/>
              <w:rPr>
                <w:rFonts w:cs="Times New Roman"/>
                <w:color w:val="000000"/>
                <w:sz w:val="18"/>
                <w:szCs w:val="18"/>
              </w:rPr>
            </w:pPr>
            <w:r w:rsidRPr="009C7D5B">
              <w:rPr>
                <w:rFonts w:cs="Times New Roman"/>
                <w:color w:val="000000"/>
                <w:sz w:val="18"/>
                <w:szCs w:val="18"/>
              </w:rPr>
              <w:t>1.437079</w:t>
            </w:r>
          </w:p>
        </w:tc>
        <w:tc>
          <w:tcPr>
            <w:tcW w:w="0" w:type="auto"/>
            <w:vAlign w:val="center"/>
          </w:tcPr>
          <w:p w:rsidR="00AF59FD" w:rsidRPr="009C7D5B" w:rsidRDefault="00AF59FD" w:rsidP="009C7D5B">
            <w:pPr>
              <w:spacing w:after="0" w:line="240" w:lineRule="auto"/>
              <w:jc w:val="center"/>
              <w:rPr>
                <w:rFonts w:cs="Times New Roman"/>
                <w:sz w:val="18"/>
                <w:szCs w:val="18"/>
              </w:rPr>
            </w:pPr>
            <w:r w:rsidRPr="009C7D5B">
              <w:rPr>
                <w:rFonts w:cs="Times New Roman"/>
                <w:color w:val="000000"/>
                <w:sz w:val="18"/>
                <w:szCs w:val="18"/>
              </w:rPr>
              <w:t>3.830196</w:t>
            </w:r>
          </w:p>
        </w:tc>
        <w:tc>
          <w:tcPr>
            <w:tcW w:w="0" w:type="auto"/>
            <w:vAlign w:val="center"/>
          </w:tcPr>
          <w:p w:rsidR="00AF59FD" w:rsidRPr="00EF0D18" w:rsidRDefault="00AF59FD" w:rsidP="009C7D5B">
            <w:pPr>
              <w:spacing w:after="0" w:line="240" w:lineRule="auto"/>
              <w:jc w:val="center"/>
              <w:rPr>
                <w:rFonts w:cs="Times New Roman"/>
                <w:b/>
                <w:sz w:val="20"/>
                <w:szCs w:val="20"/>
              </w:rPr>
            </w:pPr>
            <w:r w:rsidRPr="00EF0D18">
              <w:rPr>
                <w:rFonts w:cs="Times New Roman"/>
                <w:b/>
                <w:color w:val="000000"/>
                <w:sz w:val="20"/>
                <w:szCs w:val="20"/>
              </w:rPr>
              <w:t>0.0001***</w:t>
            </w:r>
          </w:p>
        </w:tc>
        <w:tc>
          <w:tcPr>
            <w:tcW w:w="0" w:type="auto"/>
            <w:vAlign w:val="center"/>
          </w:tcPr>
          <w:p w:rsidR="00AF59FD" w:rsidRPr="009C7D5B" w:rsidRDefault="00AF59FD" w:rsidP="009C7D5B">
            <w:pPr>
              <w:jc w:val="left"/>
              <w:rPr>
                <w:rFonts w:cs="Times New Roman"/>
                <w:sz w:val="18"/>
                <w:szCs w:val="18"/>
              </w:rPr>
            </w:pPr>
            <w:r w:rsidRPr="009C7D5B">
              <w:rPr>
                <w:rFonts w:cs="Times New Roman"/>
                <w:color w:val="000000"/>
                <w:sz w:val="18"/>
                <w:szCs w:val="18"/>
              </w:rPr>
              <w:t>Constant</w:t>
            </w:r>
          </w:p>
        </w:tc>
        <w:tc>
          <w:tcPr>
            <w:tcW w:w="0" w:type="auto"/>
            <w:vAlign w:val="center"/>
          </w:tcPr>
          <w:p w:rsidR="00AF59FD" w:rsidRPr="009C7D5B" w:rsidRDefault="00AF59FD" w:rsidP="009C7D5B">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-0.048285</w:t>
            </w:r>
          </w:p>
        </w:tc>
        <w:tc>
          <w:tcPr>
            <w:tcW w:w="0" w:type="auto"/>
            <w:vAlign w:val="center"/>
          </w:tcPr>
          <w:p w:rsidR="00AF59FD" w:rsidRPr="009C7D5B" w:rsidRDefault="00EF0D18" w:rsidP="00EF0D18">
            <w:pPr>
              <w:autoSpaceDE w:val="0"/>
              <w:autoSpaceDN w:val="0"/>
              <w:adjustRightInd w:val="0"/>
              <w:spacing w:after="0" w:line="240" w:lineRule="auto"/>
              <w:ind w:right="10"/>
              <w:jc w:val="center"/>
              <w:rPr>
                <w:rFonts w:cs="Times New Roman"/>
                <w:color w:val="000000"/>
                <w:sz w:val="18"/>
                <w:szCs w:val="18"/>
              </w:rPr>
            </w:pPr>
            <w:r w:rsidRPr="00EF0D18">
              <w:rPr>
                <w:rFonts w:cs="Times New Roman"/>
                <w:color w:val="000000"/>
                <w:sz w:val="18"/>
                <w:szCs w:val="18"/>
              </w:rPr>
              <w:t>0.030890</w:t>
            </w:r>
          </w:p>
        </w:tc>
        <w:tc>
          <w:tcPr>
            <w:tcW w:w="0" w:type="auto"/>
            <w:vAlign w:val="center"/>
          </w:tcPr>
          <w:p w:rsidR="00AF59FD" w:rsidRPr="009C7D5B" w:rsidRDefault="00EF0D18" w:rsidP="009C7D5B">
            <w:pPr>
              <w:autoSpaceDE w:val="0"/>
              <w:autoSpaceDN w:val="0"/>
              <w:adjustRightInd w:val="0"/>
              <w:spacing w:after="0" w:line="240" w:lineRule="auto"/>
              <w:ind w:right="10"/>
              <w:jc w:val="center"/>
              <w:rPr>
                <w:rFonts w:cs="Times New Roman"/>
                <w:color w:val="000000"/>
                <w:sz w:val="18"/>
                <w:szCs w:val="18"/>
              </w:rPr>
            </w:pPr>
            <w:r>
              <w:rPr>
                <w:rFonts w:cs="Times New Roman"/>
                <w:color w:val="000000"/>
                <w:sz w:val="18"/>
                <w:szCs w:val="18"/>
              </w:rPr>
              <w:t>-</w:t>
            </w:r>
            <w:r w:rsidR="00AF59FD" w:rsidRPr="009C7D5B">
              <w:rPr>
                <w:rFonts w:cs="Times New Roman"/>
                <w:color w:val="000000"/>
                <w:sz w:val="18"/>
                <w:szCs w:val="18"/>
              </w:rPr>
              <w:t>1.563121</w:t>
            </w:r>
          </w:p>
        </w:tc>
        <w:tc>
          <w:tcPr>
            <w:tcW w:w="0" w:type="auto"/>
            <w:vAlign w:val="center"/>
          </w:tcPr>
          <w:p w:rsidR="00AF59FD" w:rsidRPr="00EF0D18" w:rsidRDefault="003E2848" w:rsidP="003E2848">
            <w:pPr>
              <w:autoSpaceDE w:val="0"/>
              <w:autoSpaceDN w:val="0"/>
              <w:adjustRightInd w:val="0"/>
              <w:spacing w:after="0" w:line="240" w:lineRule="auto"/>
              <w:ind w:right="10"/>
              <w:rPr>
                <w:rFonts w:cs="Times New Roman"/>
                <w:b/>
                <w:color w:val="000000"/>
                <w:sz w:val="20"/>
                <w:szCs w:val="20"/>
              </w:rPr>
            </w:pPr>
            <w:r>
              <w:rPr>
                <w:rFonts w:cs="Times New Roman"/>
                <w:b/>
                <w:color w:val="000000"/>
                <w:sz w:val="20"/>
                <w:szCs w:val="20"/>
              </w:rPr>
              <w:t xml:space="preserve">  </w:t>
            </w:r>
            <w:r w:rsidR="00AF59FD" w:rsidRPr="00EF0D18">
              <w:rPr>
                <w:rFonts w:cs="Times New Roman"/>
                <w:b/>
                <w:color w:val="000000"/>
                <w:sz w:val="20"/>
                <w:szCs w:val="20"/>
              </w:rPr>
              <w:t>0.1182</w:t>
            </w:r>
          </w:p>
        </w:tc>
      </w:tr>
      <w:tr w:rsidR="00EF0D18" w:rsidTr="00F61F76">
        <w:trPr>
          <w:trHeight w:hRule="exact" w:val="432"/>
        </w:trPr>
        <w:tc>
          <w:tcPr>
            <w:tcW w:w="0" w:type="auto"/>
            <w:vAlign w:val="center"/>
          </w:tcPr>
          <w:p w:rsidR="00EF0D18" w:rsidRPr="00AD6F97" w:rsidRDefault="00EF0D18" w:rsidP="00713CDA">
            <w:pPr>
              <w:spacing w:line="240" w:lineRule="auto"/>
              <w:rPr>
                <w:rFonts w:ascii="Cambria Math" w:hAnsi="Cambria Math" w:cs="Times New Roman"/>
                <w:b/>
                <w:i/>
                <w:sz w:val="20"/>
                <w:szCs w:val="20"/>
              </w:rPr>
            </w:pPr>
            <w:r w:rsidRPr="00AD6F97">
              <w:rPr>
                <w:rFonts w:ascii="Cambria Math" w:hAnsi="Cambria Math" w:cs="Times New Roman"/>
                <w:b/>
                <w:i/>
                <w:sz w:val="20"/>
                <w:szCs w:val="20"/>
              </w:rPr>
              <w:t>BS</w:t>
            </w:r>
            <w:r w:rsidRPr="00AD6F97">
              <w:rPr>
                <w:rFonts w:ascii="Cambria Math" w:hAnsi="Cambria Math" w:cs="Times New Roman"/>
                <w:i/>
                <w:sz w:val="20"/>
                <w:szCs w:val="20"/>
                <w:vertAlign w:val="subscript"/>
              </w:rPr>
              <w:t>i,t</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-0.051018</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0.027256</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-1.871813</w:t>
            </w:r>
          </w:p>
        </w:tc>
        <w:tc>
          <w:tcPr>
            <w:tcW w:w="0" w:type="auto"/>
            <w:vAlign w:val="center"/>
          </w:tcPr>
          <w:p w:rsidR="00EF0D18" w:rsidRPr="00EF0D18" w:rsidRDefault="00FD2717" w:rsidP="00FD2717">
            <w:pPr>
              <w:autoSpaceDE w:val="0"/>
              <w:autoSpaceDN w:val="0"/>
              <w:adjustRightInd w:val="0"/>
              <w:spacing w:after="0" w:line="240" w:lineRule="auto"/>
              <w:ind w:right="10"/>
              <w:rPr>
                <w:rFonts w:cs="Times New Roman"/>
                <w:b/>
                <w:color w:val="000000"/>
                <w:sz w:val="20"/>
                <w:szCs w:val="20"/>
              </w:rPr>
            </w:pPr>
            <w:r>
              <w:rPr>
                <w:rFonts w:cs="Times New Roman"/>
                <w:b/>
                <w:color w:val="000000"/>
                <w:sz w:val="20"/>
                <w:szCs w:val="20"/>
              </w:rPr>
              <w:t xml:space="preserve">    </w:t>
            </w:r>
            <w:r w:rsidR="00EF0D18" w:rsidRPr="00EF0D18">
              <w:rPr>
                <w:rFonts w:cs="Times New Roman"/>
                <w:b/>
                <w:color w:val="000000"/>
                <w:sz w:val="20"/>
                <w:szCs w:val="20"/>
              </w:rPr>
              <w:t>0.0613*</w:t>
            </w:r>
          </w:p>
        </w:tc>
        <w:tc>
          <w:tcPr>
            <w:tcW w:w="0" w:type="auto"/>
            <w:vAlign w:val="center"/>
          </w:tcPr>
          <w:p w:rsidR="00EF0D18" w:rsidRPr="00AD6F97" w:rsidRDefault="00EF0D18" w:rsidP="00713CDA">
            <w:pPr>
              <w:spacing w:line="240" w:lineRule="auto"/>
              <w:rPr>
                <w:rFonts w:ascii="Cambria Math" w:hAnsi="Cambria Math" w:cs="Times New Roman"/>
                <w:b/>
                <w:sz w:val="20"/>
                <w:szCs w:val="20"/>
              </w:rPr>
            </w:pPr>
            <w:r w:rsidRPr="00136390">
              <w:rPr>
                <w:rFonts w:ascii="Cambria Math" w:hAnsi="Cambria Math" w:cs="Times New Roman"/>
                <w:b/>
                <w:i/>
                <w:sz w:val="20"/>
                <w:szCs w:val="20"/>
              </w:rPr>
              <w:t>EDS</w:t>
            </w:r>
            <w:r w:rsidRPr="00136390">
              <w:rPr>
                <w:rFonts w:ascii="Cambria Math" w:hAnsi="Cambria Math" w:cs="Times New Roman"/>
                <w:i/>
                <w:sz w:val="20"/>
                <w:szCs w:val="20"/>
                <w:vertAlign w:val="subscript"/>
              </w:rPr>
              <w:t>i,t</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-0.000447</w:t>
            </w:r>
          </w:p>
        </w:tc>
        <w:tc>
          <w:tcPr>
            <w:tcW w:w="0" w:type="auto"/>
            <w:vAlign w:val="bottom"/>
          </w:tcPr>
          <w:p w:rsidR="00EF0D18" w:rsidRPr="00EF0D18" w:rsidRDefault="00EF0D18" w:rsidP="00EF0D18">
            <w:pPr>
              <w:autoSpaceDE w:val="0"/>
              <w:autoSpaceDN w:val="0"/>
              <w:adjustRightInd w:val="0"/>
              <w:spacing w:after="0" w:line="240" w:lineRule="auto"/>
              <w:ind w:right="10"/>
              <w:jc w:val="center"/>
              <w:rPr>
                <w:rFonts w:cs="Times New Roman"/>
                <w:color w:val="000000"/>
                <w:sz w:val="18"/>
                <w:szCs w:val="18"/>
              </w:rPr>
            </w:pPr>
            <w:r w:rsidRPr="00EF0D18">
              <w:rPr>
                <w:rFonts w:cs="Times New Roman"/>
                <w:color w:val="000000"/>
                <w:sz w:val="18"/>
                <w:szCs w:val="18"/>
              </w:rPr>
              <w:t>0.001955</w:t>
            </w:r>
          </w:p>
        </w:tc>
        <w:tc>
          <w:tcPr>
            <w:tcW w:w="0" w:type="auto"/>
            <w:vAlign w:val="bottom"/>
          </w:tcPr>
          <w:p w:rsidR="00EF0D18" w:rsidRPr="00EF0D18" w:rsidRDefault="00EF0D18" w:rsidP="00EF0D18">
            <w:pPr>
              <w:autoSpaceDE w:val="0"/>
              <w:autoSpaceDN w:val="0"/>
              <w:adjustRightInd w:val="0"/>
              <w:spacing w:after="0" w:line="240" w:lineRule="auto"/>
              <w:ind w:right="10"/>
              <w:jc w:val="center"/>
              <w:rPr>
                <w:rFonts w:cs="Times New Roman"/>
                <w:color w:val="000000"/>
                <w:sz w:val="18"/>
                <w:szCs w:val="18"/>
              </w:rPr>
            </w:pPr>
            <w:r w:rsidRPr="00EF0D18">
              <w:rPr>
                <w:rFonts w:cs="Times New Roman"/>
                <w:color w:val="000000"/>
                <w:sz w:val="18"/>
                <w:szCs w:val="18"/>
              </w:rPr>
              <w:t>-0.228636</w:t>
            </w:r>
          </w:p>
        </w:tc>
        <w:tc>
          <w:tcPr>
            <w:tcW w:w="0" w:type="auto"/>
            <w:vAlign w:val="center"/>
          </w:tcPr>
          <w:p w:rsidR="00EF0D18" w:rsidRPr="00EF0D18" w:rsidRDefault="003E2848" w:rsidP="003E2848">
            <w:pPr>
              <w:autoSpaceDE w:val="0"/>
              <w:autoSpaceDN w:val="0"/>
              <w:adjustRightInd w:val="0"/>
              <w:spacing w:after="0" w:line="240" w:lineRule="auto"/>
              <w:ind w:right="10"/>
              <w:rPr>
                <w:rFonts w:cs="Times New Roman"/>
                <w:b/>
                <w:color w:val="000000"/>
                <w:sz w:val="20"/>
                <w:szCs w:val="20"/>
              </w:rPr>
            </w:pPr>
            <w:r>
              <w:rPr>
                <w:rFonts w:cs="Times New Roman"/>
                <w:b/>
                <w:color w:val="000000"/>
                <w:sz w:val="20"/>
                <w:szCs w:val="20"/>
              </w:rPr>
              <w:t xml:space="preserve">  </w:t>
            </w:r>
            <w:r w:rsidR="00EF0D18" w:rsidRPr="00EF0D18">
              <w:rPr>
                <w:rFonts w:cs="Times New Roman"/>
                <w:b/>
                <w:color w:val="000000"/>
                <w:sz w:val="20"/>
                <w:szCs w:val="20"/>
              </w:rPr>
              <w:t>0.8192</w:t>
            </w:r>
          </w:p>
        </w:tc>
      </w:tr>
      <w:tr w:rsidR="00EF0D18" w:rsidTr="00F61F76">
        <w:trPr>
          <w:trHeight w:hRule="exact" w:val="432"/>
        </w:trPr>
        <w:tc>
          <w:tcPr>
            <w:tcW w:w="0" w:type="auto"/>
            <w:vAlign w:val="center"/>
          </w:tcPr>
          <w:p w:rsidR="00EF0D18" w:rsidRPr="00AD6F97" w:rsidRDefault="00EF0D18" w:rsidP="00713CDA">
            <w:pPr>
              <w:spacing w:line="240" w:lineRule="auto"/>
              <w:rPr>
                <w:rFonts w:ascii="Cambria Math" w:hAnsi="Cambria Math" w:cs="Times New Roman"/>
                <w:sz w:val="20"/>
                <w:szCs w:val="20"/>
              </w:rPr>
            </w:pPr>
            <w:r w:rsidRPr="00AD6F97">
              <w:rPr>
                <w:rFonts w:ascii="Cambria Math" w:hAnsi="Cambria Math" w:cs="Times New Roman"/>
                <w:sz w:val="20"/>
                <w:szCs w:val="20"/>
              </w:rPr>
              <w:t>BI</w:t>
            </w:r>
            <w:r w:rsidRPr="00AD6F97">
              <w:rPr>
                <w:rFonts w:ascii="Cambria Math" w:hAnsi="Cambria Math" w:cs="Times New Roman"/>
                <w:i/>
                <w:sz w:val="20"/>
                <w:szCs w:val="20"/>
                <w:vertAlign w:val="subscript"/>
              </w:rPr>
              <w:t>i,t</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-0.934015</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0.680686</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-1.372160</w:t>
            </w:r>
          </w:p>
        </w:tc>
        <w:tc>
          <w:tcPr>
            <w:tcW w:w="0" w:type="auto"/>
            <w:vAlign w:val="center"/>
          </w:tcPr>
          <w:p w:rsidR="00EF0D18" w:rsidRPr="00EF0D18" w:rsidRDefault="00FD2717" w:rsidP="00FD2717">
            <w:pPr>
              <w:autoSpaceDE w:val="0"/>
              <w:autoSpaceDN w:val="0"/>
              <w:adjustRightInd w:val="0"/>
              <w:spacing w:after="0" w:line="240" w:lineRule="auto"/>
              <w:ind w:right="10"/>
              <w:rPr>
                <w:rFonts w:cs="Times New Roman"/>
                <w:b/>
                <w:color w:val="000000"/>
                <w:sz w:val="20"/>
                <w:szCs w:val="20"/>
              </w:rPr>
            </w:pPr>
            <w:r>
              <w:rPr>
                <w:rFonts w:cs="Times New Roman"/>
                <w:b/>
                <w:color w:val="000000"/>
                <w:sz w:val="20"/>
                <w:szCs w:val="20"/>
              </w:rPr>
              <w:t xml:space="preserve">    </w:t>
            </w:r>
            <w:r w:rsidR="00EF0D18" w:rsidRPr="00EF0D18">
              <w:rPr>
                <w:rFonts w:cs="Times New Roman"/>
                <w:b/>
                <w:color w:val="000000"/>
                <w:sz w:val="20"/>
                <w:szCs w:val="20"/>
              </w:rPr>
              <w:t>0.1701</w:t>
            </w:r>
          </w:p>
        </w:tc>
        <w:tc>
          <w:tcPr>
            <w:tcW w:w="0" w:type="auto"/>
            <w:vAlign w:val="center"/>
          </w:tcPr>
          <w:p w:rsidR="00EF0D18" w:rsidRPr="00AD6F97" w:rsidRDefault="00EF0D18" w:rsidP="00713CDA">
            <w:pPr>
              <w:spacing w:line="240" w:lineRule="auto"/>
              <w:rPr>
                <w:rFonts w:ascii="Cambria Math" w:hAnsi="Cambria Math" w:cs="Times New Roman"/>
                <w:sz w:val="20"/>
                <w:szCs w:val="20"/>
              </w:rPr>
            </w:pPr>
            <w:r w:rsidRPr="00AD6F97">
              <w:rPr>
                <w:rFonts w:ascii="Cambria Math" w:hAnsi="Cambria Math" w:cs="Times New Roman"/>
                <w:sz w:val="20"/>
                <w:szCs w:val="20"/>
              </w:rPr>
              <w:t>BI</w:t>
            </w:r>
            <w:r w:rsidRPr="00AD6F97">
              <w:rPr>
                <w:rFonts w:ascii="Cambria Math" w:hAnsi="Cambria Math" w:cs="Times New Roman"/>
                <w:i/>
                <w:sz w:val="20"/>
                <w:szCs w:val="20"/>
                <w:vertAlign w:val="subscript"/>
              </w:rPr>
              <w:t>i,t</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-6.39E-05</w:t>
            </w:r>
          </w:p>
        </w:tc>
        <w:tc>
          <w:tcPr>
            <w:tcW w:w="0" w:type="auto"/>
            <w:vAlign w:val="bottom"/>
          </w:tcPr>
          <w:p w:rsidR="00EF0D18" w:rsidRPr="00EF0D18" w:rsidRDefault="00EF0D18" w:rsidP="00EF0D18">
            <w:pPr>
              <w:autoSpaceDE w:val="0"/>
              <w:autoSpaceDN w:val="0"/>
              <w:adjustRightInd w:val="0"/>
              <w:spacing w:after="0" w:line="240" w:lineRule="auto"/>
              <w:ind w:right="10"/>
              <w:jc w:val="center"/>
              <w:rPr>
                <w:rFonts w:cs="Times New Roman"/>
                <w:color w:val="000000"/>
                <w:sz w:val="18"/>
                <w:szCs w:val="18"/>
              </w:rPr>
            </w:pPr>
            <w:r w:rsidRPr="00EF0D18">
              <w:rPr>
                <w:rFonts w:cs="Times New Roman"/>
                <w:color w:val="000000"/>
                <w:sz w:val="18"/>
                <w:szCs w:val="18"/>
              </w:rPr>
              <w:t>0.011430</w:t>
            </w:r>
          </w:p>
        </w:tc>
        <w:tc>
          <w:tcPr>
            <w:tcW w:w="0" w:type="auto"/>
            <w:vAlign w:val="bottom"/>
          </w:tcPr>
          <w:p w:rsidR="00EF0D18" w:rsidRPr="00EF0D18" w:rsidRDefault="00EF0D18" w:rsidP="00EF0D18">
            <w:pPr>
              <w:autoSpaceDE w:val="0"/>
              <w:autoSpaceDN w:val="0"/>
              <w:adjustRightInd w:val="0"/>
              <w:spacing w:after="0" w:line="240" w:lineRule="auto"/>
              <w:ind w:right="10"/>
              <w:jc w:val="center"/>
              <w:rPr>
                <w:rFonts w:cs="Times New Roman"/>
                <w:color w:val="000000"/>
                <w:sz w:val="18"/>
                <w:szCs w:val="18"/>
              </w:rPr>
            </w:pPr>
            <w:r w:rsidRPr="00EF0D18">
              <w:rPr>
                <w:rFonts w:cs="Times New Roman"/>
                <w:color w:val="000000"/>
                <w:sz w:val="18"/>
                <w:szCs w:val="18"/>
              </w:rPr>
              <w:t>-0.005594</w:t>
            </w:r>
          </w:p>
        </w:tc>
        <w:tc>
          <w:tcPr>
            <w:tcW w:w="0" w:type="auto"/>
            <w:vAlign w:val="center"/>
          </w:tcPr>
          <w:p w:rsidR="00EF0D18" w:rsidRPr="00EF0D18" w:rsidRDefault="003E2848" w:rsidP="003E2848">
            <w:pPr>
              <w:autoSpaceDE w:val="0"/>
              <w:autoSpaceDN w:val="0"/>
              <w:adjustRightInd w:val="0"/>
              <w:spacing w:after="0" w:line="240" w:lineRule="auto"/>
              <w:ind w:right="10"/>
              <w:rPr>
                <w:rFonts w:cs="Times New Roman"/>
                <w:b/>
                <w:color w:val="000000"/>
                <w:sz w:val="20"/>
                <w:szCs w:val="20"/>
              </w:rPr>
            </w:pPr>
            <w:r>
              <w:rPr>
                <w:rFonts w:cs="Times New Roman"/>
                <w:b/>
                <w:color w:val="000000"/>
                <w:sz w:val="20"/>
                <w:szCs w:val="20"/>
              </w:rPr>
              <w:t xml:space="preserve">  </w:t>
            </w:r>
            <w:r w:rsidR="00EF0D18" w:rsidRPr="00EF0D18">
              <w:rPr>
                <w:rFonts w:cs="Times New Roman"/>
                <w:b/>
                <w:color w:val="000000"/>
                <w:sz w:val="20"/>
                <w:szCs w:val="20"/>
              </w:rPr>
              <w:t>0.9955</w:t>
            </w:r>
          </w:p>
        </w:tc>
      </w:tr>
      <w:tr w:rsidR="00EF0D18" w:rsidTr="00F61F76">
        <w:trPr>
          <w:trHeight w:hRule="exact" w:val="432"/>
        </w:trPr>
        <w:tc>
          <w:tcPr>
            <w:tcW w:w="0" w:type="auto"/>
            <w:vAlign w:val="center"/>
          </w:tcPr>
          <w:p w:rsidR="00EF0D18" w:rsidRPr="00AD6F97" w:rsidRDefault="00EF0D18" w:rsidP="00713CDA">
            <w:pPr>
              <w:spacing w:line="240" w:lineRule="auto"/>
              <w:rPr>
                <w:rFonts w:ascii="Cambria Math" w:hAnsi="Cambria Math" w:cs="Times New Roman"/>
                <w:sz w:val="20"/>
                <w:szCs w:val="20"/>
              </w:rPr>
            </w:pPr>
            <w:r w:rsidRPr="00AD6F97">
              <w:rPr>
                <w:rFonts w:ascii="Cambria Math" w:hAnsi="Cambria Math" w:cs="Times New Roman"/>
                <w:sz w:val="20"/>
                <w:szCs w:val="20"/>
              </w:rPr>
              <w:t>CEO-dumm</w:t>
            </w:r>
            <w:r>
              <w:rPr>
                <w:rFonts w:ascii="Cambria Math" w:hAnsi="Cambria Math" w:cs="Times New Roman"/>
                <w:sz w:val="20"/>
                <w:szCs w:val="20"/>
              </w:rPr>
              <w:t>y</w:t>
            </w:r>
            <w:r w:rsidRPr="00AD6F97">
              <w:rPr>
                <w:rFonts w:ascii="Cambria Math" w:hAnsi="Cambria Math" w:cs="Times New Roman"/>
                <w:i/>
                <w:sz w:val="20"/>
                <w:szCs w:val="20"/>
                <w:vertAlign w:val="subscript"/>
              </w:rPr>
              <w:t>i,t</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-0.012125</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0.099485</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-0.121874</w:t>
            </w:r>
          </w:p>
        </w:tc>
        <w:tc>
          <w:tcPr>
            <w:tcW w:w="0" w:type="auto"/>
            <w:vAlign w:val="center"/>
          </w:tcPr>
          <w:p w:rsidR="00EF0D18" w:rsidRPr="00EF0D18" w:rsidRDefault="00FD2717" w:rsidP="00FD2717">
            <w:pPr>
              <w:autoSpaceDE w:val="0"/>
              <w:autoSpaceDN w:val="0"/>
              <w:adjustRightInd w:val="0"/>
              <w:spacing w:after="0" w:line="240" w:lineRule="auto"/>
              <w:ind w:right="10"/>
              <w:rPr>
                <w:rFonts w:cs="Times New Roman"/>
                <w:b/>
                <w:color w:val="000000"/>
                <w:sz w:val="20"/>
                <w:szCs w:val="20"/>
              </w:rPr>
            </w:pPr>
            <w:r>
              <w:rPr>
                <w:rFonts w:cs="Times New Roman"/>
                <w:b/>
                <w:color w:val="000000"/>
                <w:sz w:val="20"/>
                <w:szCs w:val="20"/>
              </w:rPr>
              <w:t xml:space="preserve">    </w:t>
            </w:r>
            <w:r w:rsidR="00EF0D18" w:rsidRPr="00EF0D18">
              <w:rPr>
                <w:rFonts w:cs="Times New Roman"/>
                <w:b/>
                <w:color w:val="000000"/>
                <w:sz w:val="20"/>
                <w:szCs w:val="20"/>
              </w:rPr>
              <w:t>0.9030</w:t>
            </w:r>
          </w:p>
        </w:tc>
        <w:tc>
          <w:tcPr>
            <w:tcW w:w="0" w:type="auto"/>
            <w:vAlign w:val="center"/>
          </w:tcPr>
          <w:p w:rsidR="00EF0D18" w:rsidRPr="00AD6F97" w:rsidRDefault="00EF0D18" w:rsidP="00713CDA">
            <w:pPr>
              <w:spacing w:line="240" w:lineRule="auto"/>
              <w:rPr>
                <w:rFonts w:ascii="Cambria Math" w:hAnsi="Cambria Math" w:cs="Times New Roman"/>
                <w:sz w:val="20"/>
                <w:szCs w:val="20"/>
              </w:rPr>
            </w:pPr>
            <w:r w:rsidRPr="00AD6F97">
              <w:rPr>
                <w:rFonts w:ascii="Cambria Math" w:hAnsi="Cambria Math" w:cs="Times New Roman"/>
                <w:sz w:val="20"/>
                <w:szCs w:val="20"/>
              </w:rPr>
              <w:t>CEO-dummy</w:t>
            </w:r>
            <w:r w:rsidRPr="00AD6F97">
              <w:rPr>
                <w:rFonts w:ascii="Cambria Math" w:hAnsi="Cambria Math" w:cs="Times New Roman"/>
                <w:i/>
                <w:sz w:val="20"/>
                <w:szCs w:val="20"/>
                <w:vertAlign w:val="subscript"/>
              </w:rPr>
              <w:t>i,t</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-0.002241</w:t>
            </w:r>
          </w:p>
        </w:tc>
        <w:tc>
          <w:tcPr>
            <w:tcW w:w="0" w:type="auto"/>
            <w:vAlign w:val="bottom"/>
          </w:tcPr>
          <w:p w:rsidR="00EF0D18" w:rsidRPr="00EF0D18" w:rsidRDefault="00EF0D18" w:rsidP="00EF0D18">
            <w:pPr>
              <w:autoSpaceDE w:val="0"/>
              <w:autoSpaceDN w:val="0"/>
              <w:adjustRightInd w:val="0"/>
              <w:spacing w:after="0" w:line="240" w:lineRule="auto"/>
              <w:ind w:right="10"/>
              <w:jc w:val="center"/>
              <w:rPr>
                <w:rFonts w:cs="Times New Roman"/>
                <w:color w:val="000000"/>
                <w:sz w:val="18"/>
                <w:szCs w:val="18"/>
              </w:rPr>
            </w:pPr>
            <w:r w:rsidRPr="00EF0D18">
              <w:rPr>
                <w:rFonts w:cs="Times New Roman"/>
                <w:color w:val="000000"/>
                <w:sz w:val="18"/>
                <w:szCs w:val="18"/>
              </w:rPr>
              <w:t>0.003130</w:t>
            </w:r>
          </w:p>
        </w:tc>
        <w:tc>
          <w:tcPr>
            <w:tcW w:w="0" w:type="auto"/>
            <w:vAlign w:val="bottom"/>
          </w:tcPr>
          <w:p w:rsidR="00EF0D18" w:rsidRPr="00EF0D18" w:rsidRDefault="00EF0D18" w:rsidP="00EF0D18">
            <w:pPr>
              <w:autoSpaceDE w:val="0"/>
              <w:autoSpaceDN w:val="0"/>
              <w:adjustRightInd w:val="0"/>
              <w:spacing w:after="0" w:line="240" w:lineRule="auto"/>
              <w:ind w:right="10"/>
              <w:jc w:val="center"/>
              <w:rPr>
                <w:rFonts w:cs="Times New Roman"/>
                <w:color w:val="000000"/>
                <w:sz w:val="18"/>
                <w:szCs w:val="18"/>
              </w:rPr>
            </w:pPr>
            <w:r w:rsidRPr="00EF0D18">
              <w:rPr>
                <w:rFonts w:cs="Times New Roman"/>
                <w:color w:val="000000"/>
                <w:sz w:val="18"/>
                <w:szCs w:val="18"/>
              </w:rPr>
              <w:t>-0.716062</w:t>
            </w:r>
          </w:p>
        </w:tc>
        <w:tc>
          <w:tcPr>
            <w:tcW w:w="0" w:type="auto"/>
            <w:vAlign w:val="center"/>
          </w:tcPr>
          <w:p w:rsidR="00EF0D18" w:rsidRPr="00EF0D18" w:rsidRDefault="003E2848" w:rsidP="003E2848">
            <w:pPr>
              <w:autoSpaceDE w:val="0"/>
              <w:autoSpaceDN w:val="0"/>
              <w:adjustRightInd w:val="0"/>
              <w:spacing w:after="0" w:line="240" w:lineRule="auto"/>
              <w:ind w:right="10"/>
              <w:rPr>
                <w:rFonts w:cs="Times New Roman"/>
                <w:b/>
                <w:color w:val="000000"/>
                <w:sz w:val="20"/>
                <w:szCs w:val="20"/>
              </w:rPr>
            </w:pPr>
            <w:r>
              <w:rPr>
                <w:rFonts w:cs="Times New Roman"/>
                <w:b/>
                <w:color w:val="000000"/>
                <w:sz w:val="20"/>
                <w:szCs w:val="20"/>
              </w:rPr>
              <w:t xml:space="preserve">  </w:t>
            </w:r>
            <w:r w:rsidR="00EF0D18" w:rsidRPr="00EF0D18">
              <w:rPr>
                <w:rFonts w:cs="Times New Roman"/>
                <w:b/>
                <w:color w:val="000000"/>
                <w:sz w:val="20"/>
                <w:szCs w:val="20"/>
              </w:rPr>
              <w:t>0.4740</w:t>
            </w:r>
          </w:p>
        </w:tc>
      </w:tr>
      <w:tr w:rsidR="00EF0D18" w:rsidTr="00F61F76">
        <w:trPr>
          <w:trHeight w:hRule="exact" w:val="432"/>
        </w:trPr>
        <w:tc>
          <w:tcPr>
            <w:tcW w:w="0" w:type="auto"/>
            <w:vAlign w:val="center"/>
          </w:tcPr>
          <w:p w:rsidR="00EF0D18" w:rsidRPr="00AD6F97" w:rsidRDefault="00EF0D18" w:rsidP="00713CDA">
            <w:pPr>
              <w:spacing w:line="240" w:lineRule="auto"/>
              <w:rPr>
                <w:rFonts w:ascii="Cambria Math" w:hAnsi="Cambria Math" w:cs="Times New Roman"/>
                <w:b/>
                <w:i/>
                <w:sz w:val="20"/>
                <w:szCs w:val="20"/>
              </w:rPr>
            </w:pPr>
            <w:r w:rsidRPr="00AD6F97">
              <w:rPr>
                <w:rFonts w:ascii="Cambria Math" w:hAnsi="Cambria Math" w:cs="Times New Roman"/>
                <w:b/>
                <w:i/>
                <w:sz w:val="20"/>
                <w:szCs w:val="20"/>
              </w:rPr>
              <w:t>SBS</w:t>
            </w:r>
            <w:r w:rsidRPr="00AD6F97">
              <w:rPr>
                <w:rFonts w:ascii="Cambria Math" w:hAnsi="Cambria Math" w:cs="Times New Roman"/>
                <w:i/>
                <w:sz w:val="20"/>
                <w:szCs w:val="20"/>
                <w:vertAlign w:val="subscript"/>
              </w:rPr>
              <w:t>i,t</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-0.036922</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0.051204</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-0.721071</w:t>
            </w:r>
          </w:p>
        </w:tc>
        <w:tc>
          <w:tcPr>
            <w:tcW w:w="0" w:type="auto"/>
            <w:vAlign w:val="center"/>
          </w:tcPr>
          <w:p w:rsidR="00EF0D18" w:rsidRPr="00EF0D18" w:rsidRDefault="00FD2717" w:rsidP="00FD2717">
            <w:pPr>
              <w:autoSpaceDE w:val="0"/>
              <w:autoSpaceDN w:val="0"/>
              <w:adjustRightInd w:val="0"/>
              <w:spacing w:after="0" w:line="240" w:lineRule="auto"/>
              <w:ind w:right="10"/>
              <w:rPr>
                <w:rFonts w:cs="Times New Roman"/>
                <w:b/>
                <w:color w:val="000000"/>
                <w:sz w:val="20"/>
                <w:szCs w:val="20"/>
              </w:rPr>
            </w:pPr>
            <w:r>
              <w:rPr>
                <w:rFonts w:cs="Times New Roman"/>
                <w:b/>
                <w:color w:val="000000"/>
                <w:sz w:val="20"/>
                <w:szCs w:val="20"/>
              </w:rPr>
              <w:t xml:space="preserve">    </w:t>
            </w:r>
            <w:r w:rsidR="00EF0D18" w:rsidRPr="00EF0D18">
              <w:rPr>
                <w:rFonts w:cs="Times New Roman"/>
                <w:b/>
                <w:color w:val="000000"/>
                <w:sz w:val="20"/>
                <w:szCs w:val="20"/>
              </w:rPr>
              <w:t>0.4709</w:t>
            </w:r>
          </w:p>
        </w:tc>
        <w:tc>
          <w:tcPr>
            <w:tcW w:w="0" w:type="auto"/>
            <w:vAlign w:val="center"/>
          </w:tcPr>
          <w:p w:rsidR="00EF0D18" w:rsidRPr="00AD6F97" w:rsidRDefault="00EF0D18" w:rsidP="00713CDA">
            <w:pPr>
              <w:spacing w:line="240" w:lineRule="auto"/>
              <w:rPr>
                <w:rFonts w:ascii="Cambria Math" w:hAnsi="Cambria Math" w:cs="Times New Roman"/>
                <w:b/>
                <w:i/>
                <w:sz w:val="20"/>
                <w:szCs w:val="20"/>
              </w:rPr>
            </w:pPr>
            <w:r w:rsidRPr="00AD6F97">
              <w:rPr>
                <w:rFonts w:ascii="Cambria Math" w:hAnsi="Cambria Math" w:cs="Times New Roman"/>
                <w:b/>
                <w:i/>
                <w:sz w:val="20"/>
                <w:szCs w:val="20"/>
              </w:rPr>
              <w:t>NEDS</w:t>
            </w:r>
            <w:r w:rsidRPr="00AD6F97">
              <w:rPr>
                <w:rFonts w:ascii="Cambria Math" w:hAnsi="Cambria Math" w:cs="Times New Roman"/>
                <w:i/>
                <w:sz w:val="20"/>
                <w:szCs w:val="20"/>
                <w:vertAlign w:val="subscript"/>
              </w:rPr>
              <w:t>i,t</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-0.002373</w:t>
            </w:r>
          </w:p>
        </w:tc>
        <w:tc>
          <w:tcPr>
            <w:tcW w:w="0" w:type="auto"/>
            <w:vAlign w:val="bottom"/>
          </w:tcPr>
          <w:p w:rsidR="00EF0D18" w:rsidRPr="00EF0D18" w:rsidRDefault="00EF0D18" w:rsidP="00EF0D18">
            <w:pPr>
              <w:autoSpaceDE w:val="0"/>
              <w:autoSpaceDN w:val="0"/>
              <w:adjustRightInd w:val="0"/>
              <w:spacing w:after="0" w:line="240" w:lineRule="auto"/>
              <w:ind w:right="10"/>
              <w:jc w:val="center"/>
              <w:rPr>
                <w:rFonts w:cs="Times New Roman"/>
                <w:color w:val="000000"/>
                <w:sz w:val="18"/>
                <w:szCs w:val="18"/>
              </w:rPr>
            </w:pPr>
            <w:r w:rsidRPr="00EF0D18">
              <w:rPr>
                <w:rFonts w:cs="Times New Roman"/>
                <w:color w:val="000000"/>
                <w:sz w:val="18"/>
                <w:szCs w:val="18"/>
              </w:rPr>
              <w:t>0.000672</w:t>
            </w:r>
          </w:p>
        </w:tc>
        <w:tc>
          <w:tcPr>
            <w:tcW w:w="0" w:type="auto"/>
            <w:vAlign w:val="bottom"/>
          </w:tcPr>
          <w:p w:rsidR="00EF0D18" w:rsidRPr="00EF0D18" w:rsidRDefault="00EF0D18" w:rsidP="00EF0D18">
            <w:pPr>
              <w:autoSpaceDE w:val="0"/>
              <w:autoSpaceDN w:val="0"/>
              <w:adjustRightInd w:val="0"/>
              <w:spacing w:after="0" w:line="240" w:lineRule="auto"/>
              <w:ind w:right="10"/>
              <w:jc w:val="center"/>
              <w:rPr>
                <w:rFonts w:cs="Times New Roman"/>
                <w:color w:val="000000"/>
                <w:sz w:val="18"/>
                <w:szCs w:val="18"/>
              </w:rPr>
            </w:pPr>
            <w:r w:rsidRPr="00EF0D18">
              <w:rPr>
                <w:rFonts w:cs="Times New Roman"/>
                <w:color w:val="000000"/>
                <w:sz w:val="18"/>
                <w:szCs w:val="18"/>
              </w:rPr>
              <w:t>-3.532043</w:t>
            </w:r>
          </w:p>
        </w:tc>
        <w:tc>
          <w:tcPr>
            <w:tcW w:w="0" w:type="auto"/>
            <w:vAlign w:val="center"/>
          </w:tcPr>
          <w:p w:rsidR="00EF0D18" w:rsidRPr="00EF0D18" w:rsidRDefault="003E2848" w:rsidP="003E2848">
            <w:pPr>
              <w:autoSpaceDE w:val="0"/>
              <w:autoSpaceDN w:val="0"/>
              <w:adjustRightInd w:val="0"/>
              <w:spacing w:after="0" w:line="240" w:lineRule="auto"/>
              <w:ind w:right="10"/>
              <w:rPr>
                <w:rFonts w:cs="Times New Roman"/>
                <w:b/>
                <w:color w:val="000000"/>
                <w:sz w:val="20"/>
                <w:szCs w:val="20"/>
              </w:rPr>
            </w:pPr>
            <w:r>
              <w:rPr>
                <w:rFonts w:cs="Times New Roman"/>
                <w:b/>
                <w:color w:val="000000"/>
                <w:sz w:val="20"/>
                <w:szCs w:val="20"/>
              </w:rPr>
              <w:t xml:space="preserve">  </w:t>
            </w:r>
            <w:r w:rsidR="00EF0D18" w:rsidRPr="00EF0D18">
              <w:rPr>
                <w:rFonts w:cs="Times New Roman"/>
                <w:b/>
                <w:color w:val="000000"/>
                <w:sz w:val="20"/>
                <w:szCs w:val="20"/>
              </w:rPr>
              <w:t>0.0004***</w:t>
            </w:r>
          </w:p>
        </w:tc>
      </w:tr>
      <w:tr w:rsidR="00EF0D18" w:rsidTr="00F61F76">
        <w:trPr>
          <w:trHeight w:hRule="exact" w:val="432"/>
        </w:trPr>
        <w:tc>
          <w:tcPr>
            <w:tcW w:w="0" w:type="auto"/>
            <w:vAlign w:val="center"/>
          </w:tcPr>
          <w:p w:rsidR="00EF0D18" w:rsidRPr="00AD6F97" w:rsidRDefault="00EF0D18" w:rsidP="00713CDA">
            <w:pPr>
              <w:spacing w:line="240" w:lineRule="auto"/>
              <w:rPr>
                <w:rFonts w:ascii="Cambria Math" w:hAnsi="Cambria Math" w:cs="Times New Roman"/>
                <w:sz w:val="20"/>
                <w:szCs w:val="20"/>
              </w:rPr>
            </w:pPr>
            <w:r w:rsidRPr="00AD6F97">
              <w:rPr>
                <w:rFonts w:ascii="Cambria Math" w:hAnsi="Cambria Math" w:cs="Times New Roman"/>
                <w:sz w:val="20"/>
                <w:szCs w:val="20"/>
              </w:rPr>
              <w:t>Insider</w:t>
            </w:r>
            <w:r w:rsidRPr="00AD6F97">
              <w:rPr>
                <w:rFonts w:ascii="Cambria Math" w:hAnsi="Cambria Math" w:cs="Times New Roman"/>
                <w:i/>
                <w:sz w:val="20"/>
                <w:szCs w:val="20"/>
                <w:vertAlign w:val="subscript"/>
              </w:rPr>
              <w:t>i,t</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-0.000743</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0.280010</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-0.002654</w:t>
            </w:r>
          </w:p>
        </w:tc>
        <w:tc>
          <w:tcPr>
            <w:tcW w:w="0" w:type="auto"/>
            <w:vAlign w:val="center"/>
          </w:tcPr>
          <w:p w:rsidR="00EF0D18" w:rsidRPr="00EF0D18" w:rsidRDefault="00FD2717" w:rsidP="00FD2717">
            <w:pPr>
              <w:autoSpaceDE w:val="0"/>
              <w:autoSpaceDN w:val="0"/>
              <w:adjustRightInd w:val="0"/>
              <w:spacing w:after="0" w:line="240" w:lineRule="auto"/>
              <w:ind w:right="10"/>
              <w:rPr>
                <w:rFonts w:cs="Times New Roman"/>
                <w:b/>
                <w:color w:val="000000"/>
                <w:sz w:val="20"/>
                <w:szCs w:val="20"/>
              </w:rPr>
            </w:pPr>
            <w:r>
              <w:rPr>
                <w:rFonts w:cs="Times New Roman"/>
                <w:b/>
                <w:color w:val="000000"/>
                <w:sz w:val="20"/>
                <w:szCs w:val="20"/>
              </w:rPr>
              <w:t xml:space="preserve">    </w:t>
            </w:r>
            <w:r w:rsidR="00EF0D18" w:rsidRPr="00EF0D18">
              <w:rPr>
                <w:rFonts w:cs="Times New Roman"/>
                <w:b/>
                <w:color w:val="000000"/>
                <w:sz w:val="20"/>
                <w:szCs w:val="20"/>
              </w:rPr>
              <w:t>0.9979</w:t>
            </w:r>
          </w:p>
        </w:tc>
        <w:tc>
          <w:tcPr>
            <w:tcW w:w="0" w:type="auto"/>
            <w:vAlign w:val="center"/>
          </w:tcPr>
          <w:p w:rsidR="00EF0D18" w:rsidRPr="00AD6F97" w:rsidRDefault="00EF0D18" w:rsidP="00713CDA">
            <w:pPr>
              <w:spacing w:line="240" w:lineRule="auto"/>
              <w:rPr>
                <w:rFonts w:ascii="Cambria Math" w:hAnsi="Cambria Math" w:cs="Times New Roman"/>
                <w:sz w:val="20"/>
                <w:szCs w:val="20"/>
              </w:rPr>
            </w:pPr>
            <w:r w:rsidRPr="00AD6F97">
              <w:rPr>
                <w:rFonts w:ascii="Cambria Math" w:hAnsi="Cambria Math" w:cs="Times New Roman"/>
                <w:sz w:val="20"/>
                <w:szCs w:val="20"/>
              </w:rPr>
              <w:t>Insider</w:t>
            </w:r>
            <w:r w:rsidRPr="00AD6F97">
              <w:rPr>
                <w:rFonts w:ascii="Cambria Math" w:hAnsi="Cambria Math" w:cs="Times New Roman"/>
                <w:i/>
                <w:sz w:val="20"/>
                <w:szCs w:val="20"/>
                <w:vertAlign w:val="subscript"/>
              </w:rPr>
              <w:t>i,t</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-0.017290</w:t>
            </w:r>
          </w:p>
        </w:tc>
        <w:tc>
          <w:tcPr>
            <w:tcW w:w="0" w:type="auto"/>
            <w:vAlign w:val="bottom"/>
          </w:tcPr>
          <w:p w:rsidR="00EF0D18" w:rsidRPr="00EF0D18" w:rsidRDefault="00EF0D18" w:rsidP="00EF0D18">
            <w:pPr>
              <w:autoSpaceDE w:val="0"/>
              <w:autoSpaceDN w:val="0"/>
              <w:adjustRightInd w:val="0"/>
              <w:spacing w:after="0" w:line="240" w:lineRule="auto"/>
              <w:ind w:right="10"/>
              <w:jc w:val="center"/>
              <w:rPr>
                <w:rFonts w:cs="Times New Roman"/>
                <w:color w:val="000000"/>
                <w:sz w:val="18"/>
                <w:szCs w:val="18"/>
              </w:rPr>
            </w:pPr>
            <w:r w:rsidRPr="00EF0D18">
              <w:rPr>
                <w:rFonts w:cs="Times New Roman"/>
                <w:color w:val="000000"/>
                <w:sz w:val="18"/>
                <w:szCs w:val="18"/>
              </w:rPr>
              <w:t>0.014973</w:t>
            </w:r>
          </w:p>
        </w:tc>
        <w:tc>
          <w:tcPr>
            <w:tcW w:w="0" w:type="auto"/>
            <w:vAlign w:val="bottom"/>
          </w:tcPr>
          <w:p w:rsidR="00EF0D18" w:rsidRPr="00EF0D18" w:rsidRDefault="00EF0D18" w:rsidP="00EF0D18">
            <w:pPr>
              <w:autoSpaceDE w:val="0"/>
              <w:autoSpaceDN w:val="0"/>
              <w:adjustRightInd w:val="0"/>
              <w:spacing w:after="0" w:line="240" w:lineRule="auto"/>
              <w:ind w:right="10"/>
              <w:jc w:val="center"/>
              <w:rPr>
                <w:rFonts w:cs="Times New Roman"/>
                <w:color w:val="000000"/>
                <w:sz w:val="18"/>
                <w:szCs w:val="18"/>
              </w:rPr>
            </w:pPr>
            <w:r w:rsidRPr="00EF0D18">
              <w:rPr>
                <w:rFonts w:cs="Times New Roman"/>
                <w:color w:val="000000"/>
                <w:sz w:val="18"/>
                <w:szCs w:val="18"/>
              </w:rPr>
              <w:t>-1.154690</w:t>
            </w:r>
          </w:p>
        </w:tc>
        <w:tc>
          <w:tcPr>
            <w:tcW w:w="0" w:type="auto"/>
            <w:vAlign w:val="center"/>
          </w:tcPr>
          <w:p w:rsidR="00EF0D18" w:rsidRPr="00EF0D18" w:rsidRDefault="003E2848" w:rsidP="003E2848">
            <w:pPr>
              <w:autoSpaceDE w:val="0"/>
              <w:autoSpaceDN w:val="0"/>
              <w:adjustRightInd w:val="0"/>
              <w:spacing w:after="0" w:line="240" w:lineRule="auto"/>
              <w:ind w:right="10"/>
              <w:rPr>
                <w:rFonts w:cs="Times New Roman"/>
                <w:b/>
                <w:color w:val="000000"/>
                <w:sz w:val="20"/>
                <w:szCs w:val="20"/>
              </w:rPr>
            </w:pPr>
            <w:r>
              <w:rPr>
                <w:rFonts w:cs="Times New Roman"/>
                <w:b/>
                <w:color w:val="000000"/>
                <w:sz w:val="20"/>
                <w:szCs w:val="20"/>
              </w:rPr>
              <w:t xml:space="preserve">  </w:t>
            </w:r>
            <w:r w:rsidR="00EF0D18" w:rsidRPr="00EF0D18">
              <w:rPr>
                <w:rFonts w:cs="Times New Roman"/>
                <w:b/>
                <w:color w:val="000000"/>
                <w:sz w:val="20"/>
                <w:szCs w:val="20"/>
              </w:rPr>
              <w:t>0.2483</w:t>
            </w:r>
          </w:p>
        </w:tc>
      </w:tr>
      <w:tr w:rsidR="00EF0D18" w:rsidTr="00F61F76">
        <w:trPr>
          <w:trHeight w:hRule="exact" w:val="432"/>
        </w:trPr>
        <w:tc>
          <w:tcPr>
            <w:tcW w:w="0" w:type="auto"/>
            <w:vAlign w:val="center"/>
          </w:tcPr>
          <w:p w:rsidR="00EF0D18" w:rsidRPr="00AD6F97" w:rsidRDefault="00EF0D18" w:rsidP="009F582E">
            <w:pPr>
              <w:spacing w:line="240" w:lineRule="auto"/>
              <w:rPr>
                <w:rFonts w:ascii="Cambria Math" w:hAnsi="Cambria Math" w:cs="Times New Roman"/>
                <w:sz w:val="20"/>
                <w:szCs w:val="20"/>
              </w:rPr>
            </w:pPr>
            <w:r w:rsidRPr="00AD6F97">
              <w:rPr>
                <w:rFonts w:ascii="Cambria Math" w:hAnsi="Cambria Math" w:cs="Times New Roman"/>
                <w:sz w:val="20"/>
                <w:szCs w:val="20"/>
              </w:rPr>
              <w:t>Block-</w:t>
            </w:r>
            <w:r w:rsidR="009F582E">
              <w:rPr>
                <w:rFonts w:ascii="Cambria Math" w:hAnsi="Cambria Math" w:cs="Times New Roman"/>
                <w:sz w:val="20"/>
                <w:szCs w:val="20"/>
              </w:rPr>
              <w:t>h</w:t>
            </w:r>
            <w:r w:rsidRPr="00AD6F97">
              <w:rPr>
                <w:rFonts w:ascii="Cambria Math" w:hAnsi="Cambria Math" w:cs="Times New Roman"/>
                <w:sz w:val="20"/>
                <w:szCs w:val="20"/>
              </w:rPr>
              <w:t>older</w:t>
            </w:r>
            <w:r w:rsidRPr="00AD6F97">
              <w:rPr>
                <w:rFonts w:ascii="Cambria Math" w:hAnsi="Cambria Math" w:cs="Times New Roman"/>
                <w:i/>
                <w:sz w:val="20"/>
                <w:szCs w:val="20"/>
                <w:vertAlign w:val="subscript"/>
              </w:rPr>
              <w:t>i,t</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-0.000777</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0.003860</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-0.201206</w:t>
            </w:r>
          </w:p>
        </w:tc>
        <w:tc>
          <w:tcPr>
            <w:tcW w:w="0" w:type="auto"/>
            <w:vAlign w:val="center"/>
          </w:tcPr>
          <w:p w:rsidR="00EF0D18" w:rsidRPr="00EF0D18" w:rsidRDefault="00FD2717" w:rsidP="00FD2717">
            <w:pPr>
              <w:autoSpaceDE w:val="0"/>
              <w:autoSpaceDN w:val="0"/>
              <w:adjustRightInd w:val="0"/>
              <w:spacing w:after="0" w:line="240" w:lineRule="auto"/>
              <w:ind w:right="10"/>
              <w:rPr>
                <w:rFonts w:cs="Times New Roman"/>
                <w:b/>
                <w:color w:val="000000"/>
                <w:sz w:val="20"/>
                <w:szCs w:val="20"/>
              </w:rPr>
            </w:pPr>
            <w:r>
              <w:rPr>
                <w:rFonts w:cs="Times New Roman"/>
                <w:b/>
                <w:color w:val="000000"/>
                <w:sz w:val="20"/>
                <w:szCs w:val="20"/>
              </w:rPr>
              <w:t xml:space="preserve">    </w:t>
            </w:r>
            <w:r w:rsidR="00EF0D18" w:rsidRPr="00EF0D18">
              <w:rPr>
                <w:rFonts w:cs="Times New Roman"/>
                <w:b/>
                <w:color w:val="000000"/>
                <w:sz w:val="20"/>
                <w:szCs w:val="20"/>
              </w:rPr>
              <w:t>0.8405</w:t>
            </w:r>
          </w:p>
        </w:tc>
        <w:tc>
          <w:tcPr>
            <w:tcW w:w="0" w:type="auto"/>
            <w:vAlign w:val="center"/>
          </w:tcPr>
          <w:p w:rsidR="00EF0D18" w:rsidRPr="00AD6F97" w:rsidRDefault="00EF0D18" w:rsidP="00713CDA">
            <w:pPr>
              <w:spacing w:line="240" w:lineRule="auto"/>
              <w:rPr>
                <w:rFonts w:ascii="Cambria Math" w:hAnsi="Cambria Math" w:cs="Times New Roman"/>
                <w:sz w:val="20"/>
                <w:szCs w:val="20"/>
              </w:rPr>
            </w:pPr>
            <w:r w:rsidRPr="00AD6F97">
              <w:rPr>
                <w:rFonts w:ascii="Cambria Math" w:hAnsi="Cambria Math" w:cs="Times New Roman"/>
                <w:sz w:val="20"/>
                <w:szCs w:val="20"/>
              </w:rPr>
              <w:t>Block-holder</w:t>
            </w:r>
            <w:r w:rsidRPr="00AD6F97">
              <w:rPr>
                <w:rFonts w:ascii="Cambria Math" w:hAnsi="Cambria Math" w:cs="Times New Roman"/>
                <w:i/>
                <w:sz w:val="20"/>
                <w:szCs w:val="20"/>
                <w:vertAlign w:val="subscript"/>
              </w:rPr>
              <w:t>i,t</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-0.019506</w:t>
            </w:r>
          </w:p>
        </w:tc>
        <w:tc>
          <w:tcPr>
            <w:tcW w:w="0" w:type="auto"/>
            <w:vAlign w:val="bottom"/>
          </w:tcPr>
          <w:p w:rsidR="00EF0D18" w:rsidRPr="00EF0D18" w:rsidRDefault="00EF0D18" w:rsidP="00EF0D18">
            <w:pPr>
              <w:autoSpaceDE w:val="0"/>
              <w:autoSpaceDN w:val="0"/>
              <w:adjustRightInd w:val="0"/>
              <w:spacing w:after="0" w:line="240" w:lineRule="auto"/>
              <w:ind w:right="10"/>
              <w:jc w:val="center"/>
              <w:rPr>
                <w:rFonts w:cs="Times New Roman"/>
                <w:color w:val="000000"/>
                <w:sz w:val="18"/>
                <w:szCs w:val="18"/>
              </w:rPr>
            </w:pPr>
            <w:r w:rsidRPr="00EF0D18">
              <w:rPr>
                <w:rFonts w:cs="Times New Roman"/>
                <w:color w:val="000000"/>
                <w:sz w:val="18"/>
                <w:szCs w:val="18"/>
              </w:rPr>
              <w:t>0.008644</w:t>
            </w:r>
          </w:p>
        </w:tc>
        <w:tc>
          <w:tcPr>
            <w:tcW w:w="0" w:type="auto"/>
            <w:vAlign w:val="bottom"/>
          </w:tcPr>
          <w:p w:rsidR="00EF0D18" w:rsidRPr="00EF0D18" w:rsidRDefault="00EF0D18" w:rsidP="00EF0D18">
            <w:pPr>
              <w:autoSpaceDE w:val="0"/>
              <w:autoSpaceDN w:val="0"/>
              <w:adjustRightInd w:val="0"/>
              <w:spacing w:after="0" w:line="240" w:lineRule="auto"/>
              <w:ind w:right="10"/>
              <w:jc w:val="center"/>
              <w:rPr>
                <w:rFonts w:cs="Times New Roman"/>
                <w:color w:val="000000"/>
                <w:sz w:val="18"/>
                <w:szCs w:val="18"/>
              </w:rPr>
            </w:pPr>
            <w:r w:rsidRPr="00EF0D18">
              <w:rPr>
                <w:rFonts w:cs="Times New Roman"/>
                <w:color w:val="000000"/>
                <w:sz w:val="18"/>
                <w:szCs w:val="18"/>
              </w:rPr>
              <w:t>-2.256577</w:t>
            </w:r>
          </w:p>
        </w:tc>
        <w:tc>
          <w:tcPr>
            <w:tcW w:w="0" w:type="auto"/>
            <w:vAlign w:val="center"/>
          </w:tcPr>
          <w:p w:rsidR="00EF0D18" w:rsidRPr="00EF0D18" w:rsidRDefault="003E2848" w:rsidP="003E2848">
            <w:pPr>
              <w:autoSpaceDE w:val="0"/>
              <w:autoSpaceDN w:val="0"/>
              <w:adjustRightInd w:val="0"/>
              <w:spacing w:after="0" w:line="240" w:lineRule="auto"/>
              <w:ind w:right="10"/>
              <w:rPr>
                <w:rFonts w:cs="Times New Roman"/>
                <w:b/>
                <w:color w:val="000000"/>
                <w:sz w:val="20"/>
                <w:szCs w:val="20"/>
              </w:rPr>
            </w:pPr>
            <w:r>
              <w:rPr>
                <w:rFonts w:cs="Times New Roman"/>
                <w:b/>
                <w:color w:val="000000"/>
                <w:sz w:val="20"/>
                <w:szCs w:val="20"/>
              </w:rPr>
              <w:t xml:space="preserve">  </w:t>
            </w:r>
            <w:r w:rsidR="00EF0D18" w:rsidRPr="00EF0D18">
              <w:rPr>
                <w:rFonts w:cs="Times New Roman"/>
                <w:b/>
                <w:color w:val="000000"/>
                <w:sz w:val="20"/>
                <w:szCs w:val="20"/>
              </w:rPr>
              <w:t>0.0241**</w:t>
            </w:r>
          </w:p>
        </w:tc>
      </w:tr>
      <w:tr w:rsidR="00EF0D18" w:rsidTr="00F61F76">
        <w:trPr>
          <w:trHeight w:hRule="exact" w:val="432"/>
        </w:trPr>
        <w:tc>
          <w:tcPr>
            <w:tcW w:w="0" w:type="auto"/>
            <w:vAlign w:val="center"/>
          </w:tcPr>
          <w:p w:rsidR="00EF0D18" w:rsidRPr="00AD6F97" w:rsidRDefault="00EF0D18" w:rsidP="00713CDA">
            <w:pPr>
              <w:spacing w:line="240" w:lineRule="auto"/>
              <w:rPr>
                <w:rFonts w:ascii="Cambria Math" w:hAnsi="Cambria Math" w:cs="Times New Roman"/>
                <w:sz w:val="20"/>
                <w:szCs w:val="20"/>
              </w:rPr>
            </w:pPr>
            <w:r w:rsidRPr="00AD6F97">
              <w:rPr>
                <w:rFonts w:ascii="Cambria Math" w:hAnsi="Cambria Math" w:cs="Times New Roman"/>
                <w:sz w:val="20"/>
                <w:szCs w:val="20"/>
              </w:rPr>
              <w:t>FS</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0.565588</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0.026232</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9.180655</w:t>
            </w:r>
          </w:p>
        </w:tc>
        <w:tc>
          <w:tcPr>
            <w:tcW w:w="0" w:type="auto"/>
            <w:vAlign w:val="center"/>
          </w:tcPr>
          <w:p w:rsidR="00EF0D18" w:rsidRPr="00EF0D18" w:rsidRDefault="00EF0D18" w:rsidP="00713CDA">
            <w:pPr>
              <w:autoSpaceDE w:val="0"/>
              <w:autoSpaceDN w:val="0"/>
              <w:adjustRightInd w:val="0"/>
              <w:spacing w:after="0" w:line="240" w:lineRule="auto"/>
              <w:ind w:right="10"/>
              <w:jc w:val="center"/>
              <w:rPr>
                <w:rFonts w:cs="Times New Roman"/>
                <w:b/>
                <w:color w:val="000000"/>
                <w:sz w:val="20"/>
                <w:szCs w:val="20"/>
              </w:rPr>
            </w:pPr>
            <w:r w:rsidRPr="00EF0D18">
              <w:rPr>
                <w:rFonts w:cs="Times New Roman"/>
                <w:b/>
                <w:color w:val="000000"/>
                <w:sz w:val="20"/>
                <w:szCs w:val="20"/>
              </w:rPr>
              <w:t>0.0000***</w:t>
            </w:r>
          </w:p>
        </w:tc>
        <w:tc>
          <w:tcPr>
            <w:tcW w:w="0" w:type="auto"/>
            <w:vAlign w:val="center"/>
          </w:tcPr>
          <w:p w:rsidR="00EF0D18" w:rsidRPr="00AD6F97" w:rsidRDefault="00EF0D18" w:rsidP="00713CDA">
            <w:pPr>
              <w:spacing w:line="240" w:lineRule="auto"/>
              <w:rPr>
                <w:rFonts w:ascii="Cambria Math" w:hAnsi="Cambria Math" w:cs="Times New Roman"/>
                <w:sz w:val="20"/>
                <w:szCs w:val="20"/>
              </w:rPr>
            </w:pPr>
            <w:r w:rsidRPr="00AD6F97">
              <w:rPr>
                <w:rFonts w:ascii="Cambria Math" w:hAnsi="Cambria Math" w:cs="Times New Roman"/>
                <w:sz w:val="20"/>
                <w:szCs w:val="20"/>
              </w:rPr>
              <w:t>FS</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0.037806</w:t>
            </w:r>
          </w:p>
        </w:tc>
        <w:tc>
          <w:tcPr>
            <w:tcW w:w="0" w:type="auto"/>
            <w:vAlign w:val="bottom"/>
          </w:tcPr>
          <w:p w:rsidR="00EF0D18" w:rsidRPr="00EF0D18" w:rsidRDefault="00EF0D18" w:rsidP="00EF0D18">
            <w:pPr>
              <w:autoSpaceDE w:val="0"/>
              <w:autoSpaceDN w:val="0"/>
              <w:adjustRightInd w:val="0"/>
              <w:spacing w:after="0" w:line="240" w:lineRule="auto"/>
              <w:ind w:right="10"/>
              <w:jc w:val="center"/>
              <w:rPr>
                <w:rFonts w:cs="Times New Roman"/>
                <w:color w:val="000000"/>
                <w:sz w:val="18"/>
                <w:szCs w:val="18"/>
              </w:rPr>
            </w:pPr>
            <w:r w:rsidRPr="00EF0D18">
              <w:rPr>
                <w:rFonts w:cs="Times New Roman"/>
                <w:color w:val="000000"/>
                <w:sz w:val="18"/>
                <w:szCs w:val="18"/>
              </w:rPr>
              <w:t>0.008590</w:t>
            </w:r>
          </w:p>
        </w:tc>
        <w:tc>
          <w:tcPr>
            <w:tcW w:w="0" w:type="auto"/>
            <w:vAlign w:val="bottom"/>
          </w:tcPr>
          <w:p w:rsidR="00EF0D18" w:rsidRPr="00EF0D18" w:rsidRDefault="00EF0D18" w:rsidP="00EF0D18">
            <w:pPr>
              <w:autoSpaceDE w:val="0"/>
              <w:autoSpaceDN w:val="0"/>
              <w:adjustRightInd w:val="0"/>
              <w:spacing w:after="0" w:line="240" w:lineRule="auto"/>
              <w:ind w:right="10"/>
              <w:jc w:val="center"/>
              <w:rPr>
                <w:rFonts w:cs="Times New Roman"/>
                <w:color w:val="000000"/>
                <w:sz w:val="18"/>
                <w:szCs w:val="18"/>
              </w:rPr>
            </w:pPr>
            <w:r w:rsidRPr="00EF0D18">
              <w:rPr>
                <w:rFonts w:cs="Times New Roman"/>
                <w:color w:val="000000"/>
                <w:sz w:val="18"/>
                <w:szCs w:val="18"/>
              </w:rPr>
              <w:t>4.401234</w:t>
            </w:r>
          </w:p>
        </w:tc>
        <w:tc>
          <w:tcPr>
            <w:tcW w:w="0" w:type="auto"/>
            <w:vAlign w:val="center"/>
          </w:tcPr>
          <w:p w:rsidR="00EF0D18" w:rsidRPr="00EF0D18" w:rsidRDefault="003E2848" w:rsidP="003E2848">
            <w:pPr>
              <w:autoSpaceDE w:val="0"/>
              <w:autoSpaceDN w:val="0"/>
              <w:adjustRightInd w:val="0"/>
              <w:spacing w:after="0" w:line="240" w:lineRule="auto"/>
              <w:ind w:right="10"/>
              <w:rPr>
                <w:rFonts w:cs="Times New Roman"/>
                <w:b/>
                <w:color w:val="000000"/>
                <w:sz w:val="20"/>
                <w:szCs w:val="20"/>
              </w:rPr>
            </w:pPr>
            <w:r>
              <w:rPr>
                <w:rFonts w:cs="Times New Roman"/>
                <w:b/>
                <w:color w:val="000000"/>
                <w:sz w:val="20"/>
                <w:szCs w:val="20"/>
              </w:rPr>
              <w:t xml:space="preserve">  </w:t>
            </w:r>
            <w:r w:rsidR="00EF0D18" w:rsidRPr="00EF0D18">
              <w:rPr>
                <w:rFonts w:cs="Times New Roman"/>
                <w:b/>
                <w:color w:val="000000"/>
                <w:sz w:val="20"/>
                <w:szCs w:val="20"/>
              </w:rPr>
              <w:t>0.0000***</w:t>
            </w:r>
          </w:p>
        </w:tc>
      </w:tr>
      <w:tr w:rsidR="00EF0D18" w:rsidTr="00F61F76">
        <w:trPr>
          <w:trHeight w:hRule="exact" w:val="432"/>
        </w:trPr>
        <w:tc>
          <w:tcPr>
            <w:tcW w:w="0" w:type="auto"/>
            <w:vAlign w:val="center"/>
          </w:tcPr>
          <w:p w:rsidR="00EF0D18" w:rsidRPr="00AD6F97" w:rsidRDefault="00EF0D18" w:rsidP="00713CDA">
            <w:pPr>
              <w:spacing w:line="240" w:lineRule="auto"/>
              <w:rPr>
                <w:rFonts w:ascii="Cambria Math" w:hAnsi="Cambria Math" w:cs="Times New Roman"/>
                <w:sz w:val="20"/>
                <w:szCs w:val="20"/>
              </w:rPr>
            </w:pPr>
            <w:r w:rsidRPr="00AD6F97">
              <w:rPr>
                <w:rFonts w:ascii="Cambria Math" w:hAnsi="Cambria Math" w:cs="Times New Roman"/>
                <w:sz w:val="20"/>
                <w:szCs w:val="20"/>
              </w:rPr>
              <w:t>ROE</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0.125365</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0.061606</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4.779010</w:t>
            </w:r>
          </w:p>
        </w:tc>
        <w:tc>
          <w:tcPr>
            <w:tcW w:w="0" w:type="auto"/>
            <w:vAlign w:val="center"/>
          </w:tcPr>
          <w:p w:rsidR="00EF0D18" w:rsidRPr="00EF0D18" w:rsidRDefault="00EF0D18" w:rsidP="00713CDA">
            <w:pPr>
              <w:autoSpaceDE w:val="0"/>
              <w:autoSpaceDN w:val="0"/>
              <w:adjustRightInd w:val="0"/>
              <w:spacing w:after="0" w:line="240" w:lineRule="auto"/>
              <w:ind w:right="10"/>
              <w:jc w:val="center"/>
              <w:rPr>
                <w:rFonts w:cs="Times New Roman"/>
                <w:b/>
                <w:color w:val="000000"/>
                <w:sz w:val="20"/>
                <w:szCs w:val="20"/>
              </w:rPr>
            </w:pPr>
            <w:r w:rsidRPr="00EF0D18">
              <w:rPr>
                <w:rFonts w:cs="Times New Roman"/>
                <w:b/>
                <w:color w:val="000000"/>
                <w:sz w:val="20"/>
                <w:szCs w:val="20"/>
              </w:rPr>
              <w:t>0.0000***</w:t>
            </w:r>
          </w:p>
        </w:tc>
        <w:tc>
          <w:tcPr>
            <w:tcW w:w="0" w:type="auto"/>
            <w:vAlign w:val="center"/>
          </w:tcPr>
          <w:p w:rsidR="00EF0D18" w:rsidRPr="00AD6F97" w:rsidRDefault="00EF0D18" w:rsidP="00713CDA">
            <w:pPr>
              <w:spacing w:line="240" w:lineRule="auto"/>
              <w:rPr>
                <w:rFonts w:ascii="Cambria Math" w:hAnsi="Cambria Math" w:cs="Times New Roman"/>
                <w:sz w:val="20"/>
                <w:szCs w:val="20"/>
              </w:rPr>
            </w:pPr>
            <w:r w:rsidRPr="00AD6F97">
              <w:rPr>
                <w:rFonts w:ascii="Cambria Math" w:hAnsi="Cambria Math" w:cs="Times New Roman"/>
                <w:sz w:val="20"/>
                <w:szCs w:val="20"/>
              </w:rPr>
              <w:t>ROE</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0.004269</w:t>
            </w:r>
          </w:p>
        </w:tc>
        <w:tc>
          <w:tcPr>
            <w:tcW w:w="0" w:type="auto"/>
            <w:vAlign w:val="bottom"/>
          </w:tcPr>
          <w:p w:rsidR="00EF0D18" w:rsidRPr="00EF0D18" w:rsidRDefault="00EF0D18" w:rsidP="00EF0D18">
            <w:pPr>
              <w:autoSpaceDE w:val="0"/>
              <w:autoSpaceDN w:val="0"/>
              <w:adjustRightInd w:val="0"/>
              <w:spacing w:after="0" w:line="240" w:lineRule="auto"/>
              <w:ind w:right="10"/>
              <w:jc w:val="center"/>
              <w:rPr>
                <w:rFonts w:cs="Times New Roman"/>
                <w:color w:val="000000"/>
                <w:sz w:val="18"/>
                <w:szCs w:val="18"/>
              </w:rPr>
            </w:pPr>
            <w:r w:rsidRPr="00EF0D18">
              <w:rPr>
                <w:rFonts w:cs="Times New Roman"/>
                <w:color w:val="000000"/>
                <w:sz w:val="18"/>
                <w:szCs w:val="18"/>
              </w:rPr>
              <w:t>0.001112</w:t>
            </w:r>
          </w:p>
        </w:tc>
        <w:tc>
          <w:tcPr>
            <w:tcW w:w="0" w:type="auto"/>
            <w:vAlign w:val="bottom"/>
          </w:tcPr>
          <w:p w:rsidR="00EF0D18" w:rsidRPr="00EF0D18" w:rsidRDefault="00EF0D18" w:rsidP="00EF0D18">
            <w:pPr>
              <w:autoSpaceDE w:val="0"/>
              <w:autoSpaceDN w:val="0"/>
              <w:adjustRightInd w:val="0"/>
              <w:spacing w:after="0" w:line="240" w:lineRule="auto"/>
              <w:ind w:right="10"/>
              <w:jc w:val="center"/>
              <w:rPr>
                <w:rFonts w:cs="Times New Roman"/>
                <w:color w:val="000000"/>
                <w:sz w:val="18"/>
                <w:szCs w:val="18"/>
              </w:rPr>
            </w:pPr>
            <w:r w:rsidRPr="00EF0D18">
              <w:rPr>
                <w:rFonts w:cs="Times New Roman"/>
                <w:color w:val="000000"/>
                <w:sz w:val="18"/>
                <w:szCs w:val="18"/>
              </w:rPr>
              <w:t>3.837788</w:t>
            </w:r>
          </w:p>
        </w:tc>
        <w:tc>
          <w:tcPr>
            <w:tcW w:w="0" w:type="auto"/>
            <w:vAlign w:val="center"/>
          </w:tcPr>
          <w:p w:rsidR="00EF0D18" w:rsidRPr="00EF0D18" w:rsidRDefault="003E2848" w:rsidP="003E2848">
            <w:pPr>
              <w:autoSpaceDE w:val="0"/>
              <w:autoSpaceDN w:val="0"/>
              <w:adjustRightInd w:val="0"/>
              <w:spacing w:after="0" w:line="240" w:lineRule="auto"/>
              <w:ind w:right="10"/>
              <w:rPr>
                <w:rFonts w:cs="Times New Roman"/>
                <w:b/>
                <w:color w:val="000000"/>
                <w:sz w:val="20"/>
                <w:szCs w:val="20"/>
              </w:rPr>
            </w:pPr>
            <w:r>
              <w:rPr>
                <w:rFonts w:cs="Times New Roman"/>
                <w:b/>
                <w:color w:val="000000"/>
                <w:sz w:val="20"/>
                <w:szCs w:val="20"/>
              </w:rPr>
              <w:t xml:space="preserve">  </w:t>
            </w:r>
            <w:r w:rsidR="00EF0D18" w:rsidRPr="00EF0D18">
              <w:rPr>
                <w:rFonts w:cs="Times New Roman"/>
                <w:b/>
                <w:color w:val="000000"/>
                <w:sz w:val="20"/>
                <w:szCs w:val="20"/>
              </w:rPr>
              <w:t>0.0001***</w:t>
            </w:r>
          </w:p>
        </w:tc>
      </w:tr>
      <w:tr w:rsidR="00EF0D18" w:rsidRPr="00663DD8" w:rsidTr="00F61F76">
        <w:trPr>
          <w:trHeight w:hRule="exact" w:val="432"/>
        </w:trPr>
        <w:tc>
          <w:tcPr>
            <w:tcW w:w="0" w:type="auto"/>
            <w:vAlign w:val="center"/>
          </w:tcPr>
          <w:p w:rsidR="00EF0D18" w:rsidRPr="00AD6F97" w:rsidRDefault="00EF0D18" w:rsidP="00713CDA">
            <w:pPr>
              <w:spacing w:line="240" w:lineRule="auto"/>
              <w:rPr>
                <w:rFonts w:ascii="Cambria Math" w:hAnsi="Cambria Math" w:cs="Times New Roman"/>
                <w:sz w:val="20"/>
                <w:szCs w:val="20"/>
              </w:rPr>
            </w:pPr>
            <w:r w:rsidRPr="00AD6F97">
              <w:rPr>
                <w:rFonts w:ascii="Cambria Math" w:hAnsi="Cambria Math" w:cs="Times New Roman"/>
                <w:sz w:val="20"/>
                <w:szCs w:val="20"/>
              </w:rPr>
              <w:t>Leverage</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-0.079488</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0.036214</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-2.194957</w:t>
            </w:r>
          </w:p>
        </w:tc>
        <w:tc>
          <w:tcPr>
            <w:tcW w:w="0" w:type="auto"/>
            <w:vAlign w:val="center"/>
          </w:tcPr>
          <w:p w:rsidR="00EF0D18" w:rsidRPr="00EF0D18" w:rsidRDefault="00EF0D18" w:rsidP="00713CDA">
            <w:pPr>
              <w:autoSpaceDE w:val="0"/>
              <w:autoSpaceDN w:val="0"/>
              <w:adjustRightInd w:val="0"/>
              <w:spacing w:after="0" w:line="240" w:lineRule="auto"/>
              <w:ind w:right="10"/>
              <w:jc w:val="center"/>
              <w:rPr>
                <w:rFonts w:cs="Times New Roman"/>
                <w:b/>
                <w:color w:val="000000"/>
                <w:sz w:val="20"/>
                <w:szCs w:val="20"/>
              </w:rPr>
            </w:pPr>
            <w:r w:rsidRPr="00EF0D18">
              <w:rPr>
                <w:rFonts w:cs="Times New Roman"/>
                <w:b/>
                <w:color w:val="000000"/>
                <w:sz w:val="20"/>
                <w:szCs w:val="20"/>
              </w:rPr>
              <w:t>0.0282**</w:t>
            </w:r>
          </w:p>
        </w:tc>
        <w:tc>
          <w:tcPr>
            <w:tcW w:w="0" w:type="auto"/>
            <w:vAlign w:val="center"/>
          </w:tcPr>
          <w:p w:rsidR="00EF0D18" w:rsidRPr="00AD6F97" w:rsidRDefault="00EF0D18" w:rsidP="00713CDA">
            <w:pPr>
              <w:spacing w:line="240" w:lineRule="auto"/>
              <w:rPr>
                <w:rFonts w:ascii="Cambria Math" w:hAnsi="Cambria Math" w:cs="Times New Roman"/>
                <w:sz w:val="20"/>
                <w:szCs w:val="20"/>
              </w:rPr>
            </w:pPr>
            <w:r w:rsidRPr="00AD6F97">
              <w:rPr>
                <w:rFonts w:ascii="Cambria Math" w:hAnsi="Cambria Math" w:cs="Times New Roman"/>
                <w:sz w:val="20"/>
                <w:szCs w:val="20"/>
              </w:rPr>
              <w:t>Leverage</w:t>
            </w:r>
            <w:r w:rsidRPr="00AD6F97">
              <w:rPr>
                <w:rFonts w:ascii="Cambria Math" w:hAnsi="Cambria Math" w:cs="Times New Roman"/>
                <w:i/>
                <w:sz w:val="20"/>
                <w:szCs w:val="20"/>
                <w:vertAlign w:val="subscript"/>
              </w:rPr>
              <w:t>i,t</w:t>
            </w:r>
            <w:r w:rsidRPr="00AD6F97">
              <w:rPr>
                <w:rFonts w:ascii="Cambria Math" w:hAnsi="Cambria Math" w:cs="Times New Roman"/>
                <w:sz w:val="20"/>
                <w:szCs w:val="20"/>
              </w:rPr>
              <w:t xml:space="preserve"> (log)</w:t>
            </w:r>
          </w:p>
        </w:tc>
        <w:tc>
          <w:tcPr>
            <w:tcW w:w="0" w:type="auto"/>
            <w:vAlign w:val="center"/>
          </w:tcPr>
          <w:p w:rsidR="00EF0D18" w:rsidRPr="009C7D5B" w:rsidRDefault="00EF0D18" w:rsidP="00713CDA">
            <w:pPr>
              <w:autoSpaceDE w:val="0"/>
              <w:autoSpaceDN w:val="0"/>
              <w:adjustRightInd w:val="0"/>
              <w:spacing w:after="0" w:line="240" w:lineRule="auto"/>
              <w:ind w:right="10"/>
              <w:jc w:val="center"/>
              <w:rPr>
                <w:rFonts w:cs="Times New Roman"/>
                <w:color w:val="000000"/>
                <w:sz w:val="18"/>
                <w:szCs w:val="18"/>
              </w:rPr>
            </w:pPr>
            <w:r w:rsidRPr="009C7D5B">
              <w:rPr>
                <w:rFonts w:cs="Times New Roman"/>
                <w:color w:val="000000"/>
                <w:sz w:val="18"/>
                <w:szCs w:val="18"/>
              </w:rPr>
              <w:t>-0.018209</w:t>
            </w:r>
          </w:p>
        </w:tc>
        <w:tc>
          <w:tcPr>
            <w:tcW w:w="0" w:type="auto"/>
            <w:vAlign w:val="bottom"/>
          </w:tcPr>
          <w:p w:rsidR="00EF0D18" w:rsidRPr="00EF0D18" w:rsidRDefault="00EF0D18" w:rsidP="00EF0D18">
            <w:pPr>
              <w:autoSpaceDE w:val="0"/>
              <w:autoSpaceDN w:val="0"/>
              <w:adjustRightInd w:val="0"/>
              <w:spacing w:after="0" w:line="240" w:lineRule="auto"/>
              <w:ind w:right="10"/>
              <w:jc w:val="center"/>
              <w:rPr>
                <w:rFonts w:cs="Times New Roman"/>
                <w:color w:val="000000"/>
                <w:sz w:val="18"/>
                <w:szCs w:val="18"/>
              </w:rPr>
            </w:pPr>
            <w:r w:rsidRPr="00EF0D18">
              <w:rPr>
                <w:rFonts w:cs="Times New Roman"/>
                <w:color w:val="000000"/>
                <w:sz w:val="18"/>
                <w:szCs w:val="18"/>
              </w:rPr>
              <w:t>0.010098</w:t>
            </w:r>
          </w:p>
        </w:tc>
        <w:tc>
          <w:tcPr>
            <w:tcW w:w="0" w:type="auto"/>
            <w:vAlign w:val="bottom"/>
          </w:tcPr>
          <w:p w:rsidR="00EF0D18" w:rsidRPr="00EF0D18" w:rsidRDefault="00EF0D18" w:rsidP="00EF0D18">
            <w:pPr>
              <w:autoSpaceDE w:val="0"/>
              <w:autoSpaceDN w:val="0"/>
              <w:adjustRightInd w:val="0"/>
              <w:spacing w:after="0" w:line="240" w:lineRule="auto"/>
              <w:ind w:right="10"/>
              <w:jc w:val="center"/>
              <w:rPr>
                <w:rFonts w:cs="Times New Roman"/>
                <w:color w:val="000000"/>
                <w:sz w:val="18"/>
                <w:szCs w:val="18"/>
              </w:rPr>
            </w:pPr>
            <w:r w:rsidRPr="00EF0D18">
              <w:rPr>
                <w:rFonts w:cs="Times New Roman"/>
                <w:color w:val="000000"/>
                <w:sz w:val="18"/>
                <w:szCs w:val="18"/>
              </w:rPr>
              <w:t>-1.803173</w:t>
            </w:r>
          </w:p>
        </w:tc>
        <w:tc>
          <w:tcPr>
            <w:tcW w:w="0" w:type="auto"/>
            <w:vAlign w:val="center"/>
          </w:tcPr>
          <w:p w:rsidR="00EF0D18" w:rsidRPr="00EF0D18" w:rsidRDefault="003E2848" w:rsidP="003E2848">
            <w:pPr>
              <w:autoSpaceDE w:val="0"/>
              <w:autoSpaceDN w:val="0"/>
              <w:adjustRightInd w:val="0"/>
              <w:spacing w:after="0" w:line="240" w:lineRule="auto"/>
              <w:ind w:right="10"/>
              <w:rPr>
                <w:rFonts w:cs="Times New Roman"/>
                <w:b/>
                <w:color w:val="000000"/>
                <w:sz w:val="20"/>
                <w:szCs w:val="20"/>
              </w:rPr>
            </w:pPr>
            <w:r>
              <w:rPr>
                <w:rFonts w:cs="Times New Roman"/>
                <w:b/>
                <w:color w:val="000000"/>
                <w:sz w:val="20"/>
                <w:szCs w:val="20"/>
              </w:rPr>
              <w:t xml:space="preserve">  </w:t>
            </w:r>
            <w:r w:rsidR="00EF0D18" w:rsidRPr="00EF0D18">
              <w:rPr>
                <w:rFonts w:cs="Times New Roman"/>
                <w:b/>
                <w:color w:val="000000"/>
                <w:sz w:val="20"/>
                <w:szCs w:val="20"/>
              </w:rPr>
              <w:t>0.0715*</w:t>
            </w:r>
          </w:p>
        </w:tc>
      </w:tr>
      <w:tr w:rsidR="00AF59FD" w:rsidRPr="00663DD8" w:rsidTr="009C7D5B">
        <w:trPr>
          <w:trHeight w:hRule="exact" w:val="432"/>
        </w:trPr>
        <w:tc>
          <w:tcPr>
            <w:tcW w:w="0" w:type="auto"/>
            <w:vAlign w:val="center"/>
          </w:tcPr>
          <w:p w:rsidR="00AF59FD" w:rsidRPr="00DA0653" w:rsidRDefault="00AF59FD" w:rsidP="009C7D5B">
            <w:pPr>
              <w:rPr>
                <w:rFonts w:cs="Times New Roman"/>
                <w:b/>
                <w:sz w:val="20"/>
                <w:szCs w:val="20"/>
              </w:rPr>
            </w:pPr>
            <w:r w:rsidRPr="00DA0653">
              <w:rPr>
                <w:rFonts w:cs="Times New Roman"/>
                <w:b/>
                <w:sz w:val="20"/>
                <w:szCs w:val="20"/>
              </w:rPr>
              <w:t xml:space="preserve">R-squared </w:t>
            </w:r>
          </w:p>
        </w:tc>
        <w:tc>
          <w:tcPr>
            <w:tcW w:w="0" w:type="auto"/>
            <w:gridSpan w:val="4"/>
            <w:vAlign w:val="center"/>
          </w:tcPr>
          <w:p w:rsidR="00AF59FD" w:rsidRPr="00EF0D18" w:rsidRDefault="00AF59FD" w:rsidP="009C7D5B">
            <w:pPr>
              <w:autoSpaceDE w:val="0"/>
              <w:autoSpaceDN w:val="0"/>
              <w:adjustRightInd w:val="0"/>
              <w:spacing w:after="0" w:line="240" w:lineRule="auto"/>
              <w:ind w:right="10"/>
              <w:jc w:val="center"/>
              <w:rPr>
                <w:rFonts w:cs="Times New Roman"/>
                <w:color w:val="000000"/>
                <w:sz w:val="18"/>
                <w:szCs w:val="18"/>
              </w:rPr>
            </w:pPr>
            <w:r w:rsidRPr="00EF0D18">
              <w:rPr>
                <w:rFonts w:cs="Times New Roman"/>
                <w:color w:val="000000"/>
                <w:sz w:val="18"/>
                <w:szCs w:val="18"/>
              </w:rPr>
              <w:t>0.467573</w:t>
            </w:r>
          </w:p>
        </w:tc>
        <w:tc>
          <w:tcPr>
            <w:tcW w:w="0" w:type="auto"/>
            <w:gridSpan w:val="5"/>
            <w:vAlign w:val="center"/>
          </w:tcPr>
          <w:p w:rsidR="00AF59FD" w:rsidRPr="00EF0D18" w:rsidRDefault="00AF59FD" w:rsidP="009C7D5B">
            <w:pPr>
              <w:autoSpaceDE w:val="0"/>
              <w:autoSpaceDN w:val="0"/>
              <w:adjustRightInd w:val="0"/>
              <w:spacing w:after="0" w:line="240" w:lineRule="auto"/>
              <w:ind w:right="10"/>
              <w:jc w:val="center"/>
              <w:rPr>
                <w:rFonts w:cs="Times New Roman"/>
                <w:color w:val="000000"/>
                <w:sz w:val="18"/>
                <w:szCs w:val="18"/>
              </w:rPr>
            </w:pPr>
            <w:r w:rsidRPr="00EF0D18">
              <w:rPr>
                <w:rFonts w:cs="Times New Roman"/>
                <w:color w:val="000000"/>
                <w:sz w:val="18"/>
                <w:szCs w:val="18"/>
              </w:rPr>
              <w:t>0.500108</w:t>
            </w:r>
          </w:p>
        </w:tc>
      </w:tr>
      <w:tr w:rsidR="00AF59FD" w:rsidRPr="00663DD8" w:rsidTr="009C7D5B">
        <w:trPr>
          <w:trHeight w:hRule="exact" w:val="432"/>
        </w:trPr>
        <w:tc>
          <w:tcPr>
            <w:tcW w:w="0" w:type="auto"/>
            <w:vAlign w:val="center"/>
          </w:tcPr>
          <w:p w:rsidR="00AF59FD" w:rsidRPr="00DA0653" w:rsidRDefault="00AF59FD" w:rsidP="009C7D5B">
            <w:pPr>
              <w:rPr>
                <w:rFonts w:cs="Times New Roman"/>
                <w:b/>
                <w:sz w:val="20"/>
                <w:szCs w:val="20"/>
              </w:rPr>
            </w:pPr>
            <w:r w:rsidRPr="00DA0653">
              <w:rPr>
                <w:rFonts w:cs="Times New Roman"/>
                <w:b/>
                <w:sz w:val="20"/>
                <w:szCs w:val="20"/>
              </w:rPr>
              <w:t xml:space="preserve">Adjusted R -squared </w:t>
            </w:r>
          </w:p>
        </w:tc>
        <w:tc>
          <w:tcPr>
            <w:tcW w:w="0" w:type="auto"/>
            <w:gridSpan w:val="4"/>
            <w:vAlign w:val="center"/>
          </w:tcPr>
          <w:p w:rsidR="00AF59FD" w:rsidRPr="00EF0D18" w:rsidRDefault="00AF59FD" w:rsidP="009C7D5B">
            <w:pPr>
              <w:autoSpaceDE w:val="0"/>
              <w:autoSpaceDN w:val="0"/>
              <w:adjustRightInd w:val="0"/>
              <w:spacing w:after="0" w:line="240" w:lineRule="auto"/>
              <w:ind w:right="10"/>
              <w:jc w:val="center"/>
              <w:rPr>
                <w:rFonts w:cs="Times New Roman"/>
                <w:color w:val="000000"/>
                <w:sz w:val="18"/>
                <w:szCs w:val="18"/>
              </w:rPr>
            </w:pPr>
            <w:r w:rsidRPr="00EF0D18">
              <w:rPr>
                <w:rFonts w:cs="Times New Roman"/>
                <w:color w:val="000000"/>
                <w:sz w:val="18"/>
                <w:szCs w:val="18"/>
              </w:rPr>
              <w:t>0.293805</w:t>
            </w:r>
          </w:p>
        </w:tc>
        <w:tc>
          <w:tcPr>
            <w:tcW w:w="0" w:type="auto"/>
            <w:gridSpan w:val="5"/>
            <w:vAlign w:val="center"/>
          </w:tcPr>
          <w:p w:rsidR="00AF59FD" w:rsidRPr="00EF0D18" w:rsidRDefault="00AF59FD" w:rsidP="009C7D5B">
            <w:pPr>
              <w:autoSpaceDE w:val="0"/>
              <w:autoSpaceDN w:val="0"/>
              <w:adjustRightInd w:val="0"/>
              <w:spacing w:after="0" w:line="240" w:lineRule="auto"/>
              <w:ind w:right="10"/>
              <w:jc w:val="center"/>
              <w:rPr>
                <w:rFonts w:cs="Times New Roman"/>
                <w:color w:val="000000"/>
                <w:sz w:val="18"/>
                <w:szCs w:val="18"/>
              </w:rPr>
            </w:pPr>
            <w:r w:rsidRPr="00EF0D18">
              <w:rPr>
                <w:rFonts w:cs="Times New Roman"/>
                <w:color w:val="000000"/>
                <w:sz w:val="18"/>
                <w:szCs w:val="18"/>
              </w:rPr>
              <w:t>0.336085</w:t>
            </w:r>
          </w:p>
        </w:tc>
      </w:tr>
      <w:tr w:rsidR="00AF59FD" w:rsidRPr="00663DD8" w:rsidTr="009C7D5B">
        <w:trPr>
          <w:trHeight w:hRule="exact" w:val="432"/>
        </w:trPr>
        <w:tc>
          <w:tcPr>
            <w:tcW w:w="0" w:type="auto"/>
            <w:vAlign w:val="center"/>
          </w:tcPr>
          <w:p w:rsidR="00AF59FD" w:rsidRPr="00DA0653" w:rsidRDefault="00AF59FD" w:rsidP="009C7D5B">
            <w:pPr>
              <w:rPr>
                <w:rFonts w:cs="Times New Roman"/>
                <w:b/>
                <w:sz w:val="20"/>
                <w:szCs w:val="20"/>
              </w:rPr>
            </w:pPr>
            <w:r w:rsidRPr="00DA0653">
              <w:rPr>
                <w:rFonts w:cs="Times New Roman"/>
                <w:b/>
                <w:sz w:val="20"/>
                <w:szCs w:val="20"/>
              </w:rPr>
              <w:t>F-Statistic</w:t>
            </w:r>
            <w:r>
              <w:rPr>
                <w:rFonts w:cs="Times New Roman"/>
                <w:b/>
                <w:sz w:val="20"/>
                <w:szCs w:val="20"/>
              </w:rPr>
              <w:t>(p-value )</w:t>
            </w:r>
          </w:p>
        </w:tc>
        <w:tc>
          <w:tcPr>
            <w:tcW w:w="0" w:type="auto"/>
            <w:gridSpan w:val="4"/>
            <w:vAlign w:val="center"/>
          </w:tcPr>
          <w:p w:rsidR="00AF59FD" w:rsidRPr="00EF0D18" w:rsidRDefault="00AF59FD" w:rsidP="009C7D5B">
            <w:pPr>
              <w:jc w:val="center"/>
              <w:rPr>
                <w:rFonts w:cs="Times New Roman"/>
                <w:sz w:val="18"/>
                <w:szCs w:val="18"/>
              </w:rPr>
            </w:pPr>
            <w:r w:rsidRPr="00EF0D18">
              <w:rPr>
                <w:rFonts w:cs="Times New Roman"/>
                <w:color w:val="000000"/>
                <w:sz w:val="18"/>
                <w:szCs w:val="18"/>
              </w:rPr>
              <w:t>2.69(.000***)</w:t>
            </w:r>
          </w:p>
        </w:tc>
        <w:tc>
          <w:tcPr>
            <w:tcW w:w="0" w:type="auto"/>
            <w:gridSpan w:val="5"/>
            <w:vAlign w:val="center"/>
          </w:tcPr>
          <w:p w:rsidR="00AF59FD" w:rsidRPr="00EF0D18" w:rsidRDefault="009C7D5B" w:rsidP="009C7D5B">
            <w:pPr>
              <w:autoSpaceDE w:val="0"/>
              <w:autoSpaceDN w:val="0"/>
              <w:adjustRightInd w:val="0"/>
              <w:spacing w:line="320" w:lineRule="atLeast"/>
              <w:ind w:right="60"/>
              <w:rPr>
                <w:rFonts w:cs="Times New Roman"/>
                <w:sz w:val="18"/>
                <w:szCs w:val="18"/>
              </w:rPr>
            </w:pPr>
            <w:r w:rsidRPr="00EF0D18">
              <w:rPr>
                <w:rFonts w:cs="Times New Roman"/>
                <w:color w:val="000000"/>
                <w:sz w:val="18"/>
                <w:szCs w:val="18"/>
              </w:rPr>
              <w:t xml:space="preserve">                                                        3</w:t>
            </w:r>
            <w:r w:rsidR="00AF59FD" w:rsidRPr="00EF0D18">
              <w:rPr>
                <w:rFonts w:cs="Times New Roman"/>
                <w:color w:val="000000"/>
                <w:sz w:val="18"/>
                <w:szCs w:val="18"/>
              </w:rPr>
              <w:t>.049(.000***)</w:t>
            </w:r>
          </w:p>
        </w:tc>
      </w:tr>
      <w:tr w:rsidR="00AF59FD" w:rsidRPr="00663DD8" w:rsidTr="009C7D5B">
        <w:trPr>
          <w:trHeight w:val="244"/>
        </w:trPr>
        <w:tc>
          <w:tcPr>
            <w:tcW w:w="0" w:type="auto"/>
            <w:gridSpan w:val="10"/>
          </w:tcPr>
          <w:p w:rsidR="00AF59FD" w:rsidRPr="00982A51" w:rsidRDefault="00AF59FD" w:rsidP="009C7D5B">
            <w:pPr>
              <w:spacing w:before="0" w:after="0" w:line="240" w:lineRule="auto"/>
              <w:rPr>
                <w:rFonts w:cs="Times New Roman"/>
                <w:sz w:val="20"/>
                <w:szCs w:val="20"/>
              </w:rPr>
            </w:pPr>
            <w:r w:rsidRPr="00982A51">
              <w:rPr>
                <w:rFonts w:cs="Times New Roman"/>
                <w:sz w:val="20"/>
                <w:szCs w:val="20"/>
              </w:rPr>
              <w:t>*. Correlation is significant at the 0.</w:t>
            </w:r>
            <w:r>
              <w:rPr>
                <w:rFonts w:cs="Times New Roman"/>
                <w:sz w:val="20"/>
                <w:szCs w:val="20"/>
              </w:rPr>
              <w:t xml:space="preserve">1, </w:t>
            </w:r>
            <w:r w:rsidRPr="00982A51">
              <w:rPr>
                <w:rFonts w:cs="Times New Roman"/>
                <w:sz w:val="20"/>
                <w:szCs w:val="20"/>
              </w:rPr>
              <w:t>**. Correlation is significant at the 0.05</w:t>
            </w:r>
            <w:r>
              <w:rPr>
                <w:rFonts w:cs="Times New Roman"/>
                <w:sz w:val="20"/>
                <w:szCs w:val="20"/>
              </w:rPr>
              <w:t xml:space="preserve">, </w:t>
            </w:r>
            <w:r w:rsidRPr="00982A51">
              <w:rPr>
                <w:rFonts w:cs="Times New Roman"/>
                <w:sz w:val="20"/>
                <w:szCs w:val="20"/>
              </w:rPr>
              <w:t>***.Correlation is significant at the 0.01</w:t>
            </w:r>
            <w:r w:rsidRPr="00982A51">
              <w:rPr>
                <w:rFonts w:cs="Times New Roman"/>
                <w:color w:val="000000"/>
                <w:sz w:val="20"/>
                <w:szCs w:val="20"/>
              </w:rPr>
              <w:t xml:space="preserve"> </w:t>
            </w:r>
          </w:p>
        </w:tc>
      </w:tr>
      <w:tr w:rsidR="00AF59FD" w:rsidRPr="00663DD8" w:rsidTr="009C7D5B">
        <w:trPr>
          <w:trHeight w:val="260"/>
        </w:trPr>
        <w:tc>
          <w:tcPr>
            <w:tcW w:w="0" w:type="auto"/>
            <w:gridSpan w:val="10"/>
            <w:vAlign w:val="center"/>
          </w:tcPr>
          <w:p w:rsidR="00AF59FD" w:rsidRPr="00982A51" w:rsidRDefault="00AF59FD" w:rsidP="009F582E">
            <w:pPr>
              <w:rPr>
                <w:rFonts w:cs="Times New Roman"/>
                <w:sz w:val="20"/>
                <w:szCs w:val="20"/>
              </w:rPr>
            </w:pPr>
            <w:r w:rsidRPr="00686E2F">
              <w:rPr>
                <w:rFonts w:cs="Times New Roman"/>
                <w:sz w:val="20"/>
                <w:szCs w:val="20"/>
              </w:rPr>
              <w:t xml:space="preserve">This table summarizes the </w:t>
            </w:r>
            <w:r>
              <w:rPr>
                <w:rFonts w:cs="Times New Roman"/>
                <w:sz w:val="20"/>
                <w:szCs w:val="20"/>
              </w:rPr>
              <w:t>results of two-way fixed effect regression based on the sample</w:t>
            </w:r>
            <w:r w:rsidR="00801620">
              <w:rPr>
                <w:rFonts w:cs="Times New Roman"/>
                <w:sz w:val="20"/>
                <w:szCs w:val="20"/>
              </w:rPr>
              <w:t>s</w:t>
            </w:r>
            <w:r>
              <w:rPr>
                <w:rFonts w:cs="Times New Roman"/>
                <w:sz w:val="20"/>
                <w:szCs w:val="20"/>
              </w:rPr>
              <w:t xml:space="preserve"> of </w:t>
            </w:r>
            <w:r w:rsidRPr="00686E2F">
              <w:rPr>
                <w:rFonts w:cs="Times New Roman"/>
                <w:sz w:val="20"/>
                <w:szCs w:val="20"/>
              </w:rPr>
              <w:t>China and U.S</w:t>
            </w:r>
            <w:r w:rsidR="0084050E">
              <w:rPr>
                <w:rFonts w:cs="Times New Roman"/>
                <w:sz w:val="20"/>
                <w:szCs w:val="20"/>
              </w:rPr>
              <w:t>.</w:t>
            </w:r>
            <w:r w:rsidR="00713CDA" w:rsidRPr="00AD6F97">
              <w:rPr>
                <w:rFonts w:ascii="Cambria Math" w:hAnsi="Cambria Math" w:cs="Times New Roman"/>
                <w:b/>
                <w:i/>
                <w:sz w:val="20"/>
                <w:szCs w:val="20"/>
              </w:rPr>
              <w:t xml:space="preserve"> BS</w:t>
            </w:r>
            <w:r w:rsidR="00713CDA" w:rsidRPr="00AD6F97">
              <w:rPr>
                <w:rFonts w:ascii="Cambria Math" w:hAnsi="Cambria Math" w:cs="Times New Roman"/>
                <w:i/>
                <w:sz w:val="20"/>
                <w:szCs w:val="20"/>
                <w:vertAlign w:val="subscript"/>
              </w:rPr>
              <w:t>i,t</w:t>
            </w:r>
            <w:r w:rsidR="00470932">
              <w:rPr>
                <w:rFonts w:cs="Times New Roman"/>
                <w:sz w:val="20"/>
                <w:szCs w:val="20"/>
              </w:rPr>
              <w:t xml:space="preserve"> </w:t>
            </w:r>
            <w:r w:rsidR="00713CDA" w:rsidRPr="00686E2F">
              <w:rPr>
                <w:rFonts w:cs="Times New Roman"/>
                <w:sz w:val="20"/>
                <w:szCs w:val="20"/>
              </w:rPr>
              <w:t xml:space="preserve">= the number of board members. </w:t>
            </w:r>
            <w:r w:rsidR="00713CDA" w:rsidRPr="00AD6F97">
              <w:rPr>
                <w:rFonts w:ascii="Cambria Math" w:hAnsi="Cambria Math" w:cs="Times New Roman"/>
                <w:sz w:val="20"/>
                <w:szCs w:val="20"/>
              </w:rPr>
              <w:t>BI</w:t>
            </w:r>
            <w:r w:rsidR="00713CDA" w:rsidRPr="00AD6F97">
              <w:rPr>
                <w:rFonts w:ascii="Cambria Math" w:hAnsi="Cambria Math" w:cs="Times New Roman"/>
                <w:i/>
                <w:sz w:val="20"/>
                <w:szCs w:val="20"/>
                <w:vertAlign w:val="subscript"/>
              </w:rPr>
              <w:t>i,t</w:t>
            </w:r>
            <w:r w:rsidR="00713CDA" w:rsidRPr="00686E2F">
              <w:rPr>
                <w:rFonts w:cs="Times New Roman"/>
                <w:sz w:val="20"/>
                <w:szCs w:val="20"/>
              </w:rPr>
              <w:t xml:space="preserve"> =</w:t>
            </w:r>
            <w:r w:rsidR="00713CDA" w:rsidRPr="00686E2F">
              <w:rPr>
                <w:rFonts w:eastAsia="SimSun" w:cs="Times New Roman"/>
                <w:sz w:val="20"/>
                <w:szCs w:val="20"/>
                <w:lang w:eastAsia="en-US"/>
              </w:rPr>
              <w:t xml:space="preserve"> </w:t>
            </w:r>
            <w:r w:rsidR="00713CDA">
              <w:rPr>
                <w:rFonts w:cs="Times New Roman" w:hint="eastAsia"/>
                <w:sz w:val="20"/>
                <w:szCs w:val="20"/>
              </w:rPr>
              <w:t>ratio</w:t>
            </w:r>
            <w:r w:rsidR="00713CDA" w:rsidRPr="00686E2F">
              <w:rPr>
                <w:rFonts w:cs="Times New Roman"/>
                <w:sz w:val="20"/>
                <w:szCs w:val="20"/>
              </w:rPr>
              <w:t xml:space="preserve"> of independent directors to total board size. </w:t>
            </w:r>
            <w:r w:rsidR="00713CDA" w:rsidRPr="00AD6F97">
              <w:rPr>
                <w:rFonts w:ascii="Cambria Math" w:hAnsi="Cambria Math" w:cs="Times New Roman"/>
                <w:sz w:val="20"/>
                <w:szCs w:val="20"/>
              </w:rPr>
              <w:t>CEO-dummy</w:t>
            </w:r>
            <w:r w:rsidR="00713CDA" w:rsidRPr="00AD6F97">
              <w:rPr>
                <w:rFonts w:ascii="Cambria Math" w:hAnsi="Cambria Math" w:cs="Times New Roman"/>
                <w:i/>
                <w:sz w:val="20"/>
                <w:szCs w:val="20"/>
                <w:vertAlign w:val="subscript"/>
              </w:rPr>
              <w:t>i,t</w:t>
            </w:r>
            <w:r w:rsidR="00713CDA" w:rsidRPr="00686E2F">
              <w:rPr>
                <w:rFonts w:cs="Times New Roman"/>
                <w:sz w:val="20"/>
                <w:szCs w:val="20"/>
              </w:rPr>
              <w:t xml:space="preserve"> = 1 if CEO is Chairman, equal to 0 if otherwise. </w:t>
            </w:r>
            <w:r w:rsidR="00713CDA" w:rsidRPr="00AD6F97">
              <w:rPr>
                <w:rFonts w:ascii="Cambria Math" w:hAnsi="Cambria Math" w:cs="Times New Roman"/>
                <w:b/>
                <w:i/>
                <w:sz w:val="20"/>
                <w:szCs w:val="20"/>
              </w:rPr>
              <w:t>SBS</w:t>
            </w:r>
            <w:r w:rsidR="00713CDA" w:rsidRPr="00AD6F97">
              <w:rPr>
                <w:rFonts w:ascii="Cambria Math" w:hAnsi="Cambria Math" w:cs="Times New Roman"/>
                <w:i/>
                <w:sz w:val="20"/>
                <w:szCs w:val="20"/>
                <w:vertAlign w:val="subscript"/>
              </w:rPr>
              <w:t>i,t</w:t>
            </w:r>
            <w:r w:rsidR="00713CDA" w:rsidRPr="00686E2F">
              <w:rPr>
                <w:rFonts w:cs="Times New Roman"/>
                <w:b/>
                <w:i/>
                <w:sz w:val="20"/>
                <w:szCs w:val="20"/>
              </w:rPr>
              <w:t xml:space="preserve"> =</w:t>
            </w:r>
            <w:r w:rsidR="00713CDA" w:rsidRPr="00686E2F">
              <w:rPr>
                <w:rFonts w:eastAsia="SimSun" w:cs="Times New Roman"/>
                <w:sz w:val="20"/>
                <w:szCs w:val="20"/>
                <w:lang w:eastAsia="en-US"/>
              </w:rPr>
              <w:t xml:space="preserve"> </w:t>
            </w:r>
            <w:r w:rsidR="00713CDA" w:rsidRPr="00686E2F">
              <w:rPr>
                <w:rFonts w:cs="Times New Roman"/>
                <w:sz w:val="20"/>
                <w:szCs w:val="20"/>
              </w:rPr>
              <w:t xml:space="preserve">the number of supervisory board size. </w:t>
            </w:r>
            <w:r w:rsidR="00713CDA" w:rsidRPr="00AD6F97">
              <w:rPr>
                <w:rFonts w:ascii="Cambria Math" w:hAnsi="Cambria Math" w:cs="Times New Roman"/>
                <w:sz w:val="20"/>
                <w:szCs w:val="20"/>
              </w:rPr>
              <w:t>Insider</w:t>
            </w:r>
            <w:r w:rsidR="00713CDA" w:rsidRPr="00AD6F97">
              <w:rPr>
                <w:rFonts w:ascii="Cambria Math" w:hAnsi="Cambria Math" w:cs="Times New Roman"/>
                <w:i/>
                <w:sz w:val="20"/>
                <w:szCs w:val="20"/>
                <w:vertAlign w:val="subscript"/>
              </w:rPr>
              <w:t>i,t</w:t>
            </w:r>
            <w:r w:rsidR="00713CDA" w:rsidRPr="00686E2F">
              <w:rPr>
                <w:rFonts w:cs="Times New Roman"/>
                <w:sz w:val="20"/>
                <w:szCs w:val="20"/>
              </w:rPr>
              <w:t xml:space="preserve"> = percentages of shares </w:t>
            </w:r>
            <w:r w:rsidR="00713CDA">
              <w:rPr>
                <w:rFonts w:cs="Times New Roman"/>
                <w:sz w:val="20"/>
                <w:szCs w:val="20"/>
              </w:rPr>
              <w:t>hold by management</w:t>
            </w:r>
            <w:r w:rsidR="00713CDA" w:rsidRPr="00686E2F">
              <w:rPr>
                <w:rFonts w:cs="Times New Roman"/>
                <w:sz w:val="20"/>
                <w:szCs w:val="20"/>
              </w:rPr>
              <w:t xml:space="preserve">. </w:t>
            </w:r>
            <w:r w:rsidR="00713CDA" w:rsidRPr="00AD6F97">
              <w:rPr>
                <w:rFonts w:ascii="Cambria Math" w:hAnsi="Cambria Math" w:cs="Times New Roman"/>
                <w:sz w:val="20"/>
                <w:szCs w:val="20"/>
              </w:rPr>
              <w:t>Block-</w:t>
            </w:r>
            <w:r w:rsidR="009F582E">
              <w:rPr>
                <w:rFonts w:ascii="Cambria Math" w:hAnsi="Cambria Math" w:cs="Times New Roman"/>
                <w:sz w:val="20"/>
                <w:szCs w:val="20"/>
              </w:rPr>
              <w:t>h</w:t>
            </w:r>
            <w:r w:rsidR="00713CDA" w:rsidRPr="00AD6F97">
              <w:rPr>
                <w:rFonts w:ascii="Cambria Math" w:hAnsi="Cambria Math" w:cs="Times New Roman"/>
                <w:sz w:val="20"/>
                <w:szCs w:val="20"/>
              </w:rPr>
              <w:t>older</w:t>
            </w:r>
            <w:r w:rsidR="00713CDA" w:rsidRPr="00AD6F97">
              <w:rPr>
                <w:rFonts w:ascii="Cambria Math" w:hAnsi="Cambria Math" w:cs="Times New Roman"/>
                <w:i/>
                <w:sz w:val="20"/>
                <w:szCs w:val="20"/>
                <w:vertAlign w:val="subscript"/>
              </w:rPr>
              <w:t>i,t</w:t>
            </w:r>
            <w:r w:rsidR="00713CDA" w:rsidRPr="00686E2F">
              <w:rPr>
                <w:rFonts w:cs="Times New Roman"/>
                <w:sz w:val="20"/>
                <w:szCs w:val="20"/>
              </w:rPr>
              <w:t xml:space="preserve"> =</w:t>
            </w:r>
            <w:r w:rsidR="00713CDA" w:rsidRPr="00686E2F">
              <w:rPr>
                <w:rFonts w:cs="Times New Roman" w:hint="eastAsia"/>
                <w:sz w:val="20"/>
                <w:szCs w:val="20"/>
              </w:rPr>
              <w:t xml:space="preserve"> </w:t>
            </w:r>
            <w:r w:rsidR="00713CDA" w:rsidRPr="00686E2F">
              <w:rPr>
                <w:rFonts w:cs="Times New Roman"/>
                <w:sz w:val="20"/>
                <w:szCs w:val="20"/>
              </w:rPr>
              <w:t>percentages of shares hold by block-holders</w:t>
            </w:r>
            <w:r w:rsidR="00713CDA" w:rsidRPr="00686E2F">
              <w:rPr>
                <w:rFonts w:cs="Times New Roman" w:hint="eastAsia"/>
                <w:sz w:val="20"/>
                <w:szCs w:val="20"/>
              </w:rPr>
              <w:t>.</w:t>
            </w:r>
            <w:r w:rsidR="00713CDA" w:rsidRPr="00686E2F">
              <w:rPr>
                <w:rFonts w:cs="Times New Roman"/>
                <w:sz w:val="20"/>
                <w:szCs w:val="20"/>
              </w:rPr>
              <w:t xml:space="preserve"> </w:t>
            </w:r>
            <w:r w:rsidR="00713CDA" w:rsidRPr="00AD6F97">
              <w:rPr>
                <w:rFonts w:ascii="Cambria Math" w:hAnsi="Cambria Math" w:cs="Times New Roman"/>
                <w:b/>
                <w:i/>
                <w:sz w:val="20"/>
                <w:szCs w:val="20"/>
              </w:rPr>
              <w:t>EDS</w:t>
            </w:r>
            <w:r w:rsidR="00713CDA" w:rsidRPr="00AD6F97">
              <w:rPr>
                <w:rFonts w:ascii="Cambria Math" w:hAnsi="Cambria Math" w:cs="Times New Roman"/>
                <w:i/>
                <w:sz w:val="20"/>
                <w:szCs w:val="20"/>
                <w:vertAlign w:val="subscript"/>
              </w:rPr>
              <w:t>i,t</w:t>
            </w:r>
            <w:r w:rsidR="00713CDA" w:rsidRPr="00686E2F">
              <w:rPr>
                <w:rFonts w:cs="Times New Roman"/>
                <w:b/>
                <w:i/>
                <w:sz w:val="20"/>
                <w:szCs w:val="20"/>
              </w:rPr>
              <w:t xml:space="preserve"> = </w:t>
            </w:r>
            <w:r w:rsidR="00713CDA" w:rsidRPr="00686E2F">
              <w:rPr>
                <w:rFonts w:cs="Times New Roman"/>
                <w:sz w:val="20"/>
                <w:szCs w:val="20"/>
              </w:rPr>
              <w:t>the number of executive directors</w:t>
            </w:r>
            <w:r w:rsidR="00713CDA" w:rsidRPr="00686E2F">
              <w:rPr>
                <w:rFonts w:cs="Times New Roman"/>
                <w:b/>
                <w:i/>
                <w:sz w:val="20"/>
                <w:szCs w:val="20"/>
              </w:rPr>
              <w:t xml:space="preserve">. </w:t>
            </w:r>
            <w:r w:rsidR="00713CDA" w:rsidRPr="00AD6F97">
              <w:rPr>
                <w:rFonts w:ascii="Cambria Math" w:hAnsi="Cambria Math" w:cs="Times New Roman"/>
                <w:b/>
                <w:i/>
                <w:sz w:val="20"/>
                <w:szCs w:val="20"/>
              </w:rPr>
              <w:t>NEDS</w:t>
            </w:r>
            <w:r w:rsidR="00713CDA" w:rsidRPr="00AD6F97">
              <w:rPr>
                <w:rFonts w:ascii="Cambria Math" w:hAnsi="Cambria Math" w:cs="Times New Roman"/>
                <w:i/>
                <w:sz w:val="20"/>
                <w:szCs w:val="20"/>
                <w:vertAlign w:val="subscript"/>
              </w:rPr>
              <w:t>i,t</w:t>
            </w:r>
            <w:r w:rsidR="00470932">
              <w:rPr>
                <w:rFonts w:ascii="Cambria Math" w:hAnsi="Cambria Math" w:cs="Times New Roman"/>
                <w:i/>
                <w:sz w:val="20"/>
                <w:szCs w:val="20"/>
                <w:vertAlign w:val="subscript"/>
              </w:rPr>
              <w:t xml:space="preserve"> </w:t>
            </w:r>
            <w:r w:rsidR="00713CDA" w:rsidRPr="00686E2F">
              <w:rPr>
                <w:rFonts w:cs="Times New Roman"/>
                <w:b/>
                <w:i/>
                <w:sz w:val="20"/>
                <w:szCs w:val="20"/>
              </w:rPr>
              <w:t>=</w:t>
            </w:r>
            <w:r w:rsidR="00713CDA">
              <w:rPr>
                <w:rFonts w:cs="Times New Roman" w:hint="eastAsia"/>
                <w:b/>
                <w:i/>
                <w:sz w:val="20"/>
                <w:szCs w:val="20"/>
              </w:rPr>
              <w:t xml:space="preserve"> </w:t>
            </w:r>
            <w:r w:rsidR="00713CDA" w:rsidRPr="00686E2F">
              <w:rPr>
                <w:rFonts w:cs="Times New Roman"/>
                <w:sz w:val="20"/>
                <w:szCs w:val="20"/>
              </w:rPr>
              <w:t>the number of non-executive directors.</w:t>
            </w:r>
            <w:r w:rsidR="00713CDA" w:rsidRPr="00686E2F">
              <w:rPr>
                <w:rFonts w:cs="Times New Roman"/>
                <w:b/>
                <w:i/>
                <w:sz w:val="20"/>
                <w:szCs w:val="20"/>
              </w:rPr>
              <w:t xml:space="preserve"> </w:t>
            </w:r>
            <w:r w:rsidR="00713CDA" w:rsidRPr="00AD6F97">
              <w:rPr>
                <w:rFonts w:ascii="Cambria Math" w:hAnsi="Cambria Math" w:cs="Times New Roman"/>
                <w:sz w:val="20"/>
                <w:szCs w:val="20"/>
              </w:rPr>
              <w:t>FS</w:t>
            </w:r>
            <w:r w:rsidR="00713CDA" w:rsidRPr="00AD6F97">
              <w:rPr>
                <w:rFonts w:ascii="Cambria Math" w:hAnsi="Cambria Math" w:cs="Times New Roman"/>
                <w:i/>
                <w:sz w:val="20"/>
                <w:szCs w:val="20"/>
                <w:vertAlign w:val="subscript"/>
              </w:rPr>
              <w:t>i,t</w:t>
            </w:r>
            <w:r w:rsidR="00713CDA" w:rsidRPr="00AD6F97">
              <w:rPr>
                <w:rFonts w:ascii="Cambria Math" w:hAnsi="Cambria Math" w:cs="Times New Roman"/>
                <w:sz w:val="20"/>
                <w:szCs w:val="20"/>
              </w:rPr>
              <w:t xml:space="preserve"> (log)</w:t>
            </w:r>
            <w:r w:rsidR="00470932">
              <w:rPr>
                <w:rFonts w:ascii="Cambria Math" w:hAnsi="Cambria Math" w:cs="Times New Roman"/>
                <w:sz w:val="20"/>
                <w:szCs w:val="20"/>
              </w:rPr>
              <w:t xml:space="preserve"> </w:t>
            </w:r>
            <w:r w:rsidR="00713CDA" w:rsidRPr="00686E2F">
              <w:rPr>
                <w:rFonts w:cs="Times New Roman"/>
                <w:sz w:val="20"/>
                <w:szCs w:val="20"/>
              </w:rPr>
              <w:t xml:space="preserve">= nature logarithm of total assets as proxy for firm size. </w:t>
            </w:r>
            <w:r w:rsidR="00713CDA" w:rsidRPr="00AD6F97">
              <w:rPr>
                <w:rFonts w:ascii="Cambria Math" w:hAnsi="Cambria Math" w:cs="Times New Roman"/>
                <w:sz w:val="20"/>
                <w:szCs w:val="20"/>
              </w:rPr>
              <w:t>ROE</w:t>
            </w:r>
            <w:r w:rsidR="00713CDA" w:rsidRPr="00AD6F97">
              <w:rPr>
                <w:rFonts w:ascii="Cambria Math" w:hAnsi="Cambria Math" w:cs="Times New Roman"/>
                <w:i/>
                <w:sz w:val="20"/>
                <w:szCs w:val="20"/>
                <w:vertAlign w:val="subscript"/>
              </w:rPr>
              <w:t>i,t</w:t>
            </w:r>
            <w:r w:rsidR="00470932">
              <w:rPr>
                <w:rFonts w:ascii="Cambria Math" w:hAnsi="Cambria Math" w:cs="Times New Roman"/>
                <w:i/>
                <w:sz w:val="20"/>
                <w:szCs w:val="20"/>
                <w:vertAlign w:val="subscript"/>
              </w:rPr>
              <w:t xml:space="preserve"> </w:t>
            </w:r>
            <w:r w:rsidR="00713CDA" w:rsidRPr="00AD6F97">
              <w:rPr>
                <w:rFonts w:ascii="Cambria Math" w:hAnsi="Cambria Math" w:cs="Times New Roman"/>
                <w:sz w:val="20"/>
                <w:szCs w:val="20"/>
              </w:rPr>
              <w:t>(log)</w:t>
            </w:r>
            <w:r w:rsidR="00470932">
              <w:rPr>
                <w:rFonts w:ascii="Cambria Math" w:hAnsi="Cambria Math" w:cs="Times New Roman"/>
                <w:sz w:val="20"/>
                <w:szCs w:val="20"/>
              </w:rPr>
              <w:t xml:space="preserve"> </w:t>
            </w:r>
            <w:r w:rsidR="00470932">
              <w:rPr>
                <w:rFonts w:cs="Times New Roman"/>
                <w:sz w:val="20"/>
                <w:szCs w:val="20"/>
              </w:rPr>
              <w:t>=</w:t>
            </w:r>
            <w:r w:rsidR="00713CDA" w:rsidRPr="00686E2F">
              <w:rPr>
                <w:rFonts w:cs="Times New Roman"/>
                <w:sz w:val="20"/>
                <w:szCs w:val="20"/>
              </w:rPr>
              <w:t xml:space="preserve">nature logarithm of return on equity. </w:t>
            </w:r>
            <w:r w:rsidR="00713CDA" w:rsidRPr="00AD6F97">
              <w:rPr>
                <w:rFonts w:ascii="Cambria Math" w:hAnsi="Cambria Math" w:cs="Times New Roman"/>
                <w:sz w:val="20"/>
                <w:szCs w:val="20"/>
              </w:rPr>
              <w:t>Leverage</w:t>
            </w:r>
            <w:r w:rsidR="00713CDA" w:rsidRPr="00AD6F97">
              <w:rPr>
                <w:rFonts w:ascii="Cambria Math" w:hAnsi="Cambria Math" w:cs="Times New Roman"/>
                <w:i/>
                <w:sz w:val="20"/>
                <w:szCs w:val="20"/>
                <w:vertAlign w:val="subscript"/>
              </w:rPr>
              <w:t>i,t</w:t>
            </w:r>
            <w:r w:rsidR="00470932">
              <w:rPr>
                <w:rFonts w:ascii="Cambria Math" w:hAnsi="Cambria Math" w:cs="Times New Roman"/>
                <w:i/>
                <w:sz w:val="20"/>
                <w:szCs w:val="20"/>
                <w:vertAlign w:val="subscript"/>
              </w:rPr>
              <w:t xml:space="preserve"> </w:t>
            </w:r>
            <w:r w:rsidR="00713CDA" w:rsidRPr="00AD6F97">
              <w:rPr>
                <w:rFonts w:ascii="Cambria Math" w:hAnsi="Cambria Math" w:cs="Times New Roman"/>
                <w:sz w:val="20"/>
                <w:szCs w:val="20"/>
              </w:rPr>
              <w:t>(log)</w:t>
            </w:r>
            <w:r w:rsidR="00061CFD">
              <w:rPr>
                <w:rFonts w:ascii="Cambria Math" w:hAnsi="Cambria Math" w:cs="Times New Roman"/>
                <w:sz w:val="20"/>
                <w:szCs w:val="20"/>
              </w:rPr>
              <w:t xml:space="preserve"> </w:t>
            </w:r>
            <w:r w:rsidR="00470932">
              <w:rPr>
                <w:rFonts w:cs="Times New Roman"/>
                <w:sz w:val="20"/>
                <w:szCs w:val="20"/>
              </w:rPr>
              <w:t>=</w:t>
            </w:r>
            <w:r w:rsidR="00713CDA" w:rsidRPr="00686E2F">
              <w:rPr>
                <w:rFonts w:cs="Times New Roman"/>
                <w:sz w:val="20"/>
                <w:szCs w:val="20"/>
              </w:rPr>
              <w:t>nature logarithm of leverage.</w:t>
            </w:r>
          </w:p>
        </w:tc>
      </w:tr>
    </w:tbl>
    <w:p w:rsidR="00AF59FD" w:rsidRDefault="00AF59FD" w:rsidP="00AF59FD">
      <w:pPr>
        <w:spacing w:after="0"/>
        <w:rPr>
          <w:rFonts w:ascii="TimesNewRomanPSMT" w:hAnsi="TimesNewRomanPSMT" w:cs="TimesNewRomanPSMT"/>
          <w:szCs w:val="24"/>
        </w:rPr>
        <w:sectPr w:rsidR="00AF59FD" w:rsidSect="00A63C9E">
          <w:pgSz w:w="15840" w:h="12240" w:orient="landscape"/>
          <w:pgMar w:top="1440" w:right="864" w:bottom="1440" w:left="864" w:header="720" w:footer="720" w:gutter="0"/>
          <w:cols w:space="720"/>
          <w:docGrid w:linePitch="360"/>
        </w:sectPr>
      </w:pPr>
    </w:p>
    <w:p w:rsidR="00443250" w:rsidRDefault="004F1A6B" w:rsidP="004F1A6B">
      <w:pPr>
        <w:pStyle w:val="Heading1"/>
      </w:pPr>
      <w:bookmarkStart w:id="52" w:name="_Toc400916074"/>
      <w:r>
        <w:lastRenderedPageBreak/>
        <w:t>Conclusion</w:t>
      </w:r>
      <w:r w:rsidR="00216863">
        <w:t>s</w:t>
      </w:r>
      <w:bookmarkEnd w:id="52"/>
    </w:p>
    <w:p w:rsidR="00AF413A" w:rsidRDefault="00AF413A" w:rsidP="00AF413A">
      <w:pPr>
        <w:spacing w:after="0"/>
        <w:rPr>
          <w:rFonts w:cs="Times New Roman"/>
          <w:szCs w:val="24"/>
        </w:rPr>
      </w:pPr>
      <w:r>
        <w:rPr>
          <w:rFonts w:cs="Times New Roman"/>
          <w:szCs w:val="24"/>
        </w:rPr>
        <w:t xml:space="preserve">In this chapter, a brief summary including the research subject, hypotheses and empirical results will be introduced. Moreover, it will discuss several limitations of this research thesis. </w:t>
      </w:r>
      <w:r w:rsidR="00AC05B3">
        <w:rPr>
          <w:rFonts w:cs="Times New Roman"/>
          <w:szCs w:val="24"/>
        </w:rPr>
        <w:t>In the end</w:t>
      </w:r>
      <w:r>
        <w:rPr>
          <w:rFonts w:cs="Times New Roman"/>
          <w:szCs w:val="24"/>
        </w:rPr>
        <w:t xml:space="preserve">, for the future researches, some recommendations </w:t>
      </w:r>
      <w:r w:rsidR="00AC05B3">
        <w:rPr>
          <w:rFonts w:cs="Times New Roman"/>
          <w:szCs w:val="24"/>
        </w:rPr>
        <w:t xml:space="preserve">relating to the research of corporate governance and earnings management </w:t>
      </w:r>
      <w:r>
        <w:rPr>
          <w:rFonts w:cs="Times New Roman"/>
          <w:szCs w:val="24"/>
        </w:rPr>
        <w:t>will be presented.</w:t>
      </w:r>
    </w:p>
    <w:p w:rsidR="00AF413A" w:rsidRDefault="00AF413A" w:rsidP="00AF413A">
      <w:pPr>
        <w:pStyle w:val="Heading2"/>
      </w:pPr>
      <w:bookmarkStart w:id="53" w:name="_Toc400916075"/>
      <w:r>
        <w:t>Conclusion</w:t>
      </w:r>
      <w:r w:rsidR="00216863">
        <w:t>s</w:t>
      </w:r>
      <w:bookmarkEnd w:id="53"/>
    </w:p>
    <w:p w:rsidR="00AF413A" w:rsidRDefault="00AF413A" w:rsidP="00BF14B5">
      <w:pPr>
        <w:rPr>
          <w:rFonts w:cs="Times New Roman"/>
          <w:szCs w:val="24"/>
        </w:rPr>
      </w:pPr>
      <w:r>
        <w:t xml:space="preserve">This research thesis empirically investigated whether </w:t>
      </w:r>
      <w:r w:rsidR="00AC05B3">
        <w:t xml:space="preserve">there is </w:t>
      </w:r>
      <w:r>
        <w:t xml:space="preserve">a relationship between corporate governance and earnings management in </w:t>
      </w:r>
      <w:r w:rsidR="00C15242">
        <w:t xml:space="preserve">both </w:t>
      </w:r>
      <w:r>
        <w:t>China and U.S.</w:t>
      </w:r>
      <w:r w:rsidR="00AC05B3">
        <w:t>,</w:t>
      </w:r>
      <w:r>
        <w:t xml:space="preserve"> </w:t>
      </w:r>
      <w:r w:rsidR="00AC05B3">
        <w:t xml:space="preserve">specifically </w:t>
      </w:r>
      <w:r>
        <w:t>attempt</w:t>
      </w:r>
      <w:r w:rsidR="00AC05B3">
        <w:t>ing</w:t>
      </w:r>
      <w:r>
        <w:t xml:space="preserve"> to compare the difference</w:t>
      </w:r>
      <w:r w:rsidR="00AC05B3">
        <w:t>s</w:t>
      </w:r>
      <w:r>
        <w:t xml:space="preserve"> in relationship between those two items in China and U.S. </w:t>
      </w:r>
      <w:r w:rsidR="00AC05B3">
        <w:t>F</w:t>
      </w:r>
      <w:r>
        <w:t xml:space="preserve">irstly, </w:t>
      </w:r>
      <w:r w:rsidR="00AC05B3">
        <w:t xml:space="preserve">it </w:t>
      </w:r>
      <w:r>
        <w:t>introduce</w:t>
      </w:r>
      <w:r w:rsidR="00AC05B3">
        <w:t>s</w:t>
      </w:r>
      <w:r>
        <w:t xml:space="preserve"> the definitions</w:t>
      </w:r>
      <w:r w:rsidR="00AC05B3">
        <w:t xml:space="preserve"> of earnings management and corporate governance and the </w:t>
      </w:r>
      <w:r>
        <w:t>measurement</w:t>
      </w:r>
      <w:r w:rsidR="00AC05B3">
        <w:t>s</w:t>
      </w:r>
      <w:r>
        <w:t xml:space="preserve"> of earnings management. </w:t>
      </w:r>
      <w:r w:rsidR="00AC05B3">
        <w:t xml:space="preserve">Then, the </w:t>
      </w:r>
      <w:r>
        <w:t xml:space="preserve">positive accounting theory and </w:t>
      </w:r>
      <w:r w:rsidR="00AC05B3">
        <w:t xml:space="preserve">the </w:t>
      </w:r>
      <w:r>
        <w:t xml:space="preserve">agency theory were presented as </w:t>
      </w:r>
      <w:r w:rsidR="000151F4">
        <w:t xml:space="preserve">the </w:t>
      </w:r>
      <w:r>
        <w:t xml:space="preserve">theoretical </w:t>
      </w:r>
      <w:r w:rsidR="000151F4">
        <w:t xml:space="preserve">basis </w:t>
      </w:r>
      <w:r>
        <w:t xml:space="preserve">for this research. </w:t>
      </w:r>
      <w:r w:rsidR="000151F4">
        <w:t>After</w:t>
      </w:r>
      <w:r>
        <w:t xml:space="preserve"> review</w:t>
      </w:r>
      <w:r w:rsidR="000151F4">
        <w:t>ing</w:t>
      </w:r>
      <w:r>
        <w:t xml:space="preserve"> the previous literature evidence, three main hypotheses were developed for investigating the research question</w:t>
      </w:r>
      <w:r w:rsidR="000151F4">
        <w:t>s</w:t>
      </w:r>
      <w:r>
        <w:t xml:space="preserve"> of this thesis.</w:t>
      </w:r>
    </w:p>
    <w:p w:rsidR="00AF413A" w:rsidRPr="00470932" w:rsidRDefault="00AF413A" w:rsidP="00BF14B5">
      <w:pPr>
        <w:rPr>
          <w:color w:val="000000" w:themeColor="text1"/>
        </w:rPr>
      </w:pPr>
      <w:r>
        <w:t>This research thesis adopted the listed firms in China and U.S</w:t>
      </w:r>
      <w:r w:rsidR="000151F4">
        <w:t>. during 2007-2011 as</w:t>
      </w:r>
      <w:r>
        <w:t xml:space="preserve"> </w:t>
      </w:r>
      <w:r w:rsidR="000151F4">
        <w:t>dataset</w:t>
      </w:r>
      <w:r w:rsidR="007D5DF6">
        <w:t>s</w:t>
      </w:r>
      <w:r>
        <w:t>.</w:t>
      </w:r>
      <w:r w:rsidR="008A6F4D">
        <w:t xml:space="preserve"> </w:t>
      </w:r>
      <w:r w:rsidR="008A6F4D" w:rsidRPr="00470932">
        <w:rPr>
          <w:color w:val="000000" w:themeColor="text1"/>
        </w:rPr>
        <w:t>By using SPSS, the</w:t>
      </w:r>
      <w:r w:rsidR="007D5DF6" w:rsidRPr="00470932">
        <w:rPr>
          <w:color w:val="000000" w:themeColor="text1"/>
        </w:rPr>
        <w:t xml:space="preserve"> descriptive statistics test, the normality test, the P</w:t>
      </w:r>
      <w:r w:rsidRPr="00470932">
        <w:rPr>
          <w:color w:val="000000" w:themeColor="text1"/>
        </w:rPr>
        <w:t>earson correlation test and</w:t>
      </w:r>
      <w:r w:rsidRPr="00470932">
        <w:rPr>
          <w:bCs/>
          <w:color w:val="000000" w:themeColor="text1"/>
        </w:rPr>
        <w:t xml:space="preserve"> </w:t>
      </w:r>
      <w:r w:rsidR="007D5DF6" w:rsidRPr="00470932">
        <w:rPr>
          <w:bCs/>
          <w:color w:val="000000" w:themeColor="text1"/>
        </w:rPr>
        <w:t xml:space="preserve">the </w:t>
      </w:r>
      <w:r w:rsidR="007D5DF6" w:rsidRPr="00470932">
        <w:rPr>
          <w:color w:val="000000" w:themeColor="text1"/>
        </w:rPr>
        <w:t>collinearity diagnostics</w:t>
      </w:r>
      <w:r w:rsidR="00835C88">
        <w:rPr>
          <w:color w:val="000000" w:themeColor="text1"/>
        </w:rPr>
        <w:t xml:space="preserve"> test</w:t>
      </w:r>
      <w:r w:rsidR="007D5DF6" w:rsidRPr="00470932">
        <w:rPr>
          <w:color w:val="000000" w:themeColor="text1"/>
        </w:rPr>
        <w:t xml:space="preserve"> were</w:t>
      </w:r>
      <w:r w:rsidRPr="00470932">
        <w:rPr>
          <w:color w:val="000000" w:themeColor="text1"/>
        </w:rPr>
        <w:t xml:space="preserve"> performed</w:t>
      </w:r>
      <w:r w:rsidR="008A6F4D" w:rsidRPr="00470932">
        <w:rPr>
          <w:color w:val="000000" w:themeColor="text1"/>
        </w:rPr>
        <w:t xml:space="preserve">. </w:t>
      </w:r>
      <w:r w:rsidR="00B725C2" w:rsidRPr="00470932">
        <w:rPr>
          <w:color w:val="000000" w:themeColor="text1"/>
        </w:rPr>
        <w:t>Those test show that both the datasets of China and U.S. are valid and appropriate for the regression test</w:t>
      </w:r>
      <w:r w:rsidR="00AB21ED" w:rsidRPr="00470932">
        <w:rPr>
          <w:color w:val="000000" w:themeColor="text1"/>
        </w:rPr>
        <w:t xml:space="preserve"> in the next step</w:t>
      </w:r>
      <w:r w:rsidR="00B725C2" w:rsidRPr="00470932">
        <w:rPr>
          <w:color w:val="000000" w:themeColor="text1"/>
        </w:rPr>
        <w:t>.</w:t>
      </w:r>
      <w:r w:rsidRPr="00470932">
        <w:rPr>
          <w:color w:val="000000" w:themeColor="text1"/>
        </w:rPr>
        <w:t xml:space="preserve"> </w:t>
      </w:r>
      <w:r w:rsidR="007D5DF6" w:rsidRPr="00470932">
        <w:rPr>
          <w:color w:val="000000" w:themeColor="text1"/>
        </w:rPr>
        <w:t>In addition</w:t>
      </w:r>
      <w:r w:rsidRPr="00470932">
        <w:rPr>
          <w:color w:val="000000" w:themeColor="text1"/>
        </w:rPr>
        <w:t xml:space="preserve">, </w:t>
      </w:r>
      <w:r w:rsidR="007D5DF6" w:rsidRPr="00470932">
        <w:rPr>
          <w:color w:val="000000" w:themeColor="text1"/>
        </w:rPr>
        <w:t>the</w:t>
      </w:r>
      <w:r w:rsidRPr="00470932">
        <w:rPr>
          <w:color w:val="000000" w:themeColor="text1"/>
        </w:rPr>
        <w:t xml:space="preserve"> ordinary least square</w:t>
      </w:r>
      <w:r w:rsidR="001D2A04">
        <w:rPr>
          <w:color w:val="000000" w:themeColor="text1"/>
        </w:rPr>
        <w:t>s</w:t>
      </w:r>
      <w:r w:rsidRPr="00470932">
        <w:rPr>
          <w:color w:val="000000" w:themeColor="text1"/>
        </w:rPr>
        <w:t xml:space="preserve"> (OLS) regression model</w:t>
      </w:r>
      <w:r w:rsidR="007D5DF6" w:rsidRPr="00470932">
        <w:rPr>
          <w:color w:val="000000" w:themeColor="text1"/>
        </w:rPr>
        <w:t>, the r</w:t>
      </w:r>
      <w:r w:rsidRPr="00470932">
        <w:rPr>
          <w:color w:val="000000" w:themeColor="text1"/>
        </w:rPr>
        <w:t xml:space="preserve">andom effect model, </w:t>
      </w:r>
      <w:r w:rsidR="00821452">
        <w:rPr>
          <w:color w:val="000000" w:themeColor="text1"/>
        </w:rPr>
        <w:t xml:space="preserve">the Hausman test, and the two-way </w:t>
      </w:r>
      <w:r w:rsidRPr="00470932">
        <w:rPr>
          <w:color w:val="000000" w:themeColor="text1"/>
        </w:rPr>
        <w:t xml:space="preserve">fixed effect model </w:t>
      </w:r>
      <w:r w:rsidR="007D5DF6" w:rsidRPr="00470932">
        <w:rPr>
          <w:color w:val="000000" w:themeColor="text1"/>
        </w:rPr>
        <w:t xml:space="preserve">were applied </w:t>
      </w:r>
      <w:r w:rsidRPr="00470932">
        <w:rPr>
          <w:color w:val="000000" w:themeColor="text1"/>
        </w:rPr>
        <w:t>to analyze the panel dataset</w:t>
      </w:r>
      <w:r w:rsidR="007D5DF6" w:rsidRPr="00470932">
        <w:rPr>
          <w:color w:val="000000" w:themeColor="text1"/>
        </w:rPr>
        <w:t>s</w:t>
      </w:r>
      <w:r w:rsidR="008A6F4D" w:rsidRPr="00470932">
        <w:rPr>
          <w:color w:val="000000" w:themeColor="text1"/>
        </w:rPr>
        <w:t xml:space="preserve"> by using Eviews</w:t>
      </w:r>
      <w:r w:rsidR="0007136A" w:rsidRPr="00470932">
        <w:rPr>
          <w:color w:val="000000" w:themeColor="text1"/>
        </w:rPr>
        <w:t xml:space="preserve">, which provides </w:t>
      </w:r>
      <w:r w:rsidR="00AB21ED" w:rsidRPr="00470932">
        <w:rPr>
          <w:color w:val="000000" w:themeColor="text1"/>
        </w:rPr>
        <w:t>the empirical res</w:t>
      </w:r>
      <w:r w:rsidR="003248E5" w:rsidRPr="00470932">
        <w:rPr>
          <w:color w:val="000000" w:themeColor="text1"/>
        </w:rPr>
        <w:t>ults of those models and tests</w:t>
      </w:r>
      <w:r w:rsidR="00AB21ED" w:rsidRPr="00470932">
        <w:rPr>
          <w:color w:val="000000" w:themeColor="text1"/>
        </w:rPr>
        <w:t xml:space="preserve"> the hypotheses.</w:t>
      </w:r>
    </w:p>
    <w:p w:rsidR="00B83D3F" w:rsidRDefault="00AF413A" w:rsidP="00BF14B5">
      <w:r>
        <w:rPr>
          <w:rFonts w:eastAsia="SimSun"/>
        </w:rPr>
        <w:t xml:space="preserve">The results of this research provide evidence that </w:t>
      </w:r>
      <w:r>
        <w:t xml:space="preserve">corporate governance </w:t>
      </w:r>
      <w:r w:rsidR="002C2A51">
        <w:rPr>
          <w:rFonts w:eastAsia="SimSun"/>
        </w:rPr>
        <w:t xml:space="preserve">have a relationship with </w:t>
      </w:r>
      <w:r>
        <w:rPr>
          <w:rFonts w:eastAsia="SimSun"/>
        </w:rPr>
        <w:t>earnings management in China and U.S.</w:t>
      </w:r>
      <w:r>
        <w:t>, which confirm</w:t>
      </w:r>
      <w:r w:rsidR="00A75BAC">
        <w:t>s</w:t>
      </w:r>
      <w:r>
        <w:t xml:space="preserve"> the first and second alternative hypotheses. Under the OLS model, board size and supervisory board size have a negative relationship with earnings management at 5% significance level. This means that </w:t>
      </w:r>
      <w:r w:rsidR="00A75BAC">
        <w:t xml:space="preserve">including </w:t>
      </w:r>
      <w:r>
        <w:t xml:space="preserve">more members </w:t>
      </w:r>
      <w:r w:rsidR="00A75BAC">
        <w:t>i</w:t>
      </w:r>
      <w:r>
        <w:t>n the board and supervisory board eliminate</w:t>
      </w:r>
      <w:r w:rsidR="00A75BAC">
        <w:t>s</w:t>
      </w:r>
      <w:r>
        <w:t xml:space="preserve"> the likelihood of earnings management in China. In the meanwhile, a negative </w:t>
      </w:r>
      <w:r>
        <w:lastRenderedPageBreak/>
        <w:t>relationship is detected between non-executive director</w:t>
      </w:r>
      <w:r w:rsidR="00A75BAC">
        <w:t>s</w:t>
      </w:r>
      <w:r>
        <w:t xml:space="preserve"> and earnings management in U.S. listed firms, suggesting larger non-executive </w:t>
      </w:r>
      <w:r w:rsidR="00470932">
        <w:t>director’s</w:t>
      </w:r>
      <w:r>
        <w:t xml:space="preserve"> size reduc</w:t>
      </w:r>
      <w:r w:rsidR="00A75BAC">
        <w:t>es</w:t>
      </w:r>
      <w:r>
        <w:t xml:space="preserve"> earnings management activities in U.S. Moreover, this </w:t>
      </w:r>
      <w:r w:rsidR="00A75BAC">
        <w:t>study</w:t>
      </w:r>
      <w:r>
        <w:t xml:space="preserve"> found </w:t>
      </w:r>
      <w:r w:rsidR="00A75BAC">
        <w:t xml:space="preserve">some </w:t>
      </w:r>
      <w:r>
        <w:t xml:space="preserve">different results </w:t>
      </w:r>
      <w:r w:rsidR="00E208D3">
        <w:t>between China and U.S. For instance, the CEO as Chairman has a</w:t>
      </w:r>
      <w:r>
        <w:t xml:space="preserve"> negative relationship </w:t>
      </w:r>
      <w:r w:rsidR="00E208D3">
        <w:t xml:space="preserve">with </w:t>
      </w:r>
      <w:r>
        <w:t xml:space="preserve">earnings management in U.S. listed firms. </w:t>
      </w:r>
      <w:r w:rsidR="00E208D3">
        <w:t xml:space="preserve">However, </w:t>
      </w:r>
      <w:r>
        <w:t>this relationship is not confirmed</w:t>
      </w:r>
      <w:r w:rsidR="00E208D3">
        <w:t xml:space="preserve"> in the sample firms of China</w:t>
      </w:r>
      <w:r>
        <w:t>. T</w:t>
      </w:r>
      <w:r w:rsidR="00E208D3">
        <w:t xml:space="preserve">he control variable firm size </w:t>
      </w:r>
      <w:r>
        <w:t>has a positive relationship with earnings management in China</w:t>
      </w:r>
      <w:r w:rsidR="00E208D3">
        <w:t xml:space="preserve">, but </w:t>
      </w:r>
      <w:r>
        <w:t>negative in U.S. listed firm</w:t>
      </w:r>
      <w:r w:rsidR="00B83D3F">
        <w:t>s.</w:t>
      </w:r>
    </w:p>
    <w:p w:rsidR="00B83D3F" w:rsidRPr="00F2461E" w:rsidRDefault="00AF413A" w:rsidP="00BF14B5">
      <w:r w:rsidRPr="00F319AF">
        <w:t>Since this thesis adopts panel data for the investigation, fixed effect and random effect model</w:t>
      </w:r>
      <w:r w:rsidR="00BF14B5" w:rsidRPr="00F319AF">
        <w:t>s</w:t>
      </w:r>
      <w:r w:rsidRPr="00F319AF">
        <w:t xml:space="preserve"> </w:t>
      </w:r>
      <w:r w:rsidR="00BF14B5" w:rsidRPr="00F319AF">
        <w:t xml:space="preserve">are taken into account </w:t>
      </w:r>
      <w:r w:rsidRPr="00F319AF">
        <w:t xml:space="preserve">in the process of the </w:t>
      </w:r>
      <w:r w:rsidR="00BF14B5" w:rsidRPr="00F319AF">
        <w:t xml:space="preserve">study. The Hausman test is employed to </w:t>
      </w:r>
      <w:r w:rsidRPr="00F319AF">
        <w:t>identify</w:t>
      </w:r>
      <w:r w:rsidR="00514248" w:rsidRPr="00F319AF">
        <w:t xml:space="preserve"> which </w:t>
      </w:r>
      <w:r w:rsidRPr="00F319AF">
        <w:t xml:space="preserve">effect model is </w:t>
      </w:r>
      <w:r w:rsidR="00BF14B5" w:rsidRPr="00F319AF">
        <w:t>appropriate for this empirical study</w:t>
      </w:r>
      <w:r w:rsidRPr="00F319AF">
        <w:t xml:space="preserve">. The </w:t>
      </w:r>
      <w:r w:rsidR="00BF14B5" w:rsidRPr="00F319AF">
        <w:t xml:space="preserve">results of the </w:t>
      </w:r>
      <w:r w:rsidRPr="00F319AF">
        <w:t>Hausman</w:t>
      </w:r>
      <w:r w:rsidR="00BF14B5" w:rsidRPr="00F319AF">
        <w:t xml:space="preserve"> test reject</w:t>
      </w:r>
      <w:r w:rsidRPr="00F319AF">
        <w:t xml:space="preserve"> the null hypothesis and indicate that </w:t>
      </w:r>
      <w:r w:rsidR="00BF14B5" w:rsidRPr="00F319AF">
        <w:t xml:space="preserve">the </w:t>
      </w:r>
      <w:r w:rsidRPr="00F319AF">
        <w:t xml:space="preserve">fixed effect model is </w:t>
      </w:r>
      <w:r w:rsidR="00E27FDB" w:rsidRPr="00F319AF">
        <w:t xml:space="preserve">more suitable </w:t>
      </w:r>
      <w:r w:rsidRPr="00F319AF">
        <w:t xml:space="preserve">than </w:t>
      </w:r>
      <w:r w:rsidR="00E27FDB" w:rsidRPr="00F319AF">
        <w:t xml:space="preserve">the </w:t>
      </w:r>
      <w:r w:rsidRPr="00F319AF">
        <w:t xml:space="preserve">random effect model both in </w:t>
      </w:r>
      <w:r w:rsidR="00E27FDB" w:rsidRPr="00F319AF">
        <w:t xml:space="preserve">the sample firms of </w:t>
      </w:r>
      <w:r w:rsidRPr="00F319AF">
        <w:t>China and U.S.</w:t>
      </w:r>
      <w:r w:rsidR="00E27FDB" w:rsidRPr="008B5348">
        <w:rPr>
          <w:color w:val="FF0000"/>
        </w:rPr>
        <w:t xml:space="preserve"> </w:t>
      </w:r>
      <w:r w:rsidR="00514248" w:rsidRPr="00F2461E">
        <w:t>After that</w:t>
      </w:r>
      <w:r w:rsidRPr="00F2461E">
        <w:t xml:space="preserve">, </w:t>
      </w:r>
      <w:r w:rsidR="00264B93" w:rsidRPr="00F2461E">
        <w:t>i</w:t>
      </w:r>
      <w:r w:rsidRPr="00F2461E">
        <w:t xml:space="preserve">n </w:t>
      </w:r>
      <w:r w:rsidR="00E27FDB" w:rsidRPr="00F2461E">
        <w:t>the sample firms of China</w:t>
      </w:r>
      <w:r w:rsidR="00264B93" w:rsidRPr="00F2461E">
        <w:t>,</w:t>
      </w:r>
      <w:r w:rsidR="00E27FDB" w:rsidRPr="00F2461E">
        <w:t xml:space="preserve"> </w:t>
      </w:r>
      <w:r w:rsidR="00F319AF" w:rsidRPr="00470932">
        <w:rPr>
          <w:color w:val="000000" w:themeColor="text1"/>
        </w:rPr>
        <w:t xml:space="preserve">a </w:t>
      </w:r>
      <w:r w:rsidRPr="00470932">
        <w:rPr>
          <w:color w:val="000000" w:themeColor="text1"/>
        </w:rPr>
        <w:t xml:space="preserve">two-way fixed effect model </w:t>
      </w:r>
      <w:r w:rsidR="00E27FDB" w:rsidRPr="00470932">
        <w:rPr>
          <w:color w:val="000000" w:themeColor="text1"/>
        </w:rPr>
        <w:t xml:space="preserve">has been </w:t>
      </w:r>
      <w:r w:rsidRPr="00470932">
        <w:rPr>
          <w:color w:val="000000" w:themeColor="text1"/>
        </w:rPr>
        <w:t xml:space="preserve">established by </w:t>
      </w:r>
      <w:r w:rsidR="00B83D3F" w:rsidRPr="00470932">
        <w:rPr>
          <w:color w:val="000000" w:themeColor="text1"/>
        </w:rPr>
        <w:t xml:space="preserve">Eviews automatically </w:t>
      </w:r>
      <w:r w:rsidRPr="00470932">
        <w:rPr>
          <w:color w:val="000000" w:themeColor="text1"/>
        </w:rPr>
        <w:t xml:space="preserve">adding </w:t>
      </w:r>
      <w:r w:rsidR="00E27FDB" w:rsidRPr="00470932">
        <w:rPr>
          <w:color w:val="000000" w:themeColor="text1"/>
        </w:rPr>
        <w:t xml:space="preserve">the </w:t>
      </w:r>
      <w:r w:rsidRPr="00470932">
        <w:rPr>
          <w:color w:val="000000" w:themeColor="text1"/>
        </w:rPr>
        <w:t xml:space="preserve">cross-section </w:t>
      </w:r>
      <w:r w:rsidR="00F2461E" w:rsidRPr="00470932">
        <w:rPr>
          <w:color w:val="000000" w:themeColor="text1"/>
        </w:rPr>
        <w:t>dummies</w:t>
      </w:r>
      <w:r w:rsidRPr="00470932">
        <w:rPr>
          <w:color w:val="000000" w:themeColor="text1"/>
        </w:rPr>
        <w:t xml:space="preserve"> and </w:t>
      </w:r>
      <w:r w:rsidR="00E27FDB" w:rsidRPr="00470932">
        <w:rPr>
          <w:color w:val="000000" w:themeColor="text1"/>
        </w:rPr>
        <w:t xml:space="preserve">the </w:t>
      </w:r>
      <w:r w:rsidRPr="00470932">
        <w:rPr>
          <w:color w:val="000000" w:themeColor="text1"/>
        </w:rPr>
        <w:t xml:space="preserve">time </w:t>
      </w:r>
      <w:r w:rsidR="00F2461E" w:rsidRPr="00470932">
        <w:rPr>
          <w:color w:val="000000" w:themeColor="text1"/>
        </w:rPr>
        <w:t>dummies</w:t>
      </w:r>
      <w:r w:rsidRPr="00470932">
        <w:rPr>
          <w:color w:val="000000" w:themeColor="text1"/>
        </w:rPr>
        <w:t>.</w:t>
      </w:r>
      <w:r w:rsidRPr="00F2461E">
        <w:t xml:space="preserve"> </w:t>
      </w:r>
      <w:r w:rsidRPr="00F82EEB">
        <w:t>Under this effect, in the main independent variables group, only board s</w:t>
      </w:r>
      <w:r w:rsidR="00E27FDB" w:rsidRPr="00F82EEB">
        <w:t>ize has a negative relationship</w:t>
      </w:r>
      <w:r w:rsidR="00B83D3F">
        <w:t xml:space="preserve"> with</w:t>
      </w:r>
      <w:r w:rsidRPr="00F82EEB">
        <w:t xml:space="preserve"> earnings management at 10% significance level.</w:t>
      </w:r>
      <w:r w:rsidR="00E27FDB" w:rsidRPr="00F2461E">
        <w:t xml:space="preserve"> </w:t>
      </w:r>
      <w:r w:rsidRPr="00F2461E">
        <w:t xml:space="preserve">In </w:t>
      </w:r>
      <w:r w:rsidR="00A07C57" w:rsidRPr="00F2461E">
        <w:t xml:space="preserve">the sample firms of </w:t>
      </w:r>
      <w:r w:rsidRPr="00F2461E">
        <w:t xml:space="preserve">U.S., </w:t>
      </w:r>
      <w:r w:rsidR="00F82EEB" w:rsidRPr="00F2461E">
        <w:t xml:space="preserve">by </w:t>
      </w:r>
      <w:r w:rsidR="00264B93" w:rsidRPr="00F2461E">
        <w:t>using the same method as China to construct two-way fixed effect model, a</w:t>
      </w:r>
      <w:r w:rsidRPr="00F2461E">
        <w:t xml:space="preserve"> significant</w:t>
      </w:r>
      <w:r w:rsidR="00F2461E" w:rsidRPr="00F2461E">
        <w:t>ly</w:t>
      </w:r>
      <w:r w:rsidRPr="00F2461E">
        <w:t xml:space="preserve"> </w:t>
      </w:r>
      <w:r w:rsidR="00F2461E" w:rsidRPr="00F2461E">
        <w:t xml:space="preserve">negative </w:t>
      </w:r>
      <w:r w:rsidRPr="00F2461E">
        <w:t xml:space="preserve">relationship was </w:t>
      </w:r>
      <w:r w:rsidR="00A07C57" w:rsidRPr="00F2461E">
        <w:t xml:space="preserve">found between </w:t>
      </w:r>
      <w:r w:rsidRPr="00F2461E">
        <w:t xml:space="preserve">non-executive directors and earnings management, suggesting </w:t>
      </w:r>
      <w:r w:rsidR="00A07C57" w:rsidRPr="00F2461E">
        <w:t xml:space="preserve">that </w:t>
      </w:r>
      <w:r w:rsidRPr="00F2461E">
        <w:t xml:space="preserve">more </w:t>
      </w:r>
      <w:r w:rsidR="00B83D3F">
        <w:t>number</w:t>
      </w:r>
      <w:r w:rsidRPr="00F2461E">
        <w:t>s of non-executive directors in a listed firm could reduc</w:t>
      </w:r>
      <w:r w:rsidR="00A07C57" w:rsidRPr="00F2461E">
        <w:t>e</w:t>
      </w:r>
      <w:r w:rsidRPr="00F2461E">
        <w:t xml:space="preserve"> earnings management activities in </w:t>
      </w:r>
      <w:r w:rsidR="00A07C57" w:rsidRPr="00F2461E">
        <w:t xml:space="preserve">the sample firms of </w:t>
      </w:r>
      <w:r w:rsidRPr="00F2461E">
        <w:t xml:space="preserve">U.S. Meanwhile, </w:t>
      </w:r>
      <w:r w:rsidR="00A07C57" w:rsidRPr="00F2461E">
        <w:t xml:space="preserve">the </w:t>
      </w:r>
      <w:r w:rsidR="00510FFC">
        <w:t>block</w:t>
      </w:r>
      <w:r w:rsidRPr="00F2461E">
        <w:t>-holder</w:t>
      </w:r>
      <w:r w:rsidR="00F84997">
        <w:t>s</w:t>
      </w:r>
      <w:r w:rsidRPr="00F2461E">
        <w:t xml:space="preserve"> ownership has a negative relationship</w:t>
      </w:r>
      <w:r w:rsidR="00B83D3F">
        <w:t xml:space="preserve"> with</w:t>
      </w:r>
      <w:r w:rsidRPr="00F2461E">
        <w:t xml:space="preserve"> earnings management at 5% significance level, implying </w:t>
      </w:r>
      <w:r w:rsidR="00A07C57" w:rsidRPr="00F2461E">
        <w:t xml:space="preserve">that </w:t>
      </w:r>
      <w:r w:rsidRPr="00F2461E">
        <w:t>large shareholders could eliminat</w:t>
      </w:r>
      <w:r w:rsidR="00A07C57" w:rsidRPr="00F2461E">
        <w:t>e</w:t>
      </w:r>
      <w:r w:rsidRPr="00F2461E">
        <w:t xml:space="preserve"> earnings management behaviors</w:t>
      </w:r>
      <w:r w:rsidR="00264B93" w:rsidRPr="00F2461E">
        <w:t xml:space="preserve"> in U.S</w:t>
      </w:r>
      <w:r w:rsidRPr="00F2461E">
        <w:t xml:space="preserve">. </w:t>
      </w:r>
      <w:r w:rsidR="00A07C57" w:rsidRPr="00F2461E">
        <w:t>However, t</w:t>
      </w:r>
      <w:r w:rsidRPr="00F2461E">
        <w:t xml:space="preserve">his relationship </w:t>
      </w:r>
      <w:r w:rsidR="00A07C57" w:rsidRPr="00F2461E">
        <w:t>was</w:t>
      </w:r>
      <w:r w:rsidRPr="00F2461E">
        <w:t xml:space="preserve"> not </w:t>
      </w:r>
      <w:r w:rsidR="00F2461E" w:rsidRPr="00F2461E">
        <w:t>shown</w:t>
      </w:r>
      <w:r w:rsidRPr="00F2461E">
        <w:t xml:space="preserve"> in the </w:t>
      </w:r>
      <w:r w:rsidR="00A07C57" w:rsidRPr="00F2461E">
        <w:t xml:space="preserve">sample firms of </w:t>
      </w:r>
      <w:r w:rsidRPr="00F2461E">
        <w:t>China.</w:t>
      </w:r>
      <w:r w:rsidR="00B83D3F">
        <w:t xml:space="preserve"> Since some</w:t>
      </w:r>
      <w:r w:rsidR="00B83D3F" w:rsidRPr="00E208D3">
        <w:t xml:space="preserve"> </w:t>
      </w:r>
      <w:r w:rsidR="00B83D3F">
        <w:t>different outcomes are detected in the tests, it could confirm the third hypothesis that there is a difference in relationship between corporate governance and earnings management in China and U.S.</w:t>
      </w:r>
    </w:p>
    <w:p w:rsidR="00AF413A" w:rsidRDefault="00AF413A" w:rsidP="00AF413A">
      <w:pPr>
        <w:pStyle w:val="Heading2"/>
      </w:pPr>
      <w:bookmarkStart w:id="54" w:name="_Toc400916076"/>
      <w:r>
        <w:t>Limitation and future recommendations</w:t>
      </w:r>
      <w:bookmarkEnd w:id="54"/>
    </w:p>
    <w:p w:rsidR="00AF413A" w:rsidRDefault="00AF413A" w:rsidP="00BF14B5">
      <w:pPr>
        <w:rPr>
          <w:rFonts w:asciiTheme="minorHAnsi" w:hAnsiTheme="minorHAnsi"/>
          <w:sz w:val="22"/>
        </w:rPr>
      </w:pPr>
      <w:r>
        <w:t xml:space="preserve">This research thesis has several limitations. Firstly, </w:t>
      </w:r>
      <w:r w:rsidR="00E8526D">
        <w:t xml:space="preserve">the </w:t>
      </w:r>
      <w:r w:rsidR="00305FE0">
        <w:t>Performance-Matched Discretionary Accruals M</w:t>
      </w:r>
      <w:r>
        <w:t xml:space="preserve">odel </w:t>
      </w:r>
      <w:r w:rsidR="00E8526D">
        <w:t>was</w:t>
      </w:r>
      <w:r>
        <w:t xml:space="preserve"> used to measure earnings management </w:t>
      </w:r>
      <w:r w:rsidR="00E8526D">
        <w:t>i</w:t>
      </w:r>
      <w:r>
        <w:t xml:space="preserve">n this </w:t>
      </w:r>
      <w:r w:rsidR="00E8526D">
        <w:t>study</w:t>
      </w:r>
      <w:r>
        <w:t xml:space="preserve">. Although this model could mitigate </w:t>
      </w:r>
      <w:r w:rsidRPr="003D2DC0">
        <w:t>misspecification</w:t>
      </w:r>
      <w:r>
        <w:t xml:space="preserve"> problem, </w:t>
      </w:r>
      <w:r w:rsidRPr="00E023E5">
        <w:t xml:space="preserve">it </w:t>
      </w:r>
      <w:r w:rsidR="00A3607A" w:rsidRPr="00E023E5">
        <w:t xml:space="preserve">also </w:t>
      </w:r>
      <w:r w:rsidRPr="00E023E5">
        <w:t>reduce</w:t>
      </w:r>
      <w:r w:rsidR="00A3607A" w:rsidRPr="00E023E5">
        <w:t>s</w:t>
      </w:r>
      <w:r w:rsidR="003D2DC0" w:rsidRPr="00E023E5">
        <w:t xml:space="preserve"> the test </w:t>
      </w:r>
      <w:r w:rsidR="003D2DC0" w:rsidRPr="00E023E5">
        <w:lastRenderedPageBreak/>
        <w:t xml:space="preserve">power </w:t>
      </w:r>
      <w:r w:rsidR="00A3607A">
        <w:t>(Dechow</w:t>
      </w:r>
      <w:r w:rsidR="003D2DC0">
        <w:t xml:space="preserve">, </w:t>
      </w:r>
      <w:r w:rsidR="00A3607A">
        <w:t>2012)</w:t>
      </w:r>
      <w:r>
        <w:t xml:space="preserve">. Meanwhile, </w:t>
      </w:r>
      <w:r w:rsidR="00A3607A">
        <w:t xml:space="preserve">several researchers </w:t>
      </w:r>
      <w:r>
        <w:t xml:space="preserve">in </w:t>
      </w:r>
      <w:r w:rsidR="00A3607A">
        <w:t>the previous literature were doubted whe</w:t>
      </w:r>
      <w:r>
        <w:t xml:space="preserve">ther </w:t>
      </w:r>
      <w:r w:rsidR="00A3607A">
        <w:t xml:space="preserve">this model </w:t>
      </w:r>
      <w:r>
        <w:t xml:space="preserve">can capture the full </w:t>
      </w:r>
      <w:r w:rsidR="00561B7E">
        <w:t>level of discretionary accruals</w:t>
      </w:r>
      <w:r>
        <w:t xml:space="preserve">. However, this model </w:t>
      </w:r>
      <w:r w:rsidR="00A3607A" w:rsidRPr="00561B7E">
        <w:t>is</w:t>
      </w:r>
      <w:r w:rsidR="00A3607A">
        <w:rPr>
          <w:color w:val="FF0000"/>
        </w:rPr>
        <w:t xml:space="preserve"> </w:t>
      </w:r>
      <w:r>
        <w:t xml:space="preserve">a </w:t>
      </w:r>
      <w:r w:rsidR="00561B7E">
        <w:t>crucial</w:t>
      </w:r>
      <w:r>
        <w:t xml:space="preserve"> improvement to the prior models in </w:t>
      </w:r>
      <w:r w:rsidR="00A3607A">
        <w:t xml:space="preserve">terms of detecting earnings management. </w:t>
      </w:r>
      <w:r>
        <w:t xml:space="preserve">Therefore, </w:t>
      </w:r>
      <w:r w:rsidR="00A3607A">
        <w:t>the performance</w:t>
      </w:r>
      <w:r>
        <w:t xml:space="preserve">–matched discretionary accruals model is </w:t>
      </w:r>
      <w:r w:rsidR="00A3607A">
        <w:t xml:space="preserve">still an </w:t>
      </w:r>
      <w:r>
        <w:t>appropriate one to capture earnings management in this empirical study.</w:t>
      </w:r>
    </w:p>
    <w:p w:rsidR="009977C2" w:rsidRDefault="00AF413A" w:rsidP="00BF14B5">
      <w:r>
        <w:t xml:space="preserve">Secondly, this </w:t>
      </w:r>
      <w:r w:rsidR="00320AA4">
        <w:t xml:space="preserve">study is </w:t>
      </w:r>
      <w:r>
        <w:t>based on the emerging market of China and the developed market of U.S</w:t>
      </w:r>
      <w:r w:rsidR="00320AA4">
        <w:t>.</w:t>
      </w:r>
      <w:r>
        <w:t xml:space="preserve"> </w:t>
      </w:r>
      <w:r w:rsidR="00320AA4">
        <w:t>T</w:t>
      </w:r>
      <w:r>
        <w:t xml:space="preserve">he results cannot be used to generalize </w:t>
      </w:r>
      <w:r w:rsidR="00320AA4">
        <w:t xml:space="preserve">the </w:t>
      </w:r>
      <w:r w:rsidRPr="00561B7E">
        <w:t>concern</w:t>
      </w:r>
      <w:r w:rsidR="00320AA4" w:rsidRPr="00561B7E">
        <w:t xml:space="preserve">s of </w:t>
      </w:r>
      <w:r>
        <w:t>all emerging markets and all developed countries. However, th</w:t>
      </w:r>
      <w:r w:rsidR="00320AA4">
        <w:t>e</w:t>
      </w:r>
      <w:r>
        <w:t xml:space="preserve"> outcomes </w:t>
      </w:r>
      <w:r w:rsidR="00320AA4">
        <w:t xml:space="preserve">of this thesis </w:t>
      </w:r>
      <w:r>
        <w:t>might contribute to the future studies on the correlation between corporate gov</w:t>
      </w:r>
      <w:r w:rsidR="0032727D">
        <w:t>ernance and earnings management.</w:t>
      </w:r>
    </w:p>
    <w:p w:rsidR="002E3AA5" w:rsidRPr="00D203EF" w:rsidRDefault="003248E5" w:rsidP="00BF14B5">
      <w:pPr>
        <w:rPr>
          <w:color w:val="000000" w:themeColor="text1"/>
        </w:rPr>
      </w:pPr>
      <w:r w:rsidRPr="00D203EF">
        <w:rPr>
          <w:color w:val="000000" w:themeColor="text1"/>
        </w:rPr>
        <w:t>Thirdly, as described in Chapter 2</w:t>
      </w:r>
      <w:r w:rsidR="002E3AA5" w:rsidRPr="00D203EF">
        <w:rPr>
          <w:color w:val="000000" w:themeColor="text1"/>
        </w:rPr>
        <w:t xml:space="preserve">, the corporate governance mechanism includes internal governance and external governance. This thesis only concentrated on the board characteristics and ownership structure, and may omit some specific items which could measure corporate governance. This </w:t>
      </w:r>
      <w:r w:rsidRPr="00D203EF">
        <w:rPr>
          <w:color w:val="000000" w:themeColor="text1"/>
        </w:rPr>
        <w:t xml:space="preserve">is </w:t>
      </w:r>
      <w:r w:rsidR="002E3AA5" w:rsidRPr="00D203EF">
        <w:rPr>
          <w:color w:val="000000" w:themeColor="text1"/>
        </w:rPr>
        <w:t>consider</w:t>
      </w:r>
      <w:r w:rsidRPr="00D203EF">
        <w:rPr>
          <w:color w:val="000000" w:themeColor="text1"/>
        </w:rPr>
        <w:t>ed as one of</w:t>
      </w:r>
      <w:r w:rsidR="002E3AA5" w:rsidRPr="00D203EF">
        <w:rPr>
          <w:color w:val="000000" w:themeColor="text1"/>
        </w:rPr>
        <w:t xml:space="preserve"> limitation</w:t>
      </w:r>
      <w:r w:rsidRPr="00D203EF">
        <w:rPr>
          <w:color w:val="000000" w:themeColor="text1"/>
        </w:rPr>
        <w:t>s</w:t>
      </w:r>
      <w:r w:rsidR="002E3AA5" w:rsidRPr="00D203EF">
        <w:rPr>
          <w:color w:val="000000" w:themeColor="text1"/>
        </w:rPr>
        <w:t xml:space="preserve"> of this research thesis.</w:t>
      </w:r>
    </w:p>
    <w:p w:rsidR="00AF413A" w:rsidRDefault="00AF413A" w:rsidP="00BF14B5">
      <w:r>
        <w:t xml:space="preserve">In </w:t>
      </w:r>
      <w:r w:rsidR="00320AA4">
        <w:t>addition</w:t>
      </w:r>
      <w:r w:rsidR="00DE4D4D">
        <w:t>, to future studies</w:t>
      </w:r>
      <w:r>
        <w:t xml:space="preserve">, it may be interesting for future researchers to examine the changes in the relationship between corporate governance and earnings management before and after the implement </w:t>
      </w:r>
      <w:r w:rsidR="00320AA4">
        <w:t xml:space="preserve">of the </w:t>
      </w:r>
      <w:r>
        <w:t xml:space="preserve">new accounting standards </w:t>
      </w:r>
      <w:r w:rsidR="00320AA4">
        <w:t xml:space="preserve">in </w:t>
      </w:r>
      <w:r>
        <w:t>China. Th</w:t>
      </w:r>
      <w:r w:rsidR="00320AA4">
        <w:t xml:space="preserve">e </w:t>
      </w:r>
      <w:r>
        <w:t xml:space="preserve">new accounting standards are substantially in line with </w:t>
      </w:r>
      <w:r w:rsidR="00320AA4">
        <w:t xml:space="preserve">the </w:t>
      </w:r>
      <w:r>
        <w:t xml:space="preserve">International Financial Reporting standards (IFRS) and are mandatory to all Chinese listed firms </w:t>
      </w:r>
      <w:r w:rsidR="00320AA4">
        <w:t>since</w:t>
      </w:r>
      <w:r>
        <w:t xml:space="preserve"> 1</w:t>
      </w:r>
      <w:r w:rsidR="00320AA4">
        <w:t>st</w:t>
      </w:r>
      <w:r>
        <w:t xml:space="preserve"> January</w:t>
      </w:r>
      <w:r w:rsidR="00320AA4">
        <w:t>,</w:t>
      </w:r>
      <w:r>
        <w:t xml:space="preserve"> 2007. It </w:t>
      </w:r>
      <w:r w:rsidR="00320AA4" w:rsidRPr="00561B7E">
        <w:t xml:space="preserve">might </w:t>
      </w:r>
      <w:r w:rsidRPr="00561B7E">
        <w:t>bring</w:t>
      </w:r>
      <w:r>
        <w:t xml:space="preserve"> significant differences compared </w:t>
      </w:r>
      <w:r w:rsidR="00320AA4">
        <w:t>with</w:t>
      </w:r>
      <w:r>
        <w:t xml:space="preserve"> the old accounting system, and might impact the correlation between corporate governance and earnings management. </w:t>
      </w:r>
    </w:p>
    <w:p w:rsidR="00AF413A" w:rsidRPr="00561B7E" w:rsidRDefault="00320AA4" w:rsidP="00BF14B5">
      <w:r w:rsidRPr="00561B7E">
        <w:t>Last but not the least</w:t>
      </w:r>
      <w:r w:rsidR="00AF413A" w:rsidRPr="00561B7E">
        <w:t xml:space="preserve">, it might be </w:t>
      </w:r>
      <w:r w:rsidRPr="00561B7E">
        <w:t xml:space="preserve">interesting to </w:t>
      </w:r>
      <w:r w:rsidR="00AF413A" w:rsidRPr="00561B7E">
        <w:t>investigat</w:t>
      </w:r>
      <w:r w:rsidRPr="00561B7E">
        <w:t xml:space="preserve">e </w:t>
      </w:r>
      <w:r w:rsidR="00AF413A" w:rsidRPr="00561B7E">
        <w:t xml:space="preserve">the differences in the association between corporate governance and earnings management in </w:t>
      </w:r>
      <w:r w:rsidR="003F3525" w:rsidRPr="00561B7E">
        <w:t xml:space="preserve">the </w:t>
      </w:r>
      <w:r w:rsidR="00B958A6">
        <w:t>state-</w:t>
      </w:r>
      <w:r w:rsidR="00AF413A" w:rsidRPr="00561B7E">
        <w:t>own</w:t>
      </w:r>
      <w:r w:rsidR="00C95B01">
        <w:t>ed</w:t>
      </w:r>
      <w:r w:rsidR="00AF413A" w:rsidRPr="00561B7E">
        <w:t xml:space="preserve"> enterprises and </w:t>
      </w:r>
      <w:r w:rsidR="003F3525" w:rsidRPr="00561B7E">
        <w:t xml:space="preserve">the </w:t>
      </w:r>
      <w:r w:rsidR="00AF413A" w:rsidRPr="00561B7E">
        <w:t>private firms</w:t>
      </w:r>
      <w:r w:rsidRPr="00561B7E">
        <w:t xml:space="preserve"> </w:t>
      </w:r>
      <w:r w:rsidR="003F3525" w:rsidRPr="00561B7E">
        <w:t xml:space="preserve">in China </w:t>
      </w:r>
      <w:r w:rsidRPr="00561B7E">
        <w:t xml:space="preserve">since </w:t>
      </w:r>
      <w:r w:rsidR="003F3525" w:rsidRPr="00561B7E">
        <w:t xml:space="preserve">the </w:t>
      </w:r>
      <w:r w:rsidR="00B958A6">
        <w:t>state</w:t>
      </w:r>
      <w:r w:rsidR="002762AC">
        <w:t>-</w:t>
      </w:r>
      <w:r w:rsidRPr="00561B7E">
        <w:t>own</w:t>
      </w:r>
      <w:r w:rsidR="003F3525" w:rsidRPr="00561B7E">
        <w:t>ed</w:t>
      </w:r>
      <w:r w:rsidRPr="00561B7E">
        <w:t xml:space="preserve"> enterprises (SOEs) </w:t>
      </w:r>
      <w:r w:rsidR="00561B7E">
        <w:t xml:space="preserve">account for a large percentage </w:t>
      </w:r>
      <w:r w:rsidR="003F3525" w:rsidRPr="00561B7E">
        <w:t xml:space="preserve">in China </w:t>
      </w:r>
      <w:r w:rsidR="00561B7E">
        <w:t>listed firms.</w:t>
      </w:r>
    </w:p>
    <w:p w:rsidR="00AF413A" w:rsidRDefault="00AF413A" w:rsidP="00AF413A">
      <w:pPr>
        <w:rPr>
          <w:rFonts w:asciiTheme="minorHAnsi" w:hAnsiTheme="minorHAnsi"/>
          <w:sz w:val="23"/>
          <w:szCs w:val="23"/>
        </w:rPr>
      </w:pPr>
    </w:p>
    <w:p w:rsidR="00AF413A" w:rsidRPr="00AF413A" w:rsidRDefault="00AF413A" w:rsidP="00AF413A">
      <w:pPr>
        <w:sectPr w:rsidR="00AF413A" w:rsidRPr="00AF413A">
          <w:pgSz w:w="12240" w:h="15840"/>
          <w:pgMar w:top="1440" w:right="1800" w:bottom="1440" w:left="1800" w:header="720" w:footer="720" w:gutter="0"/>
          <w:cols w:space="720"/>
          <w:docGrid w:linePitch="360"/>
        </w:sectPr>
      </w:pPr>
    </w:p>
    <w:p w:rsidR="00882028" w:rsidRDefault="00882028" w:rsidP="00AB2A25">
      <w:pPr>
        <w:pStyle w:val="Heading5"/>
      </w:pPr>
    </w:p>
    <w:p w:rsidR="006D3049" w:rsidRPr="00B9756C" w:rsidRDefault="006D3049" w:rsidP="006D3049">
      <w:pPr>
        <w:pStyle w:val="NormalWeb"/>
        <w:ind w:left="480" w:hanging="480"/>
        <w:jc w:val="both"/>
        <w:rPr>
          <w:noProof/>
          <w:lang w:val="en-US"/>
        </w:rPr>
      </w:pPr>
      <w:r>
        <w:rPr>
          <w:noProof/>
          <w:lang w:val="en-US"/>
        </w:rPr>
        <w:t xml:space="preserve">Abdul Rahman, R. </w:t>
      </w:r>
      <w:r w:rsidRPr="002E50AF">
        <w:rPr>
          <w:noProof/>
          <w:lang w:val="en-US"/>
        </w:rPr>
        <w:t>&amp;</w:t>
      </w:r>
      <w:r>
        <w:rPr>
          <w:noProof/>
          <w:lang w:val="en-US"/>
        </w:rPr>
        <w:t xml:space="preserve"> </w:t>
      </w:r>
      <w:r w:rsidRPr="006B1D67">
        <w:rPr>
          <w:noProof/>
          <w:lang w:val="en-US"/>
        </w:rPr>
        <w:t>Mohamed Ali, F.H.</w:t>
      </w:r>
      <w:r w:rsidRPr="00B9756C">
        <w:rPr>
          <w:noProof/>
          <w:lang w:val="en-US"/>
        </w:rPr>
        <w:t xml:space="preserve">. (2006). Board, audit committee, culture and earnings management: Malaysian evidence. </w:t>
      </w:r>
      <w:r w:rsidRPr="00B9756C">
        <w:rPr>
          <w:i/>
          <w:iCs/>
          <w:noProof/>
          <w:lang w:val="en-US"/>
        </w:rPr>
        <w:t>Managerial Auditing Journal</w:t>
      </w:r>
      <w:r w:rsidRPr="00B9756C">
        <w:rPr>
          <w:noProof/>
          <w:lang w:val="en-US"/>
        </w:rPr>
        <w:t xml:space="preserve">, </w:t>
      </w:r>
      <w:r w:rsidRPr="00B9756C">
        <w:rPr>
          <w:i/>
          <w:iCs/>
          <w:noProof/>
          <w:lang w:val="en-US"/>
        </w:rPr>
        <w:t>21</w:t>
      </w:r>
      <w:r w:rsidRPr="00B9756C">
        <w:rPr>
          <w:noProof/>
          <w:lang w:val="en-US"/>
        </w:rPr>
        <w:t xml:space="preserve">(7), 783–804. </w:t>
      </w:r>
    </w:p>
    <w:p w:rsidR="006D3049" w:rsidRPr="00B9756C" w:rsidRDefault="006D3049" w:rsidP="006D3049">
      <w:pPr>
        <w:pStyle w:val="NormalWeb"/>
        <w:ind w:left="480" w:hanging="480"/>
        <w:jc w:val="both"/>
        <w:rPr>
          <w:noProof/>
          <w:lang w:val="en-US"/>
        </w:rPr>
      </w:pPr>
      <w:r w:rsidRPr="00B9756C">
        <w:rPr>
          <w:noProof/>
          <w:lang w:val="en-US"/>
        </w:rPr>
        <w:t xml:space="preserve">Abed, S., Al-Attar, A., &amp; Suwaidan, M. (2012). Corporate Governance and Earnings Management: Jordanian Evidence. </w:t>
      </w:r>
      <w:r w:rsidRPr="00B9756C">
        <w:rPr>
          <w:i/>
          <w:iCs/>
          <w:noProof/>
          <w:lang w:val="en-US"/>
        </w:rPr>
        <w:t>International Business Research</w:t>
      </w:r>
      <w:r w:rsidRPr="00B9756C">
        <w:rPr>
          <w:noProof/>
          <w:lang w:val="en-US"/>
        </w:rPr>
        <w:t xml:space="preserve">, </w:t>
      </w:r>
      <w:r w:rsidRPr="00B9756C">
        <w:rPr>
          <w:i/>
          <w:iCs/>
          <w:noProof/>
          <w:lang w:val="en-US"/>
        </w:rPr>
        <w:t>5</w:t>
      </w:r>
      <w:r w:rsidRPr="00B9756C">
        <w:rPr>
          <w:noProof/>
          <w:lang w:val="en-US"/>
        </w:rPr>
        <w:t xml:space="preserve">(1), 216–225. </w:t>
      </w:r>
    </w:p>
    <w:p w:rsidR="006D3049" w:rsidRDefault="006D3049" w:rsidP="006D3049">
      <w:pPr>
        <w:pStyle w:val="NormalWeb"/>
        <w:ind w:left="480" w:hanging="480"/>
        <w:jc w:val="both"/>
        <w:rPr>
          <w:noProof/>
          <w:lang w:val="en-US"/>
        </w:rPr>
      </w:pPr>
      <w:r w:rsidRPr="00B9756C">
        <w:rPr>
          <w:noProof/>
          <w:lang w:val="en-US"/>
        </w:rPr>
        <w:t xml:space="preserve">Al-Fayoumi, N., Abuzayed, B., &amp; Alexander, D. (2010). Ownership Structure and Earnings Management in Emerging Markets: The Case of Jordan. </w:t>
      </w:r>
      <w:r w:rsidRPr="00B9756C">
        <w:rPr>
          <w:i/>
          <w:iCs/>
          <w:noProof/>
          <w:lang w:val="en-US"/>
        </w:rPr>
        <w:t>International Research Journal of Finance and Economics</w:t>
      </w:r>
      <w:r w:rsidRPr="00B9756C">
        <w:rPr>
          <w:noProof/>
          <w:lang w:val="en-US"/>
        </w:rPr>
        <w:t>, 38, 28-47.</w:t>
      </w:r>
    </w:p>
    <w:p w:rsidR="006D3049" w:rsidRPr="00B9756C" w:rsidRDefault="006D3049" w:rsidP="006D3049">
      <w:pPr>
        <w:pStyle w:val="NormalWeb"/>
        <w:ind w:left="480" w:hanging="480"/>
        <w:jc w:val="both"/>
        <w:rPr>
          <w:noProof/>
          <w:lang w:val="en-US"/>
        </w:rPr>
      </w:pPr>
      <w:r>
        <w:rPr>
          <w:noProof/>
          <w:lang w:val="en-US"/>
        </w:rPr>
        <w:t xml:space="preserve">Ali, </w:t>
      </w:r>
      <w:r w:rsidRPr="00B9756C">
        <w:rPr>
          <w:noProof/>
          <w:lang w:val="en-US"/>
        </w:rPr>
        <w:t xml:space="preserve">SM., Salleh, NM., &amp; Hassan, MS. (2008) Ownership structure and earnings management in Malaysian listed companies: the size effect.  Asian Journal of Business and Accounting, </w:t>
      </w:r>
      <w:r w:rsidRPr="00B9756C">
        <w:rPr>
          <w:i/>
          <w:noProof/>
          <w:lang w:val="en-US"/>
        </w:rPr>
        <w:t>1</w:t>
      </w:r>
      <w:r w:rsidRPr="00B9756C">
        <w:rPr>
          <w:noProof/>
          <w:lang w:val="en-US"/>
        </w:rPr>
        <w:t>(2), 89-116.</w:t>
      </w:r>
    </w:p>
    <w:p w:rsidR="00585641" w:rsidRDefault="00EF1EDC" w:rsidP="00585641">
      <w:pPr>
        <w:pStyle w:val="NormalWeb"/>
        <w:ind w:left="480" w:hanging="480"/>
        <w:jc w:val="both"/>
        <w:rPr>
          <w:noProof/>
          <w:lang w:val="en-US"/>
        </w:rPr>
      </w:pPr>
      <w:r w:rsidRPr="00DA2620">
        <w:rPr>
          <w:noProof/>
        </w:rPr>
        <w:fldChar w:fldCharType="begin" w:fldLock="1"/>
      </w:r>
      <w:r w:rsidR="00585641" w:rsidRPr="00B9756C">
        <w:rPr>
          <w:noProof/>
          <w:lang w:val="en-US"/>
        </w:rPr>
        <w:instrText xml:space="preserve">ADDIN Mendeley Bibliography CSL_BIBLIOGRAPHY </w:instrText>
      </w:r>
      <w:r w:rsidRPr="00DA2620">
        <w:rPr>
          <w:noProof/>
        </w:rPr>
        <w:fldChar w:fldCharType="separate"/>
      </w:r>
      <w:r w:rsidR="00585641" w:rsidRPr="00E0785E">
        <w:rPr>
          <w:noProof/>
          <w:lang w:val="en-US"/>
        </w:rPr>
        <w:t xml:space="preserve">Allen, F. (2005). Corporate governance in emerging economies. </w:t>
      </w:r>
      <w:r w:rsidR="00585641" w:rsidRPr="007B4191">
        <w:rPr>
          <w:i/>
          <w:noProof/>
          <w:lang w:val="en-US"/>
        </w:rPr>
        <w:t>Oxford Review of Economic Policy</w:t>
      </w:r>
      <w:r w:rsidR="00585641" w:rsidRPr="00E0785E">
        <w:rPr>
          <w:noProof/>
          <w:lang w:val="en-US"/>
        </w:rPr>
        <w:t xml:space="preserve">, </w:t>
      </w:r>
      <w:r w:rsidR="00585641" w:rsidRPr="007B4191">
        <w:rPr>
          <w:i/>
          <w:noProof/>
          <w:lang w:val="en-US"/>
        </w:rPr>
        <w:t>21</w:t>
      </w:r>
      <w:r w:rsidR="00585641" w:rsidRPr="00E0785E">
        <w:rPr>
          <w:noProof/>
          <w:lang w:val="en-US"/>
        </w:rPr>
        <w:t xml:space="preserve">(2), 164–177. </w:t>
      </w:r>
    </w:p>
    <w:p w:rsidR="00585641" w:rsidRPr="00B9756C" w:rsidRDefault="00585641" w:rsidP="00585641">
      <w:pPr>
        <w:pStyle w:val="NormalWeb"/>
        <w:ind w:left="480" w:hanging="480"/>
        <w:jc w:val="both"/>
        <w:rPr>
          <w:noProof/>
          <w:lang w:val="en-US"/>
        </w:rPr>
      </w:pPr>
      <w:r w:rsidRPr="00B9756C">
        <w:rPr>
          <w:noProof/>
          <w:lang w:val="en-US"/>
        </w:rPr>
        <w:t xml:space="preserve">Allen, F., Qian, J., &amp; Qian, M. (2005). Law, finance, and economic growth in China. </w:t>
      </w:r>
      <w:r w:rsidRPr="00B9756C">
        <w:rPr>
          <w:i/>
          <w:iCs/>
          <w:noProof/>
          <w:lang w:val="en-US"/>
        </w:rPr>
        <w:t>Journal of Financial Economics</w:t>
      </w:r>
      <w:r w:rsidRPr="00B9756C">
        <w:rPr>
          <w:noProof/>
          <w:lang w:val="en-US"/>
        </w:rPr>
        <w:t xml:space="preserve">, </w:t>
      </w:r>
      <w:r w:rsidRPr="00B9756C">
        <w:rPr>
          <w:i/>
          <w:iCs/>
          <w:noProof/>
          <w:lang w:val="en-US"/>
        </w:rPr>
        <w:t>77</w:t>
      </w:r>
      <w:r w:rsidRPr="00B9756C">
        <w:rPr>
          <w:noProof/>
          <w:lang w:val="en-US"/>
        </w:rPr>
        <w:t>(1), 57–116.</w:t>
      </w:r>
    </w:p>
    <w:p w:rsidR="006D3049" w:rsidRPr="00B9756C" w:rsidRDefault="006D3049" w:rsidP="006D3049">
      <w:pPr>
        <w:pStyle w:val="NormalWeb"/>
        <w:ind w:left="480" w:hanging="480"/>
        <w:jc w:val="both"/>
        <w:rPr>
          <w:noProof/>
          <w:lang w:val="en-US"/>
        </w:rPr>
      </w:pPr>
      <w:r w:rsidRPr="00B9756C">
        <w:rPr>
          <w:noProof/>
          <w:lang w:val="en-US"/>
        </w:rPr>
        <w:t xml:space="preserve">Alsharairi, M., &amp; Salama, A. (2012). Does High Leverage Impact Earnings Management ? Evidence from Non </w:t>
      </w:r>
      <w:r w:rsidRPr="00B9756C">
        <w:rPr>
          <w:noProof/>
          <w:lang w:val="en-US"/>
        </w:rPr>
        <w:softHyphen/>
        <w:t xml:space="preserve"> cash Mergers and Acquisitions. </w:t>
      </w:r>
      <w:r w:rsidRPr="00082115">
        <w:rPr>
          <w:i/>
          <w:iCs/>
          <w:noProof/>
          <w:lang w:val="en-US"/>
        </w:rPr>
        <w:t xml:space="preserve">Journal of </w:t>
      </w:r>
      <w:r>
        <w:rPr>
          <w:i/>
          <w:iCs/>
          <w:noProof/>
          <w:lang w:val="en-US"/>
        </w:rPr>
        <w:t>Financial and Economic Practice</w:t>
      </w:r>
      <w:r w:rsidRPr="00B9756C">
        <w:rPr>
          <w:noProof/>
          <w:lang w:val="en-US"/>
        </w:rPr>
        <w:t xml:space="preserve">, </w:t>
      </w:r>
      <w:r>
        <w:rPr>
          <w:i/>
          <w:iCs/>
          <w:noProof/>
          <w:lang w:val="en-US"/>
        </w:rPr>
        <w:t>12</w:t>
      </w:r>
      <w:r w:rsidRPr="00082115">
        <w:rPr>
          <w:iCs/>
          <w:noProof/>
          <w:lang w:val="en-US"/>
        </w:rPr>
        <w:t>(1), 17-33</w:t>
      </w:r>
      <w:r>
        <w:rPr>
          <w:noProof/>
          <w:lang w:val="en-US"/>
        </w:rPr>
        <w:t>.</w:t>
      </w:r>
    </w:p>
    <w:p w:rsidR="006D3049" w:rsidRPr="00B9756C" w:rsidRDefault="006D3049" w:rsidP="006D3049">
      <w:pPr>
        <w:pStyle w:val="NormalWeb"/>
        <w:ind w:left="480" w:hanging="480"/>
        <w:jc w:val="both"/>
        <w:rPr>
          <w:noProof/>
          <w:lang w:val="en-US"/>
        </w:rPr>
      </w:pPr>
      <w:r w:rsidRPr="00B9756C">
        <w:rPr>
          <w:noProof/>
          <w:lang w:val="en-US"/>
        </w:rPr>
        <w:t xml:space="preserve">Alves, S. (2012). Ownership Structure and Earnings Management: Evidence from Portugal. </w:t>
      </w:r>
      <w:r w:rsidRPr="00B9756C">
        <w:rPr>
          <w:i/>
          <w:iCs/>
          <w:noProof/>
          <w:lang w:val="en-US"/>
        </w:rPr>
        <w:t>Australasian Accounting Business and Finance Journal</w:t>
      </w:r>
      <w:r w:rsidRPr="00B9756C">
        <w:rPr>
          <w:noProof/>
          <w:lang w:val="en-US"/>
        </w:rPr>
        <w:t xml:space="preserve">, </w:t>
      </w:r>
      <w:r w:rsidRPr="00B9756C">
        <w:rPr>
          <w:i/>
          <w:iCs/>
          <w:noProof/>
          <w:lang w:val="en-US"/>
        </w:rPr>
        <w:t>6</w:t>
      </w:r>
      <w:r w:rsidRPr="00B9756C">
        <w:rPr>
          <w:noProof/>
          <w:lang w:val="en-US"/>
        </w:rPr>
        <w:t xml:space="preserve">(1), 57–74. </w:t>
      </w:r>
    </w:p>
    <w:p w:rsidR="006D3049" w:rsidRDefault="006D3049" w:rsidP="0093488B">
      <w:pPr>
        <w:pStyle w:val="NormalWeb"/>
        <w:ind w:left="480" w:hanging="480"/>
        <w:jc w:val="both"/>
        <w:rPr>
          <w:noProof/>
          <w:lang w:val="en-US"/>
        </w:rPr>
      </w:pPr>
      <w:r w:rsidRPr="00E0785E">
        <w:rPr>
          <w:noProof/>
          <w:lang w:val="en-US"/>
        </w:rPr>
        <w:t xml:space="preserve">Arya, A., Glover, J., &amp; Sunder, S. (1998). Earnings Management and the Revelation Principle. </w:t>
      </w:r>
      <w:r w:rsidRPr="00E0785E">
        <w:rPr>
          <w:i/>
          <w:iCs/>
          <w:noProof/>
          <w:lang w:val="en-US"/>
        </w:rPr>
        <w:t>Review of Accounting Studies</w:t>
      </w:r>
      <w:r w:rsidRPr="00E0785E">
        <w:rPr>
          <w:noProof/>
          <w:lang w:val="en-US"/>
        </w:rPr>
        <w:t xml:space="preserve">, </w:t>
      </w:r>
      <w:r w:rsidRPr="00E0785E">
        <w:rPr>
          <w:i/>
          <w:iCs/>
          <w:noProof/>
          <w:lang w:val="en-US"/>
        </w:rPr>
        <w:t>3</w:t>
      </w:r>
      <w:r>
        <w:rPr>
          <w:noProof/>
          <w:lang w:val="en-US"/>
        </w:rPr>
        <w:t>(1-2), 7–34.</w:t>
      </w:r>
    </w:p>
    <w:p w:rsidR="006D3049" w:rsidRDefault="006D3049" w:rsidP="006D3049">
      <w:pPr>
        <w:pStyle w:val="NormalWeb"/>
        <w:ind w:left="480" w:hanging="480"/>
        <w:jc w:val="both"/>
        <w:rPr>
          <w:noProof/>
          <w:lang w:val="en-US"/>
        </w:rPr>
      </w:pPr>
      <w:r w:rsidRPr="00B9756C">
        <w:rPr>
          <w:noProof/>
          <w:lang w:val="en-US"/>
        </w:rPr>
        <w:t xml:space="preserve">Balasubramanian, B. N., Black, B. S., &amp; Khanna, V. S. (2010). The relation between firm-level corporate governance and market value: A case study of India. </w:t>
      </w:r>
      <w:r w:rsidRPr="00B9756C">
        <w:rPr>
          <w:i/>
          <w:iCs/>
          <w:noProof/>
          <w:lang w:val="en-US"/>
        </w:rPr>
        <w:t>Emerging Markets Review</w:t>
      </w:r>
      <w:r w:rsidRPr="00B9756C">
        <w:rPr>
          <w:noProof/>
          <w:lang w:val="en-US"/>
        </w:rPr>
        <w:t xml:space="preserve">, </w:t>
      </w:r>
      <w:r w:rsidRPr="00B9756C">
        <w:rPr>
          <w:i/>
          <w:iCs/>
          <w:noProof/>
          <w:lang w:val="en-US"/>
        </w:rPr>
        <w:t>11</w:t>
      </w:r>
      <w:r w:rsidRPr="00B9756C">
        <w:rPr>
          <w:noProof/>
          <w:lang w:val="en-US"/>
        </w:rPr>
        <w:t>(4), 319–340.</w:t>
      </w:r>
    </w:p>
    <w:p w:rsidR="00585641" w:rsidRPr="00B9756C" w:rsidRDefault="006D3049" w:rsidP="00830174">
      <w:pPr>
        <w:pStyle w:val="NormalWeb"/>
        <w:ind w:left="480" w:hanging="480"/>
        <w:jc w:val="both"/>
        <w:rPr>
          <w:lang w:val="en-US"/>
        </w:rPr>
      </w:pPr>
      <w:r w:rsidRPr="00B9756C">
        <w:rPr>
          <w:noProof/>
          <w:lang w:val="en-US"/>
        </w:rPr>
        <w:t xml:space="preserve">Basel Committee on Banking Supervision. (2005) Enhancing corporate governance for banking organizations. Source: </w:t>
      </w:r>
      <w:hyperlink r:id="rId16" w:history="1">
        <w:r w:rsidRPr="00B9756C">
          <w:rPr>
            <w:lang w:val="en-US"/>
          </w:rPr>
          <w:t>http://www.bis.org/publ/bcbs122.pdf</w:t>
        </w:r>
      </w:hyperlink>
      <w:r w:rsidRPr="00B9756C">
        <w:rPr>
          <w:lang w:val="en-US"/>
        </w:rPr>
        <w:t>.</w:t>
      </w:r>
    </w:p>
    <w:p w:rsidR="00585641" w:rsidRDefault="00585641" w:rsidP="00585641">
      <w:pPr>
        <w:pStyle w:val="NormalWeb"/>
        <w:ind w:left="480" w:hanging="480"/>
        <w:jc w:val="both"/>
        <w:rPr>
          <w:lang w:val="en-US"/>
        </w:rPr>
      </w:pPr>
      <w:r w:rsidRPr="00B9756C">
        <w:rPr>
          <w:lang w:val="en-US"/>
        </w:rPr>
        <w:t xml:space="preserve">Beachy, B. (2012). A Financial Crisis Manual Causes, Consequences, and Lessons of the Financial Crisis. </w:t>
      </w:r>
      <w:r w:rsidRPr="00B9756C">
        <w:rPr>
          <w:i/>
          <w:iCs/>
          <w:lang w:val="en-US"/>
        </w:rPr>
        <w:t xml:space="preserve">Global Development and Environment </w:t>
      </w:r>
      <w:r w:rsidR="00061CFD" w:rsidRPr="00B9756C">
        <w:rPr>
          <w:i/>
          <w:iCs/>
          <w:lang w:val="en-US"/>
        </w:rPr>
        <w:t>Institute</w:t>
      </w:r>
      <w:r w:rsidRPr="00B9756C">
        <w:rPr>
          <w:i/>
          <w:iCs/>
          <w:lang w:val="en-US"/>
        </w:rPr>
        <w:t xml:space="preserve"> Working Paper</w:t>
      </w:r>
      <w:r w:rsidRPr="00B9756C">
        <w:rPr>
          <w:lang w:val="en-US"/>
        </w:rPr>
        <w:t xml:space="preserve">, </w:t>
      </w:r>
      <w:r w:rsidRPr="00B9756C">
        <w:rPr>
          <w:i/>
          <w:iCs/>
          <w:lang w:val="en-US"/>
        </w:rPr>
        <w:t>12</w:t>
      </w:r>
      <w:r w:rsidRPr="00B9756C">
        <w:rPr>
          <w:iCs/>
          <w:lang w:val="en-US"/>
        </w:rPr>
        <w:t>(6)</w:t>
      </w:r>
      <w:r w:rsidRPr="00B9756C">
        <w:rPr>
          <w:lang w:val="en-US"/>
        </w:rPr>
        <w:t>, 1–91.</w:t>
      </w:r>
    </w:p>
    <w:p w:rsidR="006D3049" w:rsidRPr="00B9756C" w:rsidRDefault="006D3049" w:rsidP="006D3049">
      <w:pPr>
        <w:pStyle w:val="NormalWeb"/>
        <w:ind w:left="480" w:hanging="480"/>
        <w:jc w:val="both"/>
        <w:rPr>
          <w:noProof/>
          <w:lang w:val="en-US"/>
        </w:rPr>
      </w:pPr>
      <w:r w:rsidRPr="00B9756C">
        <w:rPr>
          <w:noProof/>
          <w:lang w:val="en-US"/>
        </w:rPr>
        <w:lastRenderedPageBreak/>
        <w:t xml:space="preserve">Bebczuk, R. N. (2005). Corporate Governance and Ownership : Measurement and Impact on Corporate Performance and Dividend Policies in Argentina. </w:t>
      </w:r>
      <w:r w:rsidRPr="00B9756C">
        <w:rPr>
          <w:i/>
          <w:noProof/>
          <w:lang w:val="en-US"/>
        </w:rPr>
        <w:t>Research Network Working Papers</w:t>
      </w:r>
      <w:r w:rsidRPr="00B9756C">
        <w:rPr>
          <w:noProof/>
          <w:lang w:val="en-US"/>
        </w:rPr>
        <w:t xml:space="preserve">, </w:t>
      </w:r>
      <w:r w:rsidRPr="00B9756C">
        <w:rPr>
          <w:i/>
          <w:noProof/>
          <w:lang w:val="en-US"/>
        </w:rPr>
        <w:t>R-516</w:t>
      </w:r>
      <w:r w:rsidRPr="00B9756C">
        <w:rPr>
          <w:noProof/>
          <w:lang w:val="en-US"/>
        </w:rPr>
        <w:t>.</w:t>
      </w:r>
    </w:p>
    <w:p w:rsidR="00585641" w:rsidRDefault="00585641" w:rsidP="00585641">
      <w:pPr>
        <w:pStyle w:val="NormalWeb"/>
        <w:ind w:left="480" w:hanging="480"/>
        <w:jc w:val="both"/>
        <w:rPr>
          <w:noProof/>
          <w:lang w:val="en-US"/>
        </w:rPr>
      </w:pPr>
      <w:r w:rsidRPr="00B9756C">
        <w:rPr>
          <w:noProof/>
          <w:lang w:val="en-US"/>
        </w:rPr>
        <w:t>Becker, C.</w:t>
      </w:r>
      <w:r w:rsidR="00860783" w:rsidRPr="00B9756C">
        <w:rPr>
          <w:noProof/>
          <w:lang w:val="en-US"/>
        </w:rPr>
        <w:t xml:space="preserve"> </w:t>
      </w:r>
      <w:r w:rsidRPr="00B9756C">
        <w:rPr>
          <w:noProof/>
          <w:lang w:val="en-US"/>
        </w:rPr>
        <w:t>L., DeFond, M.</w:t>
      </w:r>
      <w:r w:rsidR="00860783" w:rsidRPr="00B9756C">
        <w:rPr>
          <w:noProof/>
          <w:lang w:val="en-US"/>
        </w:rPr>
        <w:t xml:space="preserve"> </w:t>
      </w:r>
      <w:r w:rsidR="00AF0746" w:rsidRPr="00B9756C">
        <w:rPr>
          <w:noProof/>
          <w:lang w:val="en-US"/>
        </w:rPr>
        <w:t xml:space="preserve">L., Jiambalvo, J. &amp; </w:t>
      </w:r>
      <w:r w:rsidRPr="00B9756C">
        <w:rPr>
          <w:noProof/>
          <w:lang w:val="en-US"/>
        </w:rPr>
        <w:t>Subramanyam, K.</w:t>
      </w:r>
      <w:r w:rsidR="00AF0746" w:rsidRPr="00B9756C">
        <w:rPr>
          <w:noProof/>
          <w:lang w:val="en-US"/>
        </w:rPr>
        <w:t xml:space="preserve"> </w:t>
      </w:r>
      <w:r w:rsidRPr="00B9756C">
        <w:rPr>
          <w:noProof/>
          <w:lang w:val="en-US"/>
        </w:rPr>
        <w:t xml:space="preserve">R. </w:t>
      </w:r>
      <w:r w:rsidR="00293E24" w:rsidRPr="00B9756C">
        <w:rPr>
          <w:noProof/>
          <w:lang w:val="en-US"/>
        </w:rPr>
        <w:t>(</w:t>
      </w:r>
      <w:r w:rsidRPr="00B9756C">
        <w:rPr>
          <w:noProof/>
          <w:lang w:val="en-US"/>
        </w:rPr>
        <w:t>1998</w:t>
      </w:r>
      <w:r w:rsidR="00293E24" w:rsidRPr="00B9756C">
        <w:rPr>
          <w:noProof/>
          <w:lang w:val="en-US"/>
        </w:rPr>
        <w:t>)</w:t>
      </w:r>
      <w:r w:rsidRPr="00B9756C">
        <w:rPr>
          <w:noProof/>
          <w:lang w:val="en-US"/>
        </w:rPr>
        <w:t xml:space="preserve">. The effect of audit quality on earnings management. </w:t>
      </w:r>
      <w:r w:rsidRPr="00B9756C">
        <w:rPr>
          <w:i/>
          <w:noProof/>
          <w:lang w:val="en-US"/>
        </w:rPr>
        <w:t>Contemporary Accounting Research</w:t>
      </w:r>
      <w:r w:rsidRPr="00B9756C">
        <w:rPr>
          <w:noProof/>
          <w:lang w:val="en-US"/>
        </w:rPr>
        <w:t>,</w:t>
      </w:r>
      <w:r w:rsidRPr="00B9756C">
        <w:rPr>
          <w:i/>
          <w:noProof/>
          <w:lang w:val="en-US"/>
        </w:rPr>
        <w:t xml:space="preserve"> 15</w:t>
      </w:r>
      <w:r w:rsidRPr="00B9756C">
        <w:rPr>
          <w:noProof/>
          <w:lang w:val="en-US"/>
        </w:rPr>
        <w:t>(1), 1-24.</w:t>
      </w:r>
    </w:p>
    <w:p w:rsidR="006D3049" w:rsidRPr="00B9756C" w:rsidRDefault="006D3049" w:rsidP="006D3049">
      <w:pPr>
        <w:pStyle w:val="NormalWeb"/>
        <w:ind w:left="480" w:hanging="480"/>
        <w:jc w:val="both"/>
        <w:rPr>
          <w:noProof/>
          <w:lang w:val="en-US"/>
        </w:rPr>
      </w:pPr>
      <w:r w:rsidRPr="00B9756C">
        <w:rPr>
          <w:noProof/>
          <w:lang w:val="en-US"/>
        </w:rPr>
        <w:t xml:space="preserve">Beneish, M. D. (2001). Earnings management: a perspective. </w:t>
      </w:r>
      <w:r w:rsidRPr="00B9756C">
        <w:rPr>
          <w:i/>
          <w:iCs/>
          <w:noProof/>
          <w:lang w:val="en-US"/>
        </w:rPr>
        <w:t>Managerial Finance</w:t>
      </w:r>
      <w:r w:rsidRPr="00B9756C">
        <w:rPr>
          <w:noProof/>
          <w:lang w:val="en-US"/>
        </w:rPr>
        <w:t xml:space="preserve">. </w:t>
      </w:r>
      <w:r w:rsidRPr="00B9756C">
        <w:rPr>
          <w:i/>
          <w:noProof/>
          <w:lang w:val="en-US"/>
        </w:rPr>
        <w:t>27</w:t>
      </w:r>
      <w:r w:rsidRPr="00B9756C">
        <w:rPr>
          <w:noProof/>
          <w:lang w:val="en-US"/>
        </w:rPr>
        <w:t>(12), 3-17.</w:t>
      </w:r>
    </w:p>
    <w:p w:rsidR="006D3049" w:rsidRDefault="00EF1EDC" w:rsidP="006D3049">
      <w:pPr>
        <w:pStyle w:val="NormalWeb"/>
        <w:ind w:left="480" w:hanging="480"/>
        <w:jc w:val="both"/>
        <w:rPr>
          <w:noProof/>
        </w:rPr>
      </w:pPr>
      <w:r w:rsidRPr="00436FC6">
        <w:rPr>
          <w:noProof/>
        </w:rPr>
        <w:fldChar w:fldCharType="begin" w:fldLock="1"/>
      </w:r>
      <w:r w:rsidR="006D3049" w:rsidRPr="00436FC6">
        <w:rPr>
          <w:noProof/>
        </w:rPr>
        <w:instrText xml:space="preserve">ADDIN Mendeley Bibliography CSL_BIBLIOGRAPHY </w:instrText>
      </w:r>
      <w:r w:rsidRPr="00436FC6">
        <w:rPr>
          <w:noProof/>
        </w:rPr>
        <w:fldChar w:fldCharType="separate"/>
      </w:r>
      <w:r w:rsidR="006D3049">
        <w:rPr>
          <w:noProof/>
        </w:rPr>
        <w:t xml:space="preserve">Beneish, M. D., Press, E. G., &amp; Vargus, M. </w:t>
      </w:r>
      <w:r w:rsidR="006D3049" w:rsidRPr="00436FC6">
        <w:rPr>
          <w:noProof/>
        </w:rPr>
        <w:t xml:space="preserve">E. (2005). Does the Threat of Litigation Explain Insider Selling and Earnings Management in Distressed Firms ? </w:t>
      </w:r>
      <w:r w:rsidR="006D3049" w:rsidRPr="00D036BA">
        <w:rPr>
          <w:i/>
          <w:noProof/>
        </w:rPr>
        <w:t>Working</w:t>
      </w:r>
      <w:r w:rsidR="006D3049" w:rsidRPr="00436FC6">
        <w:rPr>
          <w:noProof/>
        </w:rPr>
        <w:t xml:space="preserve"> </w:t>
      </w:r>
      <w:r w:rsidR="006D3049" w:rsidRPr="00D036BA">
        <w:rPr>
          <w:i/>
          <w:noProof/>
        </w:rPr>
        <w:t>Paper</w:t>
      </w:r>
      <w:r w:rsidR="006D3049">
        <w:rPr>
          <w:noProof/>
        </w:rPr>
        <w:t>, I</w:t>
      </w:r>
      <w:r w:rsidR="006D3049" w:rsidRPr="00860783">
        <w:rPr>
          <w:rFonts w:hint="eastAsia"/>
          <w:noProof/>
        </w:rPr>
        <w:t>ndiana University.</w:t>
      </w:r>
    </w:p>
    <w:p w:rsidR="00830174" w:rsidRPr="00B9756C" w:rsidRDefault="00830174" w:rsidP="00830174">
      <w:pPr>
        <w:pStyle w:val="NormalWeb"/>
        <w:ind w:left="480" w:hanging="480"/>
        <w:jc w:val="both"/>
        <w:rPr>
          <w:noProof/>
          <w:lang w:val="en-US"/>
        </w:rPr>
      </w:pPr>
      <w:r w:rsidRPr="00B9756C">
        <w:rPr>
          <w:noProof/>
          <w:lang w:val="en-US"/>
        </w:rPr>
        <w:t xml:space="preserve">Bergstresser, D., &amp; Philippon, T. (2006). CEO incentives and earnings management. </w:t>
      </w:r>
      <w:r w:rsidRPr="00B9756C">
        <w:rPr>
          <w:i/>
          <w:iCs/>
          <w:noProof/>
          <w:lang w:val="en-US"/>
        </w:rPr>
        <w:t>Journal of Financial Economics</w:t>
      </w:r>
      <w:r w:rsidRPr="00B9756C">
        <w:rPr>
          <w:noProof/>
          <w:lang w:val="en-US"/>
        </w:rPr>
        <w:t xml:space="preserve">, </w:t>
      </w:r>
      <w:r w:rsidRPr="00B9756C">
        <w:rPr>
          <w:i/>
          <w:iCs/>
          <w:noProof/>
          <w:lang w:val="en-US"/>
        </w:rPr>
        <w:t>80</w:t>
      </w:r>
      <w:r w:rsidRPr="00B9756C">
        <w:rPr>
          <w:noProof/>
          <w:lang w:val="en-US"/>
        </w:rPr>
        <w:t>(3), 511–529.</w:t>
      </w:r>
    </w:p>
    <w:p w:rsidR="006D3049" w:rsidRPr="00B9756C" w:rsidRDefault="00EF1EDC" w:rsidP="00830174">
      <w:pPr>
        <w:pStyle w:val="NormalWeb"/>
        <w:ind w:left="480" w:hanging="480"/>
        <w:jc w:val="both"/>
        <w:rPr>
          <w:noProof/>
          <w:lang w:val="en-US"/>
        </w:rPr>
      </w:pPr>
      <w:r w:rsidRPr="00436FC6">
        <w:rPr>
          <w:noProof/>
        </w:rPr>
        <w:fldChar w:fldCharType="end"/>
      </w:r>
      <w:r w:rsidR="006D3049" w:rsidRPr="00DF111B">
        <w:rPr>
          <w:noProof/>
        </w:rPr>
        <w:t xml:space="preserve">Bowen, R. M., Rajgopal, S., &amp; Venkatachalam, M. (2008). </w:t>
      </w:r>
      <w:r w:rsidR="006D3049" w:rsidRPr="00B9756C">
        <w:rPr>
          <w:noProof/>
          <w:lang w:val="en-US"/>
        </w:rPr>
        <w:t xml:space="preserve">Accounting Discretion, Corporate Governance, and Firm Performance. </w:t>
      </w:r>
      <w:r w:rsidR="006D3049" w:rsidRPr="00830174">
        <w:rPr>
          <w:i/>
          <w:noProof/>
          <w:lang w:val="en-US"/>
        </w:rPr>
        <w:t>C</w:t>
      </w:r>
      <w:r w:rsidR="00830174">
        <w:rPr>
          <w:i/>
          <w:noProof/>
          <w:lang w:val="en-US"/>
        </w:rPr>
        <w:t>ontemporary Accounting Research</w:t>
      </w:r>
      <w:r w:rsidR="00830174">
        <w:rPr>
          <w:noProof/>
          <w:lang w:val="en-US"/>
        </w:rPr>
        <w:t>,</w:t>
      </w:r>
      <w:r w:rsidR="006D3049" w:rsidRPr="00830174">
        <w:rPr>
          <w:i/>
          <w:noProof/>
          <w:lang w:val="en-US"/>
        </w:rPr>
        <w:t xml:space="preserve"> 25</w:t>
      </w:r>
      <w:r w:rsidR="006D3049" w:rsidRPr="00B9756C">
        <w:rPr>
          <w:noProof/>
          <w:lang w:val="en-US"/>
        </w:rPr>
        <w:t xml:space="preserve">(2), 351–405. </w:t>
      </w:r>
    </w:p>
    <w:p w:rsidR="00830174" w:rsidRPr="00DF111B" w:rsidRDefault="00830174" w:rsidP="00085AC9">
      <w:pPr>
        <w:pStyle w:val="NormalWeb"/>
        <w:ind w:left="480" w:hanging="480"/>
        <w:jc w:val="both"/>
        <w:rPr>
          <w:noProof/>
          <w:lang w:val="en-US"/>
        </w:rPr>
      </w:pPr>
      <w:r w:rsidRPr="00B9756C">
        <w:rPr>
          <w:noProof/>
          <w:lang w:val="en-US"/>
        </w:rPr>
        <w:t xml:space="preserve">Brickley, J. A., Coles, J. L., &amp; Jarrell, G. (1997). Leadership structure: Separating the CEO and chairman of the board. </w:t>
      </w:r>
      <w:r w:rsidRPr="00B9756C">
        <w:rPr>
          <w:i/>
          <w:iCs/>
          <w:noProof/>
          <w:lang w:val="en-US"/>
        </w:rPr>
        <w:t>Journal of Corporate Finance</w:t>
      </w:r>
      <w:r w:rsidRPr="00B9756C">
        <w:rPr>
          <w:noProof/>
          <w:lang w:val="en-US"/>
        </w:rPr>
        <w:t xml:space="preserve">, </w:t>
      </w:r>
      <w:r w:rsidRPr="00B9756C">
        <w:rPr>
          <w:i/>
          <w:iCs/>
          <w:noProof/>
          <w:lang w:val="en-US"/>
        </w:rPr>
        <w:t>3</w:t>
      </w:r>
      <w:r w:rsidRPr="00B9756C">
        <w:rPr>
          <w:noProof/>
          <w:lang w:val="en-US"/>
        </w:rPr>
        <w:t>, 189–220.</w:t>
      </w:r>
    </w:p>
    <w:p w:rsidR="006D3049" w:rsidRPr="00B9756C" w:rsidRDefault="003D0F58" w:rsidP="00830174">
      <w:pPr>
        <w:pStyle w:val="NormalWeb"/>
        <w:ind w:left="480" w:hanging="480"/>
        <w:jc w:val="both"/>
        <w:rPr>
          <w:noProof/>
          <w:lang w:val="en-US"/>
        </w:rPr>
      </w:pPr>
      <w:r w:rsidRPr="00DF111B">
        <w:rPr>
          <w:noProof/>
          <w:lang w:val="en-US"/>
        </w:rPr>
        <w:t xml:space="preserve">Brown, P., Beekes, W. &amp; </w:t>
      </w:r>
      <w:r w:rsidR="00585641" w:rsidRPr="00DF111B">
        <w:rPr>
          <w:noProof/>
          <w:lang w:val="en-US"/>
        </w:rPr>
        <w:t xml:space="preserve">Verhoeven, P. </w:t>
      </w:r>
      <w:r w:rsidR="00D036BA" w:rsidRPr="00DF111B">
        <w:rPr>
          <w:noProof/>
          <w:lang w:val="en-US"/>
        </w:rPr>
        <w:t>(</w:t>
      </w:r>
      <w:r w:rsidR="00585641" w:rsidRPr="00DF111B">
        <w:rPr>
          <w:noProof/>
          <w:lang w:val="en-US"/>
        </w:rPr>
        <w:t>2011</w:t>
      </w:r>
      <w:r w:rsidR="00D036BA" w:rsidRPr="00DF111B">
        <w:rPr>
          <w:noProof/>
          <w:lang w:val="en-US"/>
        </w:rPr>
        <w:t>)</w:t>
      </w:r>
      <w:r w:rsidR="00585641" w:rsidRPr="00DF111B">
        <w:rPr>
          <w:noProof/>
          <w:lang w:val="en-US"/>
        </w:rPr>
        <w:t xml:space="preserve">. </w:t>
      </w:r>
      <w:r w:rsidR="00585641" w:rsidRPr="00B9756C">
        <w:rPr>
          <w:noProof/>
          <w:lang w:val="en-US"/>
        </w:rPr>
        <w:t xml:space="preserve">Corporate governance, accounting and finance: a review. </w:t>
      </w:r>
      <w:r w:rsidR="00585641" w:rsidRPr="00B9756C">
        <w:rPr>
          <w:i/>
          <w:noProof/>
          <w:lang w:val="en-US"/>
        </w:rPr>
        <w:t>Accounting and Finance,</w:t>
      </w:r>
      <w:r w:rsidR="00585641" w:rsidRPr="00B9756C">
        <w:rPr>
          <w:noProof/>
          <w:lang w:val="en-US"/>
        </w:rPr>
        <w:t xml:space="preserve"> </w:t>
      </w:r>
      <w:r w:rsidR="00585641" w:rsidRPr="00B9756C">
        <w:rPr>
          <w:i/>
          <w:noProof/>
          <w:lang w:val="en-US"/>
        </w:rPr>
        <w:t>51</w:t>
      </w:r>
      <w:r w:rsidR="00585641" w:rsidRPr="00B9756C">
        <w:rPr>
          <w:noProof/>
          <w:lang w:val="en-US"/>
        </w:rPr>
        <w:t xml:space="preserve"> (1), 96–172.</w:t>
      </w:r>
    </w:p>
    <w:p w:rsidR="006D3049" w:rsidRPr="00DF111B" w:rsidRDefault="006D3049" w:rsidP="006D3049">
      <w:pPr>
        <w:pStyle w:val="NormalWeb"/>
        <w:ind w:left="480" w:hanging="480"/>
        <w:jc w:val="both"/>
        <w:rPr>
          <w:noProof/>
          <w:lang w:val="en-US"/>
        </w:rPr>
      </w:pPr>
      <w:r w:rsidRPr="00B9756C">
        <w:rPr>
          <w:noProof/>
          <w:lang w:val="en-US"/>
        </w:rPr>
        <w:t xml:space="preserve">Burgstahler, D., &amp; Dichev, I. (1997). Earnings management to avoid earnings decreases and losses. </w:t>
      </w:r>
      <w:r w:rsidRPr="00DF111B">
        <w:rPr>
          <w:i/>
          <w:iCs/>
          <w:noProof/>
          <w:lang w:val="en-US"/>
        </w:rPr>
        <w:t>Journal of Accounting and Economics</w:t>
      </w:r>
      <w:r w:rsidRPr="00DF111B">
        <w:rPr>
          <w:noProof/>
          <w:lang w:val="en-US"/>
        </w:rPr>
        <w:t xml:space="preserve">, </w:t>
      </w:r>
      <w:r w:rsidRPr="00DF111B">
        <w:rPr>
          <w:i/>
          <w:noProof/>
          <w:lang w:val="en-US"/>
        </w:rPr>
        <w:t>24</w:t>
      </w:r>
      <w:r w:rsidRPr="00DF111B">
        <w:rPr>
          <w:noProof/>
          <w:lang w:val="en-US"/>
        </w:rPr>
        <w:t>(1), 99-126.</w:t>
      </w:r>
    </w:p>
    <w:p w:rsidR="00374AB6" w:rsidRPr="00BB4F07" w:rsidRDefault="00374AB6" w:rsidP="00BB4F07">
      <w:pPr>
        <w:pStyle w:val="NormalWeb"/>
        <w:ind w:left="480" w:hanging="480"/>
        <w:jc w:val="both"/>
        <w:rPr>
          <w:noProof/>
          <w:lang w:val="en-US"/>
        </w:rPr>
      </w:pPr>
      <w:r w:rsidRPr="00B9756C">
        <w:rPr>
          <w:noProof/>
          <w:lang w:val="en-US"/>
        </w:rPr>
        <w:t xml:space="preserve">Cadbury, A. (1992). The Financial Aspects of Corporate Governance. </w:t>
      </w:r>
      <w:r w:rsidRPr="00BB4F07">
        <w:rPr>
          <w:i/>
          <w:noProof/>
          <w:lang w:val="en-US"/>
        </w:rPr>
        <w:t xml:space="preserve">In </w:t>
      </w:r>
      <w:r w:rsidR="00BB4F07" w:rsidRPr="00BB4F07">
        <w:rPr>
          <w:i/>
          <w:noProof/>
          <w:lang w:val="en-US"/>
        </w:rPr>
        <w:t>T</w:t>
      </w:r>
      <w:r w:rsidRPr="00BB4F07">
        <w:rPr>
          <w:i/>
          <w:noProof/>
          <w:lang w:val="en-US"/>
        </w:rPr>
        <w:t>he Committee on the Financial Aspects of Corporate Governance, UK</w:t>
      </w:r>
      <w:r w:rsidRPr="00B9756C">
        <w:rPr>
          <w:noProof/>
          <w:lang w:val="en-US"/>
        </w:rPr>
        <w:t xml:space="preserve"> (p. 90). </w:t>
      </w:r>
      <w:r w:rsidRPr="00E0785E">
        <w:rPr>
          <w:noProof/>
          <w:lang w:val="en-US"/>
        </w:rPr>
        <w:t xml:space="preserve"> </w:t>
      </w:r>
    </w:p>
    <w:p w:rsidR="00374AB6" w:rsidRPr="00374AB6" w:rsidRDefault="00374AB6" w:rsidP="00374AB6">
      <w:pPr>
        <w:pStyle w:val="NormalWeb"/>
        <w:ind w:left="480" w:hanging="480"/>
        <w:jc w:val="both"/>
        <w:rPr>
          <w:noProof/>
          <w:lang w:val="en-US"/>
        </w:rPr>
      </w:pPr>
      <w:r w:rsidRPr="00E0785E">
        <w:rPr>
          <w:noProof/>
          <w:lang w:val="en-US"/>
        </w:rPr>
        <w:t xml:space="preserve">CFA Institute (2007), </w:t>
      </w:r>
      <w:r w:rsidRPr="00374AB6">
        <w:rPr>
          <w:noProof/>
          <w:lang w:val="en-US"/>
        </w:rPr>
        <w:t>China Corporate Governance Survey</w:t>
      </w:r>
      <w:r w:rsidRPr="00E0785E">
        <w:rPr>
          <w:noProof/>
          <w:lang w:val="en-US"/>
        </w:rPr>
        <w:t xml:space="preserve">, </w:t>
      </w:r>
      <w:r w:rsidRPr="003249CA">
        <w:rPr>
          <w:noProof/>
          <w:lang w:val="en-US"/>
        </w:rPr>
        <w:t>CFA Institute Centre for  Financial Market Integrity</w:t>
      </w:r>
      <w:r>
        <w:rPr>
          <w:noProof/>
          <w:lang w:val="en-US"/>
        </w:rPr>
        <w:t xml:space="preserve">, </w:t>
      </w:r>
      <w:r w:rsidRPr="00374AB6">
        <w:rPr>
          <w:noProof/>
          <w:lang w:val="en-US"/>
        </w:rPr>
        <w:t>CFA Institute</w:t>
      </w:r>
      <w:r>
        <w:rPr>
          <w:noProof/>
          <w:lang w:val="en-US"/>
        </w:rPr>
        <w:t xml:space="preserve">, </w:t>
      </w:r>
      <w:r w:rsidRPr="00374AB6">
        <w:rPr>
          <w:noProof/>
          <w:lang w:val="en-US"/>
        </w:rPr>
        <w:t>3</w:t>
      </w:r>
      <w:r>
        <w:rPr>
          <w:noProof/>
          <w:lang w:val="en-US"/>
        </w:rPr>
        <w:t xml:space="preserve">, </w:t>
      </w:r>
      <w:r w:rsidRPr="00E0785E">
        <w:rPr>
          <w:noProof/>
          <w:lang w:val="en-US"/>
        </w:rPr>
        <w:t>1-17.</w:t>
      </w:r>
    </w:p>
    <w:p w:rsidR="00374AB6" w:rsidRPr="00967966" w:rsidRDefault="00374AB6" w:rsidP="00374AB6">
      <w:pPr>
        <w:pStyle w:val="NormalWeb"/>
        <w:ind w:left="480" w:hanging="480"/>
        <w:jc w:val="both"/>
        <w:rPr>
          <w:i/>
          <w:noProof/>
          <w:lang w:val="en-US"/>
        </w:rPr>
      </w:pPr>
      <w:r w:rsidRPr="00E0785E">
        <w:rPr>
          <w:noProof/>
          <w:lang w:val="en-US"/>
        </w:rPr>
        <w:t xml:space="preserve">Chang, H., Chen, X., &amp; Zhou, N. (2013). Determinants and Consequences of Audit Committee Effectiveness: Evidence from China. </w:t>
      </w:r>
      <w:r w:rsidRPr="00967966">
        <w:rPr>
          <w:i/>
          <w:noProof/>
          <w:lang w:val="en-US"/>
        </w:rPr>
        <w:t>Working paper</w:t>
      </w:r>
      <w:r>
        <w:rPr>
          <w:i/>
          <w:noProof/>
          <w:lang w:val="en-US"/>
        </w:rPr>
        <w:t xml:space="preserve">. </w:t>
      </w:r>
    </w:p>
    <w:p w:rsidR="00E45C7D" w:rsidRDefault="006C4727" w:rsidP="00585641">
      <w:pPr>
        <w:pStyle w:val="NormalWeb"/>
        <w:ind w:left="480" w:hanging="480"/>
        <w:jc w:val="both"/>
        <w:rPr>
          <w:noProof/>
          <w:lang w:val="en-US"/>
        </w:rPr>
      </w:pPr>
      <w:r w:rsidRPr="00B9756C">
        <w:rPr>
          <w:noProof/>
          <w:lang w:val="en-US"/>
        </w:rPr>
        <w:t xml:space="preserve">Chen, G., Firth, M., Gao, D. N., &amp; Rui, O. M. (2006). Ownership structure, corporate governance,and fraud: Evidence from China. </w:t>
      </w:r>
      <w:r w:rsidRPr="00B9756C">
        <w:rPr>
          <w:i/>
          <w:noProof/>
          <w:lang w:val="en-US"/>
        </w:rPr>
        <w:t>Journal of Corporate Finance</w:t>
      </w:r>
      <w:r w:rsidRPr="00B9756C">
        <w:rPr>
          <w:noProof/>
          <w:lang w:val="en-US"/>
        </w:rPr>
        <w:t>, 12, 424-448.</w:t>
      </w:r>
    </w:p>
    <w:p w:rsidR="00585641" w:rsidRDefault="00F61F76" w:rsidP="00585641">
      <w:pPr>
        <w:pStyle w:val="NormalWeb"/>
        <w:ind w:left="480" w:hanging="480"/>
        <w:jc w:val="both"/>
        <w:rPr>
          <w:noProof/>
          <w:lang w:val="en-US"/>
        </w:rPr>
      </w:pPr>
      <w:r w:rsidRPr="00B9756C">
        <w:rPr>
          <w:noProof/>
          <w:lang w:val="en-US"/>
        </w:rPr>
        <w:lastRenderedPageBreak/>
        <w:t xml:space="preserve">Chen, K. C. </w:t>
      </w:r>
      <w:r w:rsidR="00585641" w:rsidRPr="00B9756C">
        <w:rPr>
          <w:noProof/>
          <w:lang w:val="en-US"/>
        </w:rPr>
        <w:t xml:space="preserve">W., &amp; Yuan, H. (2004). Earnings management and capital resource allocation: Evidence from China’s accounting-based regulation of rights issues. </w:t>
      </w:r>
      <w:r w:rsidR="00585641" w:rsidRPr="00B9756C">
        <w:rPr>
          <w:i/>
          <w:noProof/>
          <w:lang w:val="en-US"/>
        </w:rPr>
        <w:t>Accounting Review, 79</w:t>
      </w:r>
      <w:r w:rsidR="00585641" w:rsidRPr="00B9756C">
        <w:rPr>
          <w:noProof/>
          <w:lang w:val="en-US"/>
        </w:rPr>
        <w:t>(3), 645-665</w:t>
      </w:r>
      <w:r w:rsidR="00EB53E1" w:rsidRPr="00B9756C">
        <w:rPr>
          <w:noProof/>
          <w:lang w:val="en-US"/>
        </w:rPr>
        <w:t>.</w:t>
      </w:r>
    </w:p>
    <w:p w:rsidR="00374AB6" w:rsidRPr="00B9756C" w:rsidRDefault="00374AB6" w:rsidP="00374AB6">
      <w:pPr>
        <w:pStyle w:val="NormalWeb"/>
        <w:ind w:left="480" w:hanging="480"/>
        <w:jc w:val="both"/>
        <w:rPr>
          <w:noProof/>
          <w:lang w:val="en-US"/>
        </w:rPr>
      </w:pPr>
      <w:r w:rsidRPr="00B9756C">
        <w:rPr>
          <w:noProof/>
          <w:lang w:val="en-US"/>
        </w:rPr>
        <w:t xml:space="preserve">Chen, M. C., &amp; Tsai, Y. C. (2010). Earnings management types and motivation: A study in Taiwan. </w:t>
      </w:r>
      <w:r w:rsidRPr="00B9756C">
        <w:rPr>
          <w:i/>
          <w:noProof/>
          <w:lang w:val="en-US"/>
        </w:rPr>
        <w:t>Social Behaviour And Personality</w:t>
      </w:r>
      <w:r w:rsidRPr="00B9756C">
        <w:rPr>
          <w:noProof/>
          <w:lang w:val="en-US"/>
        </w:rPr>
        <w:t xml:space="preserve">, </w:t>
      </w:r>
      <w:r w:rsidRPr="00B9756C">
        <w:rPr>
          <w:i/>
          <w:noProof/>
          <w:lang w:val="en-US"/>
        </w:rPr>
        <w:t>38</w:t>
      </w:r>
      <w:r w:rsidRPr="00B9756C">
        <w:rPr>
          <w:noProof/>
          <w:lang w:val="en-US"/>
        </w:rPr>
        <w:t>(7), 955-962.</w:t>
      </w:r>
    </w:p>
    <w:p w:rsidR="00585641" w:rsidRPr="00B9756C" w:rsidRDefault="00EF1EDC" w:rsidP="00C536C4">
      <w:pPr>
        <w:pStyle w:val="NormalWeb"/>
        <w:ind w:left="480" w:hanging="480"/>
        <w:jc w:val="both"/>
        <w:rPr>
          <w:noProof/>
          <w:lang w:val="en-US"/>
        </w:rPr>
      </w:pPr>
      <w:r w:rsidRPr="00DA2620">
        <w:rPr>
          <w:noProof/>
        </w:rPr>
        <w:fldChar w:fldCharType="end"/>
      </w:r>
      <w:r w:rsidR="00585641" w:rsidRPr="00B9756C">
        <w:rPr>
          <w:noProof/>
          <w:lang w:val="en-US"/>
        </w:rPr>
        <w:t xml:space="preserve">Chen, T. (2010). Analysis on accrual-based models in detecting earnings management.   </w:t>
      </w:r>
      <w:r w:rsidR="00585641" w:rsidRPr="00B9756C">
        <w:rPr>
          <w:i/>
          <w:noProof/>
          <w:lang w:val="en-US"/>
        </w:rPr>
        <w:t>Lingnan Journal of Banking,</w:t>
      </w:r>
      <w:r w:rsidR="00585641" w:rsidRPr="00B9756C">
        <w:rPr>
          <w:noProof/>
          <w:lang w:val="en-US"/>
        </w:rPr>
        <w:t xml:space="preserve"> </w:t>
      </w:r>
      <w:r w:rsidR="007D726B" w:rsidRPr="00B9756C">
        <w:rPr>
          <w:i/>
          <w:noProof/>
          <w:lang w:val="en-US"/>
        </w:rPr>
        <w:t xml:space="preserve">Finance and Economics, </w:t>
      </w:r>
      <w:r w:rsidR="00585641" w:rsidRPr="00B9756C">
        <w:rPr>
          <w:i/>
          <w:noProof/>
          <w:lang w:val="en-US"/>
        </w:rPr>
        <w:t>2</w:t>
      </w:r>
      <w:r w:rsidR="00585641" w:rsidRPr="00B9756C">
        <w:rPr>
          <w:noProof/>
          <w:lang w:val="en-US"/>
        </w:rPr>
        <w:t>(5)</w:t>
      </w:r>
      <w:r w:rsidR="00916552" w:rsidRPr="00B9756C">
        <w:rPr>
          <w:noProof/>
          <w:lang w:val="en-US"/>
        </w:rPr>
        <w:t xml:space="preserve">. </w:t>
      </w:r>
      <w:r w:rsidR="00916552" w:rsidRPr="00916552">
        <w:rPr>
          <w:noProof/>
          <w:lang w:val="en-US"/>
        </w:rPr>
        <w:t>Available at: http://commons.ln.edu.hk/ljbfe/vol2/iss1/5</w:t>
      </w:r>
      <w:r w:rsidR="00916552">
        <w:rPr>
          <w:noProof/>
          <w:lang w:val="en-US"/>
        </w:rPr>
        <w:t>.</w:t>
      </w:r>
    </w:p>
    <w:p w:rsidR="00585641" w:rsidRPr="00B9756C" w:rsidRDefault="00585641" w:rsidP="00C536C4">
      <w:pPr>
        <w:pStyle w:val="NormalWeb"/>
        <w:ind w:left="480" w:hanging="480"/>
        <w:jc w:val="both"/>
        <w:rPr>
          <w:rFonts w:eastAsiaTheme="minorEastAsia"/>
          <w:noProof/>
          <w:lang w:val="en-US"/>
        </w:rPr>
      </w:pPr>
      <w:r w:rsidRPr="003E3BC2">
        <w:rPr>
          <w:noProof/>
        </w:rPr>
        <w:t xml:space="preserve">Chen, X., &amp; Lee, C. J. (2003). </w:t>
      </w:r>
      <w:r w:rsidRPr="00B9756C">
        <w:rPr>
          <w:noProof/>
          <w:lang w:val="en-US"/>
        </w:rPr>
        <w:t>Chinese Tango</w:t>
      </w:r>
      <w:r w:rsidR="00916552" w:rsidRPr="00B9756C">
        <w:rPr>
          <w:noProof/>
          <w:lang w:val="en-US"/>
        </w:rPr>
        <w:t xml:space="preserve"> : Government Assisted Earnings </w:t>
      </w:r>
      <w:r w:rsidRPr="00B9756C">
        <w:rPr>
          <w:noProof/>
          <w:lang w:val="en-US"/>
        </w:rPr>
        <w:t xml:space="preserve">Management. </w:t>
      </w:r>
      <w:r w:rsidR="00916552" w:rsidRPr="00916552">
        <w:rPr>
          <w:rFonts w:hint="eastAsia"/>
          <w:i/>
          <w:iCs/>
          <w:noProof/>
          <w:lang w:val="en-US"/>
        </w:rPr>
        <w:t>Unpublished Working Paper</w:t>
      </w:r>
      <w:r w:rsidR="00916552">
        <w:rPr>
          <w:i/>
          <w:iCs/>
          <w:noProof/>
          <w:lang w:val="en-US"/>
        </w:rPr>
        <w:t xml:space="preserve"> </w:t>
      </w:r>
      <w:r w:rsidR="00916552" w:rsidRPr="00916552">
        <w:rPr>
          <w:rFonts w:hint="eastAsia"/>
          <w:i/>
          <w:iCs/>
          <w:noProof/>
          <w:lang w:val="en-US"/>
        </w:rPr>
        <w:t>Tulane University</w:t>
      </w:r>
      <w:r w:rsidR="00916552">
        <w:rPr>
          <w:i/>
          <w:iCs/>
          <w:noProof/>
          <w:lang w:val="en-US"/>
        </w:rPr>
        <w:t>(2003).</w:t>
      </w:r>
    </w:p>
    <w:p w:rsidR="00585641" w:rsidRPr="00B9756C" w:rsidRDefault="00EF1EDC" w:rsidP="00C536C4">
      <w:pPr>
        <w:pStyle w:val="NormalWeb"/>
        <w:ind w:left="480" w:hanging="480"/>
        <w:jc w:val="both"/>
        <w:rPr>
          <w:rFonts w:eastAsiaTheme="minorEastAsia"/>
          <w:noProof/>
          <w:lang w:val="en-US"/>
        </w:rPr>
      </w:pPr>
      <w:r>
        <w:fldChar w:fldCharType="begin" w:fldLock="1"/>
      </w:r>
      <w:r w:rsidR="00585641" w:rsidRPr="00B9756C">
        <w:rPr>
          <w:lang w:val="en-US"/>
        </w:rPr>
        <w:instrText xml:space="preserve">ADDIN Mendeley Bibliography CSL_BIBLIOGRAPHY </w:instrText>
      </w:r>
      <w:r>
        <w:fldChar w:fldCharType="separate"/>
      </w:r>
      <w:r w:rsidR="00585641" w:rsidRPr="00B9756C">
        <w:rPr>
          <w:noProof/>
          <w:lang w:val="en-US"/>
        </w:rPr>
        <w:t>Ching, K. M. L</w:t>
      </w:r>
      <w:r w:rsidR="00916552" w:rsidRPr="00B9756C">
        <w:rPr>
          <w:noProof/>
          <w:lang w:val="en-US"/>
        </w:rPr>
        <w:t>., Firth, M., &amp; Rui, O. M. (2006</w:t>
      </w:r>
      <w:r w:rsidR="00585641" w:rsidRPr="00B9756C">
        <w:rPr>
          <w:noProof/>
          <w:lang w:val="en-US"/>
        </w:rPr>
        <w:t>). Earnings Management, Corporate Governance and the Market Performance of Se</w:t>
      </w:r>
      <w:r w:rsidR="00916552" w:rsidRPr="00B9756C">
        <w:rPr>
          <w:noProof/>
          <w:lang w:val="en-US"/>
        </w:rPr>
        <w:t xml:space="preserve">asoned Equity Offerings in Hong </w:t>
      </w:r>
      <w:r w:rsidR="00585641" w:rsidRPr="00B9756C">
        <w:rPr>
          <w:noProof/>
          <w:lang w:val="en-US"/>
        </w:rPr>
        <w:t xml:space="preserve">Kong. </w:t>
      </w:r>
      <w:r w:rsidR="00585641" w:rsidRPr="00B9756C">
        <w:rPr>
          <w:i/>
          <w:iCs/>
          <w:noProof/>
          <w:lang w:val="en-US"/>
        </w:rPr>
        <w:t>Journal of Contemporary Accounting &amp; Economics</w:t>
      </w:r>
      <w:r w:rsidR="00585641" w:rsidRPr="00B9756C">
        <w:rPr>
          <w:noProof/>
          <w:lang w:val="en-US"/>
        </w:rPr>
        <w:t xml:space="preserve">, </w:t>
      </w:r>
      <w:r w:rsidR="00585641" w:rsidRPr="00B9756C">
        <w:rPr>
          <w:i/>
          <w:iCs/>
          <w:noProof/>
          <w:lang w:val="en-US"/>
        </w:rPr>
        <w:t>2</w:t>
      </w:r>
      <w:r w:rsidR="00585641" w:rsidRPr="00B9756C">
        <w:rPr>
          <w:noProof/>
          <w:lang w:val="en-US"/>
        </w:rPr>
        <w:t>(1), 73–98.</w:t>
      </w:r>
    </w:p>
    <w:p w:rsidR="00374AB6" w:rsidRDefault="00EF1EDC" w:rsidP="00374AB6">
      <w:pPr>
        <w:pStyle w:val="NormalWeb"/>
        <w:ind w:left="480" w:hanging="480"/>
        <w:rPr>
          <w:noProof/>
          <w:lang w:val="en-US"/>
        </w:rPr>
      </w:pPr>
      <w:r>
        <w:fldChar w:fldCharType="end"/>
      </w:r>
      <w:r w:rsidR="00374AB6" w:rsidRPr="00B9756C">
        <w:rPr>
          <w:noProof/>
          <w:lang w:val="en-US"/>
        </w:rPr>
        <w:t xml:space="preserve">Chtourou, S. M., Bédard, J., &amp; Courteau, L. (2001). Corporate Governance and Earnings Management. </w:t>
      </w:r>
      <w:r w:rsidR="00374AB6" w:rsidRPr="00B9756C">
        <w:rPr>
          <w:i/>
          <w:iCs/>
          <w:noProof/>
          <w:lang w:val="en-US"/>
        </w:rPr>
        <w:t>Social Science Research Network</w:t>
      </w:r>
      <w:r w:rsidR="00374AB6" w:rsidRPr="00B9756C">
        <w:rPr>
          <w:noProof/>
          <w:lang w:val="en-US"/>
        </w:rPr>
        <w:t xml:space="preserve">, </w:t>
      </w:r>
      <w:r w:rsidR="00374AB6" w:rsidRPr="00B9756C">
        <w:rPr>
          <w:i/>
          <w:iCs/>
          <w:noProof/>
          <w:lang w:val="en-US"/>
        </w:rPr>
        <w:t>4</w:t>
      </w:r>
      <w:r w:rsidR="00374AB6" w:rsidRPr="00B9756C">
        <w:rPr>
          <w:noProof/>
          <w:lang w:val="en-US"/>
        </w:rPr>
        <w:t>(418), 1–39.</w:t>
      </w:r>
    </w:p>
    <w:p w:rsidR="00BB4F07" w:rsidRDefault="00BB4F07" w:rsidP="00BB4F07">
      <w:pPr>
        <w:pStyle w:val="NormalWeb"/>
        <w:ind w:left="480" w:hanging="480"/>
        <w:jc w:val="both"/>
        <w:rPr>
          <w:noProof/>
          <w:lang w:val="en-US"/>
        </w:rPr>
      </w:pPr>
      <w:r w:rsidRPr="00B9756C">
        <w:rPr>
          <w:noProof/>
          <w:lang w:val="en-US"/>
        </w:rPr>
        <w:t xml:space="preserve">Chung, K. H., Elder, J., &amp; Kim, J.-C. (2010). Corporate Governance and Liquidity. </w:t>
      </w:r>
      <w:r w:rsidRPr="00B9756C">
        <w:rPr>
          <w:i/>
          <w:iCs/>
          <w:noProof/>
          <w:lang w:val="en-US"/>
        </w:rPr>
        <w:t>Journal of Financial and Quantitative Analysis</w:t>
      </w:r>
      <w:r w:rsidRPr="00B9756C">
        <w:rPr>
          <w:noProof/>
          <w:lang w:val="en-US"/>
        </w:rPr>
        <w:t xml:space="preserve">, </w:t>
      </w:r>
      <w:r w:rsidRPr="00B9756C">
        <w:rPr>
          <w:i/>
          <w:noProof/>
          <w:lang w:val="en-US"/>
        </w:rPr>
        <w:t>45</w:t>
      </w:r>
      <w:r w:rsidRPr="00B9756C">
        <w:rPr>
          <w:noProof/>
          <w:lang w:val="en-US"/>
        </w:rPr>
        <w:t>(2), 265-291.</w:t>
      </w:r>
    </w:p>
    <w:p w:rsidR="00BB4F07" w:rsidRDefault="00BB4F07" w:rsidP="00BB4F07">
      <w:pPr>
        <w:pStyle w:val="NormalWeb"/>
        <w:ind w:left="480" w:hanging="480"/>
        <w:jc w:val="both"/>
        <w:rPr>
          <w:noProof/>
          <w:lang w:val="en-US"/>
        </w:rPr>
      </w:pPr>
      <w:r w:rsidRPr="00B9756C">
        <w:rPr>
          <w:noProof/>
          <w:lang w:val="en-US"/>
        </w:rPr>
        <w:t xml:space="preserve">Claessens, S., &amp; Yurtoglu, B. (2013). Corporate governance in emerging markets: A survey. </w:t>
      </w:r>
      <w:r w:rsidRPr="00B9756C">
        <w:rPr>
          <w:i/>
          <w:iCs/>
          <w:noProof/>
          <w:lang w:val="en-US"/>
        </w:rPr>
        <w:t>Emerging Markets Review</w:t>
      </w:r>
      <w:r w:rsidRPr="00B9756C">
        <w:rPr>
          <w:noProof/>
          <w:lang w:val="en-US"/>
        </w:rPr>
        <w:t xml:space="preserve">, </w:t>
      </w:r>
      <w:r w:rsidRPr="00B9756C">
        <w:rPr>
          <w:i/>
          <w:iCs/>
          <w:noProof/>
          <w:lang w:val="en-US"/>
        </w:rPr>
        <w:t>15</w:t>
      </w:r>
      <w:r w:rsidRPr="00B9756C">
        <w:rPr>
          <w:noProof/>
          <w:lang w:val="en-US"/>
        </w:rPr>
        <w:t xml:space="preserve">, 1–33. </w:t>
      </w:r>
    </w:p>
    <w:p w:rsidR="00830174" w:rsidRDefault="00BB4F07" w:rsidP="00BB4F07">
      <w:pPr>
        <w:pStyle w:val="NormalWeb"/>
        <w:ind w:left="480" w:hanging="480"/>
        <w:jc w:val="both"/>
        <w:rPr>
          <w:noProof/>
          <w:lang w:val="en-US"/>
        </w:rPr>
      </w:pPr>
      <w:r w:rsidRPr="00B9756C">
        <w:rPr>
          <w:noProof/>
          <w:lang w:val="en-US"/>
        </w:rPr>
        <w:t xml:space="preserve">Cornett, M. M., McNutt, J. J., &amp; Tehranian, H. (2009). Corporate governance and earnings management at large US bank holding companies. </w:t>
      </w:r>
      <w:r w:rsidRPr="00B9756C">
        <w:rPr>
          <w:i/>
          <w:iCs/>
          <w:noProof/>
          <w:lang w:val="en-US"/>
        </w:rPr>
        <w:t>Journal of Corporate Finance</w:t>
      </w:r>
      <w:r w:rsidRPr="00B9756C">
        <w:rPr>
          <w:noProof/>
          <w:lang w:val="en-US"/>
        </w:rPr>
        <w:t xml:space="preserve">, </w:t>
      </w:r>
      <w:r w:rsidRPr="00B9756C">
        <w:rPr>
          <w:i/>
          <w:iCs/>
          <w:noProof/>
          <w:lang w:val="en-US"/>
        </w:rPr>
        <w:t>15</w:t>
      </w:r>
      <w:r w:rsidRPr="00B9756C">
        <w:rPr>
          <w:noProof/>
          <w:lang w:val="en-US"/>
        </w:rPr>
        <w:t xml:space="preserve">(4), 412–430. </w:t>
      </w:r>
    </w:p>
    <w:p w:rsidR="00246BCA" w:rsidRPr="00BB4F07" w:rsidRDefault="00246BCA" w:rsidP="0093488B">
      <w:pPr>
        <w:pStyle w:val="NormalWeb"/>
        <w:ind w:left="480" w:hanging="480"/>
        <w:jc w:val="both"/>
        <w:rPr>
          <w:noProof/>
          <w:lang w:val="en-US"/>
        </w:rPr>
      </w:pPr>
      <w:r>
        <w:rPr>
          <w:noProof/>
          <w:lang w:val="en-US"/>
        </w:rPr>
        <w:t xml:space="preserve">CSRC, (2002). </w:t>
      </w:r>
      <w:r w:rsidRPr="00E0785E">
        <w:rPr>
          <w:noProof/>
          <w:lang w:val="en-US"/>
        </w:rPr>
        <w:t>Code of Corporate Governance for Listed Companies in China  Issued by: China Securities Regulatory Commission  State Economic and T</w:t>
      </w:r>
      <w:r>
        <w:rPr>
          <w:noProof/>
          <w:lang w:val="en-US"/>
        </w:rPr>
        <w:t>rade Commission.</w:t>
      </w:r>
    </w:p>
    <w:p w:rsidR="00830174" w:rsidRPr="00BB4F07" w:rsidRDefault="00BB4F07" w:rsidP="00BB4F07">
      <w:pPr>
        <w:pStyle w:val="NormalWeb"/>
        <w:ind w:left="480" w:hanging="480"/>
        <w:jc w:val="both"/>
        <w:rPr>
          <w:noProof/>
          <w:lang w:val="en-US"/>
        </w:rPr>
      </w:pPr>
      <w:r w:rsidRPr="00B9756C">
        <w:rPr>
          <w:noProof/>
          <w:lang w:val="en-US"/>
        </w:rPr>
        <w:t xml:space="preserve">Dalton, D. R., Daily, C. M., Johnson, J. L., &amp; Ellstrand, A. E. (1999). Number of directors and financial performance: A meta-analysis. </w:t>
      </w:r>
      <w:r w:rsidRPr="00B9756C">
        <w:rPr>
          <w:i/>
          <w:iCs/>
          <w:noProof/>
          <w:lang w:val="en-US"/>
        </w:rPr>
        <w:t>Academy of Management Journal</w:t>
      </w:r>
      <w:r w:rsidRPr="00B9756C">
        <w:rPr>
          <w:noProof/>
          <w:lang w:val="en-US"/>
        </w:rPr>
        <w:t xml:space="preserve">, </w:t>
      </w:r>
      <w:r w:rsidRPr="00B9756C">
        <w:rPr>
          <w:i/>
          <w:iCs/>
          <w:noProof/>
          <w:lang w:val="en-US"/>
        </w:rPr>
        <w:t>42</w:t>
      </w:r>
      <w:r w:rsidRPr="00B9756C">
        <w:rPr>
          <w:noProof/>
          <w:lang w:val="en-US"/>
        </w:rPr>
        <w:t>(6), 674–686.</w:t>
      </w:r>
    </w:p>
    <w:p w:rsidR="00BB4F07" w:rsidRPr="00B9756C" w:rsidRDefault="00BB4F07" w:rsidP="00BB4F07">
      <w:pPr>
        <w:pStyle w:val="NormalWeb"/>
        <w:ind w:left="480" w:hanging="480"/>
        <w:jc w:val="both"/>
        <w:rPr>
          <w:noProof/>
          <w:lang w:val="en-US"/>
        </w:rPr>
      </w:pPr>
      <w:r w:rsidRPr="00B9756C">
        <w:rPr>
          <w:noProof/>
          <w:lang w:val="en-US"/>
        </w:rPr>
        <w:t>Daniel A. Cohen, Aiyesha Dey, and Thomas Z. Lys (2008) Real and Accrual</w:t>
      </w:r>
      <w:r w:rsidRPr="00B9756C">
        <w:rPr>
          <w:rFonts w:ascii="Cambria Math" w:hAnsi="Cambria Math" w:cs="Cambria Math"/>
          <w:noProof/>
          <w:lang w:val="en-US"/>
        </w:rPr>
        <w:t>‐</w:t>
      </w:r>
      <w:r w:rsidRPr="00B9756C">
        <w:rPr>
          <w:noProof/>
          <w:lang w:val="en-US"/>
        </w:rPr>
        <w:t>Based Earnings Management in the Pre and Post Sarbanes Oxley Periods. T</w:t>
      </w:r>
      <w:r w:rsidRPr="00B9756C">
        <w:rPr>
          <w:i/>
          <w:noProof/>
          <w:lang w:val="en-US"/>
        </w:rPr>
        <w:t>he Accounting Review,</w:t>
      </w:r>
      <w:r w:rsidRPr="00B9756C">
        <w:rPr>
          <w:noProof/>
          <w:lang w:val="en-US"/>
        </w:rPr>
        <w:t xml:space="preserve"> 83(3), 757-787.</w:t>
      </w:r>
    </w:p>
    <w:p w:rsidR="00585641" w:rsidRPr="0008053D" w:rsidRDefault="00916552" w:rsidP="0008053D">
      <w:pPr>
        <w:pStyle w:val="NormalWeb"/>
        <w:ind w:left="480" w:hanging="480"/>
        <w:rPr>
          <w:noProof/>
          <w:lang w:val="en-US"/>
        </w:rPr>
      </w:pPr>
      <w:r>
        <w:rPr>
          <w:noProof/>
          <w:lang w:val="en-US"/>
        </w:rPr>
        <w:t xml:space="preserve">Davidson, </w:t>
      </w:r>
      <w:r w:rsidR="00585641" w:rsidRPr="0008053D">
        <w:rPr>
          <w:noProof/>
          <w:lang w:val="en-US"/>
        </w:rPr>
        <w:t>R., Goodwin-stewart, J., &amp; Kent, P. (2005). Intern</w:t>
      </w:r>
      <w:r>
        <w:rPr>
          <w:noProof/>
          <w:lang w:val="en-US"/>
        </w:rPr>
        <w:t xml:space="preserve">al governance structures and </w:t>
      </w:r>
      <w:r w:rsidR="00585641" w:rsidRPr="0008053D">
        <w:rPr>
          <w:noProof/>
          <w:lang w:val="en-US"/>
        </w:rPr>
        <w:t xml:space="preserve">earnings management. </w:t>
      </w:r>
      <w:r w:rsidR="00585641" w:rsidRPr="0008053D">
        <w:rPr>
          <w:i/>
          <w:noProof/>
          <w:lang w:val="en-US"/>
        </w:rPr>
        <w:t>Accounting and Finance</w:t>
      </w:r>
      <w:r w:rsidR="00585641" w:rsidRPr="0008053D">
        <w:rPr>
          <w:noProof/>
          <w:lang w:val="en-US"/>
        </w:rPr>
        <w:t xml:space="preserve">, </w:t>
      </w:r>
      <w:r w:rsidR="00585641" w:rsidRPr="0008053D">
        <w:rPr>
          <w:i/>
          <w:noProof/>
          <w:lang w:val="en-US"/>
        </w:rPr>
        <w:t>45</w:t>
      </w:r>
      <w:r w:rsidR="00585641" w:rsidRPr="0008053D">
        <w:rPr>
          <w:noProof/>
          <w:lang w:val="en-US"/>
        </w:rPr>
        <w:t xml:space="preserve">(2), 241–267. </w:t>
      </w:r>
    </w:p>
    <w:p w:rsidR="00BB4F07" w:rsidRPr="00B9756C" w:rsidRDefault="00BB4F07" w:rsidP="00BB4F07">
      <w:pPr>
        <w:pStyle w:val="NormalWeb"/>
        <w:ind w:left="480" w:hanging="480"/>
        <w:jc w:val="both"/>
        <w:rPr>
          <w:noProof/>
          <w:lang w:val="en-US"/>
        </w:rPr>
      </w:pPr>
      <w:r w:rsidRPr="00B9756C">
        <w:rPr>
          <w:noProof/>
          <w:lang w:val="en-US"/>
        </w:rPr>
        <w:lastRenderedPageBreak/>
        <w:t xml:space="preserve">Davidson, W. N., Jiraporn, P., Kim, Y. S., </w:t>
      </w:r>
      <w:r w:rsidRPr="00B15852">
        <w:rPr>
          <w:noProof/>
          <w:lang w:val="en-US"/>
        </w:rPr>
        <w:t>&amp;</w:t>
      </w:r>
      <w:r w:rsidRPr="00B9756C">
        <w:rPr>
          <w:noProof/>
          <w:lang w:val="en-US"/>
        </w:rPr>
        <w:t xml:space="preserve"> Nemec, C. (2004). Earnings Management   following Duality-Creating Successions: Ethnostatistics, Impression Management, and Agency Theory.</w:t>
      </w:r>
      <w:r w:rsidRPr="00B9756C">
        <w:rPr>
          <w:i/>
          <w:noProof/>
          <w:lang w:val="en-US"/>
        </w:rPr>
        <w:t xml:space="preserve"> Academy of Management Journal</w:t>
      </w:r>
      <w:r w:rsidRPr="00B9756C">
        <w:rPr>
          <w:noProof/>
          <w:lang w:val="en-US"/>
        </w:rPr>
        <w:t xml:space="preserve">, </w:t>
      </w:r>
      <w:r w:rsidRPr="00B9756C">
        <w:rPr>
          <w:i/>
          <w:noProof/>
          <w:lang w:val="en-US"/>
        </w:rPr>
        <w:t>47</w:t>
      </w:r>
      <w:r w:rsidRPr="00B9756C">
        <w:rPr>
          <w:noProof/>
          <w:lang w:val="en-US"/>
        </w:rPr>
        <w:t xml:space="preserve"> (2), 267-275</w:t>
      </w:r>
    </w:p>
    <w:p w:rsidR="00BB4F07" w:rsidRDefault="00BB4F07" w:rsidP="00BB4F07">
      <w:pPr>
        <w:pStyle w:val="NormalWeb"/>
        <w:ind w:left="480" w:hanging="480"/>
        <w:jc w:val="both"/>
        <w:rPr>
          <w:noProof/>
          <w:lang w:val="en-US"/>
        </w:rPr>
      </w:pPr>
      <w:r w:rsidRPr="00B15852">
        <w:rPr>
          <w:noProof/>
          <w:lang w:val="en-US"/>
        </w:rPr>
        <w:t>Davis, J. H., Schoorman, F. D., &amp; Donaldson, L. (1997). Toward a Stewardship Theory ofManagement.</w:t>
      </w:r>
      <w:r>
        <w:rPr>
          <w:noProof/>
          <w:lang w:val="en-US"/>
        </w:rPr>
        <w:t xml:space="preserve"> </w:t>
      </w:r>
      <w:r w:rsidRPr="006C0CFF">
        <w:rPr>
          <w:i/>
          <w:noProof/>
          <w:lang w:val="en-US"/>
        </w:rPr>
        <w:t>Academy of Management Review,</w:t>
      </w:r>
      <w:r>
        <w:rPr>
          <w:noProof/>
          <w:lang w:val="en-US"/>
        </w:rPr>
        <w:t xml:space="preserve"> </w:t>
      </w:r>
      <w:r w:rsidRPr="006C0CFF">
        <w:rPr>
          <w:i/>
          <w:noProof/>
          <w:lang w:val="en-US"/>
        </w:rPr>
        <w:t>22</w:t>
      </w:r>
      <w:r w:rsidRPr="00B15852">
        <w:rPr>
          <w:noProof/>
          <w:lang w:val="en-US"/>
        </w:rPr>
        <w:t>(1), 20-47.</w:t>
      </w:r>
    </w:p>
    <w:p w:rsidR="00BB4F07" w:rsidRDefault="00EF1EDC" w:rsidP="00246BCA">
      <w:pPr>
        <w:pStyle w:val="NormalWeb"/>
        <w:ind w:left="480" w:hanging="480"/>
        <w:jc w:val="both"/>
        <w:rPr>
          <w:lang w:val="en-US"/>
        </w:rPr>
      </w:pPr>
      <w:r>
        <w:fldChar w:fldCharType="begin" w:fldLock="1"/>
      </w:r>
      <w:r w:rsidR="001A2E82" w:rsidRPr="00DF111B">
        <w:rPr>
          <w:lang w:val="en-US"/>
        </w:rPr>
        <w:instrText xml:space="preserve">ADDIN Mendeley Bibliography CSL_BIBLIOGRAPHY </w:instrText>
      </w:r>
      <w:r>
        <w:fldChar w:fldCharType="separate"/>
      </w:r>
      <w:r w:rsidR="001A2E82" w:rsidRPr="00DF111B">
        <w:rPr>
          <w:noProof/>
          <w:lang w:val="en-US"/>
        </w:rPr>
        <w:t xml:space="preserve">DeAngelo, L. E. (1986). Accounting numbers as market valuation substitutes: A study of management buyouts of public stockholders. </w:t>
      </w:r>
      <w:r w:rsidR="001A2E82" w:rsidRPr="00DF111B">
        <w:rPr>
          <w:i/>
          <w:iCs/>
          <w:noProof/>
          <w:lang w:val="en-US"/>
        </w:rPr>
        <w:t>Accounting Review</w:t>
      </w:r>
      <w:r w:rsidR="001A2E82" w:rsidRPr="00DF111B">
        <w:rPr>
          <w:noProof/>
          <w:lang w:val="en-US"/>
        </w:rPr>
        <w:t xml:space="preserve">, </w:t>
      </w:r>
      <w:r w:rsidR="001A2E82" w:rsidRPr="00DF111B">
        <w:rPr>
          <w:i/>
          <w:iCs/>
          <w:noProof/>
          <w:lang w:val="en-US"/>
        </w:rPr>
        <w:t>61</w:t>
      </w:r>
      <w:r w:rsidR="001A2E82" w:rsidRPr="00DF111B">
        <w:rPr>
          <w:noProof/>
          <w:lang w:val="en-US"/>
        </w:rPr>
        <w:t xml:space="preserve">(3), 400–420. </w:t>
      </w:r>
      <w:r>
        <w:rPr>
          <w:noProof/>
        </w:rPr>
        <w:fldChar w:fldCharType="end"/>
      </w:r>
    </w:p>
    <w:p w:rsidR="00585641" w:rsidRDefault="00585641" w:rsidP="00C536C4">
      <w:pPr>
        <w:pStyle w:val="NormalWeb"/>
        <w:ind w:left="480" w:hanging="480"/>
        <w:jc w:val="both"/>
        <w:rPr>
          <w:noProof/>
          <w:lang w:val="en-US"/>
        </w:rPr>
      </w:pPr>
      <w:r w:rsidRPr="00B9756C">
        <w:rPr>
          <w:noProof/>
          <w:lang w:val="en-US"/>
        </w:rPr>
        <w:t>Dechow, P. M., Hutton, A. P., Kim, J. H., &amp; Sloan, R</w:t>
      </w:r>
      <w:r w:rsidR="00483E9D" w:rsidRPr="00B9756C">
        <w:rPr>
          <w:noProof/>
          <w:lang w:val="en-US"/>
        </w:rPr>
        <w:t xml:space="preserve">. G. (2012). Detecting Earnings </w:t>
      </w:r>
      <w:r w:rsidR="0083773F" w:rsidRPr="00B9756C">
        <w:rPr>
          <w:noProof/>
          <w:lang w:val="en-US"/>
        </w:rPr>
        <w:t xml:space="preserve">Management: A New Approach. </w:t>
      </w:r>
      <w:r w:rsidRPr="00B9756C">
        <w:rPr>
          <w:i/>
          <w:iCs/>
          <w:noProof/>
          <w:lang w:val="en-US"/>
        </w:rPr>
        <w:t>Journal of Accounting Research</w:t>
      </w:r>
      <w:r w:rsidRPr="00B9756C">
        <w:rPr>
          <w:noProof/>
          <w:lang w:val="en-US"/>
        </w:rPr>
        <w:t xml:space="preserve">, </w:t>
      </w:r>
      <w:r w:rsidRPr="00B9756C">
        <w:rPr>
          <w:i/>
          <w:iCs/>
          <w:noProof/>
          <w:lang w:val="en-US"/>
        </w:rPr>
        <w:t>50</w:t>
      </w:r>
      <w:r w:rsidRPr="00B9756C">
        <w:rPr>
          <w:noProof/>
          <w:lang w:val="en-US"/>
        </w:rPr>
        <w:t>(2), 275–334.</w:t>
      </w:r>
    </w:p>
    <w:p w:rsidR="005039FA" w:rsidRPr="00B9756C" w:rsidRDefault="005039FA" w:rsidP="00C536C4">
      <w:pPr>
        <w:pStyle w:val="NormalWeb"/>
        <w:ind w:left="480" w:hanging="480"/>
        <w:jc w:val="both"/>
        <w:rPr>
          <w:noProof/>
          <w:lang w:val="en-US"/>
        </w:rPr>
      </w:pPr>
      <w:r w:rsidRPr="003C084E">
        <w:rPr>
          <w:noProof/>
          <w:lang w:val="en-US"/>
        </w:rPr>
        <w:t>Dechow, P.</w:t>
      </w:r>
      <w:r>
        <w:rPr>
          <w:noProof/>
          <w:lang w:val="en-US"/>
        </w:rPr>
        <w:t xml:space="preserve"> </w:t>
      </w:r>
      <w:r w:rsidRPr="003C084E">
        <w:rPr>
          <w:noProof/>
          <w:lang w:val="en-US"/>
        </w:rPr>
        <w:t>M.</w:t>
      </w:r>
      <w:r>
        <w:rPr>
          <w:noProof/>
          <w:lang w:val="en-US"/>
        </w:rPr>
        <w:t xml:space="preserve">, </w:t>
      </w:r>
      <w:r w:rsidRPr="00B9756C">
        <w:rPr>
          <w:noProof/>
          <w:lang w:val="en-US"/>
        </w:rPr>
        <w:t>&amp;</w:t>
      </w:r>
      <w:r>
        <w:rPr>
          <w:noProof/>
          <w:lang w:val="en-US"/>
        </w:rPr>
        <w:t xml:space="preserve"> </w:t>
      </w:r>
      <w:r w:rsidRPr="003C084E">
        <w:rPr>
          <w:noProof/>
          <w:lang w:val="en-US"/>
        </w:rPr>
        <w:t>Skinner</w:t>
      </w:r>
      <w:r>
        <w:rPr>
          <w:noProof/>
          <w:lang w:val="en-US"/>
        </w:rPr>
        <w:t xml:space="preserve">, </w:t>
      </w:r>
      <w:r w:rsidRPr="003C084E">
        <w:rPr>
          <w:noProof/>
          <w:lang w:val="en-US"/>
        </w:rPr>
        <w:t>D.  (2000), Earnin</w:t>
      </w:r>
      <w:r>
        <w:rPr>
          <w:noProof/>
          <w:lang w:val="en-US"/>
        </w:rPr>
        <w:t xml:space="preserve">gs management: reconciling the </w:t>
      </w:r>
      <w:r w:rsidRPr="003C084E">
        <w:rPr>
          <w:noProof/>
          <w:lang w:val="en-US"/>
        </w:rPr>
        <w:t>vi</w:t>
      </w:r>
      <w:r>
        <w:rPr>
          <w:noProof/>
          <w:lang w:val="en-US"/>
        </w:rPr>
        <w:t xml:space="preserve">ews of </w:t>
      </w:r>
      <w:r w:rsidRPr="003C084E">
        <w:rPr>
          <w:noProof/>
          <w:lang w:val="en-US"/>
        </w:rPr>
        <w:t>accounting academics, practitione</w:t>
      </w:r>
      <w:r>
        <w:rPr>
          <w:noProof/>
          <w:lang w:val="en-US"/>
        </w:rPr>
        <w:t xml:space="preserve">rs, and regulators, </w:t>
      </w:r>
      <w:r w:rsidRPr="003C084E">
        <w:rPr>
          <w:i/>
          <w:noProof/>
          <w:lang w:val="en-US"/>
        </w:rPr>
        <w:t>Accounting Horizons</w:t>
      </w:r>
      <w:r>
        <w:rPr>
          <w:noProof/>
          <w:lang w:val="en-US"/>
        </w:rPr>
        <w:t xml:space="preserve">, </w:t>
      </w:r>
      <w:r w:rsidRPr="006C0CFF">
        <w:rPr>
          <w:i/>
          <w:noProof/>
          <w:lang w:val="en-US"/>
        </w:rPr>
        <w:t>14</w:t>
      </w:r>
      <w:r>
        <w:rPr>
          <w:noProof/>
          <w:lang w:val="en-US"/>
        </w:rPr>
        <w:t>(</w:t>
      </w:r>
      <w:r w:rsidRPr="003C084E">
        <w:rPr>
          <w:noProof/>
          <w:lang w:val="en-US"/>
        </w:rPr>
        <w:t>2</w:t>
      </w:r>
      <w:r>
        <w:rPr>
          <w:noProof/>
          <w:lang w:val="en-US"/>
        </w:rPr>
        <w:t xml:space="preserve">), </w:t>
      </w:r>
      <w:r w:rsidRPr="003C084E">
        <w:rPr>
          <w:noProof/>
          <w:lang w:val="en-US"/>
        </w:rPr>
        <w:t>235-250</w:t>
      </w:r>
      <w:r>
        <w:rPr>
          <w:noProof/>
          <w:lang w:val="en-US"/>
        </w:rPr>
        <w:t>.</w:t>
      </w:r>
    </w:p>
    <w:p w:rsidR="001A2E82" w:rsidRDefault="00EF1EDC" w:rsidP="00246BCA">
      <w:pPr>
        <w:pStyle w:val="NormalWeb"/>
        <w:ind w:left="480" w:hanging="480"/>
        <w:jc w:val="both"/>
        <w:rPr>
          <w:noProof/>
          <w:lang w:val="en-US"/>
        </w:rPr>
      </w:pPr>
      <w:r>
        <w:fldChar w:fldCharType="begin" w:fldLock="1"/>
      </w:r>
      <w:r w:rsidR="00585641" w:rsidRPr="00E0785E">
        <w:rPr>
          <w:lang w:val="en-US"/>
        </w:rPr>
        <w:instrText xml:space="preserve">ADDIN Mendeley Bibliography CSL_BIBLIOGRAPHY </w:instrText>
      </w:r>
      <w:r>
        <w:fldChar w:fldCharType="separate"/>
      </w:r>
      <w:r w:rsidR="00585641" w:rsidRPr="00E0785E">
        <w:rPr>
          <w:noProof/>
          <w:lang w:val="en-US"/>
        </w:rPr>
        <w:t xml:space="preserve">Dechow, P. M., Sloan, R. G., &amp; Sweeney, A. P. (1995). Detecting Earnings Management. </w:t>
      </w:r>
      <w:r w:rsidR="00585641" w:rsidRPr="00E0785E">
        <w:rPr>
          <w:i/>
          <w:iCs/>
          <w:noProof/>
          <w:lang w:val="en-US"/>
        </w:rPr>
        <w:t>The Accounting Review</w:t>
      </w:r>
      <w:r w:rsidR="00585641" w:rsidRPr="00E0785E">
        <w:rPr>
          <w:noProof/>
          <w:lang w:val="en-US"/>
        </w:rPr>
        <w:t xml:space="preserve">, </w:t>
      </w:r>
      <w:r w:rsidR="00585641" w:rsidRPr="00E0785E">
        <w:rPr>
          <w:i/>
          <w:iCs/>
          <w:noProof/>
          <w:lang w:val="en-US"/>
        </w:rPr>
        <w:t>70</w:t>
      </w:r>
      <w:r w:rsidR="00585641" w:rsidRPr="00E0785E">
        <w:rPr>
          <w:noProof/>
          <w:lang w:val="en-US"/>
        </w:rPr>
        <w:t>(2), 193–225.</w:t>
      </w:r>
    </w:p>
    <w:p w:rsidR="005039FA" w:rsidRPr="00E0785E" w:rsidRDefault="005039FA" w:rsidP="00246BCA">
      <w:pPr>
        <w:pStyle w:val="NormalWeb"/>
        <w:ind w:left="480" w:hanging="480"/>
        <w:jc w:val="both"/>
        <w:rPr>
          <w:noProof/>
          <w:lang w:val="en-US"/>
        </w:rPr>
      </w:pPr>
      <w:r>
        <w:rPr>
          <w:lang w:val="en-US"/>
        </w:rPr>
        <w:t xml:space="preserve">Dedman, Elisabeth. (2002). </w:t>
      </w:r>
      <w:r w:rsidRPr="00B9756C">
        <w:rPr>
          <w:lang w:val="en-US"/>
        </w:rPr>
        <w:t xml:space="preserve">The Cadbury Committee Recommendations on Corporate Governance - A Review of Compliance and Performance Impacts. </w:t>
      </w:r>
      <w:r w:rsidRPr="00B9756C">
        <w:rPr>
          <w:i/>
          <w:lang w:val="en-US"/>
        </w:rPr>
        <w:t>International Journal of Management Review, 4,</w:t>
      </w:r>
      <w:r w:rsidRPr="00B9756C">
        <w:rPr>
          <w:lang w:val="en-US"/>
        </w:rPr>
        <w:t xml:space="preserve"> 335-352.</w:t>
      </w:r>
    </w:p>
    <w:p w:rsidR="001A2E82" w:rsidRDefault="001A2E82" w:rsidP="00246BCA">
      <w:pPr>
        <w:pStyle w:val="NormalWeb"/>
        <w:ind w:left="480" w:hanging="480"/>
        <w:rPr>
          <w:noProof/>
          <w:lang w:val="en-US"/>
        </w:rPr>
      </w:pPr>
      <w:r w:rsidRPr="00E0785E">
        <w:rPr>
          <w:noProof/>
          <w:lang w:val="en-US"/>
        </w:rPr>
        <w:t xml:space="preserve">Denis, D. K., &amp; McConnell, J. J. (2003). International Corporate Governance. </w:t>
      </w:r>
      <w:r>
        <w:rPr>
          <w:i/>
          <w:noProof/>
          <w:lang w:val="en-US"/>
        </w:rPr>
        <w:t xml:space="preserve">Journal of </w:t>
      </w:r>
      <w:r w:rsidRPr="00E0785E">
        <w:rPr>
          <w:i/>
          <w:noProof/>
          <w:lang w:val="en-US"/>
        </w:rPr>
        <w:t>Financial and Quantitative Analysis</w:t>
      </w:r>
      <w:r w:rsidRPr="00E0785E">
        <w:rPr>
          <w:noProof/>
          <w:lang w:val="en-US"/>
        </w:rPr>
        <w:t xml:space="preserve">, </w:t>
      </w:r>
      <w:r w:rsidRPr="00DD7143">
        <w:rPr>
          <w:i/>
          <w:noProof/>
          <w:lang w:val="en-US"/>
        </w:rPr>
        <w:t>38</w:t>
      </w:r>
      <w:r w:rsidRPr="00E0785E">
        <w:rPr>
          <w:noProof/>
          <w:lang w:val="en-US"/>
        </w:rPr>
        <w:t xml:space="preserve">(1), 1-36. </w:t>
      </w:r>
    </w:p>
    <w:p w:rsidR="001A2E82" w:rsidRDefault="001A2E82" w:rsidP="001A2E82">
      <w:pPr>
        <w:pStyle w:val="NormalWeb"/>
        <w:ind w:left="480" w:hanging="480"/>
        <w:jc w:val="both"/>
        <w:rPr>
          <w:noProof/>
          <w:lang w:val="en-US"/>
        </w:rPr>
      </w:pPr>
      <w:r w:rsidRPr="00E0785E">
        <w:rPr>
          <w:noProof/>
          <w:lang w:val="en-US"/>
        </w:rPr>
        <w:t>Dichev, I. D., &amp; Skinner, D. J. (2002). Large-sampl</w:t>
      </w:r>
      <w:r>
        <w:rPr>
          <w:noProof/>
          <w:lang w:val="en-US"/>
        </w:rPr>
        <w:t xml:space="preserve">e evidence on the debt covenant </w:t>
      </w:r>
      <w:r w:rsidRPr="00E0785E">
        <w:rPr>
          <w:noProof/>
          <w:lang w:val="en-US"/>
        </w:rPr>
        <w:t xml:space="preserve">hypothesis. </w:t>
      </w:r>
      <w:r w:rsidRPr="00E0785E">
        <w:rPr>
          <w:i/>
          <w:iCs/>
          <w:noProof/>
          <w:lang w:val="en-US"/>
        </w:rPr>
        <w:t>Journal of Accounting Research</w:t>
      </w:r>
      <w:r w:rsidRPr="00E0785E">
        <w:rPr>
          <w:noProof/>
          <w:lang w:val="en-US"/>
        </w:rPr>
        <w:t xml:space="preserve">, </w:t>
      </w:r>
      <w:r w:rsidRPr="00E0785E">
        <w:rPr>
          <w:i/>
          <w:iCs/>
          <w:noProof/>
          <w:lang w:val="en-US"/>
        </w:rPr>
        <w:t>40</w:t>
      </w:r>
      <w:r w:rsidRPr="00E0785E">
        <w:rPr>
          <w:noProof/>
          <w:lang w:val="en-US"/>
        </w:rPr>
        <w:t xml:space="preserve">, 1091–1123. </w:t>
      </w:r>
    </w:p>
    <w:p w:rsidR="00246BCA" w:rsidRPr="00B9756C" w:rsidRDefault="001A2E82" w:rsidP="00C536C4">
      <w:pPr>
        <w:pStyle w:val="NormalWeb"/>
        <w:ind w:left="480" w:hanging="480"/>
        <w:jc w:val="both"/>
        <w:rPr>
          <w:lang w:val="en-US"/>
        </w:rPr>
      </w:pPr>
      <w:r w:rsidRPr="00D73552">
        <w:rPr>
          <w:noProof/>
          <w:lang w:val="en-US"/>
        </w:rPr>
        <w:t>Dimitr</w:t>
      </w:r>
      <w:r>
        <w:rPr>
          <w:noProof/>
          <w:lang w:val="en-US"/>
        </w:rPr>
        <w:t>opoulos, P.E., and Asteriou, D.</w:t>
      </w:r>
      <w:r w:rsidRPr="00D73552">
        <w:rPr>
          <w:noProof/>
          <w:lang w:val="en-US"/>
        </w:rPr>
        <w:t xml:space="preserve"> </w:t>
      </w:r>
      <w:r>
        <w:rPr>
          <w:noProof/>
          <w:lang w:val="en-US"/>
        </w:rPr>
        <w:t>(</w:t>
      </w:r>
      <w:r w:rsidRPr="00D73552">
        <w:rPr>
          <w:noProof/>
          <w:lang w:val="en-US"/>
        </w:rPr>
        <w:t>2010</w:t>
      </w:r>
      <w:r>
        <w:rPr>
          <w:noProof/>
          <w:lang w:val="en-US"/>
        </w:rPr>
        <w:t>)</w:t>
      </w:r>
      <w:r w:rsidRPr="00D73552">
        <w:rPr>
          <w:noProof/>
          <w:lang w:val="en-US"/>
        </w:rPr>
        <w:t xml:space="preserve">. The effect of board composition on the  informativeness and quality of annual earnings: Empirical evidence from Greece, </w:t>
      </w:r>
      <w:r w:rsidRPr="000B6EED">
        <w:rPr>
          <w:i/>
          <w:noProof/>
          <w:lang w:val="en-US"/>
        </w:rPr>
        <w:t>Research in International Business and Finance</w:t>
      </w:r>
      <w:r>
        <w:rPr>
          <w:noProof/>
          <w:lang w:val="en-US"/>
        </w:rPr>
        <w:t xml:space="preserve">, </w:t>
      </w:r>
      <w:r w:rsidRPr="000B6EED">
        <w:rPr>
          <w:i/>
          <w:noProof/>
          <w:lang w:val="en-US"/>
        </w:rPr>
        <w:t>24</w:t>
      </w:r>
      <w:r>
        <w:rPr>
          <w:noProof/>
          <w:lang w:val="en-US"/>
        </w:rPr>
        <w:t>(2),</w:t>
      </w:r>
      <w:r w:rsidRPr="00D73552">
        <w:rPr>
          <w:noProof/>
          <w:lang w:val="en-US"/>
        </w:rPr>
        <w:t xml:space="preserve"> 190-205.</w:t>
      </w:r>
    </w:p>
    <w:p w:rsidR="009E5AD4" w:rsidRPr="00B9756C" w:rsidRDefault="009E5AD4" w:rsidP="009E5AD4">
      <w:pPr>
        <w:pStyle w:val="NormalWeb"/>
        <w:ind w:left="480" w:hanging="480"/>
        <w:jc w:val="both"/>
        <w:rPr>
          <w:noProof/>
          <w:lang w:val="en-US"/>
        </w:rPr>
      </w:pPr>
      <w:r w:rsidRPr="00B9756C">
        <w:rPr>
          <w:noProof/>
          <w:lang w:val="en-US"/>
        </w:rPr>
        <w:t xml:space="preserve">Ebrahim, A. (2007). Earnings management and board activity: an additional evidence. </w:t>
      </w:r>
      <w:r w:rsidRPr="00B9756C">
        <w:rPr>
          <w:i/>
          <w:noProof/>
          <w:lang w:val="en-US"/>
        </w:rPr>
        <w:t>Review of Accounting and Finance</w:t>
      </w:r>
      <w:r w:rsidRPr="00B9756C">
        <w:rPr>
          <w:noProof/>
          <w:lang w:val="en-US"/>
        </w:rPr>
        <w:t>, 6(1), 42 – 58.</w:t>
      </w:r>
    </w:p>
    <w:p w:rsidR="00585641" w:rsidRPr="00B9756C" w:rsidRDefault="00EF1EDC" w:rsidP="00C536C4">
      <w:pPr>
        <w:pStyle w:val="NormalWeb"/>
        <w:ind w:left="480" w:hanging="480"/>
        <w:jc w:val="both"/>
        <w:rPr>
          <w:noProof/>
          <w:lang w:val="en-US"/>
        </w:rPr>
      </w:pPr>
      <w:r>
        <w:fldChar w:fldCharType="end"/>
      </w:r>
      <w:r w:rsidR="00585641" w:rsidRPr="00B9756C">
        <w:rPr>
          <w:noProof/>
          <w:lang w:val="en-US"/>
        </w:rPr>
        <w:t xml:space="preserve">Fama, E.F. and Jensen, M.C. (1983), Separation of ownership and control. </w:t>
      </w:r>
      <w:r w:rsidR="00585641" w:rsidRPr="00B9756C">
        <w:rPr>
          <w:i/>
          <w:noProof/>
          <w:lang w:val="en-US"/>
        </w:rPr>
        <w:t>Journal of Law and Economics</w:t>
      </w:r>
      <w:r w:rsidR="00585641" w:rsidRPr="00B9756C">
        <w:rPr>
          <w:noProof/>
          <w:lang w:val="en-US"/>
        </w:rPr>
        <w:t xml:space="preserve">,  </w:t>
      </w:r>
      <w:r w:rsidR="00585641" w:rsidRPr="00B9756C">
        <w:rPr>
          <w:i/>
          <w:noProof/>
          <w:lang w:val="en-US"/>
        </w:rPr>
        <w:t>26</w:t>
      </w:r>
      <w:r w:rsidR="00585641" w:rsidRPr="00B9756C">
        <w:rPr>
          <w:noProof/>
          <w:lang w:val="en-US"/>
        </w:rPr>
        <w:t>(2), 301-</w:t>
      </w:r>
      <w:r w:rsidR="006C0CFF" w:rsidRPr="00B9756C">
        <w:rPr>
          <w:noProof/>
          <w:lang w:val="en-US"/>
        </w:rPr>
        <w:t>3</w:t>
      </w:r>
      <w:r w:rsidR="00585641" w:rsidRPr="00B9756C">
        <w:rPr>
          <w:noProof/>
          <w:lang w:val="en-US"/>
        </w:rPr>
        <w:t>25</w:t>
      </w:r>
    </w:p>
    <w:p w:rsidR="00585641" w:rsidRPr="00E0785E" w:rsidRDefault="00EF1EDC" w:rsidP="00C536C4">
      <w:pPr>
        <w:pStyle w:val="NormalWeb"/>
        <w:ind w:left="480" w:hanging="480"/>
        <w:jc w:val="both"/>
        <w:rPr>
          <w:noProof/>
          <w:lang w:val="en-US"/>
        </w:rPr>
      </w:pPr>
      <w:r>
        <w:fldChar w:fldCharType="begin" w:fldLock="1"/>
      </w:r>
      <w:r w:rsidR="00585641" w:rsidRPr="00E0785E">
        <w:rPr>
          <w:lang w:val="en-US"/>
        </w:rPr>
        <w:instrText xml:space="preserve">ADDIN Mendeley Bibliography CSL_BIBLIOGRAPHY </w:instrText>
      </w:r>
      <w:r>
        <w:fldChar w:fldCharType="separate"/>
      </w:r>
      <w:r w:rsidR="00585641" w:rsidRPr="00E0785E">
        <w:rPr>
          <w:noProof/>
          <w:lang w:val="en-US"/>
        </w:rPr>
        <w:t xml:space="preserve">Firth, M., Fung, P. M. Y., &amp; Rui, O. M. (2007). Ownership, two-tier board structure, and the informativeness of earnings - Evidence from China. </w:t>
      </w:r>
      <w:r w:rsidR="00585641" w:rsidRPr="00E0785E">
        <w:rPr>
          <w:i/>
          <w:iCs/>
          <w:noProof/>
          <w:lang w:val="en-US"/>
        </w:rPr>
        <w:t>Journal of Accounting and Public Policy</w:t>
      </w:r>
      <w:r w:rsidR="00585641" w:rsidRPr="00E0785E">
        <w:rPr>
          <w:noProof/>
          <w:lang w:val="en-US"/>
        </w:rPr>
        <w:t xml:space="preserve">, </w:t>
      </w:r>
      <w:r w:rsidR="00585641" w:rsidRPr="00E0785E">
        <w:rPr>
          <w:i/>
          <w:iCs/>
          <w:noProof/>
          <w:lang w:val="en-US"/>
        </w:rPr>
        <w:t>26</w:t>
      </w:r>
      <w:r w:rsidR="00585641" w:rsidRPr="00E0785E">
        <w:rPr>
          <w:noProof/>
          <w:lang w:val="en-US"/>
        </w:rPr>
        <w:t>(4), 463–496.</w:t>
      </w:r>
    </w:p>
    <w:p w:rsidR="00E45C7D" w:rsidRPr="00E0785E" w:rsidRDefault="00EF1EDC" w:rsidP="00E45C7D">
      <w:pPr>
        <w:pStyle w:val="NormalWeb"/>
        <w:ind w:left="480" w:hanging="480"/>
        <w:jc w:val="both"/>
        <w:rPr>
          <w:noProof/>
          <w:lang w:val="en-US"/>
        </w:rPr>
      </w:pPr>
      <w:r>
        <w:fldChar w:fldCharType="end"/>
      </w:r>
      <w:r w:rsidR="00E45C7D" w:rsidRPr="00E0785E">
        <w:rPr>
          <w:noProof/>
          <w:lang w:val="en-US"/>
        </w:rPr>
        <w:t xml:space="preserve">Gillan, S. L. (2006). Recent Developments in Corporate Governance: An Overview. </w:t>
      </w:r>
      <w:r w:rsidR="00E45C7D" w:rsidRPr="007B4191">
        <w:rPr>
          <w:i/>
          <w:noProof/>
          <w:lang w:val="en-US"/>
        </w:rPr>
        <w:t>Journal of  Corporate Finance, 12</w:t>
      </w:r>
      <w:r w:rsidR="00E45C7D" w:rsidRPr="00E0785E">
        <w:rPr>
          <w:noProof/>
          <w:lang w:val="en-US"/>
        </w:rPr>
        <w:t>(3), 381–402.</w:t>
      </w:r>
    </w:p>
    <w:p w:rsidR="00E45C7D" w:rsidRDefault="00E45C7D" w:rsidP="00E45C7D">
      <w:pPr>
        <w:pStyle w:val="NormalWeb"/>
        <w:ind w:left="480" w:hanging="480"/>
        <w:jc w:val="both"/>
        <w:rPr>
          <w:noProof/>
          <w:lang w:val="en-US"/>
        </w:rPr>
      </w:pPr>
      <w:r w:rsidRPr="00E0785E">
        <w:rPr>
          <w:noProof/>
          <w:lang w:val="en-US"/>
        </w:rPr>
        <w:lastRenderedPageBreak/>
        <w:t xml:space="preserve">Gompers, P., Ishii, J., &amp; Metrick, A. (2003). Corporate  Governance and Equity Prices. </w:t>
      </w:r>
      <w:r w:rsidRPr="00E0785E">
        <w:rPr>
          <w:i/>
          <w:iCs/>
          <w:noProof/>
          <w:lang w:val="en-US"/>
        </w:rPr>
        <w:t>Quarterly Journal of Economics</w:t>
      </w:r>
      <w:r w:rsidRPr="00E0785E">
        <w:rPr>
          <w:noProof/>
          <w:lang w:val="en-US"/>
        </w:rPr>
        <w:t xml:space="preserve">, </w:t>
      </w:r>
      <w:r w:rsidRPr="00E0785E">
        <w:rPr>
          <w:i/>
          <w:iCs/>
          <w:noProof/>
          <w:lang w:val="en-US"/>
        </w:rPr>
        <w:t>118</w:t>
      </w:r>
      <w:r w:rsidRPr="00E0785E">
        <w:rPr>
          <w:noProof/>
          <w:lang w:val="en-US"/>
        </w:rPr>
        <w:t>, 107–155.</w:t>
      </w:r>
    </w:p>
    <w:p w:rsidR="00E45C7D" w:rsidRPr="00B9756C" w:rsidRDefault="00E45C7D" w:rsidP="00E45C7D">
      <w:pPr>
        <w:pStyle w:val="NormalWeb"/>
        <w:ind w:left="480" w:hanging="480"/>
        <w:jc w:val="both"/>
        <w:rPr>
          <w:noProof/>
          <w:lang w:val="en-US"/>
        </w:rPr>
      </w:pPr>
      <w:r w:rsidRPr="00B9756C">
        <w:rPr>
          <w:noProof/>
          <w:lang w:val="en-US"/>
        </w:rPr>
        <w:t xml:space="preserve">Graham, J. R., Harvey, C. R., &amp; Rajgopal, S. (2005). The economic implications of corporate financial reporting. </w:t>
      </w:r>
      <w:r w:rsidRPr="00B9756C">
        <w:rPr>
          <w:i/>
          <w:iCs/>
          <w:noProof/>
          <w:lang w:val="en-US"/>
        </w:rPr>
        <w:t>Journal of Accounting and Economics</w:t>
      </w:r>
      <w:r w:rsidRPr="00B9756C">
        <w:rPr>
          <w:noProof/>
          <w:lang w:val="en-US"/>
        </w:rPr>
        <w:t xml:space="preserve">, </w:t>
      </w:r>
      <w:r w:rsidRPr="00B9756C">
        <w:rPr>
          <w:i/>
          <w:noProof/>
          <w:lang w:val="en-US"/>
        </w:rPr>
        <w:t>40</w:t>
      </w:r>
      <w:r w:rsidRPr="00B9756C">
        <w:rPr>
          <w:noProof/>
          <w:lang w:val="en-US"/>
        </w:rPr>
        <w:t xml:space="preserve"> (1-3), 3-73.</w:t>
      </w:r>
    </w:p>
    <w:p w:rsidR="00E45C7D" w:rsidRDefault="00E45C7D" w:rsidP="00E45C7D">
      <w:pPr>
        <w:pStyle w:val="NormalWeb"/>
        <w:ind w:left="480" w:hanging="480"/>
        <w:jc w:val="both"/>
        <w:rPr>
          <w:noProof/>
          <w:lang w:val="en-US"/>
        </w:rPr>
      </w:pPr>
      <w:r w:rsidRPr="00B9756C">
        <w:rPr>
          <w:noProof/>
          <w:lang w:val="en-US"/>
        </w:rPr>
        <w:t xml:space="preserve">Gregory, H. J., &amp; Simms, M. E. (1999). Corporate goverance: what it is and why it matters? </w:t>
      </w:r>
      <w:r w:rsidRPr="00B9756C">
        <w:rPr>
          <w:i/>
          <w:noProof/>
          <w:lang w:val="en-US"/>
        </w:rPr>
        <w:t>The 9th International Anti-Corruption Conference</w:t>
      </w:r>
      <w:r w:rsidRPr="00B9756C">
        <w:rPr>
          <w:noProof/>
          <w:lang w:val="en-US"/>
        </w:rPr>
        <w:t>, 10–15.</w:t>
      </w:r>
    </w:p>
    <w:p w:rsidR="00E45C7D" w:rsidRPr="00E0785E" w:rsidRDefault="00E45C7D" w:rsidP="00E45C7D">
      <w:pPr>
        <w:pStyle w:val="NormalWeb"/>
        <w:ind w:left="480" w:hanging="480"/>
        <w:jc w:val="both"/>
        <w:rPr>
          <w:noProof/>
          <w:lang w:val="en-US"/>
        </w:rPr>
      </w:pPr>
      <w:r w:rsidRPr="003E71EB">
        <w:rPr>
          <w:noProof/>
          <w:lang w:val="en-US"/>
        </w:rPr>
        <w:t xml:space="preserve">Gulzar, M., &amp; Zongjun, W. (2011). Corporate governance characteristics and earnings management: empirical evidence from Chinese listed firms. International Journal of </w:t>
      </w:r>
      <w:r w:rsidRPr="003E71EB">
        <w:rPr>
          <w:i/>
          <w:noProof/>
          <w:lang w:val="en-US"/>
        </w:rPr>
        <w:t>Accounting and Financial Reporting, 1</w:t>
      </w:r>
      <w:r w:rsidRPr="003E71EB">
        <w:rPr>
          <w:noProof/>
          <w:lang w:val="en-US"/>
        </w:rPr>
        <w:t>(1), 133–151.</w:t>
      </w:r>
    </w:p>
    <w:p w:rsidR="00585641" w:rsidRPr="00B9756C" w:rsidRDefault="00E45C7D" w:rsidP="00C536C4">
      <w:pPr>
        <w:pStyle w:val="NormalWeb"/>
        <w:ind w:left="480" w:hanging="480"/>
        <w:jc w:val="both"/>
        <w:rPr>
          <w:noProof/>
          <w:lang w:val="en-US"/>
        </w:rPr>
      </w:pPr>
      <w:r w:rsidRPr="00E0785E">
        <w:rPr>
          <w:noProof/>
          <w:lang w:val="en-US"/>
        </w:rPr>
        <w:t xml:space="preserve">Gunny, K. A. (2010). The relation between earnings management using real activities manipulation and future performance: Evidence from meeting earnings benchmarks. </w:t>
      </w:r>
      <w:r w:rsidRPr="00E0785E">
        <w:rPr>
          <w:i/>
          <w:iCs/>
          <w:noProof/>
          <w:lang w:val="en-US"/>
        </w:rPr>
        <w:t>Contemporary Accounting Research</w:t>
      </w:r>
      <w:r w:rsidRPr="00E0785E">
        <w:rPr>
          <w:noProof/>
          <w:lang w:val="en-US"/>
        </w:rPr>
        <w:t xml:space="preserve">, </w:t>
      </w:r>
      <w:r w:rsidRPr="00E0785E">
        <w:rPr>
          <w:i/>
          <w:iCs/>
          <w:noProof/>
          <w:lang w:val="en-US"/>
        </w:rPr>
        <w:t>27</w:t>
      </w:r>
      <w:r w:rsidRPr="00E0785E">
        <w:rPr>
          <w:noProof/>
          <w:lang w:val="en-US"/>
        </w:rPr>
        <w:t>(3), 855–888.</w:t>
      </w:r>
    </w:p>
    <w:p w:rsidR="00EF488B" w:rsidRDefault="00EF1EDC" w:rsidP="00EF488B">
      <w:pPr>
        <w:pStyle w:val="NormalWeb"/>
        <w:ind w:left="480" w:hanging="480"/>
        <w:jc w:val="both"/>
        <w:rPr>
          <w:noProof/>
          <w:lang w:val="en-US"/>
        </w:rPr>
      </w:pPr>
      <w:r>
        <w:fldChar w:fldCharType="begin" w:fldLock="1"/>
      </w:r>
      <w:r w:rsidR="00585641" w:rsidRPr="00DF111B">
        <w:rPr>
          <w:lang w:val="en-US"/>
        </w:rPr>
        <w:instrText xml:space="preserve">ADDIN Mendeley Bibliography CSL_BIBLIOGRAPHY </w:instrText>
      </w:r>
      <w:r>
        <w:fldChar w:fldCharType="separate"/>
      </w:r>
      <w:r w:rsidR="00EF488B" w:rsidRPr="00B9756C">
        <w:rPr>
          <w:noProof/>
          <w:lang w:val="en-US"/>
        </w:rPr>
        <w:t xml:space="preserve">Habbash, M., Xiao, L., Salama, A., &amp; Dixon, R. (2014). Are Independent Directors and Supervisory Directors Effective in Comstraining Earnings Manegement? </w:t>
      </w:r>
      <w:r w:rsidR="00EF488B" w:rsidRPr="00B9756C">
        <w:rPr>
          <w:i/>
          <w:iCs/>
          <w:noProof/>
          <w:lang w:val="en-US"/>
        </w:rPr>
        <w:t>Journal of Finance, Accounting and Management</w:t>
      </w:r>
      <w:r w:rsidR="00EF488B" w:rsidRPr="00B9756C">
        <w:rPr>
          <w:noProof/>
          <w:lang w:val="en-US"/>
        </w:rPr>
        <w:t xml:space="preserve">, </w:t>
      </w:r>
      <w:r w:rsidR="00EF488B" w:rsidRPr="00B9756C">
        <w:rPr>
          <w:i/>
          <w:iCs/>
          <w:noProof/>
          <w:lang w:val="en-US"/>
        </w:rPr>
        <w:t>5</w:t>
      </w:r>
      <w:r w:rsidR="00EF488B" w:rsidRPr="00B9756C">
        <w:rPr>
          <w:noProof/>
          <w:lang w:val="en-US"/>
        </w:rPr>
        <w:t>(1), 125–160.</w:t>
      </w:r>
    </w:p>
    <w:p w:rsidR="00EF488B" w:rsidRDefault="00EF488B" w:rsidP="00EF488B">
      <w:pPr>
        <w:pStyle w:val="NormalWeb"/>
        <w:ind w:left="480" w:hanging="480"/>
        <w:jc w:val="both"/>
        <w:rPr>
          <w:noProof/>
          <w:lang w:val="en-US"/>
        </w:rPr>
      </w:pPr>
      <w:r w:rsidRPr="00B9756C">
        <w:rPr>
          <w:noProof/>
          <w:lang w:val="en-US"/>
        </w:rPr>
        <w:t>Hashim, H. A., &amp; Devi, S. S. (2008). Board Independence, CEO Duality and Accrual Management : Malaysian Evidence, 1(1), 27–46.</w:t>
      </w:r>
    </w:p>
    <w:p w:rsidR="00EF488B" w:rsidRDefault="00EF488B" w:rsidP="00EF488B">
      <w:pPr>
        <w:pStyle w:val="NormalWeb"/>
        <w:ind w:left="480" w:hanging="480"/>
        <w:jc w:val="both"/>
        <w:rPr>
          <w:sz w:val="23"/>
          <w:szCs w:val="23"/>
          <w:lang w:val="en-US"/>
        </w:rPr>
      </w:pPr>
      <w:r w:rsidRPr="00DF111B">
        <w:rPr>
          <w:noProof/>
        </w:rPr>
        <w:t xml:space="preserve">Hass, L. H., Vergauwe, S., &amp; Zhang, Q. (2014). </w:t>
      </w:r>
      <w:r w:rsidRPr="00B9756C">
        <w:rPr>
          <w:noProof/>
          <w:lang w:val="en-US"/>
        </w:rPr>
        <w:t xml:space="preserve">Corporate governance and the information environment: Evidence from Chinese stock markets. </w:t>
      </w:r>
      <w:r w:rsidRPr="00B9756C">
        <w:rPr>
          <w:i/>
          <w:iCs/>
          <w:noProof/>
          <w:lang w:val="en-US"/>
        </w:rPr>
        <w:t>International Review of Financial Analysis</w:t>
      </w:r>
      <w:r w:rsidRPr="00B9756C">
        <w:rPr>
          <w:noProof/>
          <w:lang w:val="en-US"/>
        </w:rPr>
        <w:t xml:space="preserve">, </w:t>
      </w:r>
      <w:r w:rsidRPr="00B9756C">
        <w:rPr>
          <w:sz w:val="23"/>
          <w:szCs w:val="23"/>
          <w:lang w:val="en-US"/>
        </w:rPr>
        <w:t>Forthcoming.</w:t>
      </w:r>
    </w:p>
    <w:p w:rsidR="00EF488B" w:rsidRDefault="00EF488B" w:rsidP="00EF488B">
      <w:pPr>
        <w:pStyle w:val="NormalWeb"/>
        <w:ind w:left="480" w:hanging="480"/>
        <w:jc w:val="both"/>
        <w:rPr>
          <w:noProof/>
          <w:lang w:val="en-US"/>
        </w:rPr>
      </w:pPr>
      <w:r w:rsidRPr="00B9756C">
        <w:rPr>
          <w:noProof/>
          <w:lang w:val="en-US"/>
        </w:rPr>
        <w:t xml:space="preserve">Hausman, J. (1978). Specification tests in ecomometrics. </w:t>
      </w:r>
      <w:r w:rsidRPr="00B9756C">
        <w:rPr>
          <w:i/>
          <w:iCs/>
          <w:noProof/>
          <w:lang w:val="en-US"/>
        </w:rPr>
        <w:t>Econometrica</w:t>
      </w:r>
      <w:r w:rsidRPr="00B9756C">
        <w:rPr>
          <w:noProof/>
          <w:lang w:val="en-US"/>
        </w:rPr>
        <w:t xml:space="preserve">, </w:t>
      </w:r>
      <w:r w:rsidRPr="00B9756C">
        <w:rPr>
          <w:i/>
          <w:iCs/>
          <w:noProof/>
          <w:lang w:val="en-US"/>
        </w:rPr>
        <w:t>46</w:t>
      </w:r>
      <w:r w:rsidRPr="00B9756C">
        <w:rPr>
          <w:noProof/>
          <w:lang w:val="en-US"/>
        </w:rPr>
        <w:t>(6), 1251–1271.</w:t>
      </w:r>
    </w:p>
    <w:p w:rsidR="00EF488B" w:rsidRDefault="00EF488B" w:rsidP="00EF488B">
      <w:pPr>
        <w:pStyle w:val="NormalWeb"/>
        <w:ind w:left="480" w:hanging="480"/>
        <w:jc w:val="both"/>
        <w:rPr>
          <w:noProof/>
          <w:lang w:val="en-US"/>
        </w:rPr>
      </w:pPr>
      <w:r w:rsidRPr="00B9756C">
        <w:rPr>
          <w:noProof/>
          <w:lang w:val="en-US"/>
        </w:rPr>
        <w:t xml:space="preserve">Haw, I. M., Qi, D., Wu, D., &amp; Wu, W. (2005). Market Consequences of Earnings  Management in Response to Security Regulations in China. </w:t>
      </w:r>
      <w:r w:rsidRPr="00B9756C">
        <w:rPr>
          <w:i/>
          <w:noProof/>
          <w:lang w:val="en-US"/>
        </w:rPr>
        <w:t>Contemporary</w:t>
      </w:r>
      <w:r w:rsidRPr="00B9756C">
        <w:rPr>
          <w:noProof/>
          <w:lang w:val="en-US"/>
        </w:rPr>
        <w:t xml:space="preserve"> </w:t>
      </w:r>
      <w:r w:rsidRPr="00B9756C">
        <w:rPr>
          <w:i/>
          <w:noProof/>
          <w:lang w:val="en-US"/>
        </w:rPr>
        <w:t>Accounting Research, 22</w:t>
      </w:r>
      <w:r w:rsidRPr="00B9756C">
        <w:rPr>
          <w:noProof/>
          <w:lang w:val="en-US"/>
        </w:rPr>
        <w:t>(1), 95–140.</w:t>
      </w:r>
    </w:p>
    <w:p w:rsidR="00EF488B" w:rsidRDefault="00EF488B" w:rsidP="00EF488B">
      <w:pPr>
        <w:pStyle w:val="NormalWeb"/>
        <w:ind w:left="480" w:hanging="480"/>
        <w:jc w:val="both"/>
        <w:rPr>
          <w:noProof/>
          <w:lang w:val="en-US"/>
        </w:rPr>
      </w:pPr>
      <w:r w:rsidRPr="00E0785E">
        <w:rPr>
          <w:noProof/>
          <w:lang w:val="en-US"/>
        </w:rPr>
        <w:t xml:space="preserve">Healy, P. M. (1985). The effect of bonus schemes on accounting decisions. Journal of </w:t>
      </w:r>
      <w:r w:rsidRPr="00E0785E">
        <w:rPr>
          <w:i/>
          <w:iCs/>
          <w:noProof/>
          <w:lang w:val="en-US"/>
        </w:rPr>
        <w:t>Accounting and Economics</w:t>
      </w:r>
      <w:r w:rsidRPr="00E0785E">
        <w:rPr>
          <w:noProof/>
          <w:lang w:val="en-US"/>
        </w:rPr>
        <w:t xml:space="preserve">, </w:t>
      </w:r>
      <w:r w:rsidRPr="006C0CFF">
        <w:rPr>
          <w:i/>
          <w:noProof/>
          <w:lang w:val="en-US"/>
        </w:rPr>
        <w:t>7</w:t>
      </w:r>
      <w:r w:rsidRPr="00E0785E">
        <w:rPr>
          <w:noProof/>
          <w:lang w:val="en-US"/>
        </w:rPr>
        <w:t>, 85–107.</w:t>
      </w:r>
    </w:p>
    <w:p w:rsidR="00305FE0" w:rsidRDefault="00EF488B" w:rsidP="00EF488B">
      <w:pPr>
        <w:pStyle w:val="NormalWeb"/>
        <w:ind w:left="480" w:hanging="480"/>
        <w:jc w:val="both"/>
        <w:rPr>
          <w:noProof/>
          <w:lang w:val="en-US"/>
        </w:rPr>
      </w:pPr>
      <w:r w:rsidRPr="00E0785E">
        <w:rPr>
          <w:noProof/>
          <w:lang w:val="en-US"/>
        </w:rPr>
        <w:t xml:space="preserve">Healy, P., &amp; Wahlen, J. (1999). A review of the earnings management literature and its implications for standard setting. </w:t>
      </w:r>
      <w:r w:rsidRPr="00E0785E">
        <w:rPr>
          <w:i/>
          <w:iCs/>
          <w:noProof/>
          <w:lang w:val="en-US"/>
        </w:rPr>
        <w:t>Accounting Horizons</w:t>
      </w:r>
      <w:r w:rsidRPr="00E0785E">
        <w:rPr>
          <w:noProof/>
          <w:lang w:val="en-US"/>
        </w:rPr>
        <w:t xml:space="preserve">, </w:t>
      </w:r>
      <w:r w:rsidRPr="006C0CFF">
        <w:rPr>
          <w:i/>
          <w:noProof/>
          <w:lang w:val="en-US"/>
        </w:rPr>
        <w:t>13</w:t>
      </w:r>
      <w:r w:rsidRPr="00E0785E">
        <w:rPr>
          <w:noProof/>
          <w:lang w:val="en-US"/>
        </w:rPr>
        <w:t>(4)</w:t>
      </w:r>
      <w:r>
        <w:rPr>
          <w:noProof/>
          <w:lang w:val="en-US"/>
        </w:rPr>
        <w:t>,</w:t>
      </w:r>
      <w:r w:rsidRPr="00E0785E">
        <w:rPr>
          <w:noProof/>
          <w:lang w:val="en-US"/>
        </w:rPr>
        <w:t xml:space="preserve"> 365-383.</w:t>
      </w:r>
    </w:p>
    <w:p w:rsidR="00EF488B" w:rsidRDefault="00EF488B" w:rsidP="00EF488B">
      <w:pPr>
        <w:pStyle w:val="NormalWeb"/>
        <w:ind w:left="480" w:hanging="480"/>
        <w:jc w:val="both"/>
        <w:rPr>
          <w:noProof/>
        </w:rPr>
      </w:pPr>
      <w:r w:rsidRPr="00B9756C">
        <w:rPr>
          <w:noProof/>
          <w:lang w:val="en-US"/>
        </w:rPr>
        <w:t xml:space="preserve">Holderness, C. G. (2007). The Myth of Diffuse Ownership in the United States. </w:t>
      </w:r>
      <w:r w:rsidRPr="000F43F3">
        <w:rPr>
          <w:i/>
          <w:iCs/>
          <w:noProof/>
        </w:rPr>
        <w:t>Review of Financial Studies</w:t>
      </w:r>
      <w:r w:rsidRPr="000F43F3">
        <w:rPr>
          <w:noProof/>
        </w:rPr>
        <w:t xml:space="preserve">, </w:t>
      </w:r>
      <w:r w:rsidRPr="000F43F3">
        <w:rPr>
          <w:i/>
          <w:iCs/>
          <w:noProof/>
        </w:rPr>
        <w:t>22</w:t>
      </w:r>
      <w:r w:rsidRPr="000F43F3">
        <w:rPr>
          <w:noProof/>
        </w:rPr>
        <w:t>(4), 1377–1408.</w:t>
      </w:r>
    </w:p>
    <w:p w:rsidR="00EF488B" w:rsidRPr="00B9756C" w:rsidRDefault="00EF488B" w:rsidP="00EF488B">
      <w:pPr>
        <w:pStyle w:val="NormalWeb"/>
        <w:ind w:left="480" w:hanging="480"/>
        <w:jc w:val="both"/>
        <w:rPr>
          <w:noProof/>
          <w:lang w:val="en-US"/>
        </w:rPr>
      </w:pPr>
      <w:r>
        <w:rPr>
          <w:noProof/>
        </w:rPr>
        <w:lastRenderedPageBreak/>
        <w:t>Houqe, M. N., van Zijl, T.</w:t>
      </w:r>
      <w:r w:rsidRPr="0063487C">
        <w:rPr>
          <w:noProof/>
        </w:rPr>
        <w:t>, Dunstan, K.</w:t>
      </w:r>
      <w:r>
        <w:rPr>
          <w:noProof/>
        </w:rPr>
        <w:t xml:space="preserve"> L.</w:t>
      </w:r>
      <w:r w:rsidRPr="0063487C">
        <w:rPr>
          <w:noProof/>
        </w:rPr>
        <w:t xml:space="preserve">, &amp; Karim, A. K. M. W. (2007). </w:t>
      </w:r>
      <w:r w:rsidRPr="00B9756C">
        <w:rPr>
          <w:noProof/>
          <w:lang w:val="en-US"/>
        </w:rPr>
        <w:t xml:space="preserve">Does Corporate Governance affect Earnings Quality : Evidence from an Emerging Market. </w:t>
      </w:r>
      <w:r w:rsidRPr="00B9756C">
        <w:rPr>
          <w:i/>
          <w:iCs/>
          <w:noProof/>
          <w:lang w:val="en-US"/>
        </w:rPr>
        <w:t>Business Management Review</w:t>
      </w:r>
      <w:r w:rsidRPr="00B9756C">
        <w:rPr>
          <w:noProof/>
          <w:lang w:val="en-US"/>
        </w:rPr>
        <w:t xml:space="preserve">, </w:t>
      </w:r>
      <w:r w:rsidRPr="00B9756C">
        <w:rPr>
          <w:i/>
          <w:iCs/>
          <w:noProof/>
          <w:lang w:val="en-US"/>
        </w:rPr>
        <w:t>7(3)</w:t>
      </w:r>
      <w:r w:rsidRPr="00B9756C">
        <w:rPr>
          <w:noProof/>
          <w:lang w:val="en-US"/>
        </w:rPr>
        <w:t>, 48-57.</w:t>
      </w:r>
    </w:p>
    <w:p w:rsidR="00EF488B" w:rsidRDefault="00EF488B" w:rsidP="00EF488B">
      <w:pPr>
        <w:pStyle w:val="NormalWeb"/>
        <w:ind w:left="480" w:hanging="480"/>
        <w:jc w:val="both"/>
        <w:rPr>
          <w:noProof/>
          <w:lang w:val="en-US"/>
        </w:rPr>
      </w:pPr>
      <w:r>
        <w:rPr>
          <w:noProof/>
          <w:lang w:val="en-US"/>
        </w:rPr>
        <w:t xml:space="preserve">Hsu, </w:t>
      </w:r>
      <w:r w:rsidRPr="00E56683">
        <w:rPr>
          <w:noProof/>
          <w:lang w:val="en-US"/>
        </w:rPr>
        <w:t xml:space="preserve">P. H. (2013). Do financial expert directors affect the incidence of accruals management to meet or beat analyst forecasts? </w:t>
      </w:r>
      <w:r w:rsidRPr="006C0CFF">
        <w:rPr>
          <w:i/>
          <w:noProof/>
          <w:lang w:val="en-US"/>
        </w:rPr>
        <w:t>Working paper</w:t>
      </w:r>
      <w:r>
        <w:rPr>
          <w:noProof/>
          <w:lang w:val="en-US"/>
        </w:rPr>
        <w:t xml:space="preserve">, </w:t>
      </w:r>
      <w:r w:rsidRPr="00E56683">
        <w:rPr>
          <w:noProof/>
          <w:lang w:val="en-US"/>
        </w:rPr>
        <w:t>1-32.</w:t>
      </w:r>
    </w:p>
    <w:p w:rsidR="00EF488B" w:rsidRDefault="00EF488B" w:rsidP="00EF488B">
      <w:pPr>
        <w:pStyle w:val="NormalWeb"/>
        <w:ind w:left="480" w:hanging="480"/>
        <w:jc w:val="both"/>
        <w:rPr>
          <w:noProof/>
          <w:lang w:val="en-US"/>
        </w:rPr>
      </w:pPr>
      <w:r w:rsidRPr="00B9756C">
        <w:rPr>
          <w:noProof/>
          <w:lang w:val="en-US"/>
        </w:rPr>
        <w:t xml:space="preserve">Hutchinson, M. R., Percy, M., &amp; Erkurtoglu, L. (2008). An Investigation Of The Association Between Corporate Governance, Earnings Management And The Effect Of Governance Reforms. </w:t>
      </w:r>
      <w:r w:rsidRPr="00B9756C">
        <w:rPr>
          <w:i/>
          <w:noProof/>
          <w:lang w:val="en-US"/>
        </w:rPr>
        <w:t>Accounting Research Journal</w:t>
      </w:r>
      <w:r w:rsidRPr="00B9756C">
        <w:rPr>
          <w:noProof/>
          <w:lang w:val="en-US"/>
        </w:rPr>
        <w:t xml:space="preserve">, </w:t>
      </w:r>
      <w:r w:rsidRPr="00B9756C">
        <w:rPr>
          <w:i/>
          <w:noProof/>
          <w:lang w:val="en-US"/>
        </w:rPr>
        <w:t>21</w:t>
      </w:r>
      <w:r w:rsidRPr="00B9756C">
        <w:rPr>
          <w:noProof/>
          <w:lang w:val="en-US"/>
        </w:rPr>
        <w:t>(3), 239–262.</w:t>
      </w:r>
    </w:p>
    <w:p w:rsidR="00EF488B" w:rsidRPr="00B9756C" w:rsidRDefault="00EF488B" w:rsidP="00EF488B">
      <w:pPr>
        <w:pStyle w:val="NormalWeb"/>
        <w:ind w:left="480" w:hanging="480"/>
        <w:jc w:val="both"/>
        <w:rPr>
          <w:noProof/>
          <w:lang w:val="en-US"/>
        </w:rPr>
      </w:pPr>
      <w:r w:rsidRPr="00B9756C">
        <w:rPr>
          <w:noProof/>
          <w:lang w:val="en-US"/>
        </w:rPr>
        <w:t xml:space="preserve">Iqbal, A., &amp; Strong, N. (2010). The effect of corporate governance on earnings management around UK rights issues. </w:t>
      </w:r>
      <w:r w:rsidRPr="00B9756C">
        <w:rPr>
          <w:i/>
          <w:iCs/>
          <w:noProof/>
          <w:lang w:val="en-US"/>
        </w:rPr>
        <w:t>International Journal of Managerial Finance</w:t>
      </w:r>
      <w:r w:rsidRPr="00B9756C">
        <w:rPr>
          <w:noProof/>
          <w:lang w:val="en-US"/>
        </w:rPr>
        <w:t xml:space="preserve">, </w:t>
      </w:r>
      <w:r w:rsidRPr="00B9756C">
        <w:rPr>
          <w:i/>
          <w:iCs/>
          <w:noProof/>
          <w:lang w:val="en-US"/>
        </w:rPr>
        <w:t>6</w:t>
      </w:r>
      <w:r w:rsidRPr="00B9756C">
        <w:rPr>
          <w:noProof/>
          <w:lang w:val="en-US"/>
        </w:rPr>
        <w:t xml:space="preserve">(3), 168–189. </w:t>
      </w:r>
    </w:p>
    <w:p w:rsidR="00EF488B" w:rsidRDefault="00EF488B" w:rsidP="00EF488B">
      <w:pPr>
        <w:pStyle w:val="NormalWeb"/>
        <w:ind w:left="480" w:hanging="480"/>
        <w:jc w:val="both"/>
        <w:rPr>
          <w:noProof/>
          <w:lang w:val="en-US"/>
        </w:rPr>
      </w:pPr>
      <w:r w:rsidRPr="00B9756C">
        <w:rPr>
          <w:noProof/>
          <w:lang w:val="en-US"/>
        </w:rPr>
        <w:t xml:space="preserve">Isenmila, P. A., &amp; Elijah, A. (2012). Earnings Management and Ownership Structure : Evidence from Nigeria. </w:t>
      </w:r>
      <w:r w:rsidRPr="00B9756C">
        <w:rPr>
          <w:i/>
          <w:iCs/>
          <w:noProof/>
          <w:lang w:val="en-US"/>
        </w:rPr>
        <w:t>Research Journal of Finance and Accounting</w:t>
      </w:r>
      <w:r w:rsidRPr="00B9756C">
        <w:rPr>
          <w:noProof/>
          <w:lang w:val="en-US"/>
        </w:rPr>
        <w:t xml:space="preserve">, </w:t>
      </w:r>
      <w:r w:rsidRPr="00B9756C">
        <w:rPr>
          <w:i/>
          <w:iCs/>
          <w:noProof/>
          <w:lang w:val="en-US"/>
        </w:rPr>
        <w:t>3</w:t>
      </w:r>
      <w:r w:rsidRPr="00B9756C">
        <w:rPr>
          <w:noProof/>
          <w:lang w:val="en-US"/>
        </w:rPr>
        <w:t>(7), 24–36.</w:t>
      </w:r>
    </w:p>
    <w:p w:rsidR="00EF488B" w:rsidRDefault="00EF488B" w:rsidP="00EF488B">
      <w:pPr>
        <w:pStyle w:val="NormalWeb"/>
        <w:ind w:left="480" w:hanging="480"/>
        <w:jc w:val="both"/>
        <w:rPr>
          <w:noProof/>
          <w:lang w:val="en-US"/>
        </w:rPr>
      </w:pPr>
      <w:r w:rsidRPr="00B9756C">
        <w:rPr>
          <w:noProof/>
          <w:lang w:val="en-US"/>
        </w:rPr>
        <w:t xml:space="preserve">Iturriaga, F. J. L., &amp; Hoffmann, P. S. (2005). Earnings management and internal mechanisms of corporate governance: Empirical evidence from Chilean firms. </w:t>
      </w:r>
      <w:r w:rsidRPr="00B9756C">
        <w:rPr>
          <w:i/>
          <w:noProof/>
          <w:lang w:val="en-US"/>
        </w:rPr>
        <w:t>Corporate Ownership &amp; Control, 3(</w:t>
      </w:r>
      <w:r w:rsidRPr="00B9756C">
        <w:rPr>
          <w:noProof/>
          <w:lang w:val="en-US"/>
        </w:rPr>
        <w:t>1), 17-29.</w:t>
      </w:r>
    </w:p>
    <w:p w:rsidR="00EF488B" w:rsidRDefault="00EF488B" w:rsidP="00EF488B">
      <w:pPr>
        <w:pStyle w:val="NormalWeb"/>
        <w:ind w:left="475" w:hanging="475"/>
        <w:jc w:val="both"/>
        <w:rPr>
          <w:noProof/>
          <w:lang w:val="en-US"/>
        </w:rPr>
      </w:pPr>
      <w:r w:rsidRPr="00B9756C">
        <w:rPr>
          <w:noProof/>
          <w:lang w:val="en-US"/>
        </w:rPr>
        <w:t xml:space="preserve">Jaggi, B &amp; Tsui, J. (2007). Insider trading earnings management and corporate governance:Empirical evidence based on Hong Kong Firms. </w:t>
      </w:r>
      <w:r w:rsidRPr="00B9756C">
        <w:rPr>
          <w:i/>
          <w:noProof/>
          <w:lang w:val="en-US"/>
        </w:rPr>
        <w:t>Journal of International Financial Management and Accounting</w:t>
      </w:r>
      <w:r w:rsidRPr="00B9756C">
        <w:rPr>
          <w:noProof/>
          <w:lang w:val="en-US"/>
        </w:rPr>
        <w:t xml:space="preserve">, </w:t>
      </w:r>
      <w:r w:rsidRPr="00B9756C">
        <w:rPr>
          <w:i/>
          <w:noProof/>
          <w:lang w:val="en-US"/>
        </w:rPr>
        <w:t>18</w:t>
      </w:r>
      <w:r w:rsidRPr="00B9756C">
        <w:rPr>
          <w:noProof/>
          <w:lang w:val="en-US"/>
        </w:rPr>
        <w:t>(3), 192-222.</w:t>
      </w:r>
    </w:p>
    <w:p w:rsidR="00EF488B" w:rsidRDefault="00EF488B" w:rsidP="00EF488B">
      <w:pPr>
        <w:pStyle w:val="NormalWeb"/>
        <w:ind w:left="480" w:hanging="480"/>
        <w:jc w:val="both"/>
        <w:rPr>
          <w:noProof/>
          <w:lang w:val="en-US"/>
        </w:rPr>
      </w:pPr>
      <w:r w:rsidRPr="00B9756C">
        <w:rPr>
          <w:lang w:val="en-US"/>
        </w:rPr>
        <w:t xml:space="preserve">Jensen, M. C. (1993). The modern industrial revolution, exit and the failure of internal control systems. </w:t>
      </w:r>
      <w:r w:rsidRPr="00B9756C">
        <w:rPr>
          <w:i/>
          <w:lang w:val="en-US"/>
        </w:rPr>
        <w:t>Journal of Finance, 48</w:t>
      </w:r>
      <w:r w:rsidRPr="00B9756C">
        <w:rPr>
          <w:lang w:val="en-US"/>
        </w:rPr>
        <w:t xml:space="preserve"> (3), 831-880.</w:t>
      </w:r>
    </w:p>
    <w:p w:rsidR="00EF488B" w:rsidRPr="00B9756C" w:rsidRDefault="00EF488B" w:rsidP="00EF488B">
      <w:pPr>
        <w:pStyle w:val="NormalWeb"/>
        <w:ind w:left="480" w:hanging="480"/>
        <w:jc w:val="both"/>
        <w:rPr>
          <w:noProof/>
          <w:lang w:val="en-US"/>
        </w:rPr>
      </w:pPr>
      <w:r w:rsidRPr="00E0785E">
        <w:rPr>
          <w:noProof/>
          <w:lang w:val="en-US"/>
        </w:rPr>
        <w:t xml:space="preserve">Jensen, M. C., &amp; Meckling, W. H. (1976). Theory of the firm: Managerial behavior, agency costs and ownership structure. </w:t>
      </w:r>
      <w:r w:rsidRPr="00E0785E">
        <w:rPr>
          <w:i/>
          <w:iCs/>
          <w:noProof/>
          <w:lang w:val="en-US"/>
        </w:rPr>
        <w:t>Journal of Financial Economics</w:t>
      </w:r>
      <w:r w:rsidRPr="00E0785E">
        <w:rPr>
          <w:noProof/>
          <w:lang w:val="en-US"/>
        </w:rPr>
        <w:t xml:space="preserve">. </w:t>
      </w:r>
      <w:r w:rsidRPr="00886DA2">
        <w:rPr>
          <w:i/>
          <w:noProof/>
          <w:lang w:val="en-US"/>
        </w:rPr>
        <w:t>3</w:t>
      </w:r>
      <w:r w:rsidRPr="00E0785E">
        <w:rPr>
          <w:noProof/>
          <w:lang w:val="en-US"/>
        </w:rPr>
        <w:t>(4), 305-360.</w:t>
      </w:r>
    </w:p>
    <w:p w:rsidR="00EF488B" w:rsidRPr="00B9756C" w:rsidRDefault="00EF488B" w:rsidP="00EF488B">
      <w:pPr>
        <w:pStyle w:val="NormalWeb"/>
        <w:ind w:left="480" w:hanging="480"/>
        <w:jc w:val="both"/>
        <w:rPr>
          <w:lang w:val="en-US"/>
        </w:rPr>
      </w:pPr>
      <w:r w:rsidRPr="00E0785E">
        <w:rPr>
          <w:noProof/>
          <w:lang w:val="en-US"/>
        </w:rPr>
        <w:t xml:space="preserve">Jiraporn, P., Miller, G. A., Yoon, S. S., &amp; Kim, Y. S. (2008). Is earnings management opportunistic or beneficial? An agency theory perspective. </w:t>
      </w:r>
      <w:r w:rsidRPr="00E0785E">
        <w:rPr>
          <w:i/>
          <w:iCs/>
          <w:noProof/>
          <w:lang w:val="en-US"/>
        </w:rPr>
        <w:t>International Review of Financial Analysis</w:t>
      </w:r>
      <w:r w:rsidRPr="00E0785E">
        <w:rPr>
          <w:noProof/>
          <w:lang w:val="en-US"/>
        </w:rPr>
        <w:t xml:space="preserve">, </w:t>
      </w:r>
      <w:r w:rsidRPr="00E0785E">
        <w:rPr>
          <w:i/>
          <w:iCs/>
          <w:noProof/>
          <w:lang w:val="en-US"/>
        </w:rPr>
        <w:t>17</w:t>
      </w:r>
      <w:r w:rsidRPr="00E0785E">
        <w:rPr>
          <w:noProof/>
          <w:lang w:val="en-US"/>
        </w:rPr>
        <w:t>(3), 622–634.</w:t>
      </w:r>
    </w:p>
    <w:p w:rsidR="00EF488B" w:rsidRPr="00B9756C" w:rsidRDefault="00EF488B" w:rsidP="00EF488B">
      <w:pPr>
        <w:pStyle w:val="NormalWeb"/>
        <w:ind w:left="480" w:hanging="480"/>
        <w:jc w:val="both"/>
        <w:rPr>
          <w:noProof/>
          <w:lang w:val="en-US"/>
        </w:rPr>
      </w:pPr>
      <w:r w:rsidRPr="00E0785E">
        <w:rPr>
          <w:noProof/>
          <w:lang w:val="en-US"/>
        </w:rPr>
        <w:t xml:space="preserve">Jones, J. J. (1991). Earnings Management During Import Relief Investigations. </w:t>
      </w:r>
      <w:r w:rsidRPr="00E0785E">
        <w:rPr>
          <w:i/>
          <w:iCs/>
          <w:noProof/>
          <w:lang w:val="en-US"/>
        </w:rPr>
        <w:t>Journal of Accounting Research</w:t>
      </w:r>
      <w:r w:rsidRPr="00E0785E">
        <w:rPr>
          <w:noProof/>
          <w:lang w:val="en-US"/>
        </w:rPr>
        <w:t xml:space="preserve">, </w:t>
      </w:r>
      <w:r w:rsidRPr="00E0785E">
        <w:rPr>
          <w:i/>
          <w:iCs/>
          <w:noProof/>
          <w:lang w:val="en-US"/>
        </w:rPr>
        <w:t>29</w:t>
      </w:r>
      <w:r w:rsidRPr="00E0785E">
        <w:rPr>
          <w:noProof/>
          <w:lang w:val="en-US"/>
        </w:rPr>
        <w:t xml:space="preserve">(2), 193–228. </w:t>
      </w:r>
    </w:p>
    <w:p w:rsidR="00EF488B" w:rsidRDefault="00EF1EDC" w:rsidP="00EF488B">
      <w:pPr>
        <w:pStyle w:val="NormalWeb"/>
        <w:ind w:left="480" w:hanging="480"/>
        <w:jc w:val="both"/>
        <w:rPr>
          <w:noProof/>
          <w:lang w:val="en-US"/>
        </w:rPr>
      </w:pPr>
      <w:r>
        <w:fldChar w:fldCharType="end"/>
      </w:r>
      <w:r w:rsidR="00EF488B" w:rsidRPr="00E0785E">
        <w:rPr>
          <w:noProof/>
          <w:lang w:val="en-US"/>
        </w:rPr>
        <w:t>Kaplan, R.</w:t>
      </w:r>
      <w:r w:rsidR="00EF488B">
        <w:rPr>
          <w:noProof/>
          <w:lang w:val="en-US"/>
        </w:rPr>
        <w:t xml:space="preserve"> </w:t>
      </w:r>
      <w:r w:rsidR="00EF488B" w:rsidRPr="00E0785E">
        <w:rPr>
          <w:noProof/>
          <w:lang w:val="en-US"/>
        </w:rPr>
        <w:t>S.</w:t>
      </w:r>
      <w:r w:rsidR="00EF488B">
        <w:rPr>
          <w:noProof/>
          <w:lang w:val="en-US"/>
        </w:rPr>
        <w:t xml:space="preserve"> </w:t>
      </w:r>
      <w:r w:rsidR="00EF488B" w:rsidRPr="00E0785E">
        <w:rPr>
          <w:noProof/>
          <w:lang w:val="en-US"/>
        </w:rPr>
        <w:t xml:space="preserve">(1985) Comments on Paul Healy: Evidence on the effect of bonus schemes on accounting procedures and accrual decisions. </w:t>
      </w:r>
      <w:r w:rsidR="00EF488B" w:rsidRPr="00E0785E">
        <w:rPr>
          <w:i/>
          <w:iCs/>
          <w:noProof/>
          <w:lang w:val="en-US"/>
        </w:rPr>
        <w:t>Journal of Accounting and Economics</w:t>
      </w:r>
      <w:r w:rsidR="00EF488B" w:rsidRPr="00E0785E">
        <w:rPr>
          <w:noProof/>
          <w:lang w:val="en-US"/>
        </w:rPr>
        <w:t>,</w:t>
      </w:r>
      <w:r w:rsidR="00EF488B" w:rsidRPr="00886DA2">
        <w:rPr>
          <w:i/>
          <w:noProof/>
          <w:lang w:val="en-US"/>
        </w:rPr>
        <w:t xml:space="preserve"> 7</w:t>
      </w:r>
      <w:r w:rsidR="00EF488B">
        <w:rPr>
          <w:noProof/>
          <w:lang w:val="en-US"/>
        </w:rPr>
        <w:t>,</w:t>
      </w:r>
      <w:r w:rsidR="00EF488B" w:rsidRPr="00E0785E">
        <w:rPr>
          <w:noProof/>
          <w:lang w:val="en-US"/>
        </w:rPr>
        <w:t xml:space="preserve"> 109-113.</w:t>
      </w:r>
    </w:p>
    <w:p w:rsidR="00EF488B" w:rsidRDefault="00EF488B" w:rsidP="00EF488B">
      <w:pPr>
        <w:pStyle w:val="NormalWeb"/>
        <w:ind w:left="480" w:hanging="480"/>
        <w:jc w:val="both"/>
        <w:rPr>
          <w:noProof/>
          <w:lang w:val="en-US"/>
        </w:rPr>
      </w:pPr>
      <w:r w:rsidRPr="00B9756C">
        <w:rPr>
          <w:noProof/>
          <w:lang w:val="en-US"/>
        </w:rPr>
        <w:lastRenderedPageBreak/>
        <w:t xml:space="preserve">Karamanou, I., &amp; Vafeas, N. (2005). The association between corporate boards, audit committees, and management earnings forecasts: An empirical analysis. </w:t>
      </w:r>
      <w:r w:rsidRPr="00B9756C">
        <w:rPr>
          <w:i/>
          <w:noProof/>
          <w:lang w:val="en-US"/>
        </w:rPr>
        <w:t>Journal of Accounting Research, 43</w:t>
      </w:r>
      <w:r w:rsidRPr="00B9756C">
        <w:rPr>
          <w:noProof/>
          <w:lang w:val="en-US"/>
        </w:rPr>
        <w:t>(3), 453–486.</w:t>
      </w:r>
    </w:p>
    <w:p w:rsidR="00EF488B" w:rsidRDefault="00EF488B" w:rsidP="00EF488B">
      <w:pPr>
        <w:pStyle w:val="NormalWeb"/>
        <w:ind w:left="480" w:hanging="480"/>
        <w:jc w:val="both"/>
        <w:rPr>
          <w:noProof/>
          <w:lang w:val="en-US"/>
        </w:rPr>
      </w:pPr>
      <w:r w:rsidRPr="00B9756C">
        <w:rPr>
          <w:noProof/>
          <w:lang w:val="en-US"/>
        </w:rPr>
        <w:t xml:space="preserve">Kaur, P., &amp; Suveera, G. (2008). The effects of ownership structure on corporate goverance and performance: an empirical assessment in India. </w:t>
      </w:r>
      <w:r w:rsidRPr="00B9756C">
        <w:rPr>
          <w:i/>
          <w:iCs/>
          <w:noProof/>
          <w:lang w:val="en-US"/>
        </w:rPr>
        <w:t>Research project NFCG</w:t>
      </w:r>
      <w:r w:rsidRPr="00B9756C">
        <w:rPr>
          <w:noProof/>
          <w:lang w:val="en-US"/>
        </w:rPr>
        <w:t>, 1–6.</w:t>
      </w:r>
    </w:p>
    <w:p w:rsidR="00EF488B" w:rsidRDefault="00EF488B" w:rsidP="00EF488B">
      <w:pPr>
        <w:pStyle w:val="NormalWeb"/>
        <w:ind w:left="480" w:hanging="480"/>
        <w:jc w:val="both"/>
        <w:rPr>
          <w:noProof/>
          <w:lang w:val="en-US"/>
        </w:rPr>
      </w:pPr>
      <w:r w:rsidRPr="00B9756C">
        <w:rPr>
          <w:noProof/>
          <w:lang w:val="en-US"/>
        </w:rPr>
        <w:t xml:space="preserve">Kedia, S. (2003). Do executive stock options generate incentives for earnings management? Evidence from accounting restatements. </w:t>
      </w:r>
      <w:r w:rsidRPr="00B9756C">
        <w:rPr>
          <w:i/>
          <w:noProof/>
          <w:lang w:val="en-US"/>
        </w:rPr>
        <w:t>NBER working paper</w:t>
      </w:r>
      <w:r w:rsidRPr="00B9756C">
        <w:rPr>
          <w:noProof/>
          <w:lang w:val="en-US"/>
        </w:rPr>
        <w:t>, 1-37.</w:t>
      </w:r>
    </w:p>
    <w:p w:rsidR="00EF488B" w:rsidRDefault="00EF488B" w:rsidP="00EF488B">
      <w:pPr>
        <w:pStyle w:val="NormalWeb"/>
        <w:ind w:left="480" w:hanging="480"/>
        <w:jc w:val="both"/>
        <w:rPr>
          <w:noProof/>
          <w:lang w:val="en-US"/>
        </w:rPr>
      </w:pPr>
      <w:r w:rsidRPr="00B9756C">
        <w:rPr>
          <w:noProof/>
          <w:lang w:val="en-US"/>
        </w:rPr>
        <w:t>Kim, Y., C. Liu, and S G. Rhee. (2003). The Effect of Firm Size on Earnings Management. Working  paper, 1-32.</w:t>
      </w:r>
    </w:p>
    <w:p w:rsidR="00EF488B" w:rsidRDefault="00EF488B" w:rsidP="00EF488B">
      <w:pPr>
        <w:pStyle w:val="NormalWeb"/>
        <w:ind w:left="480" w:hanging="480"/>
        <w:jc w:val="both"/>
        <w:rPr>
          <w:noProof/>
          <w:lang w:val="en-US"/>
        </w:rPr>
      </w:pPr>
      <w:r w:rsidRPr="00B9756C">
        <w:rPr>
          <w:noProof/>
          <w:lang w:val="en-US"/>
        </w:rPr>
        <w:t xml:space="preserve">Klapper, L. F., &amp; Love, I. (2004). Corporate governance, investor protection, and performance in emerging markets. </w:t>
      </w:r>
      <w:r w:rsidRPr="00B9756C">
        <w:rPr>
          <w:i/>
          <w:noProof/>
          <w:lang w:val="en-US"/>
        </w:rPr>
        <w:t>Journal of Corporate Finance</w:t>
      </w:r>
      <w:r w:rsidRPr="00B9756C">
        <w:rPr>
          <w:noProof/>
          <w:lang w:val="en-US"/>
        </w:rPr>
        <w:t>,</w:t>
      </w:r>
      <w:r w:rsidRPr="00B9756C">
        <w:rPr>
          <w:i/>
          <w:noProof/>
          <w:lang w:val="en-US"/>
        </w:rPr>
        <w:t xml:space="preserve"> 10</w:t>
      </w:r>
      <w:r w:rsidRPr="00B9756C">
        <w:rPr>
          <w:noProof/>
          <w:lang w:val="en-US"/>
        </w:rPr>
        <w:t>(5), 703–728.</w:t>
      </w:r>
    </w:p>
    <w:p w:rsidR="00EF488B" w:rsidRPr="00E0785E" w:rsidRDefault="00EF488B" w:rsidP="00EF488B">
      <w:pPr>
        <w:pStyle w:val="NormalWeb"/>
        <w:ind w:left="480" w:hanging="480"/>
        <w:jc w:val="both"/>
        <w:rPr>
          <w:noProof/>
          <w:lang w:val="en-US"/>
        </w:rPr>
      </w:pPr>
      <w:r w:rsidRPr="00B9756C">
        <w:rPr>
          <w:noProof/>
          <w:lang w:val="en-US"/>
        </w:rPr>
        <w:t xml:space="preserve">Klein, A. (2002). Audit committee, board of director characteristics, and earnings management. </w:t>
      </w:r>
      <w:r w:rsidRPr="00B9756C">
        <w:rPr>
          <w:i/>
          <w:iCs/>
          <w:noProof/>
          <w:lang w:val="en-US"/>
        </w:rPr>
        <w:t>Journal of Accounting and Economics</w:t>
      </w:r>
      <w:r w:rsidRPr="00B9756C">
        <w:rPr>
          <w:noProof/>
          <w:lang w:val="en-US"/>
        </w:rPr>
        <w:t xml:space="preserve">, </w:t>
      </w:r>
      <w:r w:rsidRPr="00B9756C">
        <w:rPr>
          <w:i/>
          <w:iCs/>
          <w:noProof/>
          <w:lang w:val="en-US"/>
        </w:rPr>
        <w:t>33</w:t>
      </w:r>
      <w:r w:rsidRPr="00B9756C">
        <w:rPr>
          <w:noProof/>
          <w:lang w:val="en-US"/>
        </w:rPr>
        <w:t>(3), 375–400.</w:t>
      </w:r>
    </w:p>
    <w:p w:rsidR="00EF488B" w:rsidRDefault="00EF488B" w:rsidP="00EF488B">
      <w:pPr>
        <w:pStyle w:val="NormalWeb"/>
        <w:ind w:left="480" w:hanging="480"/>
        <w:jc w:val="both"/>
        <w:rPr>
          <w:noProof/>
          <w:lang w:val="en-US"/>
        </w:rPr>
      </w:pPr>
      <w:r w:rsidRPr="00E0785E">
        <w:rPr>
          <w:noProof/>
          <w:lang w:val="en-US"/>
        </w:rPr>
        <w:t xml:space="preserve">Kothari, S. P., Leone, A. J., &amp; Wasley, C. E. (2005). Performance matched discretionary accrual measures. </w:t>
      </w:r>
      <w:r w:rsidRPr="00E0785E">
        <w:rPr>
          <w:i/>
          <w:noProof/>
          <w:lang w:val="en-US"/>
        </w:rPr>
        <w:t>Journal of Accounting and Economics</w:t>
      </w:r>
      <w:r w:rsidRPr="00E0785E">
        <w:rPr>
          <w:noProof/>
          <w:lang w:val="en-US"/>
        </w:rPr>
        <w:t xml:space="preserve">, </w:t>
      </w:r>
      <w:r w:rsidRPr="00886DA2">
        <w:rPr>
          <w:i/>
          <w:noProof/>
          <w:lang w:val="en-US"/>
        </w:rPr>
        <w:t>39</w:t>
      </w:r>
      <w:r w:rsidRPr="00E0785E">
        <w:rPr>
          <w:noProof/>
          <w:lang w:val="en-US"/>
        </w:rPr>
        <w:t>(1),163–197.</w:t>
      </w:r>
      <w:r w:rsidRPr="00B9756C">
        <w:rPr>
          <w:noProof/>
          <w:lang w:val="en-US"/>
        </w:rPr>
        <w:t xml:space="preserve"> </w:t>
      </w:r>
      <w:r w:rsidR="00EF1EDC" w:rsidRPr="00585641">
        <w:rPr>
          <w:noProof/>
        </w:rPr>
        <w:fldChar w:fldCharType="begin" w:fldLock="1"/>
      </w:r>
      <w:r w:rsidRPr="00B9756C">
        <w:rPr>
          <w:noProof/>
          <w:lang w:val="en-US"/>
        </w:rPr>
        <w:instrText xml:space="preserve">ADDIN Mendeley Bibliography CSL_BIBLIOGRAPHY </w:instrText>
      </w:r>
      <w:r w:rsidR="00EF1EDC" w:rsidRPr="00585641">
        <w:rPr>
          <w:noProof/>
        </w:rPr>
        <w:fldChar w:fldCharType="separate"/>
      </w:r>
      <w:r w:rsidRPr="00B9756C">
        <w:rPr>
          <w:noProof/>
          <w:lang w:val="en-US"/>
        </w:rPr>
        <w:t xml:space="preserve"> </w:t>
      </w:r>
    </w:p>
    <w:p w:rsidR="00EF488B" w:rsidRDefault="00EF488B" w:rsidP="00EF488B">
      <w:pPr>
        <w:pStyle w:val="NormalWeb"/>
        <w:ind w:left="480" w:hanging="480"/>
        <w:rPr>
          <w:noProof/>
          <w:lang w:val="en-US"/>
        </w:rPr>
      </w:pPr>
      <w:r w:rsidRPr="00B9756C">
        <w:rPr>
          <w:noProof/>
          <w:lang w:val="en-US"/>
        </w:rPr>
        <w:t xml:space="preserve">La Porta, R., Lopez-de-Silanes, F., Shleifer, A., &amp; Vishny, R. W. (1998). Law and Finance. </w:t>
      </w:r>
      <w:r w:rsidRPr="00B9756C">
        <w:rPr>
          <w:i/>
          <w:iCs/>
          <w:noProof/>
          <w:lang w:val="en-US"/>
        </w:rPr>
        <w:t>Journal of Political Economy</w:t>
      </w:r>
      <w:r w:rsidRPr="00B9756C">
        <w:rPr>
          <w:noProof/>
          <w:lang w:val="en-US"/>
        </w:rPr>
        <w:t xml:space="preserve">, </w:t>
      </w:r>
      <w:r w:rsidRPr="00B9756C">
        <w:rPr>
          <w:i/>
          <w:noProof/>
          <w:lang w:val="en-US"/>
        </w:rPr>
        <w:t>106</w:t>
      </w:r>
      <w:r w:rsidRPr="00B9756C">
        <w:rPr>
          <w:noProof/>
          <w:lang w:val="en-US"/>
        </w:rPr>
        <w:t>(6), 1113.</w:t>
      </w:r>
    </w:p>
    <w:p w:rsidR="00EF488B" w:rsidRDefault="00EF488B" w:rsidP="00EF488B">
      <w:pPr>
        <w:pStyle w:val="NormalWeb"/>
        <w:ind w:left="480" w:hanging="480"/>
        <w:jc w:val="both"/>
        <w:rPr>
          <w:noProof/>
          <w:lang w:val="en-US"/>
        </w:rPr>
      </w:pPr>
      <w:r w:rsidRPr="00B9756C">
        <w:rPr>
          <w:noProof/>
          <w:lang w:val="en-US"/>
        </w:rPr>
        <w:t xml:space="preserve">Li, D., Moshirian, F., Nguyen, P., &amp; Tan, L. (2007). Corporate governance or globalization: What determines CEO compensation in China? </w:t>
      </w:r>
      <w:r w:rsidRPr="00B9756C">
        <w:rPr>
          <w:i/>
          <w:iCs/>
          <w:noProof/>
          <w:lang w:val="en-US"/>
        </w:rPr>
        <w:t>Research in International Business and Finance</w:t>
      </w:r>
      <w:r w:rsidRPr="00B9756C">
        <w:rPr>
          <w:noProof/>
          <w:lang w:val="en-US"/>
        </w:rPr>
        <w:t xml:space="preserve">, </w:t>
      </w:r>
      <w:r w:rsidRPr="00B9756C">
        <w:rPr>
          <w:i/>
          <w:iCs/>
          <w:noProof/>
          <w:lang w:val="en-US"/>
        </w:rPr>
        <w:t>21</w:t>
      </w:r>
      <w:r w:rsidRPr="00B9756C">
        <w:rPr>
          <w:noProof/>
          <w:lang w:val="en-US"/>
        </w:rPr>
        <w:t xml:space="preserve">(1), 32–49. </w:t>
      </w:r>
    </w:p>
    <w:p w:rsidR="00EF488B" w:rsidRPr="00B9756C" w:rsidRDefault="00EF488B" w:rsidP="00EF488B">
      <w:pPr>
        <w:pStyle w:val="EndnoteText"/>
        <w:ind w:left="480" w:hangingChars="200" w:hanging="480"/>
        <w:jc w:val="both"/>
        <w:rPr>
          <w:noProof/>
        </w:rPr>
      </w:pPr>
      <w:r w:rsidRPr="00DF111B">
        <w:rPr>
          <w:rFonts w:ascii="Times New Roman" w:hAnsi="Times New Roman" w:cs="Times New Roman"/>
          <w:sz w:val="24"/>
          <w:szCs w:val="24"/>
        </w:rPr>
        <w:t xml:space="preserve">Li, S., Selover, D. D., &amp; Stein, M. (2011). </w:t>
      </w:r>
      <w:r>
        <w:rPr>
          <w:rFonts w:ascii="Times New Roman" w:hAnsi="Times New Roman" w:cs="Times New Roman"/>
          <w:sz w:val="24"/>
          <w:szCs w:val="24"/>
        </w:rPr>
        <w:t>Keep silent and make money</w:t>
      </w:r>
      <w:r w:rsidRPr="00585641">
        <w:rPr>
          <w:rFonts w:ascii="Times New Roman" w:hAnsi="Times New Roman" w:cs="Times New Roman"/>
          <w:sz w:val="24"/>
          <w:szCs w:val="24"/>
        </w:rPr>
        <w:t xml:space="preserve">: Institutional patterns of earnings management in China. </w:t>
      </w:r>
      <w:r w:rsidRPr="00585641">
        <w:rPr>
          <w:rFonts w:ascii="Times New Roman" w:hAnsi="Times New Roman" w:cs="Times New Roman"/>
          <w:i/>
          <w:sz w:val="24"/>
          <w:szCs w:val="24"/>
        </w:rPr>
        <w:t>Journal of Asian Economics, 22</w:t>
      </w:r>
      <w:r w:rsidRPr="00585641">
        <w:rPr>
          <w:rFonts w:ascii="Times New Roman" w:hAnsi="Times New Roman" w:cs="Times New Roman"/>
          <w:sz w:val="24"/>
          <w:szCs w:val="24"/>
        </w:rPr>
        <w:t>(5), 369–382.</w:t>
      </w:r>
    </w:p>
    <w:p w:rsidR="00EF488B" w:rsidRPr="00B9756C" w:rsidRDefault="00EF488B" w:rsidP="00EF488B">
      <w:pPr>
        <w:pStyle w:val="NormalWeb"/>
        <w:ind w:left="480" w:hanging="480"/>
        <w:jc w:val="both"/>
        <w:rPr>
          <w:noProof/>
          <w:lang w:val="en-US"/>
        </w:rPr>
      </w:pPr>
      <w:r w:rsidRPr="00B9756C">
        <w:rPr>
          <w:noProof/>
          <w:lang w:val="en-US"/>
        </w:rPr>
        <w:t xml:space="preserve">Lipton, M., &amp; Lorsch, J. W. (1992). A modest proposal for improved corporate governance.  </w:t>
      </w:r>
      <w:r w:rsidRPr="00DF111B">
        <w:rPr>
          <w:i/>
          <w:noProof/>
          <w:lang w:val="en-US"/>
        </w:rPr>
        <w:t>The Business lawyer, 48</w:t>
      </w:r>
      <w:r w:rsidRPr="00DF111B">
        <w:rPr>
          <w:noProof/>
          <w:lang w:val="en-US"/>
        </w:rPr>
        <w:t>(1), 59-77.</w:t>
      </w:r>
    </w:p>
    <w:p w:rsidR="00EF488B" w:rsidRPr="00B9756C" w:rsidRDefault="00EF1EDC" w:rsidP="00EF488B">
      <w:pPr>
        <w:pStyle w:val="NormalWeb"/>
        <w:ind w:left="480" w:hanging="480"/>
        <w:jc w:val="both"/>
        <w:rPr>
          <w:i/>
          <w:noProof/>
          <w:lang w:val="en-US"/>
        </w:rPr>
      </w:pPr>
      <w:r w:rsidRPr="00585641">
        <w:rPr>
          <w:noProof/>
        </w:rPr>
        <w:fldChar w:fldCharType="end"/>
      </w:r>
      <w:r w:rsidR="00EF488B" w:rsidRPr="00B9756C">
        <w:rPr>
          <w:noProof/>
          <w:lang w:val="en-US"/>
        </w:rPr>
        <w:t xml:space="preserve">Liu, S. (2005). Corporate governance and development: the case of China. </w:t>
      </w:r>
      <w:r w:rsidR="00EF488B" w:rsidRPr="00B9756C">
        <w:rPr>
          <w:i/>
          <w:noProof/>
          <w:lang w:val="en-US"/>
        </w:rPr>
        <w:t>Managerial and Decision Economics 26</w:t>
      </w:r>
      <w:r w:rsidR="00EF488B" w:rsidRPr="00B9756C">
        <w:rPr>
          <w:noProof/>
          <w:lang w:val="en-US"/>
        </w:rPr>
        <w:t>, 445-449.</w:t>
      </w:r>
    </w:p>
    <w:p w:rsidR="00EF488B" w:rsidRPr="00503EDC" w:rsidRDefault="00EF488B" w:rsidP="00EF488B">
      <w:pPr>
        <w:pStyle w:val="EndnoteText"/>
        <w:ind w:left="480" w:hangingChars="200" w:hanging="480"/>
        <w:jc w:val="both"/>
        <w:rPr>
          <w:rFonts w:ascii="Times New Roman" w:hAnsi="Times New Roman" w:cs="Times New Roman"/>
          <w:sz w:val="24"/>
          <w:szCs w:val="24"/>
        </w:rPr>
      </w:pPr>
      <w:r>
        <w:rPr>
          <w:rFonts w:ascii="Times New Roman" w:hAnsi="Times New Roman" w:cs="Times New Roman" w:hint="eastAsia"/>
          <w:sz w:val="24"/>
          <w:szCs w:val="24"/>
        </w:rPr>
        <w:t>Lo, A.W.Y., Wong, R.M.K.,</w:t>
      </w:r>
      <w:r>
        <w:rPr>
          <w:rFonts w:ascii="Times New Roman" w:hAnsi="Times New Roman" w:cs="Times New Roman"/>
          <w:sz w:val="24"/>
          <w:szCs w:val="24"/>
        </w:rPr>
        <w:t xml:space="preserve"> </w:t>
      </w:r>
      <w:r w:rsidRPr="00D20E4B">
        <w:rPr>
          <w:rFonts w:ascii="Times New Roman" w:hAnsi="Times New Roman" w:cs="Times New Roman"/>
          <w:sz w:val="24"/>
          <w:szCs w:val="24"/>
        </w:rPr>
        <w:t>&amp;</w:t>
      </w:r>
      <w:r>
        <w:rPr>
          <w:rFonts w:ascii="Times New Roman" w:hAnsi="Times New Roman" w:cs="Times New Roman"/>
          <w:sz w:val="24"/>
          <w:szCs w:val="24"/>
        </w:rPr>
        <w:t xml:space="preserve"> </w:t>
      </w:r>
      <w:r>
        <w:rPr>
          <w:rFonts w:ascii="Times New Roman" w:hAnsi="Times New Roman" w:cs="Times New Roman" w:hint="eastAsia"/>
          <w:sz w:val="24"/>
          <w:szCs w:val="24"/>
        </w:rPr>
        <w:t>Firth, M.</w:t>
      </w:r>
      <w:r>
        <w:rPr>
          <w:rFonts w:ascii="Times New Roman" w:hAnsi="Times New Roman" w:cs="Times New Roman"/>
          <w:sz w:val="24"/>
          <w:szCs w:val="24"/>
        </w:rPr>
        <w:t xml:space="preserve"> (</w:t>
      </w:r>
      <w:r w:rsidRPr="009C7891">
        <w:rPr>
          <w:rFonts w:ascii="Times New Roman" w:hAnsi="Times New Roman" w:cs="Times New Roman" w:hint="eastAsia"/>
          <w:sz w:val="24"/>
          <w:szCs w:val="24"/>
        </w:rPr>
        <w:t>2010</w:t>
      </w:r>
      <w:r>
        <w:rPr>
          <w:rFonts w:ascii="Times New Roman" w:hAnsi="Times New Roman" w:cs="Times New Roman"/>
          <w:sz w:val="24"/>
          <w:szCs w:val="24"/>
        </w:rPr>
        <w:t>)</w:t>
      </w:r>
      <w:r w:rsidRPr="009C7891">
        <w:rPr>
          <w:rFonts w:ascii="Times New Roman" w:hAnsi="Times New Roman" w:cs="Times New Roman" w:hint="eastAsia"/>
          <w:sz w:val="24"/>
          <w:szCs w:val="24"/>
        </w:rPr>
        <w:t xml:space="preserve">. </w:t>
      </w:r>
      <w:r w:rsidRPr="009C7891">
        <w:rPr>
          <w:rFonts w:ascii="Times New Roman" w:hAnsi="Times New Roman" w:cs="Times New Roman"/>
          <w:sz w:val="24"/>
          <w:szCs w:val="24"/>
        </w:rPr>
        <w:t>Can corporate governance deter</w:t>
      </w:r>
      <w:r w:rsidRPr="009C7891">
        <w:rPr>
          <w:rFonts w:ascii="Times New Roman" w:hAnsi="Times New Roman" w:cs="Times New Roman" w:hint="eastAsia"/>
          <w:sz w:val="24"/>
          <w:szCs w:val="24"/>
        </w:rPr>
        <w:t xml:space="preserve"> </w:t>
      </w:r>
      <w:r w:rsidRPr="009C7891">
        <w:rPr>
          <w:rFonts w:ascii="Times New Roman" w:hAnsi="Times New Roman" w:cs="Times New Roman"/>
          <w:sz w:val="24"/>
          <w:szCs w:val="24"/>
        </w:rPr>
        <w:t>management from manipulating earnings?</w:t>
      </w:r>
      <w:r w:rsidRPr="009C7891">
        <w:rPr>
          <w:rFonts w:ascii="Times New Roman" w:hAnsi="Times New Roman" w:cs="Times New Roman" w:hint="eastAsia"/>
          <w:sz w:val="24"/>
          <w:szCs w:val="24"/>
        </w:rPr>
        <w:t xml:space="preserve"> </w:t>
      </w:r>
      <w:r w:rsidRPr="009C7891">
        <w:rPr>
          <w:rFonts w:ascii="Times New Roman" w:hAnsi="Times New Roman" w:cs="Times New Roman"/>
          <w:sz w:val="24"/>
          <w:szCs w:val="24"/>
        </w:rPr>
        <w:t>Evidence from related-party sales transactions in China</w:t>
      </w:r>
      <w:r w:rsidRPr="009C7891">
        <w:rPr>
          <w:rFonts w:ascii="Times New Roman" w:hAnsi="Times New Roman" w:cs="Times New Roman" w:hint="eastAsia"/>
          <w:sz w:val="24"/>
          <w:szCs w:val="24"/>
        </w:rPr>
        <w:t xml:space="preserve">. </w:t>
      </w:r>
      <w:r w:rsidRPr="006E7605">
        <w:rPr>
          <w:rFonts w:ascii="Times New Roman" w:hAnsi="Times New Roman" w:cs="Times New Roman"/>
          <w:i/>
          <w:sz w:val="24"/>
          <w:szCs w:val="24"/>
        </w:rPr>
        <w:t>Journal of Corporate Finance</w:t>
      </w:r>
      <w:r>
        <w:rPr>
          <w:rFonts w:ascii="Times New Roman" w:hAnsi="Times New Roman" w:cs="Times New Roman"/>
          <w:i/>
          <w:sz w:val="24"/>
          <w:szCs w:val="24"/>
        </w:rPr>
        <w:t xml:space="preserve">, </w:t>
      </w:r>
      <w:r w:rsidRPr="006E7605">
        <w:rPr>
          <w:rFonts w:ascii="Times New Roman" w:hAnsi="Times New Roman" w:cs="Times New Roman" w:hint="eastAsia"/>
          <w:i/>
          <w:sz w:val="24"/>
          <w:szCs w:val="24"/>
        </w:rPr>
        <w:t>16,</w:t>
      </w:r>
      <w:r w:rsidRPr="009C7891">
        <w:rPr>
          <w:rFonts w:ascii="Times New Roman" w:hAnsi="Times New Roman" w:cs="Times New Roman" w:hint="eastAsia"/>
          <w:sz w:val="24"/>
          <w:szCs w:val="24"/>
        </w:rPr>
        <w:t xml:space="preserve"> 225-235.</w:t>
      </w:r>
    </w:p>
    <w:p w:rsidR="00E460DC" w:rsidRPr="00DF111B" w:rsidRDefault="00EF1EDC" w:rsidP="00E460DC">
      <w:pPr>
        <w:pStyle w:val="NormalWeb"/>
        <w:ind w:left="480" w:hanging="480"/>
        <w:jc w:val="both"/>
        <w:rPr>
          <w:rFonts w:eastAsiaTheme="minorEastAsia"/>
          <w:noProof/>
          <w:lang w:val="en-US"/>
        </w:rPr>
      </w:pPr>
      <w:r w:rsidRPr="00055395">
        <w:lastRenderedPageBreak/>
        <w:fldChar w:fldCharType="begin" w:fldLock="1"/>
      </w:r>
      <w:r w:rsidR="00E460DC" w:rsidRPr="00DF111B">
        <w:rPr>
          <w:lang w:val="en-US"/>
        </w:rPr>
        <w:instrText xml:space="preserve">ADDIN Mendeley Bibliography CSL_BIBLIOGRAPHY </w:instrText>
      </w:r>
      <w:r w:rsidRPr="00055395">
        <w:fldChar w:fldCharType="separate"/>
      </w:r>
      <w:r w:rsidR="00E460DC" w:rsidRPr="00DF111B">
        <w:rPr>
          <w:noProof/>
          <w:lang w:val="en-US"/>
        </w:rPr>
        <w:t xml:space="preserve">Marques, M., Rodrigues, L. L., &amp; Craig, R. (2011). Earnings management induced by tax planning: The case of Portuguese private firms. </w:t>
      </w:r>
      <w:r w:rsidR="00E460DC" w:rsidRPr="00DF111B">
        <w:rPr>
          <w:i/>
          <w:iCs/>
          <w:noProof/>
          <w:lang w:val="en-US"/>
        </w:rPr>
        <w:t>Journal of International Accounting, Auditing and Taxation</w:t>
      </w:r>
      <w:r w:rsidR="00E460DC" w:rsidRPr="00DF111B">
        <w:rPr>
          <w:noProof/>
          <w:lang w:val="en-US"/>
        </w:rPr>
        <w:t xml:space="preserve">, </w:t>
      </w:r>
      <w:r w:rsidR="00E460DC" w:rsidRPr="00DF111B">
        <w:rPr>
          <w:i/>
          <w:iCs/>
          <w:noProof/>
          <w:lang w:val="en-US"/>
        </w:rPr>
        <w:t>20</w:t>
      </w:r>
      <w:r w:rsidR="00E460DC" w:rsidRPr="00DF111B">
        <w:rPr>
          <w:noProof/>
          <w:lang w:val="en-US"/>
        </w:rPr>
        <w:t>(2), 83–96.</w:t>
      </w:r>
    </w:p>
    <w:p w:rsidR="00EF488B" w:rsidRPr="00DF111B" w:rsidRDefault="00EF1EDC" w:rsidP="00E460DC">
      <w:pPr>
        <w:pStyle w:val="NormalWeb"/>
        <w:ind w:left="480" w:hanging="480"/>
        <w:jc w:val="both"/>
        <w:rPr>
          <w:noProof/>
          <w:lang w:val="en-US"/>
        </w:rPr>
      </w:pPr>
      <w:r w:rsidRPr="00055395">
        <w:fldChar w:fldCharType="end"/>
      </w:r>
      <w:r w:rsidR="00EF488B" w:rsidRPr="00DF111B">
        <w:rPr>
          <w:noProof/>
          <w:lang w:val="en-US"/>
        </w:rPr>
        <w:t xml:space="preserve">Matsunaga, S. R., &amp; Park, C. W. (2001). The Effect of Missing a Quarterly Earnings Benchmark on the CEO’s Annual Bonus. </w:t>
      </w:r>
      <w:r w:rsidR="00EF488B" w:rsidRPr="00DF111B">
        <w:rPr>
          <w:i/>
          <w:noProof/>
          <w:lang w:val="en-US"/>
        </w:rPr>
        <w:t>The Accounting Review</w:t>
      </w:r>
      <w:r w:rsidR="00E460DC" w:rsidRPr="00DF111B">
        <w:rPr>
          <w:noProof/>
          <w:lang w:val="en-US"/>
        </w:rPr>
        <w:t>,</w:t>
      </w:r>
      <w:r w:rsidR="00EF488B" w:rsidRPr="00DF111B">
        <w:rPr>
          <w:i/>
          <w:noProof/>
          <w:lang w:val="en-US"/>
        </w:rPr>
        <w:t xml:space="preserve"> 76</w:t>
      </w:r>
      <w:r w:rsidR="00EF488B" w:rsidRPr="00DF111B">
        <w:rPr>
          <w:noProof/>
          <w:lang w:val="en-US"/>
        </w:rPr>
        <w:t>(3), 313-332.</w:t>
      </w:r>
    </w:p>
    <w:p w:rsidR="00EF488B" w:rsidRDefault="002D4AB6" w:rsidP="00EF488B">
      <w:pPr>
        <w:pStyle w:val="NormalWeb"/>
        <w:ind w:left="480" w:hanging="480"/>
        <w:jc w:val="both"/>
        <w:rPr>
          <w:noProof/>
          <w:lang w:val="en-US"/>
        </w:rPr>
      </w:pPr>
      <w:r>
        <w:rPr>
          <w:noProof/>
          <w:lang w:val="en-US"/>
        </w:rPr>
        <w:t>McNichols, M. F.</w:t>
      </w:r>
      <w:r w:rsidR="00EF488B" w:rsidRPr="00E0785E">
        <w:rPr>
          <w:noProof/>
          <w:lang w:val="en-US"/>
        </w:rPr>
        <w:t xml:space="preserve"> </w:t>
      </w:r>
      <w:r w:rsidR="00EF488B">
        <w:rPr>
          <w:noProof/>
          <w:lang w:val="en-US"/>
        </w:rPr>
        <w:t>(</w:t>
      </w:r>
      <w:r w:rsidR="00EF488B" w:rsidRPr="00E0785E">
        <w:rPr>
          <w:noProof/>
          <w:lang w:val="en-US"/>
        </w:rPr>
        <w:t>2000</w:t>
      </w:r>
      <w:r w:rsidR="00EF488B">
        <w:rPr>
          <w:noProof/>
          <w:lang w:val="en-US"/>
        </w:rPr>
        <w:t>)</w:t>
      </w:r>
      <w:r w:rsidR="00EF488B" w:rsidRPr="00E0785E">
        <w:rPr>
          <w:noProof/>
          <w:lang w:val="en-US"/>
        </w:rPr>
        <w:t xml:space="preserve">. Research design issues in earnings management studies. </w:t>
      </w:r>
      <w:r w:rsidR="00EF488B" w:rsidRPr="00E0785E">
        <w:rPr>
          <w:i/>
          <w:noProof/>
          <w:lang w:val="en-US"/>
        </w:rPr>
        <w:t>J</w:t>
      </w:r>
      <w:r w:rsidR="00EF488B" w:rsidRPr="00E0785E">
        <w:rPr>
          <w:i/>
          <w:iCs/>
          <w:noProof/>
          <w:lang w:val="en-US"/>
        </w:rPr>
        <w:t>ournay</w:t>
      </w:r>
      <w:r w:rsidR="00EF488B" w:rsidRPr="00E0785E">
        <w:rPr>
          <w:noProof/>
          <w:lang w:val="en-US"/>
        </w:rPr>
        <w:t xml:space="preserve"> of </w:t>
      </w:r>
      <w:r w:rsidR="00EF488B" w:rsidRPr="00E0785E">
        <w:rPr>
          <w:i/>
          <w:noProof/>
          <w:lang w:val="en-US"/>
        </w:rPr>
        <w:t>A</w:t>
      </w:r>
      <w:r w:rsidR="00EF488B" w:rsidRPr="00E0785E">
        <w:rPr>
          <w:i/>
          <w:iCs/>
          <w:noProof/>
          <w:lang w:val="en-US"/>
        </w:rPr>
        <w:t>ccoutning and Public Policy.</w:t>
      </w:r>
      <w:r w:rsidR="00EF488B" w:rsidRPr="00E0785E">
        <w:rPr>
          <w:noProof/>
          <w:lang w:val="en-US"/>
        </w:rPr>
        <w:t xml:space="preserve"> </w:t>
      </w:r>
      <w:r w:rsidR="00EF488B" w:rsidRPr="00886DA2">
        <w:rPr>
          <w:i/>
          <w:noProof/>
          <w:lang w:val="en-US"/>
        </w:rPr>
        <w:t>19</w:t>
      </w:r>
      <w:r w:rsidR="00EF488B" w:rsidRPr="00E0785E">
        <w:rPr>
          <w:noProof/>
          <w:lang w:val="en-US"/>
        </w:rPr>
        <w:t>(4-5), 313-345.</w:t>
      </w:r>
    </w:p>
    <w:p w:rsidR="00EF488B" w:rsidRPr="00B9756C" w:rsidRDefault="00EF488B" w:rsidP="00EF488B">
      <w:pPr>
        <w:pStyle w:val="NormalWeb"/>
        <w:ind w:left="480" w:hanging="480"/>
        <w:jc w:val="both"/>
        <w:rPr>
          <w:noProof/>
          <w:lang w:val="en-US"/>
        </w:rPr>
      </w:pPr>
      <w:r w:rsidRPr="00B9756C">
        <w:rPr>
          <w:noProof/>
          <w:lang w:val="en-US"/>
        </w:rPr>
        <w:t xml:space="preserve">Meek, G. K., Rao, R. P., &amp; Skousen, C. J. (2007). Evidence on factors affecting the relationship between CEO stock option compensation and earnings management. </w:t>
      </w:r>
      <w:r w:rsidRPr="00B9756C">
        <w:rPr>
          <w:i/>
          <w:iCs/>
          <w:noProof/>
          <w:lang w:val="en-US"/>
        </w:rPr>
        <w:t>Review of Accounting and Finance</w:t>
      </w:r>
      <w:r w:rsidRPr="00B9756C">
        <w:rPr>
          <w:noProof/>
          <w:lang w:val="en-US"/>
        </w:rPr>
        <w:t xml:space="preserve">. </w:t>
      </w:r>
      <w:r w:rsidRPr="00B9756C">
        <w:rPr>
          <w:i/>
          <w:noProof/>
          <w:lang w:val="en-US"/>
        </w:rPr>
        <w:t>6</w:t>
      </w:r>
      <w:r w:rsidRPr="00B9756C">
        <w:rPr>
          <w:noProof/>
          <w:lang w:val="en-US"/>
        </w:rPr>
        <w:t>(3), 304-323.</w:t>
      </w:r>
    </w:p>
    <w:p w:rsidR="00EF488B" w:rsidRDefault="00EF488B" w:rsidP="00EF488B">
      <w:pPr>
        <w:pStyle w:val="NormalWeb"/>
        <w:ind w:left="480" w:hanging="480"/>
        <w:jc w:val="both"/>
        <w:rPr>
          <w:noProof/>
          <w:lang w:val="en-US"/>
        </w:rPr>
      </w:pPr>
      <w:r w:rsidRPr="00B9756C">
        <w:rPr>
          <w:noProof/>
          <w:lang w:val="en-US"/>
        </w:rPr>
        <w:t>Morck, R., Shle</w:t>
      </w:r>
      <w:r w:rsidR="00D95816">
        <w:rPr>
          <w:noProof/>
          <w:lang w:val="en-US"/>
        </w:rPr>
        <w:t>ifer, A., &amp; Vishny, R. W. (1988</w:t>
      </w:r>
      <w:r w:rsidRPr="00B9756C">
        <w:rPr>
          <w:noProof/>
          <w:lang w:val="en-US"/>
        </w:rPr>
        <w:t xml:space="preserve">). Management ownership and market  valuation: An Empirical Analysis. </w:t>
      </w:r>
      <w:r w:rsidRPr="00B9756C">
        <w:rPr>
          <w:i/>
          <w:noProof/>
          <w:lang w:val="en-US"/>
        </w:rPr>
        <w:t>Journal of Financial Economics, 20</w:t>
      </w:r>
      <w:r w:rsidR="00D95816">
        <w:rPr>
          <w:noProof/>
          <w:lang w:val="en-US"/>
        </w:rPr>
        <w:t>(1-2)</w:t>
      </w:r>
      <w:r w:rsidRPr="00B9756C">
        <w:rPr>
          <w:noProof/>
          <w:lang w:val="en-US"/>
        </w:rPr>
        <w:t>, 293-315.</w:t>
      </w:r>
    </w:p>
    <w:p w:rsidR="00EF488B" w:rsidRDefault="00EF1EDC" w:rsidP="00EF488B">
      <w:pPr>
        <w:pStyle w:val="NormalWeb"/>
        <w:ind w:left="480" w:hanging="480"/>
        <w:jc w:val="both"/>
        <w:rPr>
          <w:noProof/>
          <w:lang w:val="en-US"/>
        </w:rPr>
      </w:pPr>
      <w:r>
        <w:rPr>
          <w:b/>
          <w:lang w:val="en-GB"/>
        </w:rPr>
        <w:fldChar w:fldCharType="begin" w:fldLock="1"/>
      </w:r>
      <w:r w:rsidR="00EF488B">
        <w:rPr>
          <w:b/>
          <w:lang w:val="en-GB"/>
        </w:rPr>
        <w:instrText xml:space="preserve">ADDIN Mendeley Bibliography CSL_BIBLIOGRAPHY </w:instrText>
      </w:r>
      <w:r>
        <w:rPr>
          <w:b/>
          <w:lang w:val="en-GB"/>
        </w:rPr>
        <w:fldChar w:fldCharType="separate"/>
      </w:r>
      <w:r w:rsidR="00EF488B" w:rsidRPr="00B9756C">
        <w:rPr>
          <w:noProof/>
          <w:lang w:val="en-US"/>
        </w:rPr>
        <w:t xml:space="preserve">O’Brien, R. M. (2007). A caution regarding rules of thumb for variance inflation factors. </w:t>
      </w:r>
      <w:r w:rsidR="00EF488B" w:rsidRPr="00B9756C">
        <w:rPr>
          <w:i/>
          <w:iCs/>
          <w:noProof/>
          <w:lang w:val="en-US"/>
        </w:rPr>
        <w:t>Quality and Quantity</w:t>
      </w:r>
      <w:r w:rsidR="00EF488B" w:rsidRPr="00B9756C">
        <w:rPr>
          <w:noProof/>
          <w:lang w:val="en-US"/>
        </w:rPr>
        <w:t xml:space="preserve">, </w:t>
      </w:r>
      <w:r w:rsidR="00EF488B" w:rsidRPr="00B9756C">
        <w:rPr>
          <w:i/>
          <w:iCs/>
          <w:noProof/>
          <w:lang w:val="en-US"/>
        </w:rPr>
        <w:t>41</w:t>
      </w:r>
      <w:r w:rsidR="00EF488B" w:rsidRPr="00D95816">
        <w:rPr>
          <w:noProof/>
          <w:lang w:val="en-US"/>
        </w:rPr>
        <w:t>(5)</w:t>
      </w:r>
      <w:r w:rsidR="00EF488B" w:rsidRPr="00B9756C">
        <w:rPr>
          <w:noProof/>
          <w:lang w:val="en-US"/>
        </w:rPr>
        <w:t>, 673–690.</w:t>
      </w:r>
      <w:r>
        <w:rPr>
          <w:b/>
          <w:lang w:val="en-GB"/>
        </w:rPr>
        <w:fldChar w:fldCharType="end"/>
      </w:r>
    </w:p>
    <w:p w:rsidR="0010066B" w:rsidRPr="00890CFF" w:rsidRDefault="0010066B" w:rsidP="00EF488B">
      <w:pPr>
        <w:pStyle w:val="NormalWeb"/>
        <w:ind w:left="480" w:hanging="480"/>
        <w:jc w:val="both"/>
        <w:rPr>
          <w:noProof/>
          <w:lang w:val="en-US"/>
        </w:rPr>
      </w:pPr>
      <w:r>
        <w:rPr>
          <w:noProof/>
          <w:lang w:val="en-US"/>
        </w:rPr>
        <w:t xml:space="preserve">OECD, (2009). </w:t>
      </w:r>
      <w:r w:rsidRPr="00890CFF">
        <w:rPr>
          <w:noProof/>
          <w:lang w:val="en-US"/>
        </w:rPr>
        <w:t>State owned enterprises in China: Reviewing the evidence.</w:t>
      </w:r>
      <w:r w:rsidR="00890CFF" w:rsidRPr="00890CFF">
        <w:rPr>
          <w:noProof/>
          <w:lang w:val="en-US"/>
        </w:rPr>
        <w:t xml:space="preserve"> </w:t>
      </w:r>
      <w:r w:rsidR="00890CFF" w:rsidRPr="00890CFF">
        <w:rPr>
          <w:i/>
          <w:noProof/>
          <w:lang w:val="en-US"/>
        </w:rPr>
        <w:t>OECD Working Group on Privatization and Corporate Governance of State Owned Assets</w:t>
      </w:r>
      <w:r w:rsidR="00890CFF">
        <w:rPr>
          <w:noProof/>
          <w:lang w:val="en-US"/>
        </w:rPr>
        <w:t>, 1-19.</w:t>
      </w:r>
    </w:p>
    <w:p w:rsidR="00EF488B" w:rsidRDefault="00293E24" w:rsidP="00EF488B">
      <w:pPr>
        <w:pStyle w:val="NormalWeb"/>
        <w:ind w:left="480" w:hanging="480"/>
        <w:jc w:val="both"/>
        <w:rPr>
          <w:noProof/>
          <w:lang w:val="en-US"/>
        </w:rPr>
      </w:pPr>
      <w:r>
        <w:rPr>
          <w:noProof/>
          <w:lang w:val="en-US"/>
        </w:rPr>
        <w:t xml:space="preserve">OECD, </w:t>
      </w:r>
      <w:r w:rsidR="0010066B">
        <w:rPr>
          <w:noProof/>
          <w:lang w:val="en-US"/>
        </w:rPr>
        <w:t>(2011).</w:t>
      </w:r>
      <w:r w:rsidR="00585641" w:rsidRPr="00E0785E">
        <w:rPr>
          <w:noProof/>
          <w:lang w:val="en-US"/>
        </w:rPr>
        <w:t xml:space="preserve"> Corporate Governance of Listed Companies i</w:t>
      </w:r>
      <w:r w:rsidR="0010066B">
        <w:rPr>
          <w:noProof/>
          <w:lang w:val="en-US"/>
        </w:rPr>
        <w:t xml:space="preserve">n China: Self-Assessment by the </w:t>
      </w:r>
      <w:r w:rsidR="00585641" w:rsidRPr="00E0785E">
        <w:rPr>
          <w:noProof/>
          <w:lang w:val="en-US"/>
        </w:rPr>
        <w:t>China</w:t>
      </w:r>
      <w:r w:rsidR="0010066B">
        <w:rPr>
          <w:noProof/>
          <w:lang w:val="en-US"/>
        </w:rPr>
        <w:t xml:space="preserve"> </w:t>
      </w:r>
      <w:r w:rsidR="00585641" w:rsidRPr="00E0785E">
        <w:rPr>
          <w:noProof/>
          <w:lang w:val="en-US"/>
        </w:rPr>
        <w:t>Securities</w:t>
      </w:r>
      <w:r w:rsidR="0010066B">
        <w:rPr>
          <w:noProof/>
          <w:lang w:val="en-US"/>
        </w:rPr>
        <w:t xml:space="preserve"> </w:t>
      </w:r>
      <w:r w:rsidR="00585641" w:rsidRPr="00E0785E">
        <w:rPr>
          <w:noProof/>
          <w:lang w:val="en-US"/>
        </w:rPr>
        <w:t>Regu</w:t>
      </w:r>
      <w:r w:rsidR="00886DA2">
        <w:rPr>
          <w:noProof/>
          <w:lang w:val="en-US"/>
        </w:rPr>
        <w:t>latory</w:t>
      </w:r>
      <w:r w:rsidR="0010066B">
        <w:rPr>
          <w:noProof/>
          <w:lang w:val="en-US"/>
        </w:rPr>
        <w:t xml:space="preserve"> </w:t>
      </w:r>
      <w:r w:rsidR="00886DA2">
        <w:rPr>
          <w:noProof/>
          <w:lang w:val="en-US"/>
        </w:rPr>
        <w:t xml:space="preserve">Commission, </w:t>
      </w:r>
      <w:r w:rsidR="00886DA2" w:rsidRPr="00886DA2">
        <w:rPr>
          <w:i/>
          <w:noProof/>
          <w:lang w:val="en-US"/>
        </w:rPr>
        <w:t>OECDPublishing</w:t>
      </w:r>
      <w:r w:rsidR="00886DA2">
        <w:rPr>
          <w:noProof/>
          <w:lang w:val="en-US"/>
        </w:rPr>
        <w:t>, 1-108.</w:t>
      </w:r>
      <w:r w:rsidR="00EF1EDC">
        <w:rPr>
          <w:b/>
          <w:lang w:val="en-GB"/>
        </w:rPr>
        <w:fldChar w:fldCharType="begin" w:fldLock="1"/>
      </w:r>
      <w:r w:rsidR="00EF488B">
        <w:rPr>
          <w:b/>
          <w:lang w:val="en-GB"/>
        </w:rPr>
        <w:instrText xml:space="preserve">ADDIN Mendeley Bibliography CSL_BIBLIOGRAPHY </w:instrText>
      </w:r>
      <w:r w:rsidR="00EF1EDC">
        <w:rPr>
          <w:b/>
          <w:lang w:val="en-GB"/>
        </w:rPr>
        <w:fldChar w:fldCharType="separate"/>
      </w:r>
    </w:p>
    <w:p w:rsidR="00EF488B" w:rsidRPr="00B9756C" w:rsidRDefault="00EF1EDC" w:rsidP="00EF488B">
      <w:pPr>
        <w:pStyle w:val="NormalWeb"/>
        <w:ind w:left="480" w:hanging="480"/>
        <w:jc w:val="both"/>
        <w:rPr>
          <w:rFonts w:eastAsiaTheme="minorEastAsia"/>
          <w:noProof/>
          <w:lang w:val="en-US"/>
        </w:rPr>
      </w:pPr>
      <w:r>
        <w:fldChar w:fldCharType="begin" w:fldLock="1"/>
      </w:r>
      <w:r w:rsidR="00EF488B" w:rsidRPr="00B9756C">
        <w:rPr>
          <w:lang w:val="en-US"/>
        </w:rPr>
        <w:instrText xml:space="preserve">ADDIN Mendeley Bibliography CSL_BIBLIOGRAPHY </w:instrText>
      </w:r>
      <w:r>
        <w:fldChar w:fldCharType="separate"/>
      </w:r>
      <w:r w:rsidR="00EF488B" w:rsidRPr="00B9756C">
        <w:rPr>
          <w:noProof/>
          <w:lang w:val="en-US"/>
        </w:rPr>
        <w:t xml:space="preserve">Pagano, M., Panetta, F., &amp; Zingales, L. (1998). Why Do Companies Go Public ? An Empirical Analysis. </w:t>
      </w:r>
      <w:r w:rsidR="00EF488B" w:rsidRPr="00B9756C">
        <w:rPr>
          <w:i/>
          <w:iCs/>
          <w:noProof/>
          <w:lang w:val="en-US"/>
        </w:rPr>
        <w:t>The Journal of Finance</w:t>
      </w:r>
      <w:r w:rsidR="00EF488B" w:rsidRPr="00B9756C">
        <w:rPr>
          <w:noProof/>
          <w:lang w:val="en-US"/>
        </w:rPr>
        <w:t xml:space="preserve">, </w:t>
      </w:r>
      <w:r w:rsidR="00EF488B" w:rsidRPr="00B9756C">
        <w:rPr>
          <w:i/>
          <w:iCs/>
          <w:noProof/>
          <w:lang w:val="en-US"/>
        </w:rPr>
        <w:t>53</w:t>
      </w:r>
      <w:r w:rsidR="00EF488B" w:rsidRPr="00B9756C">
        <w:rPr>
          <w:noProof/>
          <w:lang w:val="en-US"/>
        </w:rPr>
        <w:t>(1), 27–64.</w:t>
      </w:r>
      <w:r>
        <w:fldChar w:fldCharType="end"/>
      </w:r>
    </w:p>
    <w:p w:rsidR="00EF488B" w:rsidRPr="00D35FEA" w:rsidRDefault="00EF1EDC" w:rsidP="00EF488B">
      <w:pPr>
        <w:pStyle w:val="NormalWeb"/>
        <w:ind w:left="480" w:hanging="480"/>
        <w:jc w:val="both"/>
        <w:rPr>
          <w:noProof/>
          <w:lang w:val="en-US"/>
        </w:rPr>
      </w:pPr>
      <w:r>
        <w:rPr>
          <w:b/>
          <w:lang w:val="en-GB"/>
        </w:rPr>
        <w:fldChar w:fldCharType="end"/>
      </w:r>
      <w:r w:rsidR="00EF488B" w:rsidRPr="00D35FEA">
        <w:rPr>
          <w:noProof/>
          <w:lang w:val="en-US"/>
        </w:rPr>
        <w:t xml:space="preserve">Park, Y. W., &amp; Shin, H.-H. (2004). Board composition and earnings management in Canada. </w:t>
      </w:r>
      <w:r w:rsidR="00EF488B" w:rsidRPr="00D35FEA">
        <w:rPr>
          <w:i/>
          <w:noProof/>
          <w:lang w:val="en-US"/>
        </w:rPr>
        <w:t>Journal of Corporate Finance, 10</w:t>
      </w:r>
      <w:r w:rsidR="00EF488B" w:rsidRPr="00D35FEA">
        <w:rPr>
          <w:noProof/>
          <w:lang w:val="en-US"/>
        </w:rPr>
        <w:t xml:space="preserve">(3), 431–457. </w:t>
      </w:r>
    </w:p>
    <w:p w:rsidR="00EF488B" w:rsidRPr="00B9756C" w:rsidRDefault="00EF488B" w:rsidP="00EF488B">
      <w:pPr>
        <w:pStyle w:val="NormalWeb"/>
        <w:ind w:left="480" w:hanging="480"/>
        <w:jc w:val="both"/>
        <w:rPr>
          <w:noProof/>
          <w:lang w:val="en-US"/>
        </w:rPr>
      </w:pPr>
      <w:r w:rsidRPr="00B9756C">
        <w:rPr>
          <w:noProof/>
          <w:lang w:val="en-US"/>
        </w:rPr>
        <w:t xml:space="preserve">Patel, S. A., Balic, A., </w:t>
      </w:r>
      <w:r w:rsidRPr="00D35FEA">
        <w:rPr>
          <w:noProof/>
          <w:lang w:val="en-US"/>
        </w:rPr>
        <w:t>&amp;</w:t>
      </w:r>
      <w:r w:rsidRPr="00B9756C">
        <w:rPr>
          <w:noProof/>
          <w:lang w:val="en-US"/>
        </w:rPr>
        <w:t xml:space="preserve"> Bwakira, L. (2002) Measuring Transparency and Disclosure at  Firm Level in Emerging Market, </w:t>
      </w:r>
      <w:r w:rsidRPr="00B9756C">
        <w:rPr>
          <w:i/>
          <w:noProof/>
          <w:lang w:val="en-US"/>
        </w:rPr>
        <w:t>Emerging Markets Review, 3</w:t>
      </w:r>
      <w:r w:rsidRPr="00B9756C">
        <w:rPr>
          <w:noProof/>
          <w:lang w:val="en-US"/>
        </w:rPr>
        <w:t>, 325-337.</w:t>
      </w:r>
    </w:p>
    <w:p w:rsidR="00EF488B" w:rsidRPr="00B9756C" w:rsidRDefault="00EF488B" w:rsidP="00EF488B">
      <w:pPr>
        <w:pStyle w:val="NormalWeb"/>
        <w:ind w:left="480" w:hanging="480"/>
        <w:jc w:val="both"/>
        <w:rPr>
          <w:noProof/>
          <w:lang w:val="en-US"/>
        </w:rPr>
      </w:pPr>
      <w:r w:rsidRPr="00B9756C">
        <w:rPr>
          <w:noProof/>
          <w:lang w:val="en-US"/>
        </w:rPr>
        <w:t xml:space="preserve">Peasnell, K. V., Pope, P. F., &amp; Young, S. (2000). Board monitoring and earnings  management : Do outside directors influence abnormal accruals ? </w:t>
      </w:r>
      <w:r w:rsidRPr="00B9756C">
        <w:rPr>
          <w:i/>
          <w:noProof/>
          <w:lang w:val="en-US"/>
        </w:rPr>
        <w:t>woking paper</w:t>
      </w:r>
      <w:r w:rsidRPr="00B9756C">
        <w:rPr>
          <w:noProof/>
          <w:lang w:val="en-US"/>
        </w:rPr>
        <w:t>, Lancaster University.</w:t>
      </w:r>
    </w:p>
    <w:p w:rsidR="00EF488B" w:rsidRPr="00B9756C" w:rsidRDefault="00EF488B" w:rsidP="00EF488B">
      <w:pPr>
        <w:pStyle w:val="NormalWeb"/>
        <w:ind w:left="480" w:hanging="480"/>
        <w:rPr>
          <w:noProof/>
          <w:lang w:val="en-US"/>
        </w:rPr>
      </w:pPr>
      <w:r w:rsidRPr="00B9756C">
        <w:rPr>
          <w:noProof/>
          <w:lang w:val="en-US"/>
        </w:rPr>
        <w:t xml:space="preserve">Peasnell, K. V., Pope, P. F., &amp; Young, S. E. (2006). Do outside directors limit earnings management? </w:t>
      </w:r>
      <w:r w:rsidRPr="00B9756C">
        <w:rPr>
          <w:i/>
          <w:noProof/>
          <w:lang w:val="en-US"/>
        </w:rPr>
        <w:t>Corporate Finance Review</w:t>
      </w:r>
      <w:r w:rsidRPr="00B9756C">
        <w:rPr>
          <w:noProof/>
          <w:lang w:val="en-US"/>
        </w:rPr>
        <w:t xml:space="preserve">, </w:t>
      </w:r>
      <w:r w:rsidRPr="00B9756C">
        <w:rPr>
          <w:i/>
          <w:noProof/>
          <w:lang w:val="en-US"/>
        </w:rPr>
        <w:t>10</w:t>
      </w:r>
      <w:r w:rsidRPr="00B9756C">
        <w:rPr>
          <w:noProof/>
          <w:lang w:val="en-US"/>
        </w:rPr>
        <w:t>(5), 5-10.</w:t>
      </w:r>
    </w:p>
    <w:p w:rsidR="00EF488B" w:rsidRPr="00B9756C" w:rsidRDefault="00EF488B" w:rsidP="00EF488B">
      <w:pPr>
        <w:pStyle w:val="NormalWeb"/>
        <w:ind w:left="480" w:hanging="480"/>
        <w:jc w:val="both"/>
        <w:rPr>
          <w:noProof/>
          <w:lang w:val="en-US"/>
        </w:rPr>
      </w:pPr>
      <w:r w:rsidRPr="00B9756C">
        <w:rPr>
          <w:noProof/>
          <w:lang w:val="en-US"/>
        </w:rPr>
        <w:t xml:space="preserve">Piot, C., &amp; Janin, R. (2005). Audit quality and earnings management in France. </w:t>
      </w:r>
      <w:r w:rsidRPr="00B9756C">
        <w:rPr>
          <w:i/>
          <w:iCs/>
          <w:noProof/>
          <w:lang w:val="en-US"/>
        </w:rPr>
        <w:t>Working Papers Series</w:t>
      </w:r>
      <w:r w:rsidRPr="00B9756C">
        <w:rPr>
          <w:noProof/>
          <w:lang w:val="en-US"/>
        </w:rPr>
        <w:t xml:space="preserve">, 1–40. </w:t>
      </w:r>
    </w:p>
    <w:p w:rsidR="00585641" w:rsidRPr="00B9756C" w:rsidRDefault="00EF488B" w:rsidP="00EF488B">
      <w:pPr>
        <w:pStyle w:val="NormalWeb"/>
        <w:ind w:left="480" w:hanging="480"/>
        <w:jc w:val="both"/>
        <w:rPr>
          <w:noProof/>
          <w:lang w:val="en-US"/>
        </w:rPr>
      </w:pPr>
      <w:r w:rsidRPr="00B9756C">
        <w:rPr>
          <w:noProof/>
          <w:lang w:val="en-US"/>
        </w:rPr>
        <w:lastRenderedPageBreak/>
        <w:t xml:space="preserve">Prommin, P., Jumreornvong, S., &amp; Jiraporn, P. (2014). The effect of corporate governance on stock liquidity: The case of Thailand. </w:t>
      </w:r>
      <w:r w:rsidRPr="00B9756C">
        <w:rPr>
          <w:i/>
          <w:noProof/>
          <w:lang w:val="en-US"/>
        </w:rPr>
        <w:t>International Review of Economics</w:t>
      </w:r>
      <w:r w:rsidRPr="00B9756C">
        <w:rPr>
          <w:i/>
          <w:iCs/>
          <w:noProof/>
          <w:lang w:val="en-US"/>
        </w:rPr>
        <w:t xml:space="preserve"> &amp; Finance</w:t>
      </w:r>
      <w:r w:rsidRPr="00B9756C">
        <w:rPr>
          <w:i/>
          <w:noProof/>
          <w:lang w:val="en-US"/>
        </w:rPr>
        <w:t>,</w:t>
      </w:r>
      <w:r w:rsidRPr="00B9756C">
        <w:rPr>
          <w:noProof/>
          <w:lang w:val="en-US"/>
        </w:rPr>
        <w:t xml:space="preserve"> </w:t>
      </w:r>
      <w:r w:rsidRPr="00B9756C">
        <w:rPr>
          <w:i/>
          <w:iCs/>
          <w:noProof/>
          <w:lang w:val="en-US"/>
        </w:rPr>
        <w:t>32</w:t>
      </w:r>
      <w:r w:rsidRPr="00B9756C">
        <w:rPr>
          <w:noProof/>
          <w:lang w:val="en-US"/>
        </w:rPr>
        <w:t>, 132–142.</w:t>
      </w:r>
      <w:r w:rsidR="00585641" w:rsidRPr="00B9756C">
        <w:rPr>
          <w:noProof/>
          <w:lang w:val="en-US"/>
        </w:rPr>
        <w:t xml:space="preserve"> </w:t>
      </w:r>
    </w:p>
    <w:p w:rsidR="002E50AF" w:rsidRPr="00B9756C" w:rsidRDefault="002E50AF" w:rsidP="00C536C4">
      <w:pPr>
        <w:pStyle w:val="NormalWeb"/>
        <w:ind w:left="480" w:hanging="480"/>
        <w:jc w:val="both"/>
        <w:rPr>
          <w:noProof/>
          <w:lang w:val="en-US"/>
        </w:rPr>
      </w:pPr>
      <w:r w:rsidRPr="002E50AF">
        <w:rPr>
          <w:noProof/>
          <w:lang w:val="en-US"/>
        </w:rPr>
        <w:t xml:space="preserve">Quttainah, M., Song, L., &amp; Wu, Q. (2011). Do Islamic Banks Employ Less Earning Management? </w:t>
      </w:r>
      <w:r w:rsidRPr="002E50AF">
        <w:rPr>
          <w:i/>
          <w:iCs/>
          <w:noProof/>
          <w:lang w:val="en-US"/>
        </w:rPr>
        <w:t>The Economic Research Forum</w:t>
      </w:r>
      <w:r w:rsidRPr="002E50AF">
        <w:rPr>
          <w:noProof/>
          <w:lang w:val="en-US"/>
        </w:rPr>
        <w:t xml:space="preserve">, </w:t>
      </w:r>
      <w:r w:rsidRPr="002E50AF">
        <w:rPr>
          <w:i/>
          <w:iCs/>
          <w:noProof/>
          <w:lang w:val="en-US"/>
        </w:rPr>
        <w:t>645</w:t>
      </w:r>
      <w:r w:rsidRPr="002E50AF">
        <w:rPr>
          <w:noProof/>
          <w:lang w:val="en-US"/>
        </w:rPr>
        <w:t>.</w:t>
      </w:r>
    </w:p>
    <w:p w:rsidR="00925CF8" w:rsidRDefault="00925CF8" w:rsidP="00925CF8">
      <w:pPr>
        <w:pStyle w:val="NormalWeb"/>
        <w:ind w:left="480" w:hanging="480"/>
        <w:rPr>
          <w:noProof/>
          <w:lang w:val="en-US"/>
        </w:rPr>
      </w:pPr>
      <w:r w:rsidRPr="00B9756C">
        <w:rPr>
          <w:noProof/>
          <w:lang w:val="en-US"/>
        </w:rPr>
        <w:t xml:space="preserve">Rashwan, N. I., &amp; El-Dereny, M. (2011). Solving Multicollinearity Problem Using Ridge Regression Models. </w:t>
      </w:r>
      <w:r w:rsidRPr="00B9756C">
        <w:rPr>
          <w:i/>
          <w:iCs/>
          <w:noProof/>
          <w:lang w:val="en-US"/>
        </w:rPr>
        <w:t>Int. J. Contemp. Math. Sciences</w:t>
      </w:r>
      <w:r w:rsidRPr="00B9756C">
        <w:rPr>
          <w:noProof/>
          <w:lang w:val="en-US"/>
        </w:rPr>
        <w:t xml:space="preserve">, </w:t>
      </w:r>
      <w:r w:rsidRPr="00B9756C">
        <w:rPr>
          <w:i/>
          <w:iCs/>
          <w:noProof/>
          <w:lang w:val="en-US"/>
        </w:rPr>
        <w:t>6</w:t>
      </w:r>
      <w:r w:rsidRPr="00B9756C">
        <w:rPr>
          <w:noProof/>
          <w:lang w:val="en-US"/>
        </w:rPr>
        <w:t>(12), 585 – 600.</w:t>
      </w:r>
    </w:p>
    <w:p w:rsidR="00925CF8" w:rsidRPr="00B9756C" w:rsidRDefault="00925CF8" w:rsidP="00925CF8">
      <w:pPr>
        <w:pStyle w:val="NormalWeb"/>
        <w:ind w:left="480" w:hanging="480"/>
        <w:jc w:val="both"/>
        <w:rPr>
          <w:noProof/>
          <w:lang w:val="en-US"/>
        </w:rPr>
      </w:pPr>
      <w:r w:rsidRPr="00B9756C">
        <w:rPr>
          <w:noProof/>
          <w:lang w:val="en-US"/>
        </w:rPr>
        <w:t xml:space="preserve">Robb, S. W. G. (1998). The Effect of Analysts' Forecasts on Earnings Management in Financial Institutions. </w:t>
      </w:r>
      <w:r w:rsidRPr="00B9756C">
        <w:rPr>
          <w:i/>
          <w:noProof/>
          <w:lang w:val="en-US"/>
        </w:rPr>
        <w:t>Journal of Financial Research</w:t>
      </w:r>
      <w:r w:rsidRPr="00B9756C">
        <w:rPr>
          <w:noProof/>
          <w:lang w:val="en-US"/>
        </w:rPr>
        <w:t xml:space="preserve">, </w:t>
      </w:r>
      <w:r w:rsidRPr="00B9756C">
        <w:rPr>
          <w:i/>
          <w:noProof/>
          <w:lang w:val="en-US"/>
        </w:rPr>
        <w:t>21</w:t>
      </w:r>
      <w:r w:rsidRPr="00B9756C">
        <w:rPr>
          <w:noProof/>
          <w:lang w:val="en-US"/>
        </w:rPr>
        <w:t xml:space="preserve">(3), 315-331. </w:t>
      </w:r>
    </w:p>
    <w:p w:rsidR="00925CF8" w:rsidRDefault="00925CF8" w:rsidP="00925CF8">
      <w:pPr>
        <w:pStyle w:val="NormalWeb"/>
        <w:ind w:left="480" w:hanging="480"/>
        <w:jc w:val="both"/>
        <w:rPr>
          <w:noProof/>
          <w:lang w:val="en-US"/>
        </w:rPr>
      </w:pPr>
      <w:r w:rsidRPr="00E0785E">
        <w:rPr>
          <w:noProof/>
          <w:lang w:val="en-US"/>
        </w:rPr>
        <w:t xml:space="preserve">Roychowdhury, S. (2006). Earnings management through real activities manipulation. </w:t>
      </w:r>
      <w:r w:rsidRPr="00E0785E">
        <w:rPr>
          <w:i/>
          <w:iCs/>
          <w:noProof/>
          <w:lang w:val="en-US"/>
        </w:rPr>
        <w:t>Journal of Accounting and Economics</w:t>
      </w:r>
      <w:r w:rsidRPr="00E0785E">
        <w:rPr>
          <w:noProof/>
          <w:lang w:val="en-US"/>
        </w:rPr>
        <w:t xml:space="preserve">, </w:t>
      </w:r>
      <w:r w:rsidRPr="00E0785E">
        <w:rPr>
          <w:i/>
          <w:iCs/>
          <w:noProof/>
          <w:lang w:val="en-US"/>
        </w:rPr>
        <w:t>42</w:t>
      </w:r>
      <w:r w:rsidRPr="00E0785E">
        <w:rPr>
          <w:noProof/>
          <w:lang w:val="en-US"/>
        </w:rPr>
        <w:t>(3), 335–370.</w:t>
      </w:r>
    </w:p>
    <w:p w:rsidR="00925CF8" w:rsidRDefault="00925CF8" w:rsidP="00925CF8">
      <w:pPr>
        <w:pStyle w:val="NormalWeb"/>
        <w:ind w:left="480" w:hanging="480"/>
        <w:jc w:val="both"/>
        <w:rPr>
          <w:noProof/>
          <w:lang w:val="en-US"/>
        </w:rPr>
      </w:pPr>
      <w:r>
        <w:rPr>
          <w:noProof/>
          <w:lang w:val="en-US"/>
        </w:rPr>
        <w:t xml:space="preserve">Schipper, </w:t>
      </w:r>
      <w:r w:rsidRPr="00E0785E">
        <w:rPr>
          <w:noProof/>
          <w:lang w:val="en-US"/>
        </w:rPr>
        <w:t xml:space="preserve">K. </w:t>
      </w:r>
      <w:r>
        <w:rPr>
          <w:noProof/>
          <w:lang w:val="en-US"/>
        </w:rPr>
        <w:t>(</w:t>
      </w:r>
      <w:r w:rsidRPr="00E0785E">
        <w:rPr>
          <w:noProof/>
          <w:lang w:val="en-US"/>
        </w:rPr>
        <w:t>1989</w:t>
      </w:r>
      <w:r>
        <w:rPr>
          <w:noProof/>
          <w:lang w:val="en-US"/>
        </w:rPr>
        <w:t>)</w:t>
      </w:r>
      <w:r w:rsidRPr="00E0785E">
        <w:rPr>
          <w:noProof/>
          <w:lang w:val="en-US"/>
        </w:rPr>
        <w:t xml:space="preserve">. Earnings management. </w:t>
      </w:r>
      <w:r w:rsidRPr="00E0785E">
        <w:rPr>
          <w:i/>
          <w:noProof/>
          <w:lang w:val="en-US"/>
        </w:rPr>
        <w:t>Accounting Horizons</w:t>
      </w:r>
      <w:r>
        <w:rPr>
          <w:noProof/>
          <w:lang w:val="en-US"/>
        </w:rPr>
        <w:t xml:space="preserve">, </w:t>
      </w:r>
      <w:r w:rsidRPr="00A469FD">
        <w:rPr>
          <w:i/>
          <w:noProof/>
          <w:lang w:val="en-US"/>
        </w:rPr>
        <w:t>3</w:t>
      </w:r>
      <w:r>
        <w:rPr>
          <w:noProof/>
          <w:lang w:val="en-US"/>
        </w:rPr>
        <w:t>(4), 91-102.</w:t>
      </w:r>
    </w:p>
    <w:p w:rsidR="00925CF8" w:rsidRDefault="00925CF8" w:rsidP="00925CF8">
      <w:pPr>
        <w:pStyle w:val="NormalWeb"/>
        <w:ind w:left="480" w:hanging="480"/>
        <w:jc w:val="both"/>
        <w:rPr>
          <w:noProof/>
          <w:lang w:val="en-US"/>
        </w:rPr>
      </w:pPr>
      <w:r w:rsidRPr="00B9756C">
        <w:rPr>
          <w:noProof/>
          <w:lang w:val="en-US"/>
        </w:rPr>
        <w:t xml:space="preserve">Shakir, R. (2008). Board Size, Board Composition and Property Firm Performance. </w:t>
      </w:r>
      <w:r w:rsidRPr="00B9756C">
        <w:rPr>
          <w:i/>
          <w:iCs/>
          <w:noProof/>
          <w:lang w:val="en-US"/>
        </w:rPr>
        <w:t>Pacific Rim Property Research Journal</w:t>
      </w:r>
      <w:r w:rsidRPr="00B9756C">
        <w:rPr>
          <w:noProof/>
          <w:lang w:val="en-US"/>
        </w:rPr>
        <w:t xml:space="preserve">, </w:t>
      </w:r>
      <w:r w:rsidRPr="00B9756C">
        <w:rPr>
          <w:i/>
          <w:iCs/>
          <w:noProof/>
          <w:lang w:val="en-US"/>
        </w:rPr>
        <w:t>14</w:t>
      </w:r>
      <w:r w:rsidRPr="00B9756C">
        <w:rPr>
          <w:noProof/>
          <w:lang w:val="en-US"/>
        </w:rPr>
        <w:t>(1), 1–16.</w:t>
      </w:r>
    </w:p>
    <w:p w:rsidR="00925CF8" w:rsidRDefault="00925CF8" w:rsidP="00925CF8">
      <w:pPr>
        <w:pStyle w:val="NormalWeb"/>
        <w:ind w:left="480" w:hanging="480"/>
        <w:jc w:val="both"/>
        <w:rPr>
          <w:noProof/>
          <w:lang w:val="en-US"/>
        </w:rPr>
      </w:pPr>
      <w:r w:rsidRPr="00B9756C">
        <w:rPr>
          <w:noProof/>
          <w:lang w:val="en-US"/>
        </w:rPr>
        <w:t xml:space="preserve">Shen, C. H., </w:t>
      </w:r>
      <w:r w:rsidRPr="00E0785E">
        <w:rPr>
          <w:noProof/>
          <w:lang w:val="en-US"/>
        </w:rPr>
        <w:t>&amp;</w:t>
      </w:r>
      <w:r>
        <w:rPr>
          <w:noProof/>
          <w:lang w:val="en-US"/>
        </w:rPr>
        <w:t xml:space="preserve"> </w:t>
      </w:r>
      <w:r w:rsidRPr="00B9756C">
        <w:rPr>
          <w:noProof/>
          <w:lang w:val="en-US"/>
        </w:rPr>
        <w:t xml:space="preserve">Chih, H. L. (2007). Earnings Management and Corporate Governance in Asia's Emerging Markets. </w:t>
      </w:r>
      <w:r w:rsidRPr="00B9756C">
        <w:rPr>
          <w:i/>
          <w:noProof/>
          <w:lang w:val="en-US"/>
        </w:rPr>
        <w:t>Corporate Governance: An International Review</w:t>
      </w:r>
      <w:r w:rsidRPr="00B9756C">
        <w:rPr>
          <w:noProof/>
          <w:lang w:val="en-US"/>
        </w:rPr>
        <w:t xml:space="preserve">, </w:t>
      </w:r>
      <w:r w:rsidRPr="00B9756C">
        <w:rPr>
          <w:i/>
          <w:noProof/>
          <w:lang w:val="en-US"/>
        </w:rPr>
        <w:t>15</w:t>
      </w:r>
      <w:r w:rsidRPr="00B9756C">
        <w:rPr>
          <w:noProof/>
          <w:lang w:val="en-US"/>
        </w:rPr>
        <w:t xml:space="preserve"> (5), 999-1021.</w:t>
      </w:r>
    </w:p>
    <w:p w:rsidR="00925CF8" w:rsidRPr="00E0785E" w:rsidRDefault="00925CF8" w:rsidP="00925CF8">
      <w:pPr>
        <w:pStyle w:val="NormalWeb"/>
        <w:ind w:left="480" w:hanging="480"/>
        <w:jc w:val="both"/>
        <w:rPr>
          <w:noProof/>
          <w:lang w:val="en-US"/>
        </w:rPr>
      </w:pPr>
      <w:r w:rsidRPr="00B9756C">
        <w:rPr>
          <w:noProof/>
          <w:lang w:val="en-US"/>
        </w:rPr>
        <w:t xml:space="preserve">Shleifer, A., </w:t>
      </w:r>
      <w:r w:rsidRPr="00E0785E">
        <w:rPr>
          <w:noProof/>
          <w:lang w:val="en-US"/>
        </w:rPr>
        <w:t>&amp; Vishny, R. W.</w:t>
      </w:r>
      <w:r w:rsidRPr="00B9756C">
        <w:rPr>
          <w:noProof/>
          <w:lang w:val="en-US"/>
        </w:rPr>
        <w:t xml:space="preserve"> (1986). Large Shareholders and Corporate Control. </w:t>
      </w:r>
      <w:r w:rsidRPr="00B9756C">
        <w:rPr>
          <w:i/>
          <w:noProof/>
          <w:lang w:val="en-US"/>
        </w:rPr>
        <w:t>Journal of Political Economy, 94(</w:t>
      </w:r>
      <w:r w:rsidRPr="00B9756C">
        <w:rPr>
          <w:noProof/>
          <w:lang w:val="en-US"/>
        </w:rPr>
        <w:t xml:space="preserve"> 3), 461-488.</w:t>
      </w:r>
    </w:p>
    <w:p w:rsidR="00925CF8" w:rsidRDefault="00925CF8" w:rsidP="00925CF8">
      <w:pPr>
        <w:pStyle w:val="NormalWeb"/>
        <w:ind w:left="480" w:hanging="480"/>
        <w:jc w:val="both"/>
        <w:rPr>
          <w:noProof/>
          <w:lang w:val="en-US"/>
        </w:rPr>
      </w:pPr>
      <w:r w:rsidRPr="00E0785E">
        <w:rPr>
          <w:noProof/>
          <w:lang w:val="en-US"/>
        </w:rPr>
        <w:t xml:space="preserve">Shleifer, A., &amp; Vishny, R. W. (1997). A Survey of Corporate Governance. </w:t>
      </w:r>
      <w:r w:rsidRPr="00E0785E">
        <w:rPr>
          <w:i/>
          <w:iCs/>
          <w:noProof/>
          <w:lang w:val="en-US"/>
        </w:rPr>
        <w:t>Journal of Finance</w:t>
      </w:r>
      <w:r w:rsidRPr="00E0785E">
        <w:rPr>
          <w:noProof/>
          <w:lang w:val="en-US"/>
        </w:rPr>
        <w:t xml:space="preserve">, </w:t>
      </w:r>
      <w:r w:rsidRPr="00E0785E">
        <w:rPr>
          <w:i/>
          <w:iCs/>
          <w:noProof/>
          <w:lang w:val="en-US"/>
        </w:rPr>
        <w:t>52</w:t>
      </w:r>
      <w:r>
        <w:rPr>
          <w:noProof/>
          <w:lang w:val="en-US"/>
        </w:rPr>
        <w:t xml:space="preserve">(2), </w:t>
      </w:r>
      <w:r w:rsidRPr="00E0785E">
        <w:rPr>
          <w:noProof/>
          <w:lang w:val="en-US"/>
        </w:rPr>
        <w:t>737–783.</w:t>
      </w:r>
      <w:r w:rsidR="00EF1EDC">
        <w:rPr>
          <w:lang w:val="en-GB"/>
        </w:rPr>
        <w:fldChar w:fldCharType="begin" w:fldLock="1"/>
      </w:r>
      <w:r>
        <w:rPr>
          <w:lang w:val="en-GB"/>
        </w:rPr>
        <w:instrText xml:space="preserve">ADDIN Mendeley Bibliography CSL_BIBLIOGRAPHY </w:instrText>
      </w:r>
      <w:r w:rsidR="00EF1EDC">
        <w:rPr>
          <w:lang w:val="en-GB"/>
        </w:rPr>
        <w:fldChar w:fldCharType="separate"/>
      </w:r>
    </w:p>
    <w:p w:rsidR="00925CF8" w:rsidRPr="00E0785E" w:rsidRDefault="00925CF8" w:rsidP="00925CF8">
      <w:pPr>
        <w:pStyle w:val="NormalWeb"/>
        <w:ind w:left="480" w:hanging="480"/>
        <w:jc w:val="both"/>
        <w:rPr>
          <w:noProof/>
          <w:lang w:val="en-US"/>
        </w:rPr>
      </w:pPr>
      <w:r w:rsidRPr="00E0785E">
        <w:rPr>
          <w:noProof/>
          <w:lang w:val="en-US"/>
        </w:rPr>
        <w:t xml:space="preserve">Subramanyam, K. R. (1996). The pricing of discretionary accruals. </w:t>
      </w:r>
      <w:r w:rsidRPr="00E0785E">
        <w:rPr>
          <w:i/>
          <w:iCs/>
          <w:noProof/>
          <w:lang w:val="en-US"/>
        </w:rPr>
        <w:t>Journal of Accounting and Economics</w:t>
      </w:r>
      <w:r>
        <w:rPr>
          <w:noProof/>
          <w:lang w:val="en-US"/>
        </w:rPr>
        <w:t>,</w:t>
      </w:r>
      <w:r w:rsidRPr="00E0785E">
        <w:rPr>
          <w:noProof/>
          <w:lang w:val="en-US"/>
        </w:rPr>
        <w:t xml:space="preserve"> </w:t>
      </w:r>
      <w:r w:rsidRPr="00A469FD">
        <w:rPr>
          <w:i/>
          <w:noProof/>
          <w:lang w:val="en-US"/>
        </w:rPr>
        <w:t>22</w:t>
      </w:r>
      <w:r w:rsidRPr="00E0785E">
        <w:rPr>
          <w:noProof/>
          <w:lang w:val="en-US"/>
        </w:rPr>
        <w:t>(1-3), 249-291.</w:t>
      </w:r>
      <w:r w:rsidR="00EF1EDC">
        <w:rPr>
          <w:lang w:val="en-GB"/>
        </w:rPr>
        <w:fldChar w:fldCharType="end"/>
      </w:r>
      <w:r w:rsidRPr="00E0785E">
        <w:rPr>
          <w:noProof/>
          <w:lang w:val="en-US"/>
        </w:rPr>
        <w:t xml:space="preserve"> </w:t>
      </w:r>
    </w:p>
    <w:p w:rsidR="00925CF8" w:rsidRPr="00D73552" w:rsidRDefault="00925CF8" w:rsidP="00925CF8">
      <w:pPr>
        <w:pStyle w:val="NormalWeb"/>
        <w:ind w:left="480" w:hanging="480"/>
        <w:jc w:val="both"/>
        <w:rPr>
          <w:noProof/>
          <w:lang w:val="en-US"/>
        </w:rPr>
      </w:pPr>
      <w:r w:rsidRPr="00D73552">
        <w:rPr>
          <w:noProof/>
          <w:lang w:val="en-US"/>
        </w:rPr>
        <w:t>Teoh, S.</w:t>
      </w:r>
      <w:r>
        <w:rPr>
          <w:noProof/>
          <w:lang w:val="en-US"/>
        </w:rPr>
        <w:t xml:space="preserve"> H., </w:t>
      </w:r>
      <w:r w:rsidRPr="00D73552">
        <w:rPr>
          <w:noProof/>
          <w:lang w:val="en-US"/>
        </w:rPr>
        <w:t>W</w:t>
      </w:r>
      <w:r>
        <w:rPr>
          <w:noProof/>
          <w:lang w:val="en-US"/>
        </w:rPr>
        <w:t xml:space="preserve">elch, I., </w:t>
      </w:r>
      <w:r w:rsidRPr="00E0785E">
        <w:rPr>
          <w:noProof/>
          <w:lang w:val="en-US"/>
        </w:rPr>
        <w:t>&amp;</w:t>
      </w:r>
      <w:r>
        <w:rPr>
          <w:noProof/>
          <w:lang w:val="en-US"/>
        </w:rPr>
        <w:t xml:space="preserve"> Wong, T. J. (</w:t>
      </w:r>
      <w:r w:rsidRPr="00D73552">
        <w:rPr>
          <w:noProof/>
          <w:lang w:val="en-US"/>
        </w:rPr>
        <w:t>1998a</w:t>
      </w:r>
      <w:r>
        <w:rPr>
          <w:noProof/>
          <w:lang w:val="en-US"/>
        </w:rPr>
        <w:t>)</w:t>
      </w:r>
      <w:r w:rsidRPr="00D73552">
        <w:rPr>
          <w:noProof/>
          <w:lang w:val="en-US"/>
        </w:rPr>
        <w:t xml:space="preserve">. Earnings management and the post-issue performance of seasoned equity offerings. </w:t>
      </w:r>
      <w:r w:rsidRPr="00A0627C">
        <w:rPr>
          <w:i/>
          <w:noProof/>
          <w:lang w:val="en-US"/>
        </w:rPr>
        <w:t>Journal of Financial Economics</w:t>
      </w:r>
      <w:r>
        <w:rPr>
          <w:noProof/>
          <w:lang w:val="en-US"/>
        </w:rPr>
        <w:t xml:space="preserve"> </w:t>
      </w:r>
      <w:r w:rsidRPr="00A469FD">
        <w:rPr>
          <w:i/>
          <w:noProof/>
          <w:lang w:val="en-US"/>
        </w:rPr>
        <w:t>50</w:t>
      </w:r>
      <w:r>
        <w:rPr>
          <w:noProof/>
          <w:lang w:val="en-US"/>
        </w:rPr>
        <w:t>,</w:t>
      </w:r>
      <w:r w:rsidRPr="00D73552">
        <w:rPr>
          <w:noProof/>
          <w:lang w:val="en-US"/>
        </w:rPr>
        <w:t xml:space="preserve"> 63-99. </w:t>
      </w:r>
    </w:p>
    <w:p w:rsidR="00925CF8" w:rsidRDefault="00925CF8" w:rsidP="00925CF8">
      <w:pPr>
        <w:pStyle w:val="NormalWeb"/>
        <w:ind w:left="480" w:hanging="480"/>
        <w:jc w:val="both"/>
        <w:rPr>
          <w:noProof/>
          <w:lang w:val="en-US"/>
        </w:rPr>
      </w:pPr>
      <w:r w:rsidRPr="00D73552">
        <w:rPr>
          <w:noProof/>
          <w:lang w:val="en-US"/>
        </w:rPr>
        <w:t>Teoh, S.</w:t>
      </w:r>
      <w:r>
        <w:rPr>
          <w:noProof/>
          <w:lang w:val="en-US"/>
        </w:rPr>
        <w:t xml:space="preserve"> H., </w:t>
      </w:r>
      <w:r w:rsidRPr="00D73552">
        <w:rPr>
          <w:noProof/>
          <w:lang w:val="en-US"/>
        </w:rPr>
        <w:t>W</w:t>
      </w:r>
      <w:r>
        <w:rPr>
          <w:noProof/>
          <w:lang w:val="en-US"/>
        </w:rPr>
        <w:t xml:space="preserve">elch, I., </w:t>
      </w:r>
      <w:r w:rsidRPr="00E0785E">
        <w:rPr>
          <w:noProof/>
          <w:lang w:val="en-US"/>
        </w:rPr>
        <w:t>&amp;</w:t>
      </w:r>
      <w:r>
        <w:rPr>
          <w:noProof/>
          <w:lang w:val="en-US"/>
        </w:rPr>
        <w:t xml:space="preserve"> Wong, T. J. (</w:t>
      </w:r>
      <w:r w:rsidRPr="00D73552">
        <w:rPr>
          <w:noProof/>
          <w:lang w:val="en-US"/>
        </w:rPr>
        <w:t>1998b</w:t>
      </w:r>
      <w:r>
        <w:rPr>
          <w:noProof/>
          <w:lang w:val="en-US"/>
        </w:rPr>
        <w:t>)</w:t>
      </w:r>
      <w:r w:rsidRPr="00D73552">
        <w:rPr>
          <w:noProof/>
          <w:lang w:val="en-US"/>
        </w:rPr>
        <w:t>. Earnings management and the long-term market  performance of initial public offerings</w:t>
      </w:r>
      <w:r w:rsidRPr="00A0627C">
        <w:rPr>
          <w:i/>
          <w:noProof/>
          <w:lang w:val="en-US"/>
        </w:rPr>
        <w:t>. Journal of Finance</w:t>
      </w:r>
      <w:r>
        <w:rPr>
          <w:noProof/>
          <w:lang w:val="en-US"/>
        </w:rPr>
        <w:t xml:space="preserve">, </w:t>
      </w:r>
      <w:r w:rsidRPr="00A469FD">
        <w:rPr>
          <w:i/>
          <w:noProof/>
          <w:lang w:val="en-US"/>
        </w:rPr>
        <w:t>53</w:t>
      </w:r>
      <w:r>
        <w:rPr>
          <w:noProof/>
          <w:lang w:val="en-US"/>
        </w:rPr>
        <w:t xml:space="preserve">, </w:t>
      </w:r>
      <w:r w:rsidRPr="00D73552">
        <w:rPr>
          <w:noProof/>
          <w:lang w:val="en-US"/>
        </w:rPr>
        <w:t>1935-1974.</w:t>
      </w:r>
    </w:p>
    <w:p w:rsidR="00925CF8" w:rsidRDefault="00925CF8" w:rsidP="00925CF8">
      <w:pPr>
        <w:pStyle w:val="NormalWeb"/>
        <w:ind w:left="480" w:hanging="480"/>
        <w:jc w:val="both"/>
        <w:rPr>
          <w:noProof/>
          <w:lang w:val="en-US"/>
        </w:rPr>
      </w:pPr>
      <w:r w:rsidRPr="00B9756C">
        <w:rPr>
          <w:noProof/>
          <w:lang w:val="en-US"/>
        </w:rPr>
        <w:t xml:space="preserve">Teoh, S. H., Wong, T. J., &amp; Rao, G. R. (1998). Are Accruals during Initial Public Offerings Opportunistic? </w:t>
      </w:r>
      <w:r w:rsidRPr="00B9756C">
        <w:rPr>
          <w:i/>
          <w:noProof/>
          <w:lang w:val="en-US"/>
        </w:rPr>
        <w:t>Review of Accounting Studies, 3</w:t>
      </w:r>
      <w:r w:rsidRPr="00B9756C">
        <w:rPr>
          <w:noProof/>
          <w:lang w:val="en-US"/>
        </w:rPr>
        <w:t>(1), 175–208.</w:t>
      </w:r>
    </w:p>
    <w:p w:rsidR="00925CF8" w:rsidRDefault="00925CF8" w:rsidP="00925CF8">
      <w:pPr>
        <w:pStyle w:val="NormalWeb"/>
        <w:ind w:left="480" w:hanging="480"/>
        <w:jc w:val="both"/>
        <w:rPr>
          <w:lang w:val="en-US"/>
        </w:rPr>
      </w:pPr>
      <w:r w:rsidRPr="00E0785E">
        <w:rPr>
          <w:lang w:val="en-US"/>
        </w:rPr>
        <w:t xml:space="preserve">Trueman, B., &amp; Titman, S. (1988). An explanation </w:t>
      </w:r>
      <w:r>
        <w:rPr>
          <w:lang w:val="en-US"/>
        </w:rPr>
        <w:t>for accounting income smoothing.</w:t>
      </w:r>
      <w:r w:rsidRPr="00E0785E">
        <w:rPr>
          <w:lang w:val="en-US"/>
        </w:rPr>
        <w:t xml:space="preserve"> </w:t>
      </w:r>
      <w:r>
        <w:rPr>
          <w:lang w:val="en-US"/>
        </w:rPr>
        <w:t xml:space="preserve">          </w:t>
      </w:r>
      <w:r w:rsidRPr="0073432A">
        <w:rPr>
          <w:i/>
          <w:lang w:val="en-US"/>
        </w:rPr>
        <w:t>Journal of Accounting Research, 26</w:t>
      </w:r>
      <w:r w:rsidRPr="00E0785E">
        <w:rPr>
          <w:lang w:val="en-US"/>
        </w:rPr>
        <w:t>, 127–139.</w:t>
      </w:r>
    </w:p>
    <w:p w:rsidR="00925CF8" w:rsidRPr="00B9756C" w:rsidRDefault="00EF1EDC" w:rsidP="00925CF8">
      <w:pPr>
        <w:pStyle w:val="NormalWeb"/>
        <w:ind w:left="480" w:hanging="480"/>
        <w:jc w:val="both"/>
        <w:rPr>
          <w:rFonts w:eastAsiaTheme="minorEastAsia"/>
          <w:noProof/>
          <w:lang w:val="en-US"/>
        </w:rPr>
      </w:pPr>
      <w:r>
        <w:lastRenderedPageBreak/>
        <w:fldChar w:fldCharType="begin" w:fldLock="1"/>
      </w:r>
      <w:r w:rsidR="00925CF8" w:rsidRPr="00B9756C">
        <w:rPr>
          <w:lang w:val="en-US"/>
        </w:rPr>
        <w:instrText xml:space="preserve">ADDIN Mendeley Bibliography CSL_BIBLIOGRAPHY </w:instrText>
      </w:r>
      <w:r>
        <w:fldChar w:fldCharType="separate"/>
      </w:r>
      <w:r w:rsidR="00925CF8">
        <w:rPr>
          <w:noProof/>
          <w:lang w:val="en-US"/>
        </w:rPr>
        <w:t xml:space="preserve">Tüngler, </w:t>
      </w:r>
      <w:r w:rsidR="00925CF8" w:rsidRPr="00B9756C">
        <w:rPr>
          <w:noProof/>
          <w:lang w:val="en-US"/>
        </w:rPr>
        <w:t xml:space="preserve">G. (2000). The Anglo-American Board of Directors and the German Supervisory Board - Marionettes in a Puppet Theatre of Corporate Governance or Efficient Controlling Devices ? </w:t>
      </w:r>
      <w:r w:rsidR="00925CF8" w:rsidRPr="00B9756C">
        <w:rPr>
          <w:i/>
          <w:iCs/>
          <w:noProof/>
          <w:lang w:val="en-US"/>
        </w:rPr>
        <w:t>Bond Law Review</w:t>
      </w:r>
      <w:r w:rsidR="00925CF8" w:rsidRPr="00B9756C">
        <w:rPr>
          <w:noProof/>
          <w:lang w:val="en-US"/>
        </w:rPr>
        <w:t xml:space="preserve">, </w:t>
      </w:r>
      <w:r w:rsidR="00925CF8" w:rsidRPr="00B9756C">
        <w:rPr>
          <w:i/>
          <w:iCs/>
          <w:noProof/>
          <w:lang w:val="en-US"/>
        </w:rPr>
        <w:t>12</w:t>
      </w:r>
      <w:r w:rsidR="00925CF8" w:rsidRPr="00B9756C">
        <w:rPr>
          <w:noProof/>
          <w:lang w:val="en-US"/>
        </w:rPr>
        <w:t>(2000), 230-271.</w:t>
      </w:r>
    </w:p>
    <w:p w:rsidR="00585641" w:rsidRDefault="00EF1EDC" w:rsidP="00C536C4">
      <w:pPr>
        <w:pStyle w:val="NormalWeb"/>
        <w:ind w:left="480" w:hanging="480"/>
        <w:jc w:val="both"/>
        <w:rPr>
          <w:noProof/>
          <w:lang w:val="en-US"/>
        </w:rPr>
      </w:pPr>
      <w:r>
        <w:fldChar w:fldCharType="end"/>
      </w:r>
      <w:r w:rsidR="00585641" w:rsidRPr="00B9756C">
        <w:rPr>
          <w:noProof/>
          <w:lang w:val="en-US"/>
        </w:rPr>
        <w:t xml:space="preserve">Utama, S. (2003) Corporate Governance, Disclosure and Its Evidence in Indonesia, </w:t>
      </w:r>
      <w:r w:rsidR="00585641" w:rsidRPr="00B9756C">
        <w:rPr>
          <w:i/>
          <w:noProof/>
          <w:lang w:val="en-US"/>
        </w:rPr>
        <w:t>Manajemen dan Usahawan, 23</w:t>
      </w:r>
      <w:r w:rsidR="00585641" w:rsidRPr="00B9756C">
        <w:rPr>
          <w:noProof/>
          <w:lang w:val="en-US"/>
        </w:rPr>
        <w:t>(5), 11-15.</w:t>
      </w:r>
    </w:p>
    <w:p w:rsidR="00925CF8" w:rsidRPr="00B9756C" w:rsidRDefault="00925CF8" w:rsidP="00C536C4">
      <w:pPr>
        <w:pStyle w:val="NormalWeb"/>
        <w:ind w:left="480" w:hanging="480"/>
        <w:jc w:val="both"/>
        <w:rPr>
          <w:noProof/>
          <w:lang w:val="en-US"/>
        </w:rPr>
      </w:pPr>
      <w:r w:rsidRPr="00B9756C">
        <w:rPr>
          <w:noProof/>
          <w:lang w:val="en-US"/>
        </w:rPr>
        <w:t xml:space="preserve">Vives, X. (2006). Banking and regulation in emerging markets: The role of external discipline. </w:t>
      </w:r>
      <w:r w:rsidRPr="00B9756C">
        <w:rPr>
          <w:i/>
          <w:noProof/>
          <w:lang w:val="en-US"/>
        </w:rPr>
        <w:t>The</w:t>
      </w:r>
      <w:r w:rsidRPr="00B9756C">
        <w:rPr>
          <w:noProof/>
          <w:lang w:val="en-US"/>
        </w:rPr>
        <w:t xml:space="preserve"> </w:t>
      </w:r>
      <w:r w:rsidRPr="00B9756C">
        <w:rPr>
          <w:i/>
          <w:iCs/>
          <w:noProof/>
          <w:lang w:val="en-US"/>
        </w:rPr>
        <w:t>World Bank Research Observer</w:t>
      </w:r>
      <w:r w:rsidRPr="00B9756C">
        <w:rPr>
          <w:noProof/>
          <w:lang w:val="en-US"/>
        </w:rPr>
        <w:t xml:space="preserve">. </w:t>
      </w:r>
      <w:r w:rsidRPr="00B9756C">
        <w:rPr>
          <w:i/>
          <w:noProof/>
          <w:lang w:val="en-US"/>
        </w:rPr>
        <w:t>21</w:t>
      </w:r>
      <w:r w:rsidRPr="00B9756C">
        <w:rPr>
          <w:noProof/>
          <w:lang w:val="en-US"/>
        </w:rPr>
        <w:t>(2006),</w:t>
      </w:r>
      <w:r w:rsidRPr="00B9756C">
        <w:rPr>
          <w:rFonts w:ascii="Arial" w:hAnsi="Arial" w:cs="Arial"/>
          <w:color w:val="333333"/>
          <w:sz w:val="20"/>
          <w:szCs w:val="20"/>
          <w:shd w:val="clear" w:color="auto" w:fill="FFFFFF"/>
          <w:lang w:val="en-US"/>
        </w:rPr>
        <w:t xml:space="preserve"> </w:t>
      </w:r>
      <w:r w:rsidRPr="00B9756C">
        <w:rPr>
          <w:noProof/>
          <w:lang w:val="en-US"/>
        </w:rPr>
        <w:t>179-206.</w:t>
      </w:r>
    </w:p>
    <w:p w:rsidR="00D72E08" w:rsidRPr="00B9756C" w:rsidRDefault="00585641" w:rsidP="006266A5">
      <w:pPr>
        <w:pStyle w:val="NormalWeb"/>
        <w:ind w:left="480" w:hanging="480"/>
        <w:jc w:val="both"/>
        <w:rPr>
          <w:noProof/>
          <w:lang w:val="en-US"/>
        </w:rPr>
      </w:pPr>
      <w:r w:rsidRPr="001163D9">
        <w:rPr>
          <w:noProof/>
          <w:lang w:val="en-US"/>
        </w:rPr>
        <w:t>Vorster</w:t>
      </w:r>
      <w:r w:rsidR="005561EB">
        <w:rPr>
          <w:noProof/>
          <w:lang w:val="en-US"/>
        </w:rPr>
        <w:t>,</w:t>
      </w:r>
      <w:r w:rsidRPr="001163D9">
        <w:rPr>
          <w:noProof/>
          <w:lang w:val="en-US"/>
        </w:rPr>
        <w:t xml:space="preserve"> Q. (2007). The conceptual framework, accounting principles and what we believe i</w:t>
      </w:r>
      <w:r>
        <w:rPr>
          <w:noProof/>
          <w:lang w:val="en-US"/>
        </w:rPr>
        <w:t xml:space="preserve">s true. </w:t>
      </w:r>
      <w:r w:rsidRPr="00A469FD">
        <w:rPr>
          <w:i/>
          <w:noProof/>
          <w:lang w:val="en-US"/>
        </w:rPr>
        <w:t>Accountancy SA, Accounting &amp; Tax Periodicals</w:t>
      </w:r>
      <w:r w:rsidR="00A469FD">
        <w:rPr>
          <w:noProof/>
          <w:lang w:val="en-US"/>
        </w:rPr>
        <w:t xml:space="preserve">, </w:t>
      </w:r>
      <w:r w:rsidRPr="001163D9">
        <w:rPr>
          <w:noProof/>
          <w:lang w:val="en-US"/>
        </w:rPr>
        <w:t>31</w:t>
      </w:r>
      <w:r w:rsidR="00A469FD">
        <w:rPr>
          <w:noProof/>
          <w:lang w:val="en-US"/>
        </w:rPr>
        <w:t>.</w:t>
      </w:r>
      <w:r w:rsidRPr="00B9756C">
        <w:rPr>
          <w:lang w:val="en-US"/>
        </w:rPr>
        <w:t xml:space="preserve"> </w:t>
      </w:r>
      <w:r w:rsidR="00EF1EDC">
        <w:fldChar w:fldCharType="begin" w:fldLock="1"/>
      </w:r>
      <w:r w:rsidRPr="00B9756C">
        <w:rPr>
          <w:lang w:val="en-US"/>
        </w:rPr>
        <w:instrText xml:space="preserve">ADDIN Mendeley Bibliography CSL_BIBLIOGRAPHY </w:instrText>
      </w:r>
      <w:r w:rsidR="00EF1EDC">
        <w:fldChar w:fldCharType="separate"/>
      </w:r>
    </w:p>
    <w:p w:rsidR="00925CF8" w:rsidRPr="00B9756C" w:rsidRDefault="00925CF8" w:rsidP="00925CF8">
      <w:pPr>
        <w:pStyle w:val="NormalWeb"/>
        <w:ind w:left="480" w:hanging="480"/>
        <w:jc w:val="both"/>
        <w:rPr>
          <w:noProof/>
          <w:lang w:val="en-US"/>
        </w:rPr>
      </w:pPr>
      <w:r w:rsidRPr="00B9756C">
        <w:rPr>
          <w:noProof/>
          <w:lang w:val="en-US"/>
        </w:rPr>
        <w:t>Wang</w:t>
      </w:r>
      <w:r>
        <w:rPr>
          <w:noProof/>
          <w:lang w:val="en-US"/>
        </w:rPr>
        <w:t xml:space="preserve">, </w:t>
      </w:r>
      <w:r w:rsidRPr="00B9756C">
        <w:rPr>
          <w:noProof/>
          <w:lang w:val="en-US"/>
        </w:rPr>
        <w:t xml:space="preserve">J. L., Sheu, H. J., </w:t>
      </w:r>
      <w:r w:rsidRPr="00E0785E">
        <w:rPr>
          <w:lang w:val="en-US"/>
        </w:rPr>
        <w:t>&amp;</w:t>
      </w:r>
      <w:r>
        <w:rPr>
          <w:lang w:val="en-US"/>
        </w:rPr>
        <w:t xml:space="preserve"> </w:t>
      </w:r>
      <w:r w:rsidRPr="00B9756C">
        <w:rPr>
          <w:noProof/>
          <w:lang w:val="en-US"/>
        </w:rPr>
        <w:t xml:space="preserve">Chung, H. (2011). Corporate Governance Reform and Earnings Management. </w:t>
      </w:r>
      <w:r w:rsidRPr="00B9756C">
        <w:rPr>
          <w:i/>
          <w:noProof/>
          <w:lang w:val="en-US"/>
        </w:rPr>
        <w:t>Investment Management and Financial Innovations</w:t>
      </w:r>
      <w:r w:rsidRPr="00B9756C">
        <w:rPr>
          <w:noProof/>
          <w:lang w:val="en-US"/>
        </w:rPr>
        <w:t xml:space="preserve">, </w:t>
      </w:r>
      <w:r w:rsidRPr="00B9756C">
        <w:rPr>
          <w:i/>
          <w:noProof/>
          <w:lang w:val="en-US"/>
        </w:rPr>
        <w:t>8</w:t>
      </w:r>
      <w:r w:rsidRPr="00B9756C">
        <w:rPr>
          <w:noProof/>
          <w:lang w:val="en-US"/>
        </w:rPr>
        <w:t xml:space="preserve"> (4),109-118.</w:t>
      </w:r>
    </w:p>
    <w:p w:rsidR="00925CF8" w:rsidRPr="00B9756C" w:rsidRDefault="00925CF8" w:rsidP="00925CF8">
      <w:pPr>
        <w:pStyle w:val="NormalWeb"/>
        <w:ind w:left="480" w:hanging="480"/>
        <w:jc w:val="both"/>
        <w:rPr>
          <w:noProof/>
          <w:lang w:val="en-US"/>
        </w:rPr>
      </w:pPr>
      <w:r w:rsidRPr="00B9756C">
        <w:rPr>
          <w:noProof/>
          <w:lang w:val="en-US"/>
        </w:rPr>
        <w:t xml:space="preserve">Wang, S., &amp; Chen, S. (2012). The Motivation for Tax Avoidance in Earnings Management. </w:t>
      </w:r>
      <w:r w:rsidRPr="00B9756C">
        <w:rPr>
          <w:i/>
          <w:iCs/>
          <w:noProof/>
          <w:lang w:val="en-US"/>
        </w:rPr>
        <w:t>International Conference on Engineering and Business Management</w:t>
      </w:r>
      <w:r w:rsidRPr="00B9756C">
        <w:rPr>
          <w:noProof/>
          <w:lang w:val="en-US"/>
        </w:rPr>
        <w:t>, 447–450.</w:t>
      </w:r>
    </w:p>
    <w:p w:rsidR="00925CF8" w:rsidRDefault="00925CF8" w:rsidP="00925CF8">
      <w:pPr>
        <w:pStyle w:val="NormalWeb"/>
        <w:ind w:left="480" w:hanging="480"/>
        <w:jc w:val="both"/>
        <w:rPr>
          <w:noProof/>
          <w:lang w:val="en-US"/>
        </w:rPr>
      </w:pPr>
      <w:r w:rsidRPr="00B9756C">
        <w:rPr>
          <w:noProof/>
          <w:lang w:val="en-US"/>
        </w:rPr>
        <w:t xml:space="preserve">Wang, Y., &amp; Campbell, M. (2012). Advances in Accounting , incorporating Advances in International Accounting Corporate governance , earnings management , and IFRS : Empirical evidence from Chinese domestically listed companies. </w:t>
      </w:r>
      <w:r w:rsidRPr="00B9756C">
        <w:rPr>
          <w:i/>
          <w:iCs/>
          <w:noProof/>
          <w:lang w:val="en-US"/>
        </w:rPr>
        <w:t>International Journal of Cardiology</w:t>
      </w:r>
      <w:r w:rsidRPr="00B9756C">
        <w:rPr>
          <w:noProof/>
          <w:lang w:val="en-US"/>
        </w:rPr>
        <w:t xml:space="preserve">, </w:t>
      </w:r>
      <w:r w:rsidRPr="00B9756C">
        <w:rPr>
          <w:i/>
          <w:iCs/>
          <w:noProof/>
          <w:lang w:val="en-US"/>
        </w:rPr>
        <w:t>28</w:t>
      </w:r>
      <w:r w:rsidRPr="00B9756C">
        <w:rPr>
          <w:noProof/>
          <w:lang w:val="en-US"/>
        </w:rPr>
        <w:t>(1), 189–192.</w:t>
      </w:r>
      <w:r w:rsidR="00B61B59" w:rsidRPr="00B9756C">
        <w:rPr>
          <w:noProof/>
          <w:lang w:val="en-US"/>
        </w:rPr>
        <w:t xml:space="preserve"> </w:t>
      </w:r>
    </w:p>
    <w:p w:rsidR="00925CF8" w:rsidRDefault="00925CF8" w:rsidP="00925CF8">
      <w:pPr>
        <w:pStyle w:val="NormalWeb"/>
        <w:ind w:left="480" w:hanging="480"/>
        <w:jc w:val="both"/>
        <w:rPr>
          <w:noProof/>
          <w:lang w:val="en-US"/>
        </w:rPr>
      </w:pPr>
      <w:r>
        <w:rPr>
          <w:noProof/>
          <w:lang w:val="en-US"/>
        </w:rPr>
        <w:t xml:space="preserve">Xiao, J. Z., Dahya, J., </w:t>
      </w:r>
      <w:r w:rsidRPr="00B9756C">
        <w:rPr>
          <w:noProof/>
          <w:lang w:val="en-US"/>
        </w:rPr>
        <w:t>&amp;</w:t>
      </w:r>
      <w:r>
        <w:rPr>
          <w:noProof/>
          <w:lang w:val="en-US"/>
        </w:rPr>
        <w:t xml:space="preserve"> </w:t>
      </w:r>
      <w:r w:rsidRPr="00E0785E">
        <w:rPr>
          <w:noProof/>
          <w:lang w:val="en-US"/>
        </w:rPr>
        <w:t>Lin, Z.</w:t>
      </w:r>
      <w:r>
        <w:rPr>
          <w:noProof/>
          <w:lang w:val="en-US"/>
        </w:rPr>
        <w:t xml:space="preserve"> J.</w:t>
      </w:r>
      <w:r w:rsidRPr="00E0785E">
        <w:rPr>
          <w:noProof/>
          <w:lang w:val="en-US"/>
        </w:rPr>
        <w:t xml:space="preserve"> (2004), A Grounded Theory Exposition of the Role of the Supervisory Board in China. </w:t>
      </w:r>
      <w:r w:rsidRPr="00BC548B">
        <w:rPr>
          <w:i/>
          <w:noProof/>
          <w:lang w:val="en-US"/>
        </w:rPr>
        <w:t>British Journal of Management</w:t>
      </w:r>
      <w:r w:rsidRPr="00BC548B">
        <w:rPr>
          <w:noProof/>
          <w:lang w:val="en-US"/>
        </w:rPr>
        <w:t xml:space="preserve">, </w:t>
      </w:r>
      <w:r w:rsidRPr="00A469FD">
        <w:rPr>
          <w:i/>
          <w:noProof/>
          <w:lang w:val="en-US"/>
        </w:rPr>
        <w:t>15</w:t>
      </w:r>
      <w:r w:rsidRPr="00BC548B">
        <w:rPr>
          <w:noProof/>
          <w:lang w:val="en-US"/>
        </w:rPr>
        <w:t>, 39–55.</w:t>
      </w:r>
    </w:p>
    <w:p w:rsidR="00925CF8" w:rsidRDefault="00925CF8" w:rsidP="00925CF8">
      <w:pPr>
        <w:pStyle w:val="NormalWeb"/>
        <w:ind w:left="480" w:hanging="480"/>
        <w:jc w:val="both"/>
        <w:rPr>
          <w:noProof/>
          <w:lang w:val="en-US"/>
        </w:rPr>
      </w:pPr>
      <w:r w:rsidRPr="00B9756C">
        <w:rPr>
          <w:noProof/>
          <w:lang w:val="en-US"/>
        </w:rPr>
        <w:t xml:space="preserve">Xie, B., Davidson III, W. N., &amp; DaDalt, P. J. (2003). Earnings management and corporate governance: the role of the board and the audit committee. </w:t>
      </w:r>
      <w:r w:rsidRPr="00B9756C">
        <w:rPr>
          <w:i/>
          <w:iCs/>
          <w:noProof/>
          <w:lang w:val="en-US"/>
        </w:rPr>
        <w:t>Journal of Corporate Finance</w:t>
      </w:r>
      <w:r w:rsidRPr="00B9756C">
        <w:rPr>
          <w:noProof/>
          <w:lang w:val="en-US"/>
        </w:rPr>
        <w:t xml:space="preserve">, </w:t>
      </w:r>
      <w:r w:rsidRPr="00B9756C">
        <w:rPr>
          <w:i/>
          <w:iCs/>
          <w:noProof/>
          <w:lang w:val="en-US"/>
        </w:rPr>
        <w:t>9</w:t>
      </w:r>
      <w:r w:rsidRPr="00B9756C">
        <w:rPr>
          <w:noProof/>
          <w:lang w:val="en-US"/>
        </w:rPr>
        <w:t>(3), 295–316.</w:t>
      </w:r>
    </w:p>
    <w:p w:rsidR="00925CF8" w:rsidRDefault="00EF1EDC" w:rsidP="00925CF8">
      <w:pPr>
        <w:pStyle w:val="NormalWeb"/>
        <w:ind w:left="480" w:hanging="480"/>
        <w:jc w:val="both"/>
        <w:rPr>
          <w:noProof/>
          <w:lang w:val="en-US"/>
        </w:rPr>
      </w:pPr>
      <w:r w:rsidRPr="00A0627C">
        <w:rPr>
          <w:noProof/>
          <w:lang w:val="en-US"/>
        </w:rPr>
        <w:fldChar w:fldCharType="begin" w:fldLock="1"/>
      </w:r>
      <w:r w:rsidR="00925CF8" w:rsidRPr="00A0627C">
        <w:rPr>
          <w:noProof/>
          <w:lang w:val="en-US"/>
        </w:rPr>
        <w:instrText xml:space="preserve">ADDIN Mendeley Bibliography CSL_BIBLIOGRAPHY </w:instrText>
      </w:r>
      <w:r w:rsidRPr="00A0627C">
        <w:rPr>
          <w:noProof/>
          <w:lang w:val="en-US"/>
        </w:rPr>
        <w:fldChar w:fldCharType="separate"/>
      </w:r>
      <w:r w:rsidR="00925CF8" w:rsidRPr="00A0627C">
        <w:rPr>
          <w:noProof/>
          <w:lang w:val="en-US"/>
        </w:rPr>
        <w:t xml:space="preserve">Xie, H. (2001). The Mispricing of Abnormal Accruals. </w:t>
      </w:r>
      <w:r w:rsidR="00925CF8" w:rsidRPr="007A0540">
        <w:rPr>
          <w:i/>
          <w:noProof/>
          <w:lang w:val="en-US"/>
        </w:rPr>
        <w:t>Accounting Review, 76</w:t>
      </w:r>
      <w:r w:rsidR="00925CF8" w:rsidRPr="00A0627C">
        <w:rPr>
          <w:noProof/>
          <w:lang w:val="en-US"/>
        </w:rPr>
        <w:t>(3), 357–373.</w:t>
      </w:r>
      <w:r w:rsidRPr="00A0627C">
        <w:rPr>
          <w:noProof/>
          <w:lang w:val="en-US"/>
        </w:rPr>
        <w:fldChar w:fldCharType="end"/>
      </w:r>
      <w:r>
        <w:fldChar w:fldCharType="end"/>
      </w:r>
      <w:r w:rsidR="00925CF8">
        <w:rPr>
          <w:noProof/>
          <w:lang w:val="en-US"/>
        </w:rPr>
        <w:t xml:space="preserve"> </w:t>
      </w:r>
    </w:p>
    <w:p w:rsidR="00280DE8" w:rsidRPr="00B9756C" w:rsidRDefault="00585641" w:rsidP="00C536C4">
      <w:pPr>
        <w:pStyle w:val="NormalWeb"/>
        <w:ind w:left="480" w:hanging="480"/>
        <w:jc w:val="both"/>
        <w:rPr>
          <w:noProof/>
          <w:lang w:val="en-US"/>
        </w:rPr>
      </w:pPr>
      <w:r w:rsidRPr="005E7221">
        <w:rPr>
          <w:noProof/>
        </w:rPr>
        <w:t>Yang, C.</w:t>
      </w:r>
      <w:r w:rsidR="000441CE" w:rsidRPr="005E7221">
        <w:rPr>
          <w:noProof/>
        </w:rPr>
        <w:t xml:space="preserve"> Y.</w:t>
      </w:r>
      <w:r w:rsidRPr="005E7221">
        <w:rPr>
          <w:noProof/>
        </w:rPr>
        <w:t>, Lai, H.</w:t>
      </w:r>
      <w:r w:rsidR="000441CE" w:rsidRPr="005E7221">
        <w:rPr>
          <w:noProof/>
        </w:rPr>
        <w:t xml:space="preserve"> N.</w:t>
      </w:r>
      <w:r w:rsidRPr="005E7221">
        <w:rPr>
          <w:noProof/>
        </w:rPr>
        <w:t xml:space="preserve">, &amp; Tan, B. L. (2008). </w:t>
      </w:r>
      <w:r w:rsidRPr="00B9756C">
        <w:rPr>
          <w:noProof/>
          <w:lang w:val="en-US"/>
        </w:rPr>
        <w:t xml:space="preserve">Managerial Ownership Structure and Earnings Management. </w:t>
      </w:r>
      <w:r w:rsidRPr="00B9756C">
        <w:rPr>
          <w:i/>
          <w:iCs/>
          <w:noProof/>
          <w:lang w:val="en-US"/>
        </w:rPr>
        <w:t>Journal of Financial Reporting and Accounting</w:t>
      </w:r>
      <w:r w:rsidRPr="00B9756C">
        <w:rPr>
          <w:noProof/>
          <w:lang w:val="en-US"/>
        </w:rPr>
        <w:t xml:space="preserve">, </w:t>
      </w:r>
      <w:r w:rsidRPr="00B9756C">
        <w:rPr>
          <w:i/>
          <w:iCs/>
          <w:noProof/>
          <w:lang w:val="en-US"/>
        </w:rPr>
        <w:t>6</w:t>
      </w:r>
      <w:r w:rsidRPr="00B9756C">
        <w:rPr>
          <w:noProof/>
          <w:lang w:val="en-US"/>
        </w:rPr>
        <w:t>(1), 35–53.</w:t>
      </w:r>
    </w:p>
    <w:p w:rsidR="006C4727" w:rsidRPr="00B9756C" w:rsidRDefault="00EF1EDC" w:rsidP="006C4727">
      <w:pPr>
        <w:pStyle w:val="NormalWeb"/>
        <w:ind w:left="480" w:hanging="480"/>
        <w:jc w:val="both"/>
        <w:rPr>
          <w:noProof/>
          <w:lang w:val="en-US"/>
        </w:rPr>
      </w:pPr>
      <w:r>
        <w:fldChar w:fldCharType="begin" w:fldLock="1"/>
      </w:r>
      <w:r w:rsidR="006C4727" w:rsidRPr="00B9756C">
        <w:rPr>
          <w:lang w:val="en-US"/>
        </w:rPr>
        <w:instrText xml:space="preserve">ADDIN Mendeley Bibliography CSL_BIBLIOGRAPHY </w:instrText>
      </w:r>
      <w:r>
        <w:fldChar w:fldCharType="separate"/>
      </w:r>
      <w:r w:rsidR="006C4727" w:rsidRPr="00B9756C">
        <w:rPr>
          <w:noProof/>
          <w:lang w:val="en-US"/>
        </w:rPr>
        <w:t xml:space="preserve">Yeo, G. H. H., Tan, P. M. S., Kim, W. H., &amp; Chen, S. S. (2002). Corporate ownership structure and the informativeness of earnings. </w:t>
      </w:r>
      <w:r w:rsidR="006C4727" w:rsidRPr="00B9756C">
        <w:rPr>
          <w:i/>
          <w:iCs/>
          <w:noProof/>
          <w:lang w:val="en-US"/>
        </w:rPr>
        <w:t>Journal of Business Finance and Accounting</w:t>
      </w:r>
      <w:r w:rsidR="006C4727" w:rsidRPr="00B9756C">
        <w:rPr>
          <w:noProof/>
          <w:lang w:val="en-US"/>
        </w:rPr>
        <w:t xml:space="preserve">, </w:t>
      </w:r>
      <w:r w:rsidR="006C4727" w:rsidRPr="00B9756C">
        <w:rPr>
          <w:i/>
          <w:iCs/>
          <w:noProof/>
          <w:lang w:val="en-US"/>
        </w:rPr>
        <w:t>29</w:t>
      </w:r>
      <w:r w:rsidR="006C4727" w:rsidRPr="00B9756C">
        <w:rPr>
          <w:noProof/>
          <w:lang w:val="en-US"/>
        </w:rPr>
        <w:t>(7-8), 1023–1046.</w:t>
      </w:r>
    </w:p>
    <w:p w:rsidR="00E6748E" w:rsidRPr="00B9756C" w:rsidRDefault="00E6748E" w:rsidP="00E6748E">
      <w:pPr>
        <w:pStyle w:val="NormalWeb"/>
        <w:ind w:left="480" w:hanging="480"/>
        <w:jc w:val="both"/>
        <w:rPr>
          <w:noProof/>
          <w:lang w:val="en-US"/>
        </w:rPr>
      </w:pPr>
      <w:r w:rsidRPr="00B9756C">
        <w:rPr>
          <w:noProof/>
          <w:lang w:val="en-US"/>
        </w:rPr>
        <w:t xml:space="preserve">Yermack, D. (1996). Higher market valuation of companies with a small board of directors. </w:t>
      </w:r>
      <w:r w:rsidRPr="00B9756C">
        <w:rPr>
          <w:i/>
          <w:iCs/>
          <w:noProof/>
          <w:lang w:val="en-US"/>
        </w:rPr>
        <w:t>Journal of Financial Economics</w:t>
      </w:r>
      <w:r w:rsidRPr="00B9756C">
        <w:rPr>
          <w:noProof/>
          <w:lang w:val="en-US"/>
        </w:rPr>
        <w:t xml:space="preserve">, </w:t>
      </w:r>
      <w:r w:rsidRPr="00B9756C">
        <w:rPr>
          <w:i/>
          <w:iCs/>
          <w:noProof/>
          <w:lang w:val="en-US"/>
        </w:rPr>
        <w:t>40</w:t>
      </w:r>
      <w:r w:rsidRPr="00B9756C">
        <w:rPr>
          <w:noProof/>
          <w:lang w:val="en-US"/>
        </w:rPr>
        <w:t>(2), 185–211.</w:t>
      </w:r>
    </w:p>
    <w:p w:rsidR="001C672F" w:rsidRPr="00B9756C" w:rsidRDefault="00EF1EDC" w:rsidP="00DD7C00">
      <w:pPr>
        <w:pStyle w:val="NormalWeb"/>
        <w:ind w:left="480" w:hanging="480"/>
        <w:jc w:val="both"/>
        <w:rPr>
          <w:noProof/>
          <w:lang w:val="en-US"/>
        </w:rPr>
      </w:pPr>
      <w:r>
        <w:lastRenderedPageBreak/>
        <w:fldChar w:fldCharType="end"/>
      </w:r>
      <w:r w:rsidR="005206FA" w:rsidRPr="005E7221">
        <w:rPr>
          <w:noProof/>
        </w:rPr>
        <w:t xml:space="preserve">Zhong, K., Gribbin, D. W., &amp; Zheng, X. (2007). </w:t>
      </w:r>
      <w:r w:rsidR="005206FA" w:rsidRPr="00B9756C">
        <w:rPr>
          <w:noProof/>
          <w:lang w:val="en-US"/>
        </w:rPr>
        <w:t xml:space="preserve">The Effect of Monitoring by outside Blockholders on Earnings Management. </w:t>
      </w:r>
      <w:r w:rsidR="006C4727" w:rsidRPr="00B9756C">
        <w:rPr>
          <w:i/>
          <w:noProof/>
          <w:lang w:val="en-US"/>
        </w:rPr>
        <w:t xml:space="preserve">Quarterly Journal of Business </w:t>
      </w:r>
      <w:r w:rsidR="005206FA" w:rsidRPr="00B9756C">
        <w:rPr>
          <w:i/>
          <w:noProof/>
          <w:lang w:val="en-US"/>
        </w:rPr>
        <w:t>and Economics, 46</w:t>
      </w:r>
      <w:r w:rsidR="005206FA" w:rsidRPr="00B9756C">
        <w:rPr>
          <w:noProof/>
          <w:lang w:val="en-US"/>
        </w:rPr>
        <w:t>(1), 37–60.</w:t>
      </w:r>
    </w:p>
    <w:p w:rsidR="008474C4" w:rsidRDefault="008474C4" w:rsidP="00C536C4">
      <w:pPr>
        <w:pStyle w:val="NormalWeb"/>
        <w:ind w:left="480" w:hanging="480"/>
        <w:jc w:val="both"/>
        <w:rPr>
          <w:noProof/>
          <w:lang w:val="en-US"/>
        </w:rPr>
      </w:pPr>
      <w:r w:rsidRPr="00A469FD">
        <w:rPr>
          <w:b/>
          <w:noProof/>
          <w:lang w:val="en-US"/>
        </w:rPr>
        <w:t>Book</w:t>
      </w:r>
      <w:r w:rsidR="006C0CFF" w:rsidRPr="00A469FD">
        <w:rPr>
          <w:b/>
          <w:noProof/>
          <w:lang w:val="en-US"/>
        </w:rPr>
        <w:t>s</w:t>
      </w:r>
      <w:r>
        <w:rPr>
          <w:noProof/>
          <w:lang w:val="en-US"/>
        </w:rPr>
        <w:t>:</w:t>
      </w:r>
    </w:p>
    <w:p w:rsidR="00925CF8" w:rsidRDefault="00925CF8" w:rsidP="00925CF8">
      <w:pPr>
        <w:pStyle w:val="NormalWeb"/>
        <w:ind w:left="480" w:hanging="480"/>
        <w:jc w:val="both"/>
        <w:rPr>
          <w:noProof/>
          <w:lang w:val="en-US"/>
        </w:rPr>
      </w:pPr>
      <w:r w:rsidRPr="00D036BA">
        <w:rPr>
          <w:noProof/>
          <w:lang w:val="en-US"/>
        </w:rPr>
        <w:t>Baltagi, B.</w:t>
      </w:r>
      <w:r>
        <w:rPr>
          <w:noProof/>
          <w:lang w:val="en-US"/>
        </w:rPr>
        <w:t xml:space="preserve"> </w:t>
      </w:r>
      <w:r w:rsidRPr="00D036BA">
        <w:rPr>
          <w:noProof/>
          <w:lang w:val="en-US"/>
        </w:rPr>
        <w:t xml:space="preserve">H. (2005): </w:t>
      </w:r>
      <w:r w:rsidRPr="009F4A06">
        <w:rPr>
          <w:i/>
          <w:noProof/>
          <w:lang w:val="en-US"/>
        </w:rPr>
        <w:t>Econometric Analysis of Panel Data, 3rd edition</w:t>
      </w:r>
      <w:r>
        <w:rPr>
          <w:noProof/>
          <w:lang w:val="en-US"/>
        </w:rPr>
        <w:t>. Chichester: Wiley.</w:t>
      </w:r>
    </w:p>
    <w:p w:rsidR="00925CF8" w:rsidRDefault="00925CF8" w:rsidP="00925CF8">
      <w:pPr>
        <w:pStyle w:val="NormalWeb"/>
        <w:ind w:left="480" w:hanging="480"/>
        <w:jc w:val="both"/>
        <w:rPr>
          <w:noProof/>
          <w:lang w:val="en-US"/>
        </w:rPr>
      </w:pPr>
      <w:r w:rsidRPr="00E0785E">
        <w:rPr>
          <w:noProof/>
          <w:lang w:val="en-US"/>
        </w:rPr>
        <w:t xml:space="preserve">Berle, A. A., &amp; Means, G. C. (1932). </w:t>
      </w:r>
      <w:r w:rsidRPr="00072F09">
        <w:rPr>
          <w:i/>
          <w:iCs/>
          <w:noProof/>
          <w:lang w:val="en-US"/>
        </w:rPr>
        <w:t>The Modern Corporation and Private Property</w:t>
      </w:r>
      <w:r w:rsidRPr="00072F09">
        <w:rPr>
          <w:i/>
          <w:noProof/>
          <w:lang w:val="en-US"/>
        </w:rPr>
        <w:t>. (A. A. Berle, G. C. Means, M. L. Weidenbaum, &amp; M. Jensen, Eds.)</w:t>
      </w:r>
      <w:r w:rsidRPr="00072F09">
        <w:rPr>
          <w:i/>
          <w:iCs/>
          <w:noProof/>
          <w:lang w:val="en-US"/>
        </w:rPr>
        <w:t>Macmillan Publishing Company</w:t>
      </w:r>
      <w:r w:rsidRPr="00072F09">
        <w:rPr>
          <w:i/>
          <w:noProof/>
          <w:lang w:val="en-US"/>
        </w:rPr>
        <w:t xml:space="preserve"> (Vol. 21, p. 380).</w:t>
      </w:r>
      <w:r w:rsidRPr="00E0785E">
        <w:rPr>
          <w:noProof/>
          <w:lang w:val="en-US"/>
        </w:rPr>
        <w:t xml:space="preserve"> Transaction Publishers.</w:t>
      </w:r>
    </w:p>
    <w:p w:rsidR="00925CF8" w:rsidRDefault="00925CF8" w:rsidP="00925CF8">
      <w:pPr>
        <w:pStyle w:val="NormalWeb"/>
        <w:ind w:left="480" w:hanging="480"/>
        <w:jc w:val="both"/>
        <w:rPr>
          <w:noProof/>
          <w:lang w:val="en-US"/>
        </w:rPr>
      </w:pPr>
      <w:r w:rsidRPr="00B9756C">
        <w:rPr>
          <w:noProof/>
          <w:lang w:val="en-US"/>
        </w:rPr>
        <w:t>Berman, E. M. (2006). E</w:t>
      </w:r>
      <w:r w:rsidRPr="00B9756C">
        <w:rPr>
          <w:i/>
          <w:noProof/>
          <w:lang w:val="en-US"/>
        </w:rPr>
        <w:t>ssential statistics for public managers and policy analysts, second ed</w:t>
      </w:r>
      <w:r w:rsidRPr="00B9756C">
        <w:rPr>
          <w:noProof/>
          <w:lang w:val="en-US"/>
        </w:rPr>
        <w:t xml:space="preserve">. </w:t>
      </w:r>
      <w:r w:rsidRPr="00113EFB">
        <w:rPr>
          <w:noProof/>
          <w:lang w:val="en-US"/>
        </w:rPr>
        <w:t>CQ</w:t>
      </w:r>
      <w:r w:rsidRPr="00B9756C">
        <w:rPr>
          <w:noProof/>
          <w:lang w:val="en-US"/>
        </w:rPr>
        <w:t xml:space="preserve"> Press.</w:t>
      </w:r>
    </w:p>
    <w:p w:rsidR="00925CF8" w:rsidRPr="00B9756C" w:rsidRDefault="00925CF8" w:rsidP="00925CF8">
      <w:pPr>
        <w:pStyle w:val="NormalWeb"/>
        <w:ind w:left="480" w:hanging="480"/>
        <w:jc w:val="both"/>
        <w:rPr>
          <w:noProof/>
          <w:lang w:val="en-US"/>
        </w:rPr>
      </w:pPr>
      <w:r w:rsidRPr="00B9756C">
        <w:rPr>
          <w:noProof/>
          <w:lang w:val="en-US"/>
        </w:rPr>
        <w:t xml:space="preserve">Bryman, A., </w:t>
      </w:r>
      <w:r w:rsidRPr="00E0785E">
        <w:rPr>
          <w:noProof/>
          <w:lang w:val="en-US"/>
        </w:rPr>
        <w:t>&amp;</w:t>
      </w:r>
      <w:r>
        <w:rPr>
          <w:noProof/>
          <w:lang w:val="en-US"/>
        </w:rPr>
        <w:t xml:space="preserve"> </w:t>
      </w:r>
      <w:r w:rsidRPr="00B9756C">
        <w:rPr>
          <w:noProof/>
          <w:lang w:val="en-US"/>
        </w:rPr>
        <w:t xml:space="preserve">Cramer, D. (2005). </w:t>
      </w:r>
      <w:r w:rsidRPr="00B9756C">
        <w:rPr>
          <w:i/>
          <w:noProof/>
          <w:lang w:val="en-US"/>
        </w:rPr>
        <w:t>Quantitative Data Analysis with IBM SPSS 12 &amp; 13: A guide for social scientists.</w:t>
      </w:r>
      <w:r w:rsidRPr="00B9756C">
        <w:rPr>
          <w:noProof/>
          <w:lang w:val="en-US"/>
        </w:rPr>
        <w:t xml:space="preserve"> East Sussex Routledge.</w:t>
      </w:r>
    </w:p>
    <w:p w:rsidR="00925CF8" w:rsidRPr="00B9756C" w:rsidRDefault="00925CF8" w:rsidP="00925CF8">
      <w:pPr>
        <w:pStyle w:val="NormalWeb"/>
        <w:ind w:left="480" w:hanging="480"/>
        <w:jc w:val="both"/>
        <w:rPr>
          <w:noProof/>
          <w:lang w:val="en-US"/>
        </w:rPr>
      </w:pPr>
      <w:r w:rsidRPr="00B9756C">
        <w:rPr>
          <w:noProof/>
          <w:lang w:val="en-US"/>
        </w:rPr>
        <w:t xml:space="preserve">Greene, W. H. (2002). </w:t>
      </w:r>
      <w:r w:rsidRPr="00B9756C">
        <w:rPr>
          <w:i/>
          <w:noProof/>
          <w:lang w:val="en-US"/>
        </w:rPr>
        <w:t>Econometric Analysis (5th edn)</w:t>
      </w:r>
      <w:r w:rsidRPr="00B9756C">
        <w:rPr>
          <w:noProof/>
          <w:lang w:val="en-US"/>
        </w:rPr>
        <w:t>. Prentice-Hall: Upper Saddle River.</w:t>
      </w:r>
    </w:p>
    <w:p w:rsidR="00925CF8" w:rsidRPr="00B9756C" w:rsidRDefault="00925CF8" w:rsidP="00925CF8">
      <w:pPr>
        <w:pStyle w:val="NormalWeb"/>
        <w:ind w:left="480" w:hanging="480"/>
        <w:jc w:val="both"/>
        <w:rPr>
          <w:noProof/>
          <w:lang w:val="en-US"/>
        </w:rPr>
      </w:pPr>
      <w:r w:rsidRPr="00B9756C">
        <w:rPr>
          <w:noProof/>
          <w:lang w:val="en-US"/>
        </w:rPr>
        <w:t xml:space="preserve">Hsiao, C. (2003), </w:t>
      </w:r>
      <w:r w:rsidRPr="00B9756C">
        <w:rPr>
          <w:i/>
          <w:noProof/>
          <w:lang w:val="en-US"/>
        </w:rPr>
        <w:t>Analysis of Panel Data, second edition</w:t>
      </w:r>
      <w:r w:rsidRPr="00B9756C">
        <w:rPr>
          <w:noProof/>
          <w:lang w:val="en-US"/>
        </w:rPr>
        <w:t xml:space="preserve">. Cambridge Universirty Press.  </w:t>
      </w:r>
    </w:p>
    <w:p w:rsidR="00925CF8" w:rsidRPr="00B9756C" w:rsidRDefault="00925CF8" w:rsidP="00925CF8">
      <w:pPr>
        <w:pStyle w:val="NormalWeb"/>
        <w:ind w:left="480" w:hanging="480"/>
        <w:jc w:val="both"/>
        <w:rPr>
          <w:noProof/>
          <w:lang w:val="en-US"/>
        </w:rPr>
      </w:pPr>
      <w:r w:rsidRPr="00B9756C">
        <w:rPr>
          <w:noProof/>
          <w:lang w:val="en-US"/>
        </w:rPr>
        <w:t xml:space="preserve">Libby, R. (1981). </w:t>
      </w:r>
      <w:r w:rsidRPr="00B9756C">
        <w:rPr>
          <w:i/>
          <w:noProof/>
          <w:lang w:val="en-US"/>
        </w:rPr>
        <w:t>Accounting and Human Information Processing: Theory and Applications</w:t>
      </w:r>
      <w:r w:rsidRPr="00B9756C">
        <w:rPr>
          <w:noProof/>
          <w:lang w:val="en-US"/>
        </w:rPr>
        <w:t>. Englewood Cliffs, N.J. : Prentice-Hall.</w:t>
      </w:r>
    </w:p>
    <w:p w:rsidR="00925CF8" w:rsidRDefault="00925CF8" w:rsidP="00925CF8">
      <w:pPr>
        <w:pStyle w:val="NormalWeb"/>
        <w:ind w:left="480" w:hanging="480"/>
        <w:jc w:val="both"/>
        <w:rPr>
          <w:noProof/>
          <w:lang w:val="en-US"/>
        </w:rPr>
      </w:pPr>
      <w:r w:rsidRPr="00E0785E">
        <w:rPr>
          <w:noProof/>
          <w:lang w:val="en-US"/>
        </w:rPr>
        <w:t xml:space="preserve">Ronen, J., Yaari, V., </w:t>
      </w:r>
      <w:r>
        <w:rPr>
          <w:noProof/>
          <w:lang w:val="en-US"/>
        </w:rPr>
        <w:t>(</w:t>
      </w:r>
      <w:r w:rsidRPr="00E0785E">
        <w:rPr>
          <w:noProof/>
          <w:lang w:val="en-US"/>
        </w:rPr>
        <w:t>2008</w:t>
      </w:r>
      <w:r>
        <w:rPr>
          <w:noProof/>
          <w:lang w:val="en-US"/>
        </w:rPr>
        <w:t>)</w:t>
      </w:r>
      <w:r w:rsidRPr="00E0785E">
        <w:rPr>
          <w:noProof/>
          <w:lang w:val="en-US"/>
        </w:rPr>
        <w:t xml:space="preserve">. </w:t>
      </w:r>
      <w:r w:rsidRPr="009F4A06">
        <w:rPr>
          <w:i/>
          <w:noProof/>
          <w:lang w:val="en-US"/>
        </w:rPr>
        <w:t>Earnings Management: Emerging Insights in Theory, Practice and Research</w:t>
      </w:r>
      <w:r w:rsidRPr="00E0785E">
        <w:rPr>
          <w:noProof/>
          <w:lang w:val="en-US"/>
        </w:rPr>
        <w:t xml:space="preserve">. </w:t>
      </w:r>
      <w:r w:rsidRPr="009F4A06">
        <w:rPr>
          <w:noProof/>
          <w:lang w:val="en-US"/>
        </w:rPr>
        <w:t>Springer Series in Accounting Scholarship</w:t>
      </w:r>
      <w:r>
        <w:rPr>
          <w:noProof/>
          <w:lang w:val="en-US"/>
        </w:rPr>
        <w:t>.</w:t>
      </w:r>
    </w:p>
    <w:p w:rsidR="00925CF8" w:rsidRDefault="00925CF8" w:rsidP="00925CF8">
      <w:pPr>
        <w:pStyle w:val="NormalWeb"/>
        <w:ind w:left="480" w:hanging="480"/>
        <w:jc w:val="both"/>
        <w:rPr>
          <w:noProof/>
          <w:lang w:val="en-US"/>
        </w:rPr>
      </w:pPr>
      <w:r w:rsidRPr="00AE4930">
        <w:rPr>
          <w:noProof/>
          <w:lang w:val="en-US"/>
        </w:rPr>
        <w:t>Scott, W.</w:t>
      </w:r>
      <w:r>
        <w:rPr>
          <w:noProof/>
          <w:lang w:val="en-US"/>
        </w:rPr>
        <w:t xml:space="preserve"> </w:t>
      </w:r>
      <w:r w:rsidRPr="00AE4930">
        <w:rPr>
          <w:noProof/>
          <w:lang w:val="en-US"/>
        </w:rPr>
        <w:t xml:space="preserve">R. (2009), </w:t>
      </w:r>
      <w:r w:rsidRPr="009F4A06">
        <w:rPr>
          <w:i/>
          <w:noProof/>
          <w:lang w:val="en-US"/>
        </w:rPr>
        <w:t>Financial Accounting Theory, 5th edition</w:t>
      </w:r>
      <w:r>
        <w:rPr>
          <w:noProof/>
          <w:lang w:val="en-US"/>
        </w:rPr>
        <w:t xml:space="preserve">. Prentice Hall. </w:t>
      </w:r>
    </w:p>
    <w:p w:rsidR="00925CF8" w:rsidRDefault="00925CF8" w:rsidP="00925CF8">
      <w:pPr>
        <w:pStyle w:val="NormalWeb"/>
        <w:ind w:left="480" w:hanging="480"/>
        <w:jc w:val="both"/>
        <w:rPr>
          <w:noProof/>
          <w:lang w:val="en-US"/>
        </w:rPr>
      </w:pPr>
      <w:r w:rsidRPr="00E0785E">
        <w:rPr>
          <w:noProof/>
          <w:lang w:val="en-US"/>
        </w:rPr>
        <w:t>Watts</w:t>
      </w:r>
      <w:r>
        <w:rPr>
          <w:noProof/>
          <w:lang w:val="en-US"/>
        </w:rPr>
        <w:t xml:space="preserve">, R., </w:t>
      </w:r>
      <w:r w:rsidRPr="00E0785E">
        <w:rPr>
          <w:noProof/>
          <w:lang w:val="en-US"/>
        </w:rPr>
        <w:t>&amp;</w:t>
      </w:r>
      <w:r>
        <w:rPr>
          <w:noProof/>
          <w:lang w:val="en-US"/>
        </w:rPr>
        <w:t xml:space="preserve"> </w:t>
      </w:r>
      <w:r w:rsidRPr="00E0785E">
        <w:rPr>
          <w:noProof/>
          <w:lang w:val="en-US"/>
        </w:rPr>
        <w:t xml:space="preserve">Zimmerman J. L. </w:t>
      </w:r>
      <w:r>
        <w:rPr>
          <w:noProof/>
          <w:lang w:val="en-US"/>
        </w:rPr>
        <w:t>(</w:t>
      </w:r>
      <w:r w:rsidRPr="00E0785E">
        <w:rPr>
          <w:noProof/>
          <w:lang w:val="en-US"/>
        </w:rPr>
        <w:t>1986</w:t>
      </w:r>
      <w:r>
        <w:rPr>
          <w:noProof/>
          <w:lang w:val="en-US"/>
        </w:rPr>
        <w:t>)</w:t>
      </w:r>
      <w:r w:rsidRPr="00E0785E">
        <w:rPr>
          <w:noProof/>
          <w:lang w:val="en-US"/>
        </w:rPr>
        <w:t xml:space="preserve">. </w:t>
      </w:r>
      <w:r w:rsidRPr="009F4A06">
        <w:rPr>
          <w:i/>
          <w:noProof/>
          <w:lang w:val="en-US"/>
        </w:rPr>
        <w:t>Positive accounting theory</w:t>
      </w:r>
      <w:r w:rsidRPr="00E0785E">
        <w:rPr>
          <w:noProof/>
          <w:lang w:val="en-US"/>
        </w:rPr>
        <w:t>. ISBN: 0-13-686171-7 01.</w:t>
      </w:r>
    </w:p>
    <w:p w:rsidR="00925CF8" w:rsidRDefault="00925CF8" w:rsidP="00925CF8">
      <w:pPr>
        <w:pStyle w:val="NormalWeb"/>
        <w:ind w:left="480" w:hanging="480"/>
        <w:jc w:val="both"/>
        <w:rPr>
          <w:noProof/>
          <w:lang w:val="en-US"/>
        </w:rPr>
      </w:pPr>
      <w:r w:rsidRPr="00B9756C">
        <w:rPr>
          <w:noProof/>
          <w:lang w:val="en-US"/>
        </w:rPr>
        <w:t xml:space="preserve">Wooldridge, J. M. (2001), </w:t>
      </w:r>
      <w:r w:rsidRPr="00B9756C">
        <w:rPr>
          <w:i/>
          <w:noProof/>
          <w:lang w:val="en-US"/>
        </w:rPr>
        <w:t>Econometric Analysis of Cross Section and Panel Data</w:t>
      </w:r>
      <w:r w:rsidRPr="00B9756C">
        <w:rPr>
          <w:noProof/>
          <w:lang w:val="en-US"/>
        </w:rPr>
        <w:t>. The MIT Press.</w:t>
      </w:r>
    </w:p>
    <w:p w:rsidR="00925CF8" w:rsidRPr="00886DA2" w:rsidRDefault="00925CF8" w:rsidP="00DA1C70">
      <w:pPr>
        <w:pStyle w:val="NormalWeb"/>
        <w:ind w:left="480" w:hanging="480"/>
        <w:jc w:val="both"/>
        <w:rPr>
          <w:noProof/>
          <w:lang w:val="en-US"/>
        </w:rPr>
        <w:sectPr w:rsidR="00925CF8" w:rsidRPr="00886DA2">
          <w:pgSz w:w="12240" w:h="15840"/>
          <w:pgMar w:top="1440" w:right="1800" w:bottom="1440" w:left="1800" w:header="720" w:footer="720" w:gutter="0"/>
          <w:cols w:space="720"/>
          <w:docGrid w:linePitch="360"/>
        </w:sectPr>
      </w:pPr>
    </w:p>
    <w:p w:rsidR="00443250" w:rsidRPr="00160D17" w:rsidRDefault="00443250" w:rsidP="001F77E4">
      <w:pPr>
        <w:pStyle w:val="Heading6"/>
      </w:pPr>
      <w:r w:rsidRPr="00160D17">
        <w:lastRenderedPageBreak/>
        <w:t xml:space="preserve">Corporate Governance </w:t>
      </w:r>
    </w:p>
    <w:p w:rsidR="00443250" w:rsidRDefault="00443250" w:rsidP="00443250">
      <w:pPr>
        <w:pStyle w:val="Caption"/>
        <w:keepNext/>
      </w:pPr>
    </w:p>
    <w:tbl>
      <w:tblPr>
        <w:tblStyle w:val="TableGrid"/>
        <w:tblpPr w:leftFromText="141" w:rightFromText="141" w:vertAnchor="text" w:horzAnchor="margin" w:tblpXSpec="center" w:tblpY="-104"/>
        <w:tblW w:w="5000" w:type="pct"/>
        <w:tblLook w:val="04A0"/>
      </w:tblPr>
      <w:tblGrid>
        <w:gridCol w:w="2153"/>
        <w:gridCol w:w="2153"/>
        <w:gridCol w:w="2147"/>
        <w:gridCol w:w="2147"/>
        <w:gridCol w:w="2868"/>
        <w:gridCol w:w="2860"/>
      </w:tblGrid>
      <w:tr w:rsidR="00443250" w:rsidRPr="003C5640" w:rsidTr="009276A3">
        <w:trPr>
          <w:trHeight w:val="576"/>
        </w:trPr>
        <w:tc>
          <w:tcPr>
            <w:tcW w:w="751" w:type="pct"/>
            <w:vAlign w:val="center"/>
          </w:tcPr>
          <w:p w:rsidR="00443250" w:rsidRPr="003C5640" w:rsidRDefault="00443250" w:rsidP="00443250">
            <w:pPr>
              <w:spacing w:before="0" w:after="0" w:line="240" w:lineRule="auto"/>
              <w:jc w:val="center"/>
              <w:rPr>
                <w:rFonts w:cs="Times New Roman"/>
                <w:b/>
                <w:sz w:val="20"/>
                <w:szCs w:val="20"/>
              </w:rPr>
            </w:pPr>
            <w:r w:rsidRPr="003C5640">
              <w:rPr>
                <w:rFonts w:cs="Times New Roman"/>
                <w:b/>
                <w:sz w:val="20"/>
                <w:szCs w:val="20"/>
              </w:rPr>
              <w:t>Title</w:t>
            </w:r>
          </w:p>
        </w:tc>
        <w:tc>
          <w:tcPr>
            <w:tcW w:w="751" w:type="pct"/>
            <w:vAlign w:val="center"/>
          </w:tcPr>
          <w:p w:rsidR="00443250" w:rsidRPr="003C5640" w:rsidRDefault="00443250" w:rsidP="00443250">
            <w:pPr>
              <w:spacing w:before="0" w:after="0" w:line="240" w:lineRule="auto"/>
              <w:jc w:val="center"/>
              <w:rPr>
                <w:rFonts w:cs="Times New Roman"/>
                <w:b/>
                <w:sz w:val="20"/>
                <w:szCs w:val="20"/>
              </w:rPr>
            </w:pPr>
            <w:r w:rsidRPr="003C5640">
              <w:rPr>
                <w:rFonts w:cs="Times New Roman"/>
                <w:b/>
                <w:sz w:val="20"/>
                <w:szCs w:val="20"/>
              </w:rPr>
              <w:t>Author(s)</w:t>
            </w:r>
          </w:p>
        </w:tc>
        <w:tc>
          <w:tcPr>
            <w:tcW w:w="749" w:type="pct"/>
            <w:vAlign w:val="center"/>
          </w:tcPr>
          <w:p w:rsidR="00443250" w:rsidRPr="003C5640" w:rsidRDefault="00443250" w:rsidP="00443250">
            <w:pPr>
              <w:spacing w:before="0" w:after="0" w:line="240" w:lineRule="auto"/>
              <w:jc w:val="center"/>
              <w:rPr>
                <w:rFonts w:cs="Times New Roman"/>
                <w:b/>
                <w:sz w:val="20"/>
                <w:szCs w:val="20"/>
              </w:rPr>
            </w:pPr>
            <w:r w:rsidRPr="003C5640">
              <w:rPr>
                <w:rFonts w:cs="Times New Roman"/>
                <w:b/>
                <w:sz w:val="20"/>
                <w:szCs w:val="20"/>
              </w:rPr>
              <w:t>Object of this study</w:t>
            </w:r>
          </w:p>
        </w:tc>
        <w:tc>
          <w:tcPr>
            <w:tcW w:w="749" w:type="pct"/>
            <w:vAlign w:val="center"/>
          </w:tcPr>
          <w:p w:rsidR="00443250" w:rsidRPr="003C5640" w:rsidRDefault="00443250" w:rsidP="00443250">
            <w:pPr>
              <w:spacing w:before="0" w:after="0" w:line="240" w:lineRule="auto"/>
              <w:jc w:val="center"/>
              <w:rPr>
                <w:rFonts w:cs="Times New Roman"/>
                <w:b/>
                <w:sz w:val="20"/>
                <w:szCs w:val="20"/>
              </w:rPr>
            </w:pPr>
            <w:r w:rsidRPr="003C5640">
              <w:rPr>
                <w:rFonts w:cs="Times New Roman"/>
                <w:b/>
                <w:sz w:val="20"/>
                <w:szCs w:val="20"/>
              </w:rPr>
              <w:t>Sample</w:t>
            </w:r>
          </w:p>
        </w:tc>
        <w:tc>
          <w:tcPr>
            <w:tcW w:w="1001" w:type="pct"/>
            <w:vAlign w:val="center"/>
          </w:tcPr>
          <w:p w:rsidR="00443250" w:rsidRPr="003C5640" w:rsidRDefault="00443250" w:rsidP="00443250">
            <w:pPr>
              <w:spacing w:before="0" w:after="0" w:line="240" w:lineRule="auto"/>
              <w:jc w:val="center"/>
              <w:rPr>
                <w:rFonts w:cs="Times New Roman"/>
                <w:b/>
                <w:sz w:val="20"/>
                <w:szCs w:val="20"/>
              </w:rPr>
            </w:pPr>
            <w:r w:rsidRPr="003C5640">
              <w:rPr>
                <w:rFonts w:cs="Times New Roman"/>
                <w:b/>
                <w:sz w:val="20"/>
                <w:szCs w:val="20"/>
              </w:rPr>
              <w:t>Research  Methodology</w:t>
            </w:r>
          </w:p>
        </w:tc>
        <w:tc>
          <w:tcPr>
            <w:tcW w:w="998" w:type="pct"/>
            <w:vAlign w:val="center"/>
          </w:tcPr>
          <w:p w:rsidR="00443250" w:rsidRPr="003C5640" w:rsidRDefault="00443250" w:rsidP="00443250">
            <w:pPr>
              <w:spacing w:before="0" w:after="0" w:line="240" w:lineRule="auto"/>
              <w:jc w:val="center"/>
              <w:rPr>
                <w:rFonts w:cs="Times New Roman"/>
                <w:b/>
                <w:sz w:val="20"/>
                <w:szCs w:val="20"/>
              </w:rPr>
            </w:pPr>
            <w:r w:rsidRPr="003C5640">
              <w:rPr>
                <w:rFonts w:cs="Times New Roman"/>
                <w:b/>
                <w:sz w:val="20"/>
                <w:szCs w:val="20"/>
              </w:rPr>
              <w:t>Results</w:t>
            </w:r>
          </w:p>
        </w:tc>
      </w:tr>
      <w:tr w:rsidR="009276A3" w:rsidRPr="003C5640" w:rsidTr="009276A3">
        <w:trPr>
          <w:trHeight w:val="1440"/>
        </w:trPr>
        <w:tc>
          <w:tcPr>
            <w:tcW w:w="751" w:type="pct"/>
          </w:tcPr>
          <w:p w:rsidR="009276A3" w:rsidRPr="003C5640" w:rsidRDefault="000C53B5" w:rsidP="009276A3">
            <w:pPr>
              <w:spacing w:before="0" w:after="0" w:line="240" w:lineRule="auto"/>
              <w:jc w:val="left"/>
              <w:rPr>
                <w:rFonts w:cs="Times New Roman"/>
                <w:sz w:val="20"/>
                <w:szCs w:val="20"/>
              </w:rPr>
            </w:pPr>
            <w:r>
              <w:rPr>
                <w:rFonts w:cs="Times New Roman"/>
                <w:sz w:val="20"/>
                <w:szCs w:val="20"/>
              </w:rPr>
              <w:t>1</w:t>
            </w:r>
            <w:r w:rsidR="009276A3" w:rsidRPr="003C5640">
              <w:rPr>
                <w:rFonts w:cs="Times New Roman"/>
                <w:sz w:val="20"/>
                <w:szCs w:val="20"/>
              </w:rPr>
              <w:t>. The relation between firm-level corporate governance and market value: A study of India (2010)</w:t>
            </w:r>
          </w:p>
        </w:tc>
        <w:tc>
          <w:tcPr>
            <w:tcW w:w="751" w:type="pct"/>
          </w:tcPr>
          <w:p w:rsidR="009276A3" w:rsidRDefault="009276A3" w:rsidP="009276A3">
            <w:pPr>
              <w:spacing w:before="0" w:after="0" w:line="240" w:lineRule="auto"/>
              <w:jc w:val="left"/>
              <w:rPr>
                <w:rFonts w:cs="Times New Roman"/>
                <w:sz w:val="20"/>
                <w:szCs w:val="20"/>
              </w:rPr>
            </w:pPr>
            <w:r w:rsidRPr="003C5640">
              <w:rPr>
                <w:rFonts w:cs="Times New Roman"/>
                <w:sz w:val="20"/>
                <w:szCs w:val="20"/>
              </w:rPr>
              <w:t>Balasubramanian,</w:t>
            </w:r>
            <w:r>
              <w:rPr>
                <w:rFonts w:cs="Times New Roman"/>
                <w:sz w:val="20"/>
                <w:szCs w:val="20"/>
              </w:rPr>
              <w:t xml:space="preserve"> N.B.</w:t>
            </w:r>
          </w:p>
          <w:p w:rsidR="009276A3" w:rsidRDefault="009276A3" w:rsidP="009276A3">
            <w:pPr>
              <w:spacing w:before="0" w:after="0" w:line="240" w:lineRule="auto"/>
              <w:jc w:val="left"/>
              <w:rPr>
                <w:rFonts w:cs="Times New Roman"/>
                <w:sz w:val="20"/>
                <w:szCs w:val="20"/>
              </w:rPr>
            </w:pPr>
            <w:r w:rsidRPr="003C5640">
              <w:rPr>
                <w:rFonts w:cs="Times New Roman"/>
                <w:sz w:val="20"/>
                <w:szCs w:val="20"/>
              </w:rPr>
              <w:t>Black, Bernard S.</w:t>
            </w:r>
          </w:p>
          <w:p w:rsidR="009276A3" w:rsidRPr="003C5640" w:rsidRDefault="009276A3" w:rsidP="009276A3">
            <w:pPr>
              <w:spacing w:before="0" w:after="0" w:line="240" w:lineRule="auto"/>
              <w:jc w:val="left"/>
              <w:rPr>
                <w:rFonts w:cs="Times New Roman"/>
                <w:sz w:val="20"/>
                <w:szCs w:val="20"/>
              </w:rPr>
            </w:pPr>
            <w:r>
              <w:rPr>
                <w:rFonts w:cs="Times New Roman"/>
                <w:sz w:val="20"/>
                <w:szCs w:val="20"/>
              </w:rPr>
              <w:t xml:space="preserve">Khanna, </w:t>
            </w:r>
            <w:r w:rsidRPr="003C5640">
              <w:rPr>
                <w:rFonts w:cs="Times New Roman"/>
                <w:sz w:val="20"/>
                <w:szCs w:val="20"/>
              </w:rPr>
              <w:t>Vikramaditya</w:t>
            </w:r>
            <w:r>
              <w:rPr>
                <w:rFonts w:cs="Times New Roman"/>
                <w:sz w:val="20"/>
                <w:szCs w:val="20"/>
              </w:rPr>
              <w:t>. S.</w:t>
            </w:r>
          </w:p>
        </w:tc>
        <w:tc>
          <w:tcPr>
            <w:tcW w:w="749" w:type="pct"/>
          </w:tcPr>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Examine corporate governance and market value in India.</w:t>
            </w:r>
          </w:p>
        </w:tc>
        <w:tc>
          <w:tcPr>
            <w:tcW w:w="749" w:type="pct"/>
          </w:tcPr>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370</w:t>
            </w:r>
            <w:r w:rsidR="000428EC">
              <w:rPr>
                <w:rFonts w:cs="Times New Roman"/>
                <w:sz w:val="20"/>
                <w:szCs w:val="20"/>
              </w:rPr>
              <w:t xml:space="preserve"> listed firms of India in 2006.</w:t>
            </w:r>
          </w:p>
        </w:tc>
        <w:tc>
          <w:tcPr>
            <w:tcW w:w="1001" w:type="pct"/>
          </w:tcPr>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Built a broad Indian Corporate Governance Index (ICGI) for survey.</w:t>
            </w:r>
          </w:p>
        </w:tc>
        <w:tc>
          <w:tcPr>
            <w:tcW w:w="998" w:type="pct"/>
          </w:tcPr>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 xml:space="preserve">Significant association between ICGI and firm market value in India, especially, in big profitable firms. </w:t>
            </w:r>
          </w:p>
        </w:tc>
      </w:tr>
      <w:tr w:rsidR="009276A3" w:rsidRPr="003C5640" w:rsidTr="009276A3">
        <w:trPr>
          <w:trHeight w:val="1440"/>
        </w:trPr>
        <w:tc>
          <w:tcPr>
            <w:tcW w:w="751" w:type="pct"/>
          </w:tcPr>
          <w:p w:rsidR="009276A3" w:rsidRPr="003C5640" w:rsidRDefault="00865CBC" w:rsidP="009276A3">
            <w:pPr>
              <w:spacing w:before="0" w:after="0" w:line="240" w:lineRule="auto"/>
              <w:jc w:val="left"/>
              <w:rPr>
                <w:rFonts w:cs="Times New Roman"/>
                <w:bCs/>
                <w:sz w:val="20"/>
                <w:szCs w:val="20"/>
              </w:rPr>
            </w:pPr>
            <w:r>
              <w:rPr>
                <w:rFonts w:cs="Times New Roman"/>
                <w:sz w:val="20"/>
                <w:szCs w:val="20"/>
              </w:rPr>
              <w:t>2</w:t>
            </w:r>
            <w:r w:rsidR="009276A3" w:rsidRPr="003C5640">
              <w:rPr>
                <w:rFonts w:cs="Times New Roman"/>
                <w:sz w:val="20"/>
                <w:szCs w:val="20"/>
              </w:rPr>
              <w:t>. Corporate governance and the information environment: Evidence from Chinese stock markets (2014)</w:t>
            </w:r>
          </w:p>
          <w:p w:rsidR="009276A3" w:rsidRPr="003C5640" w:rsidRDefault="009276A3" w:rsidP="009276A3">
            <w:pPr>
              <w:spacing w:before="0" w:after="0" w:line="240" w:lineRule="auto"/>
              <w:jc w:val="left"/>
              <w:rPr>
                <w:rFonts w:cs="Times New Roman"/>
                <w:sz w:val="20"/>
                <w:szCs w:val="20"/>
              </w:rPr>
            </w:pPr>
          </w:p>
          <w:p w:rsidR="009276A3" w:rsidRPr="003C5640" w:rsidRDefault="009276A3" w:rsidP="009276A3">
            <w:pPr>
              <w:spacing w:before="0" w:after="0" w:line="240" w:lineRule="auto"/>
              <w:jc w:val="left"/>
              <w:rPr>
                <w:rFonts w:cs="Times New Roman"/>
                <w:sz w:val="20"/>
                <w:szCs w:val="20"/>
              </w:rPr>
            </w:pPr>
          </w:p>
          <w:p w:rsidR="009276A3" w:rsidRPr="003C5640" w:rsidRDefault="009276A3" w:rsidP="009276A3">
            <w:pPr>
              <w:spacing w:before="0" w:after="0" w:line="240" w:lineRule="auto"/>
              <w:jc w:val="left"/>
              <w:rPr>
                <w:rFonts w:cs="Times New Roman"/>
                <w:sz w:val="20"/>
                <w:szCs w:val="20"/>
              </w:rPr>
            </w:pPr>
          </w:p>
        </w:tc>
        <w:tc>
          <w:tcPr>
            <w:tcW w:w="751" w:type="pct"/>
          </w:tcPr>
          <w:p w:rsidR="009276A3" w:rsidRPr="00B9756C" w:rsidRDefault="009276A3" w:rsidP="009276A3">
            <w:pPr>
              <w:spacing w:before="0" w:after="0" w:line="240" w:lineRule="auto"/>
              <w:jc w:val="left"/>
              <w:rPr>
                <w:rFonts w:eastAsia="Times New Roman" w:cs="Times New Roman"/>
                <w:sz w:val="20"/>
                <w:szCs w:val="20"/>
                <w:lang w:val="nl-NL"/>
              </w:rPr>
            </w:pPr>
            <w:r w:rsidRPr="00B9756C">
              <w:rPr>
                <w:rFonts w:eastAsia="Times New Roman" w:cs="Times New Roman"/>
                <w:sz w:val="20"/>
                <w:szCs w:val="20"/>
                <w:lang w:val="nl-NL"/>
              </w:rPr>
              <w:t>Hass</w:t>
            </w:r>
            <w:r>
              <w:rPr>
                <w:rFonts w:eastAsia="Times New Roman" w:cs="Times New Roman"/>
                <w:sz w:val="20"/>
                <w:szCs w:val="20"/>
                <w:lang w:val="nl-NL"/>
              </w:rPr>
              <w:t>, Lars Helge.</w:t>
            </w:r>
          </w:p>
          <w:p w:rsidR="009276A3" w:rsidRPr="00B9756C" w:rsidRDefault="009276A3" w:rsidP="009276A3">
            <w:pPr>
              <w:spacing w:before="0" w:after="0" w:line="240" w:lineRule="auto"/>
              <w:jc w:val="left"/>
              <w:rPr>
                <w:rFonts w:eastAsia="Times New Roman" w:cs="Times New Roman"/>
                <w:sz w:val="20"/>
                <w:szCs w:val="20"/>
                <w:lang w:val="nl-NL"/>
              </w:rPr>
            </w:pPr>
            <w:r>
              <w:rPr>
                <w:rFonts w:eastAsia="Times New Roman" w:cs="Times New Roman"/>
                <w:sz w:val="20"/>
                <w:szCs w:val="20"/>
                <w:lang w:val="nl-NL"/>
              </w:rPr>
              <w:t>Vergauwe, Skrålan.</w:t>
            </w:r>
          </w:p>
          <w:p w:rsidR="009276A3" w:rsidRPr="003C5640" w:rsidRDefault="009276A3" w:rsidP="009276A3">
            <w:pPr>
              <w:spacing w:before="0" w:after="0" w:line="240" w:lineRule="auto"/>
              <w:jc w:val="left"/>
              <w:rPr>
                <w:rFonts w:cs="Times New Roman"/>
                <w:sz w:val="20"/>
                <w:szCs w:val="20"/>
              </w:rPr>
            </w:pPr>
            <w:r w:rsidRPr="003C5640">
              <w:rPr>
                <w:rFonts w:eastAsia="Times New Roman" w:cs="Times New Roman"/>
                <w:sz w:val="20"/>
                <w:szCs w:val="20"/>
              </w:rPr>
              <w:t>Zhang, Qiyu</w:t>
            </w:r>
            <w:r>
              <w:rPr>
                <w:rFonts w:eastAsia="Times New Roman" w:cs="Times New Roman"/>
                <w:sz w:val="20"/>
                <w:szCs w:val="20"/>
              </w:rPr>
              <w:t>.</w:t>
            </w:r>
          </w:p>
        </w:tc>
        <w:tc>
          <w:tcPr>
            <w:tcW w:w="749" w:type="pct"/>
          </w:tcPr>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Investigate the correlation between corporate governance and information environment.</w:t>
            </w:r>
          </w:p>
        </w:tc>
        <w:tc>
          <w:tcPr>
            <w:tcW w:w="749" w:type="pct"/>
          </w:tcPr>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 xml:space="preserve">2152 firms for  analyst following model, </w:t>
            </w:r>
          </w:p>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 xml:space="preserve">2176 firms for forecast accuracy model, </w:t>
            </w:r>
          </w:p>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1995 firms for forecast dispersion model,</w:t>
            </w:r>
          </w:p>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2134 firms for price time</w:t>
            </w:r>
            <w:r w:rsidR="000428EC">
              <w:rPr>
                <w:rFonts w:cs="Times New Roman"/>
                <w:sz w:val="20"/>
                <w:szCs w:val="20"/>
              </w:rPr>
              <w:t>liness model during 2003 to 2011.</w:t>
            </w:r>
          </w:p>
        </w:tc>
        <w:tc>
          <w:tcPr>
            <w:tcW w:w="1001" w:type="pct"/>
          </w:tcPr>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 xml:space="preserve">Build four models for regression; used pooled ordinary least squares (OLS) </w:t>
            </w:r>
            <w:r w:rsidR="000428EC" w:rsidRPr="003C5640">
              <w:rPr>
                <w:rFonts w:cs="Times New Roman"/>
                <w:sz w:val="20"/>
                <w:szCs w:val="20"/>
              </w:rPr>
              <w:t>method and fixed</w:t>
            </w:r>
            <w:r w:rsidRPr="003C5640">
              <w:rPr>
                <w:rFonts w:cs="Times New Roman"/>
                <w:sz w:val="20"/>
                <w:szCs w:val="20"/>
              </w:rPr>
              <w:t>-effects (FE) regressions</w:t>
            </w:r>
            <w:r w:rsidR="000428EC">
              <w:rPr>
                <w:rFonts w:cs="Times New Roman"/>
                <w:sz w:val="20"/>
                <w:szCs w:val="20"/>
              </w:rPr>
              <w:t>.</w:t>
            </w:r>
          </w:p>
        </w:tc>
        <w:tc>
          <w:tcPr>
            <w:tcW w:w="998" w:type="pct"/>
          </w:tcPr>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Firms with good corporate governance attract larger analyst followings and more information forecasts. Better governed firms tend to improve on the timeliness of bad news relative to good news.</w:t>
            </w:r>
          </w:p>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 xml:space="preserve"> </w:t>
            </w:r>
          </w:p>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Control variables: firm size, leverage and so on.</w:t>
            </w:r>
          </w:p>
        </w:tc>
      </w:tr>
      <w:tr w:rsidR="009276A3" w:rsidRPr="003C5640" w:rsidTr="009276A3">
        <w:trPr>
          <w:trHeight w:val="1872"/>
        </w:trPr>
        <w:tc>
          <w:tcPr>
            <w:tcW w:w="751" w:type="pct"/>
          </w:tcPr>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3. Corporate governance or globalization: What determines CEO compensation in China? (2007)</w:t>
            </w:r>
          </w:p>
        </w:tc>
        <w:tc>
          <w:tcPr>
            <w:tcW w:w="751" w:type="pct"/>
          </w:tcPr>
          <w:p w:rsidR="009276A3" w:rsidRPr="003C5640" w:rsidRDefault="009276A3" w:rsidP="009276A3">
            <w:pPr>
              <w:spacing w:before="0" w:after="0" w:line="240" w:lineRule="auto"/>
              <w:jc w:val="left"/>
              <w:rPr>
                <w:rFonts w:cs="Times New Roman"/>
                <w:sz w:val="20"/>
                <w:szCs w:val="20"/>
              </w:rPr>
            </w:pPr>
            <w:r>
              <w:rPr>
                <w:rFonts w:cs="Times New Roman"/>
                <w:sz w:val="20"/>
                <w:szCs w:val="20"/>
              </w:rPr>
              <w:t xml:space="preserve">Li, </w:t>
            </w:r>
            <w:r w:rsidRPr="003C5640">
              <w:rPr>
                <w:rFonts w:cs="Times New Roman"/>
                <w:sz w:val="20"/>
                <w:szCs w:val="20"/>
              </w:rPr>
              <w:t>Donghui</w:t>
            </w:r>
            <w:r>
              <w:rPr>
                <w:rFonts w:cs="Times New Roman"/>
                <w:sz w:val="20"/>
                <w:szCs w:val="20"/>
              </w:rPr>
              <w:t>.</w:t>
            </w:r>
          </w:p>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Moshirian,</w:t>
            </w:r>
            <w:r>
              <w:rPr>
                <w:rFonts w:cs="Times New Roman"/>
                <w:sz w:val="20"/>
                <w:szCs w:val="20"/>
              </w:rPr>
              <w:t xml:space="preserve"> </w:t>
            </w:r>
            <w:r w:rsidRPr="003C5640">
              <w:rPr>
                <w:rFonts w:cs="Times New Roman"/>
                <w:sz w:val="20"/>
                <w:szCs w:val="20"/>
              </w:rPr>
              <w:t>Fariborz</w:t>
            </w:r>
            <w:r>
              <w:rPr>
                <w:rFonts w:cs="Times New Roman"/>
                <w:sz w:val="20"/>
                <w:szCs w:val="20"/>
              </w:rPr>
              <w:t>.</w:t>
            </w:r>
          </w:p>
          <w:p w:rsidR="009276A3" w:rsidRDefault="009276A3" w:rsidP="009276A3">
            <w:pPr>
              <w:spacing w:before="0" w:after="0" w:line="240" w:lineRule="auto"/>
              <w:jc w:val="left"/>
              <w:rPr>
                <w:rFonts w:cs="Times New Roman"/>
                <w:sz w:val="20"/>
                <w:szCs w:val="20"/>
              </w:rPr>
            </w:pPr>
            <w:r>
              <w:rPr>
                <w:rFonts w:cs="Times New Roman"/>
                <w:sz w:val="20"/>
                <w:szCs w:val="20"/>
              </w:rPr>
              <w:t>Nguyen,</w:t>
            </w:r>
            <w:r w:rsidRPr="003C5640">
              <w:rPr>
                <w:rFonts w:cs="Times New Roman"/>
                <w:sz w:val="20"/>
                <w:szCs w:val="20"/>
              </w:rPr>
              <w:t xml:space="preserve"> Pascal</w:t>
            </w:r>
            <w:r>
              <w:rPr>
                <w:rFonts w:cs="Times New Roman"/>
                <w:sz w:val="20"/>
                <w:szCs w:val="20"/>
              </w:rPr>
              <w:t>.</w:t>
            </w:r>
          </w:p>
          <w:p w:rsidR="009276A3" w:rsidRPr="003C5640" w:rsidRDefault="009276A3" w:rsidP="009276A3">
            <w:pPr>
              <w:spacing w:before="0" w:after="0" w:line="240" w:lineRule="auto"/>
              <w:jc w:val="left"/>
              <w:rPr>
                <w:rFonts w:cs="Times New Roman"/>
                <w:sz w:val="20"/>
                <w:szCs w:val="20"/>
              </w:rPr>
            </w:pPr>
            <w:r>
              <w:rPr>
                <w:rFonts w:cs="Times New Roman"/>
                <w:sz w:val="20"/>
                <w:szCs w:val="20"/>
              </w:rPr>
              <w:t>Tan, L.</w:t>
            </w:r>
          </w:p>
        </w:tc>
        <w:tc>
          <w:tcPr>
            <w:tcW w:w="749" w:type="pct"/>
          </w:tcPr>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Investigate the correlation between corporate governance structure and CEO compensation based on China perspective.</w:t>
            </w:r>
          </w:p>
        </w:tc>
        <w:tc>
          <w:tcPr>
            <w:tcW w:w="749" w:type="pct"/>
          </w:tcPr>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206 firms listed on the Shanghai Stock Exchange (SHSE) and the Shenzhen Stock Exchange (SZSE) during 2000-2001</w:t>
            </w:r>
            <w:r w:rsidR="000428EC">
              <w:rPr>
                <w:rFonts w:cs="Times New Roman"/>
                <w:sz w:val="20"/>
                <w:szCs w:val="20"/>
              </w:rPr>
              <w:t>.</w:t>
            </w:r>
          </w:p>
        </w:tc>
        <w:tc>
          <w:tcPr>
            <w:tcW w:w="1001" w:type="pct"/>
          </w:tcPr>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 xml:space="preserve">Constructed three models to examine CEO compensation and corporate governance, including control variables, industry dummy and time dummy; provided OLS regression and </w:t>
            </w:r>
            <w:r w:rsidRPr="003C5640">
              <w:rPr>
                <w:rFonts w:eastAsia="Arial Unicode MS" w:cs="Times New Roman"/>
                <w:sz w:val="20"/>
                <w:szCs w:val="20"/>
                <w:shd w:val="clear" w:color="auto" w:fill="FFFFFF"/>
              </w:rPr>
              <w:t>reweighted</w:t>
            </w:r>
            <w:r w:rsidRPr="003C5640">
              <w:rPr>
                <w:rFonts w:cs="Times New Roman"/>
                <w:sz w:val="20"/>
                <w:szCs w:val="20"/>
              </w:rPr>
              <w:t xml:space="preserve"> least-squares regression.</w:t>
            </w:r>
          </w:p>
        </w:tc>
        <w:tc>
          <w:tcPr>
            <w:tcW w:w="998" w:type="pct"/>
          </w:tcPr>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A little evidence on the relationship between CEO compensation and corporate governance.</w:t>
            </w:r>
          </w:p>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Control variables: CEO age, firm size, and tenure and growth rate.</w:t>
            </w:r>
          </w:p>
        </w:tc>
      </w:tr>
      <w:tr w:rsidR="009276A3" w:rsidRPr="003C5640" w:rsidTr="009276A3">
        <w:trPr>
          <w:trHeight w:val="1955"/>
        </w:trPr>
        <w:tc>
          <w:tcPr>
            <w:tcW w:w="751" w:type="pct"/>
          </w:tcPr>
          <w:p w:rsidR="009276A3" w:rsidRPr="003C5640" w:rsidRDefault="00865CBC" w:rsidP="009276A3">
            <w:pPr>
              <w:spacing w:before="0" w:after="0" w:line="240" w:lineRule="auto"/>
              <w:jc w:val="left"/>
              <w:rPr>
                <w:rFonts w:cs="Times New Roman"/>
                <w:sz w:val="20"/>
                <w:szCs w:val="20"/>
              </w:rPr>
            </w:pPr>
            <w:r>
              <w:rPr>
                <w:rFonts w:cs="Times New Roman"/>
                <w:bCs/>
                <w:sz w:val="20"/>
                <w:szCs w:val="20"/>
              </w:rPr>
              <w:t>4</w:t>
            </w:r>
            <w:r w:rsidR="009276A3" w:rsidRPr="003C5640">
              <w:rPr>
                <w:rFonts w:cs="Times New Roman"/>
                <w:bCs/>
                <w:sz w:val="20"/>
                <w:szCs w:val="20"/>
              </w:rPr>
              <w:t>. The effect of corporate governance on stock liquidity: The case of Thailand (2014)</w:t>
            </w:r>
          </w:p>
        </w:tc>
        <w:tc>
          <w:tcPr>
            <w:tcW w:w="751" w:type="pct"/>
          </w:tcPr>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Prommin, Panu</w:t>
            </w:r>
          </w:p>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Jumreornvong, Seksak</w:t>
            </w:r>
          </w:p>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Jiraporn</w:t>
            </w:r>
            <w:r>
              <w:rPr>
                <w:rFonts w:cs="Times New Roman"/>
                <w:sz w:val="20"/>
                <w:szCs w:val="20"/>
              </w:rPr>
              <w:t xml:space="preserve">, </w:t>
            </w:r>
            <w:r w:rsidRPr="003C5640">
              <w:rPr>
                <w:rFonts w:cs="Times New Roman"/>
                <w:sz w:val="20"/>
                <w:szCs w:val="20"/>
              </w:rPr>
              <w:t>Pornsit</w:t>
            </w:r>
          </w:p>
        </w:tc>
        <w:tc>
          <w:tcPr>
            <w:tcW w:w="749" w:type="pct"/>
          </w:tcPr>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Investigate the effect of corporate governance on equity liquidity in Thailand.</w:t>
            </w:r>
          </w:p>
        </w:tc>
        <w:tc>
          <w:tcPr>
            <w:tcW w:w="749" w:type="pct"/>
          </w:tcPr>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100 listed firms on the Stock Exchange of Thailand during 2006-2009</w:t>
            </w:r>
            <w:r w:rsidR="000428EC">
              <w:rPr>
                <w:rFonts w:cs="Times New Roman"/>
                <w:sz w:val="20"/>
                <w:szCs w:val="20"/>
              </w:rPr>
              <w:t>.</w:t>
            </w:r>
          </w:p>
        </w:tc>
        <w:tc>
          <w:tcPr>
            <w:tcW w:w="1001" w:type="pct"/>
          </w:tcPr>
          <w:p w:rsidR="009276A3" w:rsidRPr="003C5640" w:rsidRDefault="009276A3" w:rsidP="009276A3">
            <w:pPr>
              <w:spacing w:before="0" w:after="0" w:line="240" w:lineRule="auto"/>
              <w:jc w:val="left"/>
              <w:rPr>
                <w:rFonts w:cs="Times New Roman"/>
                <w:sz w:val="20"/>
                <w:szCs w:val="20"/>
              </w:rPr>
            </w:pPr>
            <w:r w:rsidRPr="003C5640">
              <w:rPr>
                <w:rFonts w:eastAsia="Arial Unicode MS" w:cs="Times New Roman"/>
                <w:sz w:val="20"/>
                <w:szCs w:val="20"/>
                <w:shd w:val="clear" w:color="auto" w:fill="FFFFFF"/>
              </w:rPr>
              <w:t>Built a corporate governance index; employed Amihud estimate (ILLIQ), turnover, and liquidity ratio to measure liquidity.</w:t>
            </w:r>
          </w:p>
        </w:tc>
        <w:tc>
          <w:tcPr>
            <w:tcW w:w="998" w:type="pct"/>
          </w:tcPr>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Positive relationship between corporate governance and liquidity, even controlling endogeneity.</w:t>
            </w:r>
          </w:p>
          <w:p w:rsidR="009276A3" w:rsidRPr="003C5640" w:rsidRDefault="009276A3" w:rsidP="009276A3">
            <w:pPr>
              <w:spacing w:before="0" w:after="0" w:line="240" w:lineRule="auto"/>
              <w:jc w:val="left"/>
              <w:rPr>
                <w:rFonts w:cs="Times New Roman"/>
                <w:sz w:val="20"/>
                <w:szCs w:val="20"/>
              </w:rPr>
            </w:pPr>
            <w:r w:rsidRPr="003C5640">
              <w:rPr>
                <w:rFonts w:cs="Times New Roman"/>
                <w:sz w:val="20"/>
                <w:szCs w:val="20"/>
              </w:rPr>
              <w:t>control variables: firm size, leverage</w:t>
            </w:r>
          </w:p>
        </w:tc>
      </w:tr>
    </w:tbl>
    <w:p w:rsidR="00443250" w:rsidRPr="00185D29" w:rsidRDefault="00443250" w:rsidP="00443250">
      <w:pPr>
        <w:rPr>
          <w:rFonts w:cs="Times New Roman"/>
          <w:sz w:val="20"/>
          <w:szCs w:val="20"/>
        </w:rPr>
      </w:pPr>
    </w:p>
    <w:p w:rsidR="00443250" w:rsidRPr="00160D17" w:rsidRDefault="00A469FD" w:rsidP="001F77E4">
      <w:pPr>
        <w:pStyle w:val="Heading6"/>
      </w:pPr>
      <w:r>
        <w:lastRenderedPageBreak/>
        <w:t>Earnings M</w:t>
      </w:r>
      <w:r w:rsidR="00443250" w:rsidRPr="00160D17">
        <w:t>anagement</w:t>
      </w:r>
    </w:p>
    <w:p w:rsidR="00443250" w:rsidRPr="00DB3C2B" w:rsidRDefault="00443250" w:rsidP="00443250"/>
    <w:tbl>
      <w:tblPr>
        <w:tblStyle w:val="TableGrid"/>
        <w:tblpPr w:leftFromText="141" w:rightFromText="141" w:vertAnchor="text" w:horzAnchor="margin" w:tblpXSpec="center" w:tblpY="-104"/>
        <w:tblW w:w="5000" w:type="pct"/>
        <w:tblLook w:val="04A0"/>
      </w:tblPr>
      <w:tblGrid>
        <w:gridCol w:w="2149"/>
        <w:gridCol w:w="2149"/>
        <w:gridCol w:w="2149"/>
        <w:gridCol w:w="2149"/>
        <w:gridCol w:w="2866"/>
        <w:gridCol w:w="2866"/>
      </w:tblGrid>
      <w:tr w:rsidR="00443250" w:rsidRPr="003C5640" w:rsidTr="00443250">
        <w:trPr>
          <w:trHeight w:val="620"/>
        </w:trPr>
        <w:tc>
          <w:tcPr>
            <w:tcW w:w="750" w:type="pct"/>
            <w:vAlign w:val="center"/>
          </w:tcPr>
          <w:p w:rsidR="00443250" w:rsidRPr="003C5640" w:rsidRDefault="00443250" w:rsidP="00443250">
            <w:pPr>
              <w:spacing w:before="0" w:after="0" w:line="240" w:lineRule="auto"/>
              <w:jc w:val="center"/>
              <w:rPr>
                <w:rFonts w:cs="Times New Roman"/>
                <w:b/>
                <w:sz w:val="20"/>
                <w:szCs w:val="20"/>
              </w:rPr>
            </w:pPr>
            <w:r w:rsidRPr="003C5640">
              <w:rPr>
                <w:rFonts w:cs="Times New Roman"/>
                <w:b/>
                <w:sz w:val="20"/>
                <w:szCs w:val="20"/>
              </w:rPr>
              <w:t>Title</w:t>
            </w:r>
          </w:p>
        </w:tc>
        <w:tc>
          <w:tcPr>
            <w:tcW w:w="750" w:type="pct"/>
            <w:vAlign w:val="center"/>
          </w:tcPr>
          <w:p w:rsidR="00443250" w:rsidRPr="003C5640" w:rsidRDefault="00443250" w:rsidP="00443250">
            <w:pPr>
              <w:spacing w:before="0" w:after="0" w:line="240" w:lineRule="auto"/>
              <w:jc w:val="center"/>
              <w:rPr>
                <w:rFonts w:cs="Times New Roman"/>
                <w:b/>
                <w:sz w:val="20"/>
                <w:szCs w:val="20"/>
              </w:rPr>
            </w:pPr>
            <w:r w:rsidRPr="003C5640">
              <w:rPr>
                <w:rFonts w:cs="Times New Roman"/>
                <w:b/>
                <w:sz w:val="20"/>
                <w:szCs w:val="20"/>
              </w:rPr>
              <w:t>Author(s)</w:t>
            </w:r>
          </w:p>
        </w:tc>
        <w:tc>
          <w:tcPr>
            <w:tcW w:w="750" w:type="pct"/>
            <w:vAlign w:val="center"/>
          </w:tcPr>
          <w:p w:rsidR="00443250" w:rsidRPr="003C5640" w:rsidRDefault="00443250" w:rsidP="00443250">
            <w:pPr>
              <w:spacing w:before="0" w:after="0" w:line="240" w:lineRule="auto"/>
              <w:jc w:val="center"/>
              <w:rPr>
                <w:rFonts w:cs="Times New Roman"/>
                <w:b/>
                <w:sz w:val="20"/>
                <w:szCs w:val="20"/>
              </w:rPr>
            </w:pPr>
            <w:r w:rsidRPr="003C5640">
              <w:rPr>
                <w:rFonts w:cs="Times New Roman"/>
                <w:b/>
                <w:sz w:val="20"/>
                <w:szCs w:val="20"/>
              </w:rPr>
              <w:t>Object of this study</w:t>
            </w:r>
          </w:p>
        </w:tc>
        <w:tc>
          <w:tcPr>
            <w:tcW w:w="750" w:type="pct"/>
            <w:vAlign w:val="center"/>
          </w:tcPr>
          <w:p w:rsidR="00443250" w:rsidRPr="003C5640" w:rsidRDefault="00443250" w:rsidP="00443250">
            <w:pPr>
              <w:spacing w:before="0" w:after="0" w:line="240" w:lineRule="auto"/>
              <w:jc w:val="center"/>
              <w:rPr>
                <w:rFonts w:cs="Times New Roman"/>
                <w:b/>
                <w:sz w:val="20"/>
                <w:szCs w:val="20"/>
              </w:rPr>
            </w:pPr>
            <w:r w:rsidRPr="003C5640">
              <w:rPr>
                <w:rFonts w:cs="Times New Roman"/>
                <w:b/>
                <w:sz w:val="20"/>
                <w:szCs w:val="20"/>
              </w:rPr>
              <w:t>Sample</w:t>
            </w:r>
          </w:p>
        </w:tc>
        <w:tc>
          <w:tcPr>
            <w:tcW w:w="1000" w:type="pct"/>
            <w:vAlign w:val="center"/>
          </w:tcPr>
          <w:p w:rsidR="00443250" w:rsidRPr="003C5640" w:rsidRDefault="00443250" w:rsidP="00443250">
            <w:pPr>
              <w:spacing w:before="0" w:after="0" w:line="240" w:lineRule="auto"/>
              <w:jc w:val="center"/>
              <w:rPr>
                <w:rFonts w:cs="Times New Roman"/>
                <w:b/>
                <w:sz w:val="20"/>
                <w:szCs w:val="20"/>
              </w:rPr>
            </w:pPr>
            <w:r w:rsidRPr="003C5640">
              <w:rPr>
                <w:rFonts w:cs="Times New Roman"/>
                <w:b/>
                <w:sz w:val="20"/>
                <w:szCs w:val="20"/>
              </w:rPr>
              <w:t>Research  Methodology</w:t>
            </w:r>
          </w:p>
        </w:tc>
        <w:tc>
          <w:tcPr>
            <w:tcW w:w="1000" w:type="pct"/>
            <w:vAlign w:val="center"/>
          </w:tcPr>
          <w:p w:rsidR="00443250" w:rsidRPr="003C5640" w:rsidRDefault="00443250" w:rsidP="00443250">
            <w:pPr>
              <w:spacing w:before="0" w:after="0" w:line="240" w:lineRule="auto"/>
              <w:jc w:val="center"/>
              <w:rPr>
                <w:rFonts w:cs="Times New Roman"/>
                <w:b/>
                <w:sz w:val="20"/>
                <w:szCs w:val="20"/>
              </w:rPr>
            </w:pPr>
            <w:r w:rsidRPr="003C5640">
              <w:rPr>
                <w:rFonts w:cs="Times New Roman"/>
                <w:b/>
                <w:sz w:val="20"/>
                <w:szCs w:val="20"/>
              </w:rPr>
              <w:t>Results</w:t>
            </w:r>
          </w:p>
        </w:tc>
      </w:tr>
      <w:tr w:rsidR="00AB54B5" w:rsidRPr="003C5640" w:rsidTr="00443250">
        <w:trPr>
          <w:trHeight w:val="2304"/>
        </w:trPr>
        <w:tc>
          <w:tcPr>
            <w:tcW w:w="750" w:type="pct"/>
          </w:tcPr>
          <w:p w:rsidR="00AB54B5" w:rsidRPr="003C5640" w:rsidRDefault="00F17565" w:rsidP="00AB54B5">
            <w:pPr>
              <w:spacing w:before="0" w:after="0" w:line="240" w:lineRule="auto"/>
              <w:jc w:val="left"/>
              <w:rPr>
                <w:rFonts w:cs="Times New Roman"/>
                <w:sz w:val="20"/>
                <w:szCs w:val="20"/>
              </w:rPr>
            </w:pPr>
            <w:r>
              <w:rPr>
                <w:rFonts w:cs="Times New Roman"/>
                <w:sz w:val="20"/>
                <w:szCs w:val="20"/>
              </w:rPr>
              <w:t>1</w:t>
            </w:r>
            <w:r w:rsidR="00AB54B5" w:rsidRPr="003C5640">
              <w:rPr>
                <w:rFonts w:cs="Times New Roman"/>
                <w:sz w:val="20"/>
                <w:szCs w:val="20"/>
              </w:rPr>
              <w:t>. Does the Threat of Litigation Explain Insider Selling and Earnings Management in Distressed Firms (2005)</w:t>
            </w:r>
          </w:p>
        </w:tc>
        <w:tc>
          <w:tcPr>
            <w:tcW w:w="750" w:type="pct"/>
          </w:tcPr>
          <w:p w:rsidR="00AB54B5" w:rsidRPr="003C5640" w:rsidRDefault="00AB54B5" w:rsidP="00AB54B5">
            <w:pPr>
              <w:spacing w:before="0" w:after="0" w:line="240" w:lineRule="auto"/>
              <w:jc w:val="left"/>
              <w:rPr>
                <w:rFonts w:eastAsia="Times New Roman" w:cs="Times New Roman"/>
                <w:sz w:val="20"/>
                <w:szCs w:val="20"/>
              </w:rPr>
            </w:pPr>
            <w:r>
              <w:rPr>
                <w:rFonts w:eastAsia="Times New Roman" w:cs="Times New Roman"/>
                <w:sz w:val="20"/>
                <w:szCs w:val="20"/>
              </w:rPr>
              <w:t>Beneish, Messod, D.</w:t>
            </w:r>
          </w:p>
          <w:p w:rsidR="00AB54B5" w:rsidRPr="003C5640" w:rsidRDefault="00AB54B5" w:rsidP="00AB54B5">
            <w:pPr>
              <w:spacing w:before="0" w:after="0" w:line="240" w:lineRule="auto"/>
              <w:jc w:val="left"/>
              <w:rPr>
                <w:rFonts w:eastAsia="Times New Roman" w:cs="Times New Roman"/>
                <w:sz w:val="20"/>
                <w:szCs w:val="20"/>
              </w:rPr>
            </w:pPr>
            <w:r>
              <w:rPr>
                <w:rFonts w:eastAsia="Times New Roman" w:cs="Times New Roman"/>
                <w:sz w:val="20"/>
                <w:szCs w:val="20"/>
              </w:rPr>
              <w:t>Press, Eric, G.</w:t>
            </w:r>
          </w:p>
          <w:p w:rsidR="00AB54B5" w:rsidRPr="003C5640" w:rsidRDefault="00AB54B5" w:rsidP="00AB54B5">
            <w:pPr>
              <w:spacing w:before="0" w:after="0" w:line="240" w:lineRule="auto"/>
              <w:jc w:val="left"/>
              <w:rPr>
                <w:rFonts w:cs="Times New Roman"/>
                <w:sz w:val="20"/>
                <w:szCs w:val="20"/>
              </w:rPr>
            </w:pPr>
            <w:r w:rsidRPr="003C5640">
              <w:rPr>
                <w:rFonts w:eastAsia="Times New Roman" w:cs="Times New Roman"/>
                <w:sz w:val="20"/>
                <w:szCs w:val="20"/>
              </w:rPr>
              <w:t>Vargus, Mark E</w:t>
            </w:r>
            <w:r>
              <w:rPr>
                <w:rFonts w:eastAsia="Times New Roman" w:cs="Times New Roman"/>
                <w:sz w:val="20"/>
                <w:szCs w:val="20"/>
              </w:rPr>
              <w:t>.</w:t>
            </w:r>
          </w:p>
        </w:tc>
        <w:tc>
          <w:tcPr>
            <w:tcW w:w="750"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Investigate whether threat of litigation has an effect on management accounting choice and trading choice.</w:t>
            </w:r>
          </w:p>
        </w:tc>
        <w:tc>
          <w:tcPr>
            <w:tcW w:w="750" w:type="pct"/>
          </w:tcPr>
          <w:p w:rsidR="00AB54B5" w:rsidRPr="003C5640" w:rsidRDefault="00AB54B5" w:rsidP="00AB54B5">
            <w:pPr>
              <w:autoSpaceDE w:val="0"/>
              <w:autoSpaceDN w:val="0"/>
              <w:adjustRightInd w:val="0"/>
              <w:spacing w:before="0" w:after="0" w:line="240" w:lineRule="auto"/>
              <w:jc w:val="left"/>
              <w:rPr>
                <w:rFonts w:cs="Times New Roman"/>
                <w:sz w:val="20"/>
                <w:szCs w:val="20"/>
              </w:rPr>
            </w:pPr>
            <w:r w:rsidRPr="003C5640">
              <w:rPr>
                <w:rFonts w:cs="Times New Roman"/>
                <w:sz w:val="20"/>
                <w:szCs w:val="20"/>
              </w:rPr>
              <w:t>462 firms with financial problem during 1983-1997, 102 firms from NYSE, 122 firms from American Stock Exchange, and 238 firms from NASDAQ.</w:t>
            </w:r>
          </w:p>
        </w:tc>
        <w:tc>
          <w:tcPr>
            <w:tcW w:w="1000"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OLS regressions, two-stage estimation of models for controlling endogeneity.</w:t>
            </w:r>
          </w:p>
        </w:tc>
        <w:tc>
          <w:tcPr>
            <w:tcW w:w="1000"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Insider trading has a relationship to upward earnings management. Managers are more likely to do income increasing earnings management.</w:t>
            </w:r>
          </w:p>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Control variables: firm size and</w:t>
            </w:r>
            <w:r w:rsidRPr="003C5640">
              <w:rPr>
                <w:rFonts w:ascii="TimesNewRomanPSMT" w:hAnsi="TimesNewRomanPSMT" w:cs="TimesNewRomanPSMT"/>
                <w:sz w:val="20"/>
                <w:szCs w:val="20"/>
              </w:rPr>
              <w:t xml:space="preserve"> </w:t>
            </w:r>
            <w:r w:rsidRPr="003C5640">
              <w:rPr>
                <w:rFonts w:cs="Times New Roman"/>
                <w:sz w:val="20"/>
                <w:szCs w:val="20"/>
              </w:rPr>
              <w:t>market-to-book ratio.</w:t>
            </w:r>
          </w:p>
        </w:tc>
      </w:tr>
      <w:tr w:rsidR="00AB54B5" w:rsidRPr="003C5640" w:rsidTr="00443250">
        <w:trPr>
          <w:trHeight w:val="1584"/>
        </w:trPr>
        <w:tc>
          <w:tcPr>
            <w:tcW w:w="750" w:type="pct"/>
          </w:tcPr>
          <w:p w:rsidR="00AB54B5" w:rsidRPr="003C5640" w:rsidRDefault="00696B88" w:rsidP="00AB54B5">
            <w:pPr>
              <w:spacing w:before="0" w:after="0" w:line="240" w:lineRule="auto"/>
              <w:jc w:val="left"/>
              <w:rPr>
                <w:rFonts w:cs="Times New Roman"/>
                <w:sz w:val="20"/>
                <w:szCs w:val="20"/>
              </w:rPr>
            </w:pPr>
            <w:r>
              <w:rPr>
                <w:rFonts w:cs="Times New Roman"/>
                <w:sz w:val="20"/>
                <w:szCs w:val="20"/>
              </w:rPr>
              <w:t>2</w:t>
            </w:r>
            <w:r w:rsidR="00AB54B5" w:rsidRPr="003C5640">
              <w:rPr>
                <w:rFonts w:cs="Times New Roman"/>
                <w:sz w:val="20"/>
                <w:szCs w:val="20"/>
              </w:rPr>
              <w:t>. Earnings Management Types and Motivation: A Study in Taiwan (2010)</w:t>
            </w:r>
          </w:p>
        </w:tc>
        <w:tc>
          <w:tcPr>
            <w:tcW w:w="750" w:type="pct"/>
          </w:tcPr>
          <w:p w:rsidR="00AB54B5" w:rsidRPr="003C5640" w:rsidRDefault="00AB54B5" w:rsidP="00AB54B5">
            <w:pPr>
              <w:spacing w:before="0" w:after="0" w:line="240" w:lineRule="auto"/>
              <w:jc w:val="left"/>
              <w:rPr>
                <w:rFonts w:eastAsia="Times New Roman" w:cs="Times New Roman"/>
                <w:sz w:val="20"/>
                <w:szCs w:val="20"/>
              </w:rPr>
            </w:pPr>
            <w:r w:rsidRPr="003C5640">
              <w:rPr>
                <w:rFonts w:eastAsia="Times New Roman" w:cs="Times New Roman"/>
                <w:sz w:val="20"/>
                <w:szCs w:val="20"/>
              </w:rPr>
              <w:t>Chen, Ming-Chia,</w:t>
            </w:r>
          </w:p>
          <w:p w:rsidR="00AB54B5" w:rsidRPr="003C5640" w:rsidRDefault="00AB54B5" w:rsidP="00AB54B5">
            <w:pPr>
              <w:spacing w:before="0" w:after="0" w:line="240" w:lineRule="auto"/>
              <w:jc w:val="left"/>
              <w:rPr>
                <w:rFonts w:cs="Times New Roman"/>
                <w:sz w:val="20"/>
                <w:szCs w:val="20"/>
              </w:rPr>
            </w:pPr>
            <w:r w:rsidRPr="003C5640">
              <w:rPr>
                <w:rFonts w:eastAsia="Times New Roman" w:cs="Times New Roman"/>
                <w:sz w:val="20"/>
                <w:szCs w:val="20"/>
              </w:rPr>
              <w:t>Tsai, Yuan-Cheng.</w:t>
            </w:r>
          </w:p>
        </w:tc>
        <w:tc>
          <w:tcPr>
            <w:tcW w:w="750"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Examine the types of earnings management behaviors and investigate the relationship between motivations and earnings management.</w:t>
            </w:r>
          </w:p>
        </w:tc>
        <w:tc>
          <w:tcPr>
            <w:tcW w:w="750"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902 listed companies from Taiwan’s Over the Counter (OTC) market and Taiwan Stock Exchange during 2005-2007.</w:t>
            </w:r>
          </w:p>
        </w:tc>
        <w:tc>
          <w:tcPr>
            <w:tcW w:w="1000"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Made a questionnaire survey to financial managers and auditors of listed firms.</w:t>
            </w:r>
          </w:p>
        </w:tc>
        <w:tc>
          <w:tcPr>
            <w:tcW w:w="1000"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 xml:space="preserve">Two types of earnings </w:t>
            </w:r>
            <w:r>
              <w:rPr>
                <w:rFonts w:cs="Times New Roman"/>
                <w:sz w:val="20"/>
                <w:szCs w:val="20"/>
              </w:rPr>
              <w:t>m</w:t>
            </w:r>
            <w:r w:rsidRPr="003C5640">
              <w:rPr>
                <w:rFonts w:cs="Times New Roman"/>
                <w:sz w:val="20"/>
                <w:szCs w:val="20"/>
              </w:rPr>
              <w:t>anagement (production/distribution manipulation and discretionary accruals manipulation).</w:t>
            </w:r>
          </w:p>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Three motivations: altruistic motivation, speculative motivation and pressure from affiliated parties.</w:t>
            </w:r>
          </w:p>
        </w:tc>
      </w:tr>
      <w:tr w:rsidR="00AB54B5" w:rsidRPr="003C5640" w:rsidTr="00443250">
        <w:trPr>
          <w:trHeight w:val="1440"/>
        </w:trPr>
        <w:tc>
          <w:tcPr>
            <w:tcW w:w="750" w:type="pct"/>
          </w:tcPr>
          <w:p w:rsidR="00AB54B5" w:rsidRPr="003C5640" w:rsidRDefault="004B67A2" w:rsidP="00AB54B5">
            <w:pPr>
              <w:spacing w:before="0" w:after="0" w:line="240" w:lineRule="auto"/>
              <w:jc w:val="left"/>
              <w:rPr>
                <w:rFonts w:cs="Times New Roman"/>
                <w:sz w:val="20"/>
                <w:szCs w:val="20"/>
              </w:rPr>
            </w:pPr>
            <w:r>
              <w:rPr>
                <w:rFonts w:cs="Times New Roman"/>
                <w:sz w:val="20"/>
                <w:szCs w:val="20"/>
              </w:rPr>
              <w:t>3</w:t>
            </w:r>
            <w:r w:rsidR="00AB54B5" w:rsidRPr="003C5640">
              <w:rPr>
                <w:rFonts w:cs="Times New Roman"/>
                <w:sz w:val="20"/>
                <w:szCs w:val="20"/>
              </w:rPr>
              <w:t xml:space="preserve">. Do Executive Stock Options Generate Incentives for Earnings Management? Evidence </w:t>
            </w:r>
          </w:p>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from Accounting Restatements (2003)</w:t>
            </w:r>
          </w:p>
        </w:tc>
        <w:tc>
          <w:tcPr>
            <w:tcW w:w="750"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Kedia</w:t>
            </w:r>
            <w:r>
              <w:rPr>
                <w:rFonts w:cs="Times New Roman"/>
                <w:sz w:val="20"/>
                <w:szCs w:val="20"/>
              </w:rPr>
              <w:t>,</w:t>
            </w:r>
            <w:r w:rsidRPr="003C5640">
              <w:rPr>
                <w:rFonts w:cs="Times New Roman"/>
                <w:sz w:val="20"/>
                <w:szCs w:val="20"/>
              </w:rPr>
              <w:t xml:space="preserve"> Simi</w:t>
            </w:r>
            <w:r>
              <w:rPr>
                <w:rFonts w:cs="Times New Roman"/>
                <w:sz w:val="20"/>
                <w:szCs w:val="20"/>
              </w:rPr>
              <w:t>.</w:t>
            </w:r>
          </w:p>
        </w:tc>
        <w:tc>
          <w:tcPr>
            <w:tcW w:w="750"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Explore the effect of pay for performance motivation on earnings management.</w:t>
            </w:r>
          </w:p>
        </w:tc>
        <w:tc>
          <w:tcPr>
            <w:tcW w:w="750" w:type="pct"/>
          </w:tcPr>
          <w:p w:rsidR="00AB54B5" w:rsidRPr="003C5640" w:rsidRDefault="00AB54B5" w:rsidP="00AB54B5">
            <w:pPr>
              <w:autoSpaceDE w:val="0"/>
              <w:autoSpaceDN w:val="0"/>
              <w:adjustRightInd w:val="0"/>
              <w:spacing w:before="0" w:after="0" w:line="240" w:lineRule="auto"/>
              <w:jc w:val="left"/>
              <w:rPr>
                <w:rFonts w:cs="Times New Roman"/>
                <w:sz w:val="20"/>
                <w:szCs w:val="20"/>
              </w:rPr>
            </w:pPr>
            <w:r w:rsidRPr="003C5640">
              <w:rPr>
                <w:rFonts w:cs="Times New Roman"/>
                <w:sz w:val="20"/>
                <w:szCs w:val="20"/>
              </w:rPr>
              <w:t>224 listed firms restating their financial reports during 1997-2000.</w:t>
            </w:r>
            <w:r>
              <w:rPr>
                <w:rFonts w:cs="Times New Roman"/>
                <w:sz w:val="20"/>
                <w:szCs w:val="20"/>
              </w:rPr>
              <w:t xml:space="preserve"> </w:t>
            </w:r>
            <w:r w:rsidRPr="003C5640">
              <w:rPr>
                <w:rFonts w:cs="Times New Roman"/>
                <w:sz w:val="20"/>
                <w:szCs w:val="20"/>
              </w:rPr>
              <w:t>This data collected from Execu Comp database.</w:t>
            </w:r>
          </w:p>
        </w:tc>
        <w:tc>
          <w:tcPr>
            <w:tcW w:w="1000"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Constructed econometric model for regression analysis; used standard two-stage estimatio</w:t>
            </w:r>
            <w:r>
              <w:rPr>
                <w:rFonts w:cs="Times New Roman"/>
                <w:sz w:val="20"/>
                <w:szCs w:val="20"/>
              </w:rPr>
              <w:t>n of models to control endogenei</w:t>
            </w:r>
            <w:r w:rsidRPr="003C5640">
              <w:rPr>
                <w:rFonts w:cs="Times New Roman"/>
                <w:sz w:val="20"/>
                <w:szCs w:val="20"/>
              </w:rPr>
              <w:t>ty.</w:t>
            </w:r>
          </w:p>
        </w:tc>
        <w:tc>
          <w:tcPr>
            <w:tcW w:w="1000"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A positive effect on pay for performance incentives and earnings management.</w:t>
            </w:r>
          </w:p>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Control variables: firm age, firm sales and growth rate</w:t>
            </w:r>
            <w:r>
              <w:rPr>
                <w:rFonts w:cs="Times New Roman"/>
                <w:sz w:val="20"/>
                <w:szCs w:val="20"/>
              </w:rPr>
              <w:t>.</w:t>
            </w:r>
          </w:p>
        </w:tc>
      </w:tr>
      <w:tr w:rsidR="00AB54B5" w:rsidRPr="003C5640" w:rsidTr="00443250">
        <w:trPr>
          <w:trHeight w:val="1872"/>
        </w:trPr>
        <w:tc>
          <w:tcPr>
            <w:tcW w:w="750" w:type="pct"/>
          </w:tcPr>
          <w:p w:rsidR="00AB54B5" w:rsidRPr="003C5640" w:rsidRDefault="004B67A2" w:rsidP="00AB54B5">
            <w:pPr>
              <w:spacing w:before="0" w:after="0" w:line="240" w:lineRule="auto"/>
              <w:jc w:val="left"/>
              <w:rPr>
                <w:rFonts w:cs="Times New Roman"/>
                <w:sz w:val="20"/>
                <w:szCs w:val="20"/>
              </w:rPr>
            </w:pPr>
            <w:r>
              <w:rPr>
                <w:rFonts w:cs="Times New Roman"/>
                <w:sz w:val="20"/>
                <w:szCs w:val="20"/>
              </w:rPr>
              <w:t>4</w:t>
            </w:r>
            <w:r w:rsidR="00AB54B5" w:rsidRPr="003C5640">
              <w:rPr>
                <w:rFonts w:cs="Times New Roman"/>
                <w:sz w:val="20"/>
                <w:szCs w:val="20"/>
              </w:rPr>
              <w:t>. The Motivation for Tax Avoidance in Earnings</w:t>
            </w:r>
          </w:p>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Management (2012)</w:t>
            </w:r>
          </w:p>
        </w:tc>
        <w:tc>
          <w:tcPr>
            <w:tcW w:w="750" w:type="pct"/>
          </w:tcPr>
          <w:p w:rsidR="00AB54B5" w:rsidRPr="003C5640" w:rsidRDefault="00AB54B5" w:rsidP="00AB54B5">
            <w:pPr>
              <w:spacing w:before="0" w:after="0" w:line="240" w:lineRule="auto"/>
              <w:jc w:val="left"/>
              <w:rPr>
                <w:rFonts w:eastAsia="Times New Roman" w:cs="Times New Roman"/>
                <w:sz w:val="20"/>
                <w:szCs w:val="20"/>
              </w:rPr>
            </w:pPr>
            <w:r w:rsidRPr="003C5640">
              <w:rPr>
                <w:rFonts w:eastAsia="Times New Roman" w:cs="Times New Roman"/>
                <w:sz w:val="20"/>
                <w:szCs w:val="20"/>
              </w:rPr>
              <w:t>Wang, Shiwei,</w:t>
            </w:r>
          </w:p>
          <w:p w:rsidR="00AB54B5" w:rsidRPr="003C5640" w:rsidRDefault="00AB54B5" w:rsidP="00AB54B5">
            <w:pPr>
              <w:spacing w:before="0" w:after="0" w:line="240" w:lineRule="auto"/>
              <w:jc w:val="left"/>
              <w:rPr>
                <w:rFonts w:cs="Times New Roman"/>
                <w:sz w:val="20"/>
                <w:szCs w:val="20"/>
              </w:rPr>
            </w:pPr>
            <w:r w:rsidRPr="003C5640">
              <w:rPr>
                <w:rFonts w:eastAsia="Times New Roman" w:cs="Times New Roman"/>
                <w:sz w:val="20"/>
                <w:szCs w:val="20"/>
              </w:rPr>
              <w:t>Chen, Siyu.</w:t>
            </w:r>
          </w:p>
        </w:tc>
        <w:tc>
          <w:tcPr>
            <w:tcW w:w="750"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Analyze the correlation between earnings management and tax avoidance on listed firms of China</w:t>
            </w:r>
            <w:r w:rsidR="000428EC">
              <w:rPr>
                <w:rFonts w:cs="Times New Roman"/>
                <w:sz w:val="20"/>
                <w:szCs w:val="20"/>
              </w:rPr>
              <w:t>.</w:t>
            </w:r>
          </w:p>
        </w:tc>
        <w:tc>
          <w:tcPr>
            <w:tcW w:w="750" w:type="pct"/>
          </w:tcPr>
          <w:p w:rsidR="00AB54B5" w:rsidRPr="003C5640" w:rsidRDefault="00AB54B5" w:rsidP="00AB54B5">
            <w:pPr>
              <w:autoSpaceDE w:val="0"/>
              <w:autoSpaceDN w:val="0"/>
              <w:adjustRightInd w:val="0"/>
              <w:spacing w:before="0" w:after="0" w:line="240" w:lineRule="auto"/>
              <w:jc w:val="left"/>
              <w:rPr>
                <w:rFonts w:cs="Times New Roman"/>
                <w:sz w:val="20"/>
                <w:szCs w:val="20"/>
              </w:rPr>
            </w:pPr>
            <w:r w:rsidRPr="003C5640">
              <w:rPr>
                <w:rFonts w:cs="Times New Roman"/>
                <w:sz w:val="20"/>
                <w:szCs w:val="20"/>
              </w:rPr>
              <w:t>Data of Chinese A share non-financial listed companies from annual reports during 2004-2006.</w:t>
            </w:r>
          </w:p>
        </w:tc>
        <w:tc>
          <w:tcPr>
            <w:tcW w:w="1000"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 xml:space="preserve">Ordinary least squares (OLS) method and added industry dummies. </w:t>
            </w:r>
          </w:p>
        </w:tc>
        <w:tc>
          <w:tcPr>
            <w:tcW w:w="1000"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 xml:space="preserve">Positive relation between earnings management and tax avoidance. </w:t>
            </w:r>
          </w:p>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For SOE listed firms, the firm performance has little effect on earnings management.</w:t>
            </w:r>
          </w:p>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Control variables: firm size, leverage, industry dummy and year dummy.</w:t>
            </w:r>
          </w:p>
        </w:tc>
      </w:tr>
    </w:tbl>
    <w:p w:rsidR="00443250" w:rsidRPr="00160D17" w:rsidRDefault="00443250" w:rsidP="008F0580">
      <w:pPr>
        <w:pStyle w:val="Heading6"/>
        <w:spacing w:before="0" w:line="240" w:lineRule="auto"/>
      </w:pPr>
      <w:r w:rsidRPr="00160D17">
        <w:lastRenderedPageBreak/>
        <w:t>Corporate governance and earnings management</w:t>
      </w:r>
    </w:p>
    <w:p w:rsidR="00443250" w:rsidRDefault="00443250" w:rsidP="00443250">
      <w:pPr>
        <w:pStyle w:val="Caption"/>
        <w:keepNext/>
      </w:pPr>
    </w:p>
    <w:tbl>
      <w:tblPr>
        <w:tblStyle w:val="TableGrid"/>
        <w:tblpPr w:leftFromText="141" w:rightFromText="141" w:vertAnchor="text" w:horzAnchor="margin" w:tblpXSpec="center" w:tblpY="-104"/>
        <w:tblW w:w="5000" w:type="pct"/>
        <w:tblLook w:val="04A0"/>
      </w:tblPr>
      <w:tblGrid>
        <w:gridCol w:w="2153"/>
        <w:gridCol w:w="2152"/>
        <w:gridCol w:w="2149"/>
        <w:gridCol w:w="2149"/>
        <w:gridCol w:w="2868"/>
        <w:gridCol w:w="2857"/>
      </w:tblGrid>
      <w:tr w:rsidR="00443250" w:rsidRPr="003C5640" w:rsidTr="00304C0C">
        <w:trPr>
          <w:trHeight w:val="432"/>
        </w:trPr>
        <w:tc>
          <w:tcPr>
            <w:tcW w:w="751" w:type="pct"/>
            <w:vAlign w:val="center"/>
          </w:tcPr>
          <w:p w:rsidR="00443250" w:rsidRPr="003C5640" w:rsidRDefault="00443250" w:rsidP="00443250">
            <w:pPr>
              <w:spacing w:before="0" w:after="0" w:line="240" w:lineRule="auto"/>
              <w:jc w:val="center"/>
              <w:rPr>
                <w:rFonts w:cs="Times New Roman"/>
                <w:b/>
                <w:sz w:val="20"/>
                <w:szCs w:val="20"/>
              </w:rPr>
            </w:pPr>
            <w:r w:rsidRPr="003C5640">
              <w:rPr>
                <w:rFonts w:cs="Times New Roman"/>
                <w:b/>
                <w:sz w:val="20"/>
                <w:szCs w:val="20"/>
              </w:rPr>
              <w:t>Title</w:t>
            </w:r>
          </w:p>
        </w:tc>
        <w:tc>
          <w:tcPr>
            <w:tcW w:w="751" w:type="pct"/>
            <w:vAlign w:val="center"/>
          </w:tcPr>
          <w:p w:rsidR="00443250" w:rsidRPr="003C5640" w:rsidRDefault="00443250" w:rsidP="00443250">
            <w:pPr>
              <w:spacing w:before="0" w:after="0" w:line="240" w:lineRule="auto"/>
              <w:jc w:val="center"/>
              <w:rPr>
                <w:rFonts w:cs="Times New Roman"/>
                <w:b/>
                <w:sz w:val="20"/>
                <w:szCs w:val="20"/>
              </w:rPr>
            </w:pPr>
            <w:r w:rsidRPr="003C5640">
              <w:rPr>
                <w:rFonts w:cs="Times New Roman"/>
                <w:b/>
                <w:sz w:val="20"/>
                <w:szCs w:val="20"/>
              </w:rPr>
              <w:t>Author(s)</w:t>
            </w:r>
          </w:p>
        </w:tc>
        <w:tc>
          <w:tcPr>
            <w:tcW w:w="750" w:type="pct"/>
            <w:vAlign w:val="center"/>
          </w:tcPr>
          <w:p w:rsidR="00443250" w:rsidRPr="003C5640" w:rsidRDefault="00443250" w:rsidP="00443250">
            <w:pPr>
              <w:spacing w:before="0" w:after="0" w:line="240" w:lineRule="auto"/>
              <w:jc w:val="center"/>
              <w:rPr>
                <w:rFonts w:cs="Times New Roman"/>
                <w:b/>
                <w:sz w:val="20"/>
                <w:szCs w:val="20"/>
              </w:rPr>
            </w:pPr>
            <w:r w:rsidRPr="003C5640">
              <w:rPr>
                <w:rFonts w:cs="Times New Roman"/>
                <w:b/>
                <w:sz w:val="20"/>
                <w:szCs w:val="20"/>
              </w:rPr>
              <w:t>Object of this study</w:t>
            </w:r>
          </w:p>
        </w:tc>
        <w:tc>
          <w:tcPr>
            <w:tcW w:w="750" w:type="pct"/>
            <w:vAlign w:val="center"/>
          </w:tcPr>
          <w:p w:rsidR="00443250" w:rsidRPr="003C5640" w:rsidRDefault="00443250" w:rsidP="00443250">
            <w:pPr>
              <w:spacing w:before="0" w:after="0" w:line="240" w:lineRule="auto"/>
              <w:jc w:val="center"/>
              <w:rPr>
                <w:rFonts w:cs="Times New Roman"/>
                <w:b/>
                <w:sz w:val="20"/>
                <w:szCs w:val="20"/>
              </w:rPr>
            </w:pPr>
            <w:r w:rsidRPr="003C5640">
              <w:rPr>
                <w:rFonts w:cs="Times New Roman"/>
                <w:b/>
                <w:sz w:val="20"/>
                <w:szCs w:val="20"/>
              </w:rPr>
              <w:t>Sample</w:t>
            </w:r>
          </w:p>
        </w:tc>
        <w:tc>
          <w:tcPr>
            <w:tcW w:w="1001" w:type="pct"/>
            <w:vAlign w:val="center"/>
          </w:tcPr>
          <w:p w:rsidR="00443250" w:rsidRPr="003C5640" w:rsidRDefault="00443250" w:rsidP="00443250">
            <w:pPr>
              <w:spacing w:before="0" w:after="0" w:line="240" w:lineRule="auto"/>
              <w:jc w:val="center"/>
              <w:rPr>
                <w:rFonts w:cs="Times New Roman"/>
                <w:b/>
                <w:sz w:val="20"/>
                <w:szCs w:val="20"/>
              </w:rPr>
            </w:pPr>
            <w:r w:rsidRPr="003C5640">
              <w:rPr>
                <w:rFonts w:cs="Times New Roman"/>
                <w:b/>
                <w:sz w:val="20"/>
                <w:szCs w:val="20"/>
              </w:rPr>
              <w:t>Research Methodology</w:t>
            </w:r>
          </w:p>
        </w:tc>
        <w:tc>
          <w:tcPr>
            <w:tcW w:w="997" w:type="pct"/>
            <w:vAlign w:val="center"/>
          </w:tcPr>
          <w:p w:rsidR="00443250" w:rsidRPr="003C5640" w:rsidRDefault="00443250" w:rsidP="00443250">
            <w:pPr>
              <w:spacing w:before="0" w:after="0" w:line="240" w:lineRule="auto"/>
              <w:jc w:val="center"/>
              <w:rPr>
                <w:rFonts w:cs="Times New Roman"/>
                <w:b/>
                <w:sz w:val="20"/>
                <w:szCs w:val="20"/>
              </w:rPr>
            </w:pPr>
            <w:r w:rsidRPr="003C5640">
              <w:rPr>
                <w:rFonts w:cs="Times New Roman"/>
                <w:b/>
                <w:sz w:val="20"/>
                <w:szCs w:val="20"/>
              </w:rPr>
              <w:t>Results</w:t>
            </w:r>
          </w:p>
        </w:tc>
      </w:tr>
      <w:tr w:rsidR="00AB54B5" w:rsidRPr="003C5640" w:rsidTr="00304C0C">
        <w:trPr>
          <w:trHeight w:val="1296"/>
        </w:trPr>
        <w:tc>
          <w:tcPr>
            <w:tcW w:w="751" w:type="pct"/>
          </w:tcPr>
          <w:p w:rsidR="00AB54B5" w:rsidRPr="003C5640" w:rsidRDefault="00085AC9" w:rsidP="00AB54B5">
            <w:pPr>
              <w:spacing w:before="0" w:after="0" w:line="240" w:lineRule="auto"/>
              <w:jc w:val="left"/>
              <w:rPr>
                <w:rFonts w:cs="Times New Roman"/>
                <w:sz w:val="20"/>
                <w:szCs w:val="20"/>
              </w:rPr>
            </w:pPr>
            <w:r>
              <w:rPr>
                <w:rFonts w:cs="Times New Roman"/>
                <w:sz w:val="20"/>
                <w:szCs w:val="20"/>
              </w:rPr>
              <w:t>1</w:t>
            </w:r>
            <w:r w:rsidR="00AB54B5" w:rsidRPr="003C5640">
              <w:rPr>
                <w:rFonts w:cs="Times New Roman"/>
                <w:sz w:val="20"/>
                <w:szCs w:val="20"/>
              </w:rPr>
              <w:t>. Board, audit committee, culture and earnings management: Malaysian evidence (2006)</w:t>
            </w:r>
          </w:p>
        </w:tc>
        <w:tc>
          <w:tcPr>
            <w:tcW w:w="751" w:type="pct"/>
          </w:tcPr>
          <w:p w:rsidR="00AB54B5" w:rsidRPr="00DF111B" w:rsidRDefault="00AB54B5" w:rsidP="00AB54B5">
            <w:pPr>
              <w:pStyle w:val="NormalWeb"/>
              <w:spacing w:before="0" w:beforeAutospacing="0" w:after="0" w:afterAutospacing="0"/>
              <w:rPr>
                <w:sz w:val="20"/>
                <w:szCs w:val="20"/>
                <w:lang w:val="en-US"/>
              </w:rPr>
            </w:pPr>
            <w:r w:rsidRPr="00DF111B">
              <w:rPr>
                <w:sz w:val="20"/>
                <w:szCs w:val="20"/>
                <w:lang w:val="en-US"/>
              </w:rPr>
              <w:t xml:space="preserve">Abdul Rahman, Rashidah. </w:t>
            </w:r>
          </w:p>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Mohamed</w:t>
            </w:r>
            <w:r>
              <w:rPr>
                <w:rFonts w:cs="Times New Roman"/>
                <w:sz w:val="20"/>
                <w:szCs w:val="20"/>
              </w:rPr>
              <w:t xml:space="preserve"> </w:t>
            </w:r>
            <w:r w:rsidRPr="003C5640">
              <w:rPr>
                <w:rFonts w:cs="Times New Roman"/>
                <w:sz w:val="20"/>
                <w:szCs w:val="20"/>
              </w:rPr>
              <w:t xml:space="preserve">Ali, </w:t>
            </w:r>
          </w:p>
          <w:p w:rsidR="00AB54B5" w:rsidRPr="003C5640" w:rsidRDefault="00AB54B5" w:rsidP="009F582E">
            <w:pPr>
              <w:spacing w:before="0" w:after="0" w:line="240" w:lineRule="auto"/>
              <w:jc w:val="left"/>
              <w:rPr>
                <w:rFonts w:cs="Times New Roman"/>
                <w:sz w:val="20"/>
                <w:szCs w:val="20"/>
              </w:rPr>
            </w:pPr>
            <w:r w:rsidRPr="003C5640">
              <w:rPr>
                <w:rFonts w:cs="Times New Roman"/>
                <w:sz w:val="20"/>
                <w:szCs w:val="20"/>
              </w:rPr>
              <w:t xml:space="preserve">Fairuzana Haneem </w:t>
            </w:r>
          </w:p>
        </w:tc>
        <w:tc>
          <w:tcPr>
            <w:tcW w:w="750"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Examine whether the board items, audit committee and concentrated ownership reduce activities of earnings management.</w:t>
            </w:r>
          </w:p>
        </w:tc>
        <w:tc>
          <w:tcPr>
            <w:tcW w:w="750"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97 listed firms on the Main Board of Bursa Malaysia during 2002-2003.</w:t>
            </w:r>
          </w:p>
        </w:tc>
        <w:tc>
          <w:tcPr>
            <w:tcW w:w="1001"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Ordinary least square regression; Modified Jones Model and abnormal working capital accruals are used as proxies of earnings management.</w:t>
            </w:r>
          </w:p>
        </w:tc>
        <w:tc>
          <w:tcPr>
            <w:tcW w:w="997"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 xml:space="preserve">Positive relationship between board size and earnings management. </w:t>
            </w:r>
          </w:p>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Ethnicity (race) has no effect on earnings management.</w:t>
            </w:r>
          </w:p>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Negative relationship between firms size and earnings management.</w:t>
            </w:r>
          </w:p>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No significant relationship between leverage and earnings management.</w:t>
            </w:r>
          </w:p>
        </w:tc>
      </w:tr>
      <w:tr w:rsidR="00AB54B5" w:rsidRPr="003C5640" w:rsidTr="00304C0C">
        <w:trPr>
          <w:trHeight w:val="1152"/>
        </w:trPr>
        <w:tc>
          <w:tcPr>
            <w:tcW w:w="751"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2. Corporate Governance and Earnings Management: Jordanian Evidence (2012)</w:t>
            </w:r>
          </w:p>
        </w:tc>
        <w:tc>
          <w:tcPr>
            <w:tcW w:w="751" w:type="pct"/>
          </w:tcPr>
          <w:p w:rsidR="00AB54B5" w:rsidRPr="003C5640" w:rsidRDefault="00AB54B5" w:rsidP="00AB54B5">
            <w:pPr>
              <w:spacing w:before="0" w:after="0" w:line="240" w:lineRule="auto"/>
              <w:jc w:val="left"/>
              <w:rPr>
                <w:rFonts w:eastAsia="Times New Roman" w:cs="Times New Roman"/>
                <w:sz w:val="20"/>
                <w:szCs w:val="20"/>
              </w:rPr>
            </w:pPr>
            <w:r>
              <w:rPr>
                <w:rFonts w:eastAsia="Times New Roman" w:cs="Times New Roman"/>
                <w:sz w:val="20"/>
                <w:szCs w:val="20"/>
              </w:rPr>
              <w:t>Abed, Suzan.</w:t>
            </w:r>
          </w:p>
          <w:p w:rsidR="00AB54B5" w:rsidRPr="003C5640" w:rsidRDefault="00AB54B5" w:rsidP="00AB54B5">
            <w:pPr>
              <w:spacing w:before="0" w:after="0" w:line="240" w:lineRule="auto"/>
              <w:jc w:val="left"/>
              <w:rPr>
                <w:rFonts w:eastAsia="Times New Roman" w:cs="Times New Roman"/>
                <w:sz w:val="20"/>
                <w:szCs w:val="20"/>
              </w:rPr>
            </w:pPr>
            <w:r w:rsidRPr="003C5640">
              <w:rPr>
                <w:rFonts w:eastAsia="Times New Roman" w:cs="Times New Roman"/>
                <w:sz w:val="20"/>
                <w:szCs w:val="20"/>
              </w:rPr>
              <w:t>Al-Attar, Ali,</w:t>
            </w:r>
          </w:p>
          <w:p w:rsidR="00AB54B5" w:rsidRPr="003C5640" w:rsidRDefault="00AB54B5" w:rsidP="00AB54B5">
            <w:pPr>
              <w:spacing w:before="0" w:after="0" w:line="240" w:lineRule="auto"/>
              <w:jc w:val="left"/>
              <w:rPr>
                <w:rFonts w:cs="Times New Roman"/>
                <w:sz w:val="20"/>
                <w:szCs w:val="20"/>
              </w:rPr>
            </w:pPr>
            <w:r w:rsidRPr="003C5640">
              <w:rPr>
                <w:rFonts w:eastAsia="Times New Roman" w:cs="Times New Roman"/>
                <w:sz w:val="20"/>
                <w:szCs w:val="20"/>
              </w:rPr>
              <w:t>Suwaidan, Mishiel.</w:t>
            </w:r>
          </w:p>
        </w:tc>
        <w:tc>
          <w:tcPr>
            <w:tcW w:w="750"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Explore earnings management and specific items of corporate governance.</w:t>
            </w:r>
          </w:p>
        </w:tc>
        <w:tc>
          <w:tcPr>
            <w:tcW w:w="750"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329 firm-observations for the companies listed on the  Amman Stock Exchange  (ASE) during</w:t>
            </w:r>
          </w:p>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2006-2009</w:t>
            </w:r>
            <w:r w:rsidR="00E20DD4">
              <w:rPr>
                <w:rFonts w:cs="Times New Roman"/>
                <w:sz w:val="20"/>
                <w:szCs w:val="20"/>
              </w:rPr>
              <w:t>.</w:t>
            </w:r>
          </w:p>
        </w:tc>
        <w:tc>
          <w:tcPr>
            <w:tcW w:w="1001"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Econometric model and OLS regression. Firm size, leverage and industry are include</w:t>
            </w:r>
            <w:r>
              <w:rPr>
                <w:rFonts w:cs="Times New Roman"/>
                <w:sz w:val="20"/>
                <w:szCs w:val="20"/>
              </w:rPr>
              <w:t>d</w:t>
            </w:r>
            <w:r w:rsidRPr="003C5640">
              <w:rPr>
                <w:rFonts w:cs="Times New Roman"/>
                <w:sz w:val="20"/>
                <w:szCs w:val="20"/>
              </w:rPr>
              <w:t xml:space="preserve"> as control variable.</w:t>
            </w:r>
          </w:p>
        </w:tc>
        <w:tc>
          <w:tcPr>
            <w:tcW w:w="997"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Board size is the only variable that has a significant relation with earnings management.</w:t>
            </w:r>
          </w:p>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Control variables: company size and leverage</w:t>
            </w:r>
          </w:p>
        </w:tc>
      </w:tr>
      <w:tr w:rsidR="00AB54B5" w:rsidRPr="003C5640" w:rsidTr="000C664C">
        <w:trPr>
          <w:trHeight w:val="1584"/>
        </w:trPr>
        <w:tc>
          <w:tcPr>
            <w:tcW w:w="751" w:type="pct"/>
          </w:tcPr>
          <w:p w:rsidR="00AB54B5" w:rsidRPr="003C5640" w:rsidRDefault="00B37B72" w:rsidP="00AB54B5">
            <w:pPr>
              <w:spacing w:before="0" w:after="0" w:line="240" w:lineRule="auto"/>
              <w:jc w:val="left"/>
              <w:rPr>
                <w:rFonts w:cs="Times New Roman"/>
                <w:sz w:val="20"/>
                <w:szCs w:val="20"/>
              </w:rPr>
            </w:pPr>
            <w:r>
              <w:rPr>
                <w:rFonts w:cs="Times New Roman"/>
                <w:sz w:val="20"/>
                <w:szCs w:val="20"/>
              </w:rPr>
              <w:t>3</w:t>
            </w:r>
            <w:r w:rsidR="00AB54B5" w:rsidRPr="003C5640">
              <w:rPr>
                <w:rFonts w:cs="Times New Roman"/>
                <w:sz w:val="20"/>
                <w:szCs w:val="20"/>
              </w:rPr>
              <w:t>. Leadership structure: Separating the CEO and chairman of the board (1997)</w:t>
            </w:r>
          </w:p>
        </w:tc>
        <w:tc>
          <w:tcPr>
            <w:tcW w:w="751" w:type="pct"/>
          </w:tcPr>
          <w:p w:rsidR="00AB54B5" w:rsidRPr="003C5640" w:rsidRDefault="00AB54B5" w:rsidP="00AB54B5">
            <w:pPr>
              <w:spacing w:before="0" w:after="0" w:line="240" w:lineRule="auto"/>
              <w:jc w:val="left"/>
              <w:rPr>
                <w:rFonts w:eastAsia="Times New Roman" w:cs="Times New Roman"/>
                <w:sz w:val="20"/>
                <w:szCs w:val="20"/>
              </w:rPr>
            </w:pPr>
            <w:r w:rsidRPr="003C5640">
              <w:rPr>
                <w:rFonts w:eastAsia="Times New Roman" w:cs="Times New Roman"/>
                <w:sz w:val="20"/>
                <w:szCs w:val="20"/>
              </w:rPr>
              <w:t>Brickley, J. A.</w:t>
            </w:r>
          </w:p>
          <w:p w:rsidR="00AB54B5" w:rsidRPr="003C5640" w:rsidRDefault="00AB54B5" w:rsidP="00AB54B5">
            <w:pPr>
              <w:spacing w:before="0" w:after="0" w:line="240" w:lineRule="auto"/>
              <w:jc w:val="left"/>
              <w:rPr>
                <w:rFonts w:eastAsia="Times New Roman" w:cs="Times New Roman"/>
                <w:sz w:val="20"/>
                <w:szCs w:val="20"/>
              </w:rPr>
            </w:pPr>
            <w:r w:rsidRPr="003C5640">
              <w:rPr>
                <w:rFonts w:eastAsia="Times New Roman" w:cs="Times New Roman"/>
                <w:sz w:val="20"/>
                <w:szCs w:val="20"/>
              </w:rPr>
              <w:t>Coles, J. L.</w:t>
            </w:r>
          </w:p>
          <w:p w:rsidR="00AB54B5" w:rsidRPr="003C5640" w:rsidRDefault="00AB54B5" w:rsidP="00AB54B5">
            <w:pPr>
              <w:spacing w:before="0" w:after="0" w:line="240" w:lineRule="auto"/>
              <w:jc w:val="left"/>
              <w:rPr>
                <w:rFonts w:cs="Times New Roman"/>
                <w:sz w:val="20"/>
                <w:szCs w:val="20"/>
              </w:rPr>
            </w:pPr>
            <w:r w:rsidRPr="003C5640">
              <w:rPr>
                <w:rFonts w:eastAsia="Times New Roman" w:cs="Times New Roman"/>
                <w:sz w:val="20"/>
                <w:szCs w:val="20"/>
              </w:rPr>
              <w:t>Jarrell, Gregg</w:t>
            </w:r>
            <w:r>
              <w:rPr>
                <w:rFonts w:eastAsia="Times New Roman" w:cs="Times New Roman"/>
                <w:sz w:val="20"/>
                <w:szCs w:val="20"/>
              </w:rPr>
              <w:t>.</w:t>
            </w:r>
          </w:p>
        </w:tc>
        <w:tc>
          <w:tcPr>
            <w:tcW w:w="750"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Investigate whether CEO, a same person of Chairman, benefits to the company.</w:t>
            </w:r>
          </w:p>
        </w:tc>
        <w:tc>
          <w:tcPr>
            <w:tcW w:w="750"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264 listed firm- observations in U.S. during 1984-1991 including 102 listed firms which CEO and Chairman are separated  and 162 listed firms which CEO and Chairman are the same person.</w:t>
            </w:r>
          </w:p>
        </w:tc>
        <w:tc>
          <w:tcPr>
            <w:tcW w:w="1001"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Empirical analysis, survey, statistical test, and event study.</w:t>
            </w:r>
          </w:p>
        </w:tc>
        <w:tc>
          <w:tcPr>
            <w:tcW w:w="997"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About 80% listed firms in U.S. combine CEO and Chairman.</w:t>
            </w:r>
          </w:p>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There are certain costs of separating CEO and Chairman.</w:t>
            </w:r>
          </w:p>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CEOs perform well after they are awarded as the Chairman.</w:t>
            </w:r>
          </w:p>
        </w:tc>
      </w:tr>
      <w:tr w:rsidR="00AB54B5" w:rsidRPr="003C5640" w:rsidTr="000C664C">
        <w:trPr>
          <w:trHeight w:val="1580"/>
        </w:trPr>
        <w:tc>
          <w:tcPr>
            <w:tcW w:w="751" w:type="pct"/>
          </w:tcPr>
          <w:p w:rsidR="00AB54B5" w:rsidRPr="003C5640" w:rsidRDefault="009D6D92" w:rsidP="00AB54B5">
            <w:pPr>
              <w:spacing w:before="0" w:after="0" w:line="240" w:lineRule="auto"/>
              <w:jc w:val="left"/>
              <w:rPr>
                <w:rFonts w:cs="Times New Roman"/>
                <w:sz w:val="20"/>
                <w:szCs w:val="20"/>
              </w:rPr>
            </w:pPr>
            <w:r>
              <w:rPr>
                <w:rFonts w:cs="Times New Roman"/>
                <w:noProof/>
                <w:sz w:val="20"/>
                <w:szCs w:val="20"/>
              </w:rPr>
              <w:t>4</w:t>
            </w:r>
            <w:r w:rsidR="00AB54B5" w:rsidRPr="003C5640">
              <w:rPr>
                <w:rFonts w:cs="Times New Roman"/>
                <w:noProof/>
                <w:sz w:val="20"/>
                <w:szCs w:val="20"/>
              </w:rPr>
              <w:t>. Earnings Management   following Duality-Creating Successions: Ethnostatistics, Impression Management, and Agency Theory (2004)</w:t>
            </w:r>
          </w:p>
        </w:tc>
        <w:tc>
          <w:tcPr>
            <w:tcW w:w="751" w:type="pct"/>
          </w:tcPr>
          <w:p w:rsidR="00AB54B5" w:rsidRPr="003C5640" w:rsidRDefault="00AB54B5" w:rsidP="00AB54B5">
            <w:pPr>
              <w:spacing w:before="0" w:after="0" w:line="240" w:lineRule="auto"/>
              <w:jc w:val="left"/>
              <w:rPr>
                <w:rFonts w:eastAsia="Times New Roman" w:cs="Times New Roman"/>
                <w:sz w:val="20"/>
                <w:szCs w:val="20"/>
              </w:rPr>
            </w:pPr>
            <w:r w:rsidRPr="003C5640">
              <w:rPr>
                <w:rFonts w:eastAsia="Times New Roman" w:cs="Times New Roman"/>
                <w:sz w:val="20"/>
                <w:szCs w:val="20"/>
              </w:rPr>
              <w:t>Davidson, W. N.</w:t>
            </w:r>
          </w:p>
          <w:p w:rsidR="00AB54B5" w:rsidRPr="003C5640" w:rsidRDefault="00AB54B5" w:rsidP="00AB54B5">
            <w:pPr>
              <w:spacing w:before="0" w:after="0" w:line="240" w:lineRule="auto"/>
              <w:jc w:val="left"/>
              <w:rPr>
                <w:rFonts w:eastAsia="Times New Roman" w:cs="Times New Roman"/>
                <w:sz w:val="20"/>
                <w:szCs w:val="20"/>
              </w:rPr>
            </w:pPr>
            <w:r w:rsidRPr="003C5640">
              <w:rPr>
                <w:rFonts w:eastAsia="Times New Roman" w:cs="Times New Roman"/>
                <w:sz w:val="20"/>
                <w:szCs w:val="20"/>
              </w:rPr>
              <w:t>Jiraporn, P.</w:t>
            </w:r>
          </w:p>
          <w:p w:rsidR="00AB54B5" w:rsidRPr="003C5640" w:rsidRDefault="00AB54B5" w:rsidP="00AB54B5">
            <w:pPr>
              <w:spacing w:before="0" w:after="0" w:line="240" w:lineRule="auto"/>
              <w:jc w:val="left"/>
              <w:rPr>
                <w:rFonts w:eastAsia="Times New Roman" w:cs="Times New Roman"/>
                <w:sz w:val="20"/>
                <w:szCs w:val="20"/>
              </w:rPr>
            </w:pPr>
            <w:r w:rsidRPr="003C5640">
              <w:rPr>
                <w:rFonts w:eastAsia="Times New Roman" w:cs="Times New Roman"/>
                <w:sz w:val="20"/>
                <w:szCs w:val="20"/>
              </w:rPr>
              <w:t>Nemec, C.</w:t>
            </w:r>
          </w:p>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Kim, Young</w:t>
            </w:r>
            <w:r>
              <w:rPr>
                <w:rFonts w:cs="Times New Roman"/>
                <w:sz w:val="20"/>
                <w:szCs w:val="20"/>
              </w:rPr>
              <w:t>.</w:t>
            </w:r>
            <w:r w:rsidRPr="003C5640">
              <w:rPr>
                <w:rFonts w:cs="Times New Roman"/>
                <w:sz w:val="20"/>
                <w:szCs w:val="20"/>
              </w:rPr>
              <w:t xml:space="preserve"> S.</w:t>
            </w:r>
          </w:p>
        </w:tc>
        <w:tc>
          <w:tcPr>
            <w:tcW w:w="750"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 xml:space="preserve">Find the relationship between earnings management and CEO as Chairman </w:t>
            </w:r>
          </w:p>
        </w:tc>
        <w:tc>
          <w:tcPr>
            <w:tcW w:w="750" w:type="pct"/>
          </w:tcPr>
          <w:p w:rsidR="00AB54B5" w:rsidRPr="003C5640" w:rsidRDefault="00AB54B5" w:rsidP="00AB54B5">
            <w:pPr>
              <w:autoSpaceDE w:val="0"/>
              <w:autoSpaceDN w:val="0"/>
              <w:adjustRightInd w:val="0"/>
              <w:spacing w:before="0" w:after="0" w:line="240" w:lineRule="auto"/>
              <w:jc w:val="left"/>
              <w:rPr>
                <w:rFonts w:cs="Times New Roman"/>
                <w:sz w:val="20"/>
                <w:szCs w:val="20"/>
              </w:rPr>
            </w:pPr>
            <w:r w:rsidRPr="003C5640">
              <w:rPr>
                <w:rFonts w:cs="Times New Roman"/>
                <w:sz w:val="20"/>
                <w:szCs w:val="20"/>
              </w:rPr>
              <w:t>A sample of 173 firms which CEO is Chairman and 112 firms which CEO and chairman is separated during 1982-1992.</w:t>
            </w:r>
          </w:p>
          <w:p w:rsidR="00AB54B5" w:rsidRPr="003C5640" w:rsidRDefault="00AB54B5" w:rsidP="00AB54B5">
            <w:pPr>
              <w:spacing w:before="0" w:after="0" w:line="240" w:lineRule="auto"/>
              <w:jc w:val="left"/>
              <w:rPr>
                <w:rFonts w:cs="Times New Roman"/>
                <w:sz w:val="20"/>
                <w:szCs w:val="20"/>
              </w:rPr>
            </w:pPr>
          </w:p>
        </w:tc>
        <w:tc>
          <w:tcPr>
            <w:tcW w:w="1001" w:type="pct"/>
          </w:tcPr>
          <w:p w:rsidR="00AB54B5" w:rsidRPr="003C5640" w:rsidRDefault="00AB54B5" w:rsidP="00AB54B5">
            <w:pPr>
              <w:autoSpaceDE w:val="0"/>
              <w:autoSpaceDN w:val="0"/>
              <w:adjustRightInd w:val="0"/>
              <w:spacing w:before="0" w:after="0" w:line="240" w:lineRule="auto"/>
              <w:jc w:val="left"/>
              <w:rPr>
                <w:rFonts w:cs="Times New Roman"/>
                <w:sz w:val="20"/>
                <w:szCs w:val="20"/>
              </w:rPr>
            </w:pPr>
            <w:r w:rsidRPr="003C5640">
              <w:rPr>
                <w:rFonts w:cs="Times New Roman"/>
                <w:sz w:val="20"/>
                <w:szCs w:val="20"/>
              </w:rPr>
              <w:t>Using Modified Jones Model to measure earnings management.</w:t>
            </w:r>
          </w:p>
          <w:p w:rsidR="00AB54B5" w:rsidRPr="003C5640" w:rsidRDefault="00AB54B5" w:rsidP="00AB54B5">
            <w:pPr>
              <w:autoSpaceDE w:val="0"/>
              <w:autoSpaceDN w:val="0"/>
              <w:adjustRightInd w:val="0"/>
              <w:spacing w:before="0" w:after="0" w:line="240" w:lineRule="auto"/>
              <w:jc w:val="left"/>
              <w:rPr>
                <w:rFonts w:cs="Times New Roman"/>
                <w:sz w:val="20"/>
                <w:szCs w:val="20"/>
              </w:rPr>
            </w:pPr>
            <w:r w:rsidRPr="003C5640">
              <w:rPr>
                <w:rFonts w:cs="Times New Roman"/>
                <w:sz w:val="20"/>
                <w:szCs w:val="20"/>
              </w:rPr>
              <w:t>Ordinary Least Square Regression for statistical analysis.</w:t>
            </w:r>
          </w:p>
        </w:tc>
        <w:tc>
          <w:tcPr>
            <w:tcW w:w="997"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CEO duality related to greater income-increasing earnings management.</w:t>
            </w:r>
          </w:p>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Poor firm performance gives CEO a big pressure. This is a motivation for earnings management.</w:t>
            </w:r>
          </w:p>
        </w:tc>
      </w:tr>
      <w:tr w:rsidR="00AB54B5" w:rsidRPr="003C5640" w:rsidTr="000C664C">
        <w:trPr>
          <w:trHeight w:val="1152"/>
        </w:trPr>
        <w:tc>
          <w:tcPr>
            <w:tcW w:w="751" w:type="pct"/>
          </w:tcPr>
          <w:p w:rsidR="00AB54B5" w:rsidRPr="003C5640" w:rsidRDefault="00776B8F" w:rsidP="00AB54B5">
            <w:pPr>
              <w:spacing w:before="0" w:after="0" w:line="240" w:lineRule="auto"/>
              <w:jc w:val="left"/>
              <w:rPr>
                <w:rFonts w:cs="Times New Roman"/>
                <w:sz w:val="20"/>
                <w:szCs w:val="20"/>
              </w:rPr>
            </w:pPr>
            <w:r>
              <w:rPr>
                <w:rFonts w:cs="Times New Roman"/>
                <w:noProof/>
                <w:sz w:val="20"/>
                <w:szCs w:val="20"/>
              </w:rPr>
              <w:lastRenderedPageBreak/>
              <w:t>5</w:t>
            </w:r>
            <w:r w:rsidR="00AB54B5" w:rsidRPr="003C5640">
              <w:rPr>
                <w:rFonts w:cs="Times New Roman"/>
                <w:noProof/>
                <w:sz w:val="20"/>
                <w:szCs w:val="20"/>
              </w:rPr>
              <w:t>. Earnings management and internal mechanisms of corporate governance: Empirical evidence from Chilean firms (2005)</w:t>
            </w:r>
          </w:p>
        </w:tc>
        <w:tc>
          <w:tcPr>
            <w:tcW w:w="751" w:type="pct"/>
          </w:tcPr>
          <w:p w:rsidR="00AB54B5" w:rsidRDefault="00AB54B5" w:rsidP="00AB54B5">
            <w:pPr>
              <w:spacing w:before="0" w:after="0" w:line="240" w:lineRule="auto"/>
              <w:jc w:val="left"/>
              <w:rPr>
                <w:rFonts w:eastAsia="Times New Roman" w:cs="Times New Roman"/>
                <w:sz w:val="20"/>
                <w:szCs w:val="20"/>
              </w:rPr>
            </w:pPr>
            <w:r w:rsidRPr="003C5640">
              <w:rPr>
                <w:rFonts w:eastAsia="Times New Roman" w:cs="Times New Roman"/>
                <w:sz w:val="20"/>
                <w:szCs w:val="20"/>
              </w:rPr>
              <w:t>Iturriaga</w:t>
            </w:r>
            <w:r>
              <w:rPr>
                <w:rFonts w:eastAsia="Times New Roman" w:cs="Times New Roman"/>
                <w:sz w:val="20"/>
                <w:szCs w:val="20"/>
              </w:rPr>
              <w:t>,</w:t>
            </w:r>
            <w:r w:rsidRPr="003C5640">
              <w:rPr>
                <w:rFonts w:eastAsia="Times New Roman" w:cs="Times New Roman"/>
                <w:sz w:val="20"/>
                <w:szCs w:val="20"/>
              </w:rPr>
              <w:t xml:space="preserve"> Félix J. López</w:t>
            </w:r>
            <w:r>
              <w:rPr>
                <w:rFonts w:eastAsia="Times New Roman" w:cs="Times New Roman"/>
                <w:sz w:val="20"/>
                <w:szCs w:val="20"/>
              </w:rPr>
              <w:t>.</w:t>
            </w:r>
          </w:p>
          <w:p w:rsidR="00AB54B5" w:rsidRPr="003C5640" w:rsidRDefault="00AB54B5" w:rsidP="00AB54B5">
            <w:pPr>
              <w:spacing w:before="0" w:after="0" w:line="240" w:lineRule="auto"/>
              <w:jc w:val="left"/>
              <w:rPr>
                <w:rFonts w:eastAsia="Times New Roman" w:cs="Times New Roman"/>
                <w:sz w:val="20"/>
                <w:szCs w:val="20"/>
              </w:rPr>
            </w:pPr>
            <w:r w:rsidRPr="003C5640">
              <w:rPr>
                <w:rFonts w:eastAsia="Times New Roman" w:cs="Times New Roman"/>
                <w:sz w:val="20"/>
                <w:szCs w:val="20"/>
              </w:rPr>
              <w:t>Hoffmann, Paolo Saona</w:t>
            </w:r>
            <w:r>
              <w:rPr>
                <w:rFonts w:eastAsia="Times New Roman" w:cs="Times New Roman"/>
                <w:sz w:val="20"/>
                <w:szCs w:val="20"/>
              </w:rPr>
              <w:t>.</w:t>
            </w:r>
          </w:p>
          <w:p w:rsidR="00AB54B5" w:rsidRPr="003C5640" w:rsidRDefault="00AB54B5" w:rsidP="00AB54B5">
            <w:pPr>
              <w:spacing w:before="0" w:after="0" w:line="240" w:lineRule="auto"/>
              <w:jc w:val="left"/>
              <w:rPr>
                <w:rFonts w:cs="Times New Roman"/>
                <w:sz w:val="20"/>
                <w:szCs w:val="20"/>
              </w:rPr>
            </w:pPr>
          </w:p>
        </w:tc>
        <w:tc>
          <w:tcPr>
            <w:tcW w:w="750"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Analyze the ownership structure as a control tool to managers and firms in order to reduce the accounting discretionary behaviors.</w:t>
            </w:r>
          </w:p>
        </w:tc>
        <w:tc>
          <w:tcPr>
            <w:tcW w:w="750" w:type="pct"/>
          </w:tcPr>
          <w:p w:rsidR="00AB54B5" w:rsidRPr="003C5640" w:rsidRDefault="00AB54B5" w:rsidP="00AB54B5">
            <w:pPr>
              <w:autoSpaceDE w:val="0"/>
              <w:autoSpaceDN w:val="0"/>
              <w:adjustRightInd w:val="0"/>
              <w:spacing w:before="0" w:after="0" w:line="240" w:lineRule="auto"/>
              <w:jc w:val="left"/>
              <w:rPr>
                <w:rFonts w:cs="Times New Roman"/>
                <w:sz w:val="20"/>
                <w:szCs w:val="20"/>
              </w:rPr>
            </w:pPr>
            <w:r w:rsidRPr="003C5640">
              <w:rPr>
                <w:rFonts w:cs="Times New Roman"/>
                <w:sz w:val="20"/>
                <w:szCs w:val="20"/>
              </w:rPr>
              <w:t>A sample of 185 Chilean non-financial firms during 1991-2001.</w:t>
            </w:r>
          </w:p>
        </w:tc>
        <w:tc>
          <w:tcPr>
            <w:tcW w:w="1001"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The Jones’ model for detecting earnings management.</w:t>
            </w:r>
          </w:p>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Fixed effect regression</w:t>
            </w:r>
            <w:r w:rsidR="000428EC">
              <w:rPr>
                <w:rFonts w:cs="Times New Roman"/>
                <w:sz w:val="20"/>
                <w:szCs w:val="20"/>
              </w:rPr>
              <w:t>.</w:t>
            </w:r>
          </w:p>
        </w:tc>
        <w:tc>
          <w:tcPr>
            <w:tcW w:w="997" w:type="pct"/>
          </w:tcPr>
          <w:p w:rsidR="00AB54B5" w:rsidRPr="003C5640" w:rsidRDefault="00AB54B5" w:rsidP="00AB54B5">
            <w:pPr>
              <w:spacing w:before="0" w:after="0" w:line="240" w:lineRule="auto"/>
              <w:jc w:val="left"/>
              <w:rPr>
                <w:rFonts w:cs="Times New Roman"/>
                <w:sz w:val="20"/>
                <w:szCs w:val="20"/>
              </w:rPr>
            </w:pPr>
            <w:r w:rsidRPr="003C5640">
              <w:rPr>
                <w:rFonts w:cs="Times New Roman"/>
                <w:sz w:val="20"/>
                <w:szCs w:val="20"/>
              </w:rPr>
              <w:t xml:space="preserve">High level of block holder ownership can reduce earnings management. </w:t>
            </w:r>
          </w:p>
          <w:p w:rsidR="00AB54B5" w:rsidRPr="003C5640" w:rsidRDefault="00AB54B5" w:rsidP="00AB54B5">
            <w:pPr>
              <w:spacing w:before="0" w:after="0" w:line="240" w:lineRule="auto"/>
              <w:jc w:val="left"/>
              <w:rPr>
                <w:rFonts w:cs="Times New Roman"/>
                <w:sz w:val="20"/>
                <w:szCs w:val="20"/>
              </w:rPr>
            </w:pPr>
          </w:p>
          <w:p w:rsidR="00AB54B5" w:rsidRPr="003C5640" w:rsidRDefault="00AB54B5" w:rsidP="00AB54B5">
            <w:pPr>
              <w:spacing w:before="0" w:after="0" w:line="240" w:lineRule="auto"/>
              <w:jc w:val="left"/>
              <w:rPr>
                <w:rFonts w:cs="Times New Roman"/>
                <w:sz w:val="20"/>
                <w:szCs w:val="20"/>
              </w:rPr>
            </w:pPr>
          </w:p>
          <w:p w:rsidR="00AB54B5" w:rsidRPr="003C5640" w:rsidRDefault="00AB54B5" w:rsidP="00AB54B5">
            <w:pPr>
              <w:spacing w:before="0" w:after="0" w:line="240" w:lineRule="auto"/>
              <w:jc w:val="left"/>
              <w:rPr>
                <w:rFonts w:cs="Times New Roman"/>
                <w:sz w:val="20"/>
                <w:szCs w:val="20"/>
              </w:rPr>
            </w:pPr>
          </w:p>
          <w:p w:rsidR="00AB54B5" w:rsidRPr="003C5640" w:rsidRDefault="00AB54B5" w:rsidP="00AB54B5">
            <w:pPr>
              <w:spacing w:before="0" w:after="0" w:line="240" w:lineRule="auto"/>
              <w:jc w:val="left"/>
              <w:rPr>
                <w:rFonts w:cs="Times New Roman"/>
                <w:sz w:val="20"/>
                <w:szCs w:val="20"/>
              </w:rPr>
            </w:pPr>
          </w:p>
        </w:tc>
      </w:tr>
      <w:tr w:rsidR="00E20DD4" w:rsidRPr="003C5640" w:rsidTr="00E20DD4">
        <w:trPr>
          <w:trHeight w:val="1250"/>
        </w:trPr>
        <w:tc>
          <w:tcPr>
            <w:tcW w:w="751" w:type="pct"/>
          </w:tcPr>
          <w:p w:rsidR="00E20DD4" w:rsidRPr="003C5640" w:rsidRDefault="0025519E" w:rsidP="00E20DD4">
            <w:pPr>
              <w:spacing w:before="0" w:after="0" w:line="240" w:lineRule="auto"/>
              <w:jc w:val="left"/>
              <w:rPr>
                <w:rFonts w:cs="Times New Roman"/>
                <w:sz w:val="20"/>
                <w:szCs w:val="20"/>
              </w:rPr>
            </w:pPr>
            <w:r>
              <w:rPr>
                <w:rFonts w:cs="Times New Roman"/>
                <w:sz w:val="20"/>
                <w:szCs w:val="20"/>
              </w:rPr>
              <w:t>6</w:t>
            </w:r>
            <w:r w:rsidR="00E20DD4" w:rsidRPr="003C5640">
              <w:rPr>
                <w:rFonts w:cs="Times New Roman"/>
                <w:sz w:val="20"/>
                <w:szCs w:val="20"/>
              </w:rPr>
              <w:t xml:space="preserve">. Audit committee, board of director’s characteristics and earnings management (2002) </w:t>
            </w:r>
          </w:p>
        </w:tc>
        <w:tc>
          <w:tcPr>
            <w:tcW w:w="751" w:type="pct"/>
          </w:tcPr>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Klein, April</w:t>
            </w:r>
          </w:p>
        </w:tc>
        <w:tc>
          <w:tcPr>
            <w:tcW w:w="750" w:type="pct"/>
          </w:tcPr>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Examine whether board items and audit committee affect earnings management.</w:t>
            </w:r>
          </w:p>
        </w:tc>
        <w:tc>
          <w:tcPr>
            <w:tcW w:w="750" w:type="pct"/>
          </w:tcPr>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692 listed firms selected from SEC filed proxy statement during 1992-1993.</w:t>
            </w:r>
          </w:p>
        </w:tc>
        <w:tc>
          <w:tcPr>
            <w:tcW w:w="1001" w:type="pct"/>
          </w:tcPr>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Cross-section of the Modified Jones Model analysis.</w:t>
            </w:r>
          </w:p>
        </w:tc>
        <w:tc>
          <w:tcPr>
            <w:tcW w:w="997" w:type="pct"/>
          </w:tcPr>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Negative relationship between abnormal accruals and independent directors.</w:t>
            </w:r>
          </w:p>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Control variables: firm size and debt.</w:t>
            </w:r>
          </w:p>
        </w:tc>
      </w:tr>
      <w:tr w:rsidR="00E20DD4" w:rsidRPr="003C5640" w:rsidTr="00E20DD4">
        <w:trPr>
          <w:trHeight w:val="1430"/>
        </w:trPr>
        <w:tc>
          <w:tcPr>
            <w:tcW w:w="751" w:type="pct"/>
          </w:tcPr>
          <w:p w:rsidR="00E20DD4" w:rsidRPr="003C5640" w:rsidRDefault="0061464D" w:rsidP="00E20DD4">
            <w:pPr>
              <w:spacing w:before="0" w:after="0" w:line="240" w:lineRule="auto"/>
              <w:jc w:val="left"/>
              <w:rPr>
                <w:rFonts w:cs="Times New Roman"/>
                <w:sz w:val="20"/>
                <w:szCs w:val="20"/>
              </w:rPr>
            </w:pPr>
            <w:r>
              <w:rPr>
                <w:rFonts w:cs="Times New Roman"/>
                <w:sz w:val="20"/>
                <w:szCs w:val="20"/>
              </w:rPr>
              <w:t>7</w:t>
            </w:r>
            <w:r w:rsidR="00E20DD4" w:rsidRPr="003C5640">
              <w:rPr>
                <w:rFonts w:cs="Times New Roman"/>
                <w:sz w:val="20"/>
                <w:szCs w:val="20"/>
              </w:rPr>
              <w:t>. Board composition and earnings management in Canada (2004)</w:t>
            </w:r>
          </w:p>
        </w:tc>
        <w:tc>
          <w:tcPr>
            <w:tcW w:w="751" w:type="pct"/>
          </w:tcPr>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Park, Yun</w:t>
            </w:r>
            <w:r>
              <w:rPr>
                <w:rFonts w:cs="Times New Roman"/>
                <w:sz w:val="20"/>
                <w:szCs w:val="20"/>
              </w:rPr>
              <w:t>.</w:t>
            </w:r>
            <w:r w:rsidRPr="003C5640">
              <w:rPr>
                <w:rFonts w:cs="Times New Roman"/>
                <w:sz w:val="20"/>
                <w:szCs w:val="20"/>
              </w:rPr>
              <w:t xml:space="preserve"> W.</w:t>
            </w:r>
          </w:p>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Shin, Hyun-Han</w:t>
            </w:r>
            <w:r>
              <w:rPr>
                <w:rFonts w:cs="Times New Roman"/>
                <w:sz w:val="20"/>
                <w:szCs w:val="20"/>
              </w:rPr>
              <w:t>.</w:t>
            </w:r>
          </w:p>
        </w:tc>
        <w:tc>
          <w:tcPr>
            <w:tcW w:w="750" w:type="pct"/>
          </w:tcPr>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Investigate the relationship between board composition and earnings management based on Canadian companies.</w:t>
            </w:r>
          </w:p>
        </w:tc>
        <w:tc>
          <w:tcPr>
            <w:tcW w:w="750" w:type="pct"/>
          </w:tcPr>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539 listed firm-observations of Canada from Global Vantage Database during 1991 to 1997.</w:t>
            </w:r>
          </w:p>
        </w:tc>
        <w:tc>
          <w:tcPr>
            <w:tcW w:w="1001" w:type="pct"/>
          </w:tcPr>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Econometric model and OLS regression</w:t>
            </w:r>
            <w:r w:rsidR="000428EC">
              <w:rPr>
                <w:rFonts w:cs="Times New Roman"/>
                <w:sz w:val="20"/>
                <w:szCs w:val="20"/>
              </w:rPr>
              <w:t>.</w:t>
            </w:r>
          </w:p>
        </w:tc>
        <w:tc>
          <w:tcPr>
            <w:tcW w:w="997" w:type="pct"/>
          </w:tcPr>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Managers are more likely to manipulate income-increasing earnings.</w:t>
            </w:r>
          </w:p>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No relationship between independent directors and earnings management.</w:t>
            </w:r>
          </w:p>
        </w:tc>
      </w:tr>
      <w:tr w:rsidR="00E20DD4" w:rsidRPr="003C5640" w:rsidTr="00E20DD4">
        <w:trPr>
          <w:trHeight w:val="1187"/>
        </w:trPr>
        <w:tc>
          <w:tcPr>
            <w:tcW w:w="751" w:type="pct"/>
          </w:tcPr>
          <w:p w:rsidR="00E20DD4" w:rsidRPr="003C5640" w:rsidRDefault="00FC0AB0" w:rsidP="00E20DD4">
            <w:pPr>
              <w:spacing w:before="0" w:after="0" w:line="240" w:lineRule="auto"/>
              <w:jc w:val="left"/>
              <w:rPr>
                <w:rFonts w:cs="Times New Roman"/>
                <w:sz w:val="20"/>
                <w:szCs w:val="20"/>
              </w:rPr>
            </w:pPr>
            <w:r>
              <w:rPr>
                <w:rFonts w:cs="Times New Roman"/>
                <w:sz w:val="20"/>
                <w:szCs w:val="20"/>
              </w:rPr>
              <w:t>8</w:t>
            </w:r>
            <w:r w:rsidR="00E20DD4" w:rsidRPr="003C5640">
              <w:rPr>
                <w:rFonts w:cs="Times New Roman"/>
                <w:sz w:val="20"/>
                <w:szCs w:val="20"/>
              </w:rPr>
              <w:t>. Earnings Management and Corporate Governance in Asia’s Emerging Markets (2007)</w:t>
            </w:r>
          </w:p>
        </w:tc>
        <w:tc>
          <w:tcPr>
            <w:tcW w:w="751" w:type="pct"/>
          </w:tcPr>
          <w:p w:rsidR="00E20DD4" w:rsidRPr="003C5640" w:rsidRDefault="00E20DD4" w:rsidP="00E20DD4">
            <w:pPr>
              <w:spacing w:before="0" w:after="0" w:line="240" w:lineRule="auto"/>
              <w:jc w:val="left"/>
              <w:rPr>
                <w:rFonts w:eastAsia="Times New Roman" w:cs="Times New Roman"/>
                <w:sz w:val="20"/>
                <w:szCs w:val="20"/>
              </w:rPr>
            </w:pPr>
            <w:r>
              <w:rPr>
                <w:rFonts w:eastAsia="Times New Roman" w:cs="Times New Roman"/>
                <w:sz w:val="20"/>
                <w:szCs w:val="20"/>
              </w:rPr>
              <w:t>Shen, Chung-Hua.</w:t>
            </w:r>
          </w:p>
          <w:p w:rsidR="00E20DD4" w:rsidRPr="003C5640" w:rsidRDefault="00E20DD4" w:rsidP="00E20DD4">
            <w:pPr>
              <w:spacing w:before="0" w:after="0" w:line="240" w:lineRule="auto"/>
              <w:jc w:val="left"/>
              <w:rPr>
                <w:rFonts w:cs="Times New Roman"/>
                <w:sz w:val="20"/>
                <w:szCs w:val="20"/>
              </w:rPr>
            </w:pPr>
            <w:r>
              <w:rPr>
                <w:rFonts w:eastAsia="Times New Roman" w:cs="Times New Roman"/>
                <w:sz w:val="20"/>
                <w:szCs w:val="20"/>
              </w:rPr>
              <w:t>Chih, Hsiang-L</w:t>
            </w:r>
            <w:r w:rsidRPr="003C5640">
              <w:rPr>
                <w:rFonts w:eastAsia="Times New Roman" w:cs="Times New Roman"/>
                <w:sz w:val="20"/>
                <w:szCs w:val="20"/>
              </w:rPr>
              <w:t>in.</w:t>
            </w:r>
          </w:p>
        </w:tc>
        <w:tc>
          <w:tcPr>
            <w:tcW w:w="750" w:type="pct"/>
          </w:tcPr>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Study the effects of corporate governance on earnings management.</w:t>
            </w:r>
          </w:p>
        </w:tc>
        <w:tc>
          <w:tcPr>
            <w:tcW w:w="750" w:type="pct"/>
          </w:tcPr>
          <w:p w:rsidR="00E20DD4" w:rsidRPr="003C5640" w:rsidRDefault="00E20DD4" w:rsidP="00E20DD4">
            <w:pPr>
              <w:autoSpaceDE w:val="0"/>
              <w:autoSpaceDN w:val="0"/>
              <w:adjustRightInd w:val="0"/>
              <w:spacing w:before="0" w:after="0" w:line="240" w:lineRule="auto"/>
              <w:jc w:val="left"/>
              <w:rPr>
                <w:rFonts w:cs="Times New Roman"/>
                <w:sz w:val="20"/>
                <w:szCs w:val="20"/>
              </w:rPr>
            </w:pPr>
            <w:r w:rsidRPr="003C5640">
              <w:rPr>
                <w:rFonts w:cs="Times New Roman"/>
                <w:sz w:val="20"/>
                <w:szCs w:val="20"/>
              </w:rPr>
              <w:t>495 companies in 25 emerging countries during April 2001-February 2002.</w:t>
            </w:r>
          </w:p>
        </w:tc>
        <w:tc>
          <w:tcPr>
            <w:tcW w:w="1001" w:type="pct"/>
          </w:tcPr>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Econometric model and OLS regression.</w:t>
            </w:r>
          </w:p>
          <w:p w:rsidR="00E20DD4" w:rsidRPr="003C5640" w:rsidRDefault="00E20DD4" w:rsidP="00E20DD4">
            <w:pPr>
              <w:spacing w:before="0" w:after="0" w:line="240" w:lineRule="auto"/>
              <w:jc w:val="left"/>
              <w:rPr>
                <w:rFonts w:cs="Times New Roman"/>
                <w:sz w:val="20"/>
                <w:szCs w:val="20"/>
              </w:rPr>
            </w:pPr>
          </w:p>
        </w:tc>
        <w:tc>
          <w:tcPr>
            <w:tcW w:w="997" w:type="pct"/>
          </w:tcPr>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Companies with good corporate governance have lower activities of earnings management.</w:t>
            </w:r>
          </w:p>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Large firms are more likely to manipulate earnings.</w:t>
            </w:r>
          </w:p>
        </w:tc>
      </w:tr>
      <w:tr w:rsidR="00443250" w:rsidRPr="003C5640" w:rsidTr="000C664C">
        <w:trPr>
          <w:trHeight w:val="1440"/>
        </w:trPr>
        <w:tc>
          <w:tcPr>
            <w:tcW w:w="751" w:type="pct"/>
          </w:tcPr>
          <w:p w:rsidR="00443250" w:rsidRPr="003C5640" w:rsidRDefault="00443250" w:rsidP="00443250">
            <w:pPr>
              <w:spacing w:before="0" w:after="0" w:line="240" w:lineRule="auto"/>
              <w:jc w:val="left"/>
              <w:rPr>
                <w:rFonts w:cs="Times New Roman"/>
                <w:sz w:val="20"/>
                <w:szCs w:val="20"/>
              </w:rPr>
            </w:pPr>
            <w:r w:rsidRPr="003C5640">
              <w:rPr>
                <w:rFonts w:cs="Times New Roman"/>
                <w:sz w:val="20"/>
                <w:szCs w:val="20"/>
              </w:rPr>
              <w:t>9. Managerial ownership, accounting choices, and informativeness of earnings (1995)</w:t>
            </w:r>
          </w:p>
        </w:tc>
        <w:tc>
          <w:tcPr>
            <w:tcW w:w="751" w:type="pct"/>
          </w:tcPr>
          <w:p w:rsidR="00443250" w:rsidRPr="003C5640" w:rsidRDefault="00443250" w:rsidP="00443250">
            <w:pPr>
              <w:spacing w:before="0" w:after="0" w:line="240" w:lineRule="auto"/>
              <w:jc w:val="left"/>
              <w:rPr>
                <w:rFonts w:eastAsia="Times New Roman" w:cs="Times New Roman"/>
                <w:sz w:val="20"/>
                <w:szCs w:val="20"/>
              </w:rPr>
            </w:pPr>
            <w:r w:rsidRPr="003C5640">
              <w:rPr>
                <w:rFonts w:eastAsia="Times New Roman" w:cs="Times New Roman"/>
                <w:sz w:val="20"/>
                <w:szCs w:val="20"/>
              </w:rPr>
              <w:t>Warfield, Terry D.</w:t>
            </w:r>
          </w:p>
          <w:p w:rsidR="00443250" w:rsidRPr="003C5640" w:rsidRDefault="00443250" w:rsidP="00443250">
            <w:pPr>
              <w:spacing w:before="0" w:after="0" w:line="240" w:lineRule="auto"/>
              <w:jc w:val="left"/>
              <w:rPr>
                <w:rFonts w:eastAsia="Times New Roman" w:cs="Times New Roman"/>
                <w:sz w:val="20"/>
                <w:szCs w:val="20"/>
              </w:rPr>
            </w:pPr>
            <w:r w:rsidRPr="003C5640">
              <w:rPr>
                <w:rFonts w:eastAsia="Times New Roman" w:cs="Times New Roman"/>
                <w:sz w:val="20"/>
                <w:szCs w:val="20"/>
              </w:rPr>
              <w:t>Wild, John J.</w:t>
            </w:r>
          </w:p>
          <w:p w:rsidR="00443250" w:rsidRPr="003C5640" w:rsidRDefault="00443250" w:rsidP="00443250">
            <w:pPr>
              <w:spacing w:before="0" w:after="0" w:line="240" w:lineRule="auto"/>
              <w:jc w:val="left"/>
              <w:rPr>
                <w:rFonts w:cs="Times New Roman"/>
                <w:sz w:val="20"/>
                <w:szCs w:val="20"/>
              </w:rPr>
            </w:pPr>
            <w:r w:rsidRPr="003C5640">
              <w:rPr>
                <w:rFonts w:eastAsia="Times New Roman" w:cs="Times New Roman"/>
                <w:sz w:val="20"/>
                <w:szCs w:val="20"/>
              </w:rPr>
              <w:t>Wild, Kenneth L.</w:t>
            </w:r>
          </w:p>
        </w:tc>
        <w:tc>
          <w:tcPr>
            <w:tcW w:w="750" w:type="pct"/>
          </w:tcPr>
          <w:p w:rsidR="00443250" w:rsidRPr="003C5640" w:rsidRDefault="00443250" w:rsidP="00443250">
            <w:pPr>
              <w:spacing w:before="0" w:after="0" w:line="240" w:lineRule="auto"/>
              <w:jc w:val="left"/>
              <w:rPr>
                <w:rFonts w:cs="Times New Roman"/>
                <w:sz w:val="20"/>
                <w:szCs w:val="20"/>
              </w:rPr>
            </w:pPr>
            <w:r w:rsidRPr="003C5640">
              <w:rPr>
                <w:rFonts w:cs="Times New Roman"/>
                <w:sz w:val="20"/>
                <w:szCs w:val="20"/>
              </w:rPr>
              <w:t>Analyze the impacts of managerial ownership on the informativeness of earnings and the level of discretionary accrual accounting.</w:t>
            </w:r>
          </w:p>
        </w:tc>
        <w:tc>
          <w:tcPr>
            <w:tcW w:w="750" w:type="pct"/>
          </w:tcPr>
          <w:p w:rsidR="00443250" w:rsidRPr="003C5640" w:rsidRDefault="00443250" w:rsidP="00443250">
            <w:pPr>
              <w:spacing w:before="0" w:after="0" w:line="240" w:lineRule="auto"/>
              <w:jc w:val="left"/>
              <w:rPr>
                <w:rFonts w:cs="Times New Roman"/>
                <w:sz w:val="20"/>
                <w:szCs w:val="20"/>
              </w:rPr>
            </w:pPr>
            <w:r w:rsidRPr="003C5640">
              <w:rPr>
                <w:rFonts w:cs="Times New Roman"/>
                <w:sz w:val="20"/>
                <w:szCs w:val="20"/>
              </w:rPr>
              <w:t xml:space="preserve">Around 1600 </w:t>
            </w:r>
            <w:r w:rsidR="000428EC" w:rsidRPr="003C5640">
              <w:rPr>
                <w:rFonts w:cs="Times New Roman"/>
                <w:sz w:val="20"/>
                <w:szCs w:val="20"/>
              </w:rPr>
              <w:t>firms</w:t>
            </w:r>
            <w:r w:rsidRPr="003C5640">
              <w:rPr>
                <w:rFonts w:cs="Times New Roman"/>
                <w:sz w:val="20"/>
                <w:szCs w:val="20"/>
              </w:rPr>
              <w:t xml:space="preserve"> and nearly 5000 annual reports during 1988-1990.</w:t>
            </w:r>
          </w:p>
        </w:tc>
        <w:tc>
          <w:tcPr>
            <w:tcW w:w="1001" w:type="pct"/>
          </w:tcPr>
          <w:p w:rsidR="00443250" w:rsidRPr="003C5640" w:rsidRDefault="00443250" w:rsidP="00443250">
            <w:pPr>
              <w:spacing w:before="0" w:after="0" w:line="240" w:lineRule="auto"/>
              <w:jc w:val="left"/>
              <w:rPr>
                <w:rFonts w:cs="Times New Roman"/>
                <w:sz w:val="20"/>
                <w:szCs w:val="20"/>
              </w:rPr>
            </w:pPr>
            <w:r w:rsidRPr="003C5640">
              <w:rPr>
                <w:rFonts w:cs="Times New Roman"/>
                <w:sz w:val="20"/>
                <w:szCs w:val="20"/>
              </w:rPr>
              <w:t>Ordinary Least Square</w:t>
            </w:r>
            <w:r w:rsidR="006D53B0">
              <w:rPr>
                <w:rFonts w:cs="Times New Roman"/>
                <w:sz w:val="20"/>
                <w:szCs w:val="20"/>
              </w:rPr>
              <w:t>s</w:t>
            </w:r>
            <w:r w:rsidRPr="003C5640">
              <w:rPr>
                <w:rFonts w:cs="Times New Roman"/>
                <w:sz w:val="20"/>
                <w:szCs w:val="20"/>
              </w:rPr>
              <w:t xml:space="preserve"> Regression for statistical analysis.</w:t>
            </w:r>
          </w:p>
        </w:tc>
        <w:tc>
          <w:tcPr>
            <w:tcW w:w="997" w:type="pct"/>
          </w:tcPr>
          <w:p w:rsidR="00443250" w:rsidRPr="003C5640" w:rsidRDefault="00443250" w:rsidP="00443250">
            <w:pPr>
              <w:spacing w:before="0" w:after="0" w:line="240" w:lineRule="auto"/>
              <w:jc w:val="left"/>
              <w:rPr>
                <w:rFonts w:cs="Times New Roman"/>
                <w:sz w:val="20"/>
                <w:szCs w:val="20"/>
              </w:rPr>
            </w:pPr>
            <w:r w:rsidRPr="003C5640">
              <w:rPr>
                <w:rFonts w:cs="Times New Roman"/>
                <w:sz w:val="20"/>
                <w:szCs w:val="20"/>
              </w:rPr>
              <w:t>Negative relationship between earnings management and managerial ownership.</w:t>
            </w:r>
          </w:p>
          <w:p w:rsidR="00443250" w:rsidRPr="003C5640" w:rsidRDefault="00443250" w:rsidP="00443250">
            <w:pPr>
              <w:spacing w:before="0" w:after="0" w:line="240" w:lineRule="auto"/>
              <w:jc w:val="left"/>
              <w:rPr>
                <w:rFonts w:cs="Times New Roman"/>
                <w:sz w:val="20"/>
                <w:szCs w:val="20"/>
              </w:rPr>
            </w:pPr>
            <w:r w:rsidRPr="003C5640">
              <w:rPr>
                <w:rFonts w:cs="Times New Roman"/>
                <w:sz w:val="20"/>
                <w:szCs w:val="20"/>
              </w:rPr>
              <w:t>Positive relationship between returns and managerial ownership.</w:t>
            </w:r>
          </w:p>
        </w:tc>
      </w:tr>
      <w:tr w:rsidR="00E20DD4" w:rsidRPr="003C5640" w:rsidTr="000C664C">
        <w:trPr>
          <w:trHeight w:val="1440"/>
        </w:trPr>
        <w:tc>
          <w:tcPr>
            <w:tcW w:w="751" w:type="pct"/>
          </w:tcPr>
          <w:p w:rsidR="00E20DD4" w:rsidRPr="003C5640" w:rsidRDefault="00742BDB" w:rsidP="00E20DD4">
            <w:pPr>
              <w:spacing w:before="0" w:after="0" w:line="240" w:lineRule="auto"/>
              <w:jc w:val="left"/>
              <w:rPr>
                <w:rFonts w:cs="Times New Roman"/>
                <w:sz w:val="20"/>
                <w:szCs w:val="20"/>
              </w:rPr>
            </w:pPr>
            <w:r>
              <w:rPr>
                <w:rFonts w:cs="Times New Roman"/>
                <w:sz w:val="20"/>
                <w:szCs w:val="20"/>
              </w:rPr>
              <w:t>10</w:t>
            </w:r>
            <w:r w:rsidR="00E20DD4" w:rsidRPr="003C5640">
              <w:rPr>
                <w:rFonts w:cs="Times New Roman"/>
                <w:sz w:val="20"/>
                <w:szCs w:val="20"/>
              </w:rPr>
              <w:t>. Earnings management and corporate governance : the role of the board and the audit committee (2003)</w:t>
            </w:r>
          </w:p>
        </w:tc>
        <w:tc>
          <w:tcPr>
            <w:tcW w:w="751" w:type="pct"/>
          </w:tcPr>
          <w:p w:rsidR="00E20DD4" w:rsidRPr="003C5640" w:rsidRDefault="00E20DD4" w:rsidP="00E20DD4">
            <w:pPr>
              <w:spacing w:before="0" w:after="0" w:line="240" w:lineRule="auto"/>
              <w:jc w:val="left"/>
              <w:rPr>
                <w:rFonts w:eastAsia="Times New Roman" w:cs="Times New Roman"/>
                <w:sz w:val="20"/>
                <w:szCs w:val="20"/>
              </w:rPr>
            </w:pPr>
            <w:r w:rsidRPr="003C5640">
              <w:rPr>
                <w:rFonts w:eastAsia="Times New Roman" w:cs="Times New Roman"/>
                <w:sz w:val="20"/>
                <w:szCs w:val="20"/>
              </w:rPr>
              <w:t>Xie, Biao,</w:t>
            </w:r>
          </w:p>
          <w:p w:rsidR="00E20DD4" w:rsidRPr="003C5640" w:rsidRDefault="00E20DD4" w:rsidP="00E20DD4">
            <w:pPr>
              <w:spacing w:before="0" w:after="0" w:line="240" w:lineRule="auto"/>
              <w:jc w:val="left"/>
              <w:rPr>
                <w:rFonts w:eastAsia="Times New Roman" w:cs="Times New Roman"/>
                <w:sz w:val="20"/>
                <w:szCs w:val="20"/>
              </w:rPr>
            </w:pPr>
            <w:r w:rsidRPr="003C5640">
              <w:rPr>
                <w:rFonts w:eastAsia="Times New Roman" w:cs="Times New Roman"/>
                <w:sz w:val="20"/>
                <w:szCs w:val="20"/>
              </w:rPr>
              <w:t>Davidson, Wallace N,</w:t>
            </w:r>
          </w:p>
          <w:p w:rsidR="00E20DD4" w:rsidRPr="003C5640" w:rsidRDefault="000428EC" w:rsidP="00E20DD4">
            <w:pPr>
              <w:spacing w:before="0" w:after="0" w:line="240" w:lineRule="auto"/>
              <w:jc w:val="left"/>
              <w:rPr>
                <w:rFonts w:cs="Times New Roman"/>
                <w:sz w:val="20"/>
                <w:szCs w:val="20"/>
              </w:rPr>
            </w:pPr>
            <w:r>
              <w:rPr>
                <w:rFonts w:eastAsia="Times New Roman" w:cs="Times New Roman"/>
                <w:sz w:val="20"/>
                <w:szCs w:val="20"/>
              </w:rPr>
              <w:t>DaD</w:t>
            </w:r>
            <w:r w:rsidR="00E20DD4" w:rsidRPr="003C5640">
              <w:rPr>
                <w:rFonts w:eastAsia="Times New Roman" w:cs="Times New Roman"/>
                <w:sz w:val="20"/>
                <w:szCs w:val="20"/>
              </w:rPr>
              <w:t>alt, Peter J</w:t>
            </w:r>
          </w:p>
        </w:tc>
        <w:tc>
          <w:tcPr>
            <w:tcW w:w="750" w:type="pct"/>
          </w:tcPr>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Investigate whether board characteristic, audit committee and executive committee affect earnings management.</w:t>
            </w:r>
          </w:p>
        </w:tc>
        <w:tc>
          <w:tcPr>
            <w:tcW w:w="750" w:type="pct"/>
          </w:tcPr>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281 listed firm</w:t>
            </w:r>
            <w:r w:rsidR="000428EC">
              <w:rPr>
                <w:rFonts w:cs="Times New Roman"/>
                <w:sz w:val="20"/>
                <w:szCs w:val="20"/>
              </w:rPr>
              <w:t>s</w:t>
            </w:r>
            <w:r w:rsidRPr="003C5640">
              <w:rPr>
                <w:rFonts w:cs="Times New Roman"/>
                <w:sz w:val="20"/>
                <w:szCs w:val="20"/>
              </w:rPr>
              <w:t xml:space="preserve"> collected from S&amp;P 500 index in 1992, 1994 and 1996. </w:t>
            </w:r>
          </w:p>
        </w:tc>
        <w:tc>
          <w:tcPr>
            <w:tcW w:w="1001" w:type="pct"/>
          </w:tcPr>
          <w:p w:rsidR="00E20DD4" w:rsidRPr="003C5640" w:rsidRDefault="00E20DD4" w:rsidP="00E20DD4">
            <w:pPr>
              <w:spacing w:before="0" w:after="0" w:line="240" w:lineRule="auto"/>
              <w:jc w:val="left"/>
              <w:rPr>
                <w:rFonts w:cs="Times New Roman"/>
                <w:sz w:val="20"/>
                <w:szCs w:val="20"/>
              </w:rPr>
            </w:pPr>
            <w:r>
              <w:rPr>
                <w:rFonts w:cs="Times New Roman"/>
                <w:sz w:val="20"/>
                <w:szCs w:val="20"/>
              </w:rPr>
              <w:t xml:space="preserve">OLS </w:t>
            </w:r>
            <w:r w:rsidRPr="003C5640">
              <w:rPr>
                <w:rFonts w:cs="Times New Roman"/>
                <w:sz w:val="20"/>
                <w:szCs w:val="20"/>
              </w:rPr>
              <w:t>regression; cross-sectional of the Modified-Jones Model</w:t>
            </w:r>
            <w:r w:rsidR="000428EC">
              <w:rPr>
                <w:rFonts w:cs="Times New Roman"/>
                <w:sz w:val="20"/>
                <w:szCs w:val="20"/>
              </w:rPr>
              <w:t>.</w:t>
            </w:r>
          </w:p>
        </w:tc>
        <w:tc>
          <w:tcPr>
            <w:tcW w:w="997" w:type="pct"/>
          </w:tcPr>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Audit committee and independent boards with corporate experience decrease the likelihood of earnings management.</w:t>
            </w:r>
          </w:p>
          <w:p w:rsidR="00E20DD4" w:rsidRPr="000428EC" w:rsidRDefault="00E20DD4" w:rsidP="00E20DD4">
            <w:pPr>
              <w:spacing w:before="0" w:after="0" w:line="240" w:lineRule="auto"/>
              <w:jc w:val="left"/>
              <w:rPr>
                <w:rFonts w:cs="Times New Roman"/>
                <w:sz w:val="20"/>
                <w:szCs w:val="20"/>
              </w:rPr>
            </w:pPr>
            <w:r w:rsidRPr="003C5640">
              <w:rPr>
                <w:rFonts w:cs="Times New Roman"/>
                <w:sz w:val="20"/>
                <w:szCs w:val="20"/>
              </w:rPr>
              <w:t>Meeting times are connected to reduce the level of earnings management</w:t>
            </w:r>
            <w:r w:rsidR="000428EC" w:rsidRPr="000428EC">
              <w:rPr>
                <w:rFonts w:cs="Times New Roman"/>
                <w:sz w:val="20"/>
                <w:szCs w:val="20"/>
              </w:rPr>
              <w:t>.</w:t>
            </w:r>
          </w:p>
        </w:tc>
      </w:tr>
      <w:tr w:rsidR="00E20DD4" w:rsidRPr="003C5640" w:rsidTr="00E20DD4">
        <w:trPr>
          <w:trHeight w:val="1340"/>
        </w:trPr>
        <w:tc>
          <w:tcPr>
            <w:tcW w:w="751" w:type="pct"/>
          </w:tcPr>
          <w:p w:rsidR="00E20DD4" w:rsidRPr="003C5640" w:rsidRDefault="001C1287" w:rsidP="00E20DD4">
            <w:pPr>
              <w:spacing w:before="0" w:after="0" w:line="240" w:lineRule="auto"/>
              <w:jc w:val="left"/>
              <w:rPr>
                <w:rFonts w:cs="Times New Roman"/>
                <w:sz w:val="20"/>
                <w:szCs w:val="20"/>
              </w:rPr>
            </w:pPr>
            <w:r>
              <w:rPr>
                <w:rFonts w:cs="Times New Roman"/>
                <w:sz w:val="20"/>
                <w:szCs w:val="20"/>
              </w:rPr>
              <w:t>11</w:t>
            </w:r>
            <w:r w:rsidR="00E20DD4" w:rsidRPr="003C5640">
              <w:rPr>
                <w:rFonts w:cs="Times New Roman"/>
                <w:sz w:val="20"/>
                <w:szCs w:val="20"/>
              </w:rPr>
              <w:t>. Managerial Ownership Structure and Earnings Management (2008)</w:t>
            </w:r>
          </w:p>
        </w:tc>
        <w:tc>
          <w:tcPr>
            <w:tcW w:w="751" w:type="pct"/>
          </w:tcPr>
          <w:p w:rsidR="00E20DD4" w:rsidRPr="00DF111B" w:rsidRDefault="00E20DD4" w:rsidP="00E20DD4">
            <w:pPr>
              <w:pStyle w:val="NormalWeb"/>
              <w:spacing w:before="0" w:beforeAutospacing="0" w:after="0" w:afterAutospacing="0"/>
              <w:rPr>
                <w:sz w:val="20"/>
                <w:szCs w:val="20"/>
                <w:lang w:val="en-US"/>
              </w:rPr>
            </w:pPr>
            <w:r w:rsidRPr="00DF111B">
              <w:rPr>
                <w:sz w:val="20"/>
                <w:szCs w:val="20"/>
                <w:lang w:val="en-US"/>
              </w:rPr>
              <w:t>Yang, Chi-Yih.</w:t>
            </w:r>
          </w:p>
          <w:p w:rsidR="00E20DD4" w:rsidRPr="00DF111B" w:rsidRDefault="00E20DD4" w:rsidP="00E20DD4">
            <w:pPr>
              <w:pStyle w:val="NormalWeb"/>
              <w:spacing w:before="0" w:beforeAutospacing="0" w:after="0" w:afterAutospacing="0"/>
              <w:rPr>
                <w:sz w:val="20"/>
                <w:szCs w:val="20"/>
                <w:lang w:val="en-US"/>
              </w:rPr>
            </w:pPr>
            <w:r w:rsidRPr="00DF111B">
              <w:rPr>
                <w:sz w:val="20"/>
                <w:szCs w:val="20"/>
                <w:lang w:val="en-US"/>
              </w:rPr>
              <w:t>Lai, Hung-Neng.</w:t>
            </w:r>
          </w:p>
          <w:p w:rsidR="00E20DD4" w:rsidRPr="003C5640" w:rsidRDefault="00E20DD4" w:rsidP="00E20DD4">
            <w:pPr>
              <w:pStyle w:val="NormalWeb"/>
              <w:spacing w:before="0" w:beforeAutospacing="0" w:after="0" w:afterAutospacing="0"/>
              <w:ind w:left="480" w:hanging="480"/>
              <w:rPr>
                <w:sz w:val="20"/>
                <w:szCs w:val="20"/>
              </w:rPr>
            </w:pPr>
            <w:r>
              <w:rPr>
                <w:sz w:val="20"/>
                <w:szCs w:val="20"/>
              </w:rPr>
              <w:t xml:space="preserve">Tan, Boon. </w:t>
            </w:r>
            <w:r w:rsidRPr="003C5640">
              <w:rPr>
                <w:sz w:val="20"/>
                <w:szCs w:val="20"/>
              </w:rPr>
              <w:t>Leing</w:t>
            </w:r>
            <w:r>
              <w:rPr>
                <w:sz w:val="20"/>
                <w:szCs w:val="20"/>
              </w:rPr>
              <w:t>.</w:t>
            </w:r>
          </w:p>
        </w:tc>
        <w:tc>
          <w:tcPr>
            <w:tcW w:w="750" w:type="pct"/>
          </w:tcPr>
          <w:p w:rsidR="00E20DD4" w:rsidRPr="003C5640" w:rsidRDefault="00E20DD4" w:rsidP="00E20DD4">
            <w:pPr>
              <w:spacing w:before="0" w:after="0" w:line="240" w:lineRule="auto"/>
              <w:jc w:val="left"/>
              <w:rPr>
                <w:rFonts w:cs="Times New Roman"/>
                <w:sz w:val="20"/>
                <w:szCs w:val="20"/>
              </w:rPr>
            </w:pPr>
            <w:r w:rsidRPr="003C5640">
              <w:rPr>
                <w:rFonts w:cs="Times New Roman"/>
                <w:iCs/>
                <w:color w:val="231F20"/>
                <w:sz w:val="20"/>
                <w:szCs w:val="20"/>
              </w:rPr>
              <w:t>Study the relationship between managerial ownership and earnings management.</w:t>
            </w:r>
          </w:p>
        </w:tc>
        <w:tc>
          <w:tcPr>
            <w:tcW w:w="750" w:type="pct"/>
          </w:tcPr>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A sample of 1306 listed firms collected from Taiwan Economic Journal (TEJ) database during 1997-2004.</w:t>
            </w:r>
          </w:p>
        </w:tc>
        <w:tc>
          <w:tcPr>
            <w:tcW w:w="1001" w:type="pct"/>
          </w:tcPr>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Econometric model</w:t>
            </w:r>
          </w:p>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 xml:space="preserve">longitudinal mixed model </w:t>
            </w:r>
          </w:p>
          <w:p w:rsidR="00E20DD4" w:rsidRPr="003C5640" w:rsidRDefault="00E20DD4" w:rsidP="009F582E">
            <w:pPr>
              <w:spacing w:before="0" w:after="0" w:line="240" w:lineRule="auto"/>
              <w:jc w:val="left"/>
              <w:rPr>
                <w:rFonts w:cs="Times New Roman"/>
                <w:sz w:val="20"/>
                <w:szCs w:val="20"/>
              </w:rPr>
            </w:pPr>
            <w:r w:rsidRPr="003C5640">
              <w:rPr>
                <w:rFonts w:cs="Times New Roman"/>
                <w:sz w:val="20"/>
                <w:szCs w:val="20"/>
              </w:rPr>
              <w:t>Restri</w:t>
            </w:r>
            <w:r w:rsidR="000428EC">
              <w:rPr>
                <w:rFonts w:cs="Times New Roman"/>
                <w:sz w:val="20"/>
                <w:szCs w:val="20"/>
              </w:rPr>
              <w:t>cted Maximum Likelihood (REML).</w:t>
            </w:r>
            <w:r w:rsidRPr="003C5640">
              <w:rPr>
                <w:rFonts w:cs="Times New Roman"/>
                <w:sz w:val="20"/>
                <w:szCs w:val="20"/>
              </w:rPr>
              <w:t xml:space="preserve"> </w:t>
            </w:r>
          </w:p>
        </w:tc>
        <w:tc>
          <w:tcPr>
            <w:tcW w:w="997" w:type="pct"/>
          </w:tcPr>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U-shaped relationship between inside ownership.</w:t>
            </w:r>
          </w:p>
          <w:p w:rsidR="00E20DD4" w:rsidRPr="003C5640" w:rsidRDefault="00E20DD4" w:rsidP="00E20DD4">
            <w:pPr>
              <w:spacing w:before="0" w:after="0" w:line="240" w:lineRule="auto"/>
              <w:jc w:val="left"/>
              <w:rPr>
                <w:rFonts w:cs="Times New Roman"/>
                <w:sz w:val="20"/>
                <w:szCs w:val="20"/>
              </w:rPr>
            </w:pPr>
            <w:r w:rsidRPr="003C5640">
              <w:rPr>
                <w:rFonts w:cs="Times New Roman"/>
                <w:sz w:val="20"/>
                <w:szCs w:val="20"/>
              </w:rPr>
              <w:t>Positive relationship between earnings management and director ownership, block holder ownership.</w:t>
            </w:r>
          </w:p>
        </w:tc>
      </w:tr>
    </w:tbl>
    <w:p w:rsidR="00A31FB3" w:rsidRDefault="00A31FB3" w:rsidP="008F0580"/>
    <w:p w:rsidR="00304C0C" w:rsidRDefault="00304C0C" w:rsidP="008F0580"/>
    <w:p w:rsidR="00304C0C" w:rsidRDefault="00304C0C" w:rsidP="008F0580"/>
    <w:sectPr w:rsidR="00304C0C" w:rsidSect="00443250">
      <w:pgSz w:w="15840" w:h="12240" w:orient="landscape"/>
      <w:pgMar w:top="720" w:right="864" w:bottom="720" w:left="864"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2CAF" w:rsidRDefault="005E2CAF" w:rsidP="00401E8D">
      <w:pPr>
        <w:spacing w:before="0" w:after="0" w:line="240" w:lineRule="auto"/>
      </w:pPr>
      <w:r>
        <w:separator/>
      </w:r>
    </w:p>
  </w:endnote>
  <w:endnote w:type="continuationSeparator" w:id="0">
    <w:p w:rsidR="005E2CAF" w:rsidRDefault="005E2CAF" w:rsidP="00401E8D">
      <w:pPr>
        <w:spacing w:before="0"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Tahoma"/>
    <w:panose1 w:val="02010600030101010101"/>
    <w:charset w:val="00"/>
    <w:family w:val="roman"/>
    <w:notTrueType/>
    <w:pitch w:val="default"/>
    <w:sig w:usb0="00000000" w:usb1="00000000" w:usb2="00000000" w:usb3="00000000" w:csb0="00000000" w:csb1="00000000"/>
  </w:font>
  <w:font w:name="Cambria Math">
    <w:panose1 w:val="02040503050406030204"/>
    <w:charset w:val="00"/>
    <w:family w:val="roman"/>
    <w:pitch w:val="variable"/>
    <w:sig w:usb0="E00002FF" w:usb1="42002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111B" w:rsidRPr="00C02539" w:rsidRDefault="00DF111B">
    <w:pPr>
      <w:pStyle w:val="Footer"/>
      <w:jc w:val="center"/>
      <w:rPr>
        <w:rFonts w:ascii="Times New Roman" w:hAnsi="Times New Roman" w:cs="Times New Roman"/>
        <w:sz w:val="20"/>
      </w:rPr>
    </w:pPr>
    <w:r w:rsidRPr="00C02539">
      <w:rPr>
        <w:rFonts w:ascii="Times New Roman" w:hAnsi="Times New Roman" w:cs="Times New Roman"/>
        <w:sz w:val="20"/>
      </w:rPr>
      <w:t xml:space="preserve">Page </w:t>
    </w:r>
    <w:sdt>
      <w:sdtPr>
        <w:rPr>
          <w:rFonts w:ascii="Times New Roman" w:hAnsi="Times New Roman" w:cs="Times New Roman"/>
          <w:sz w:val="20"/>
        </w:rPr>
        <w:id w:val="16177762"/>
        <w:docPartObj>
          <w:docPartGallery w:val="Page Numbers (Bottom of Page)"/>
          <w:docPartUnique/>
        </w:docPartObj>
      </w:sdtPr>
      <w:sdtContent>
        <w:r w:rsidR="00EF1EDC" w:rsidRPr="00C02539">
          <w:rPr>
            <w:rFonts w:ascii="Times New Roman" w:hAnsi="Times New Roman" w:cs="Times New Roman"/>
            <w:sz w:val="20"/>
          </w:rPr>
          <w:fldChar w:fldCharType="begin"/>
        </w:r>
        <w:r w:rsidRPr="003C5640">
          <w:rPr>
            <w:rFonts w:ascii="Times New Roman" w:hAnsi="Times New Roman" w:cs="Times New Roman"/>
            <w:sz w:val="20"/>
          </w:rPr>
          <w:instrText xml:space="preserve"> PAGE   \* MERGEFORMAT </w:instrText>
        </w:r>
        <w:r w:rsidR="00EF1EDC" w:rsidRPr="00C02539">
          <w:rPr>
            <w:rFonts w:ascii="Times New Roman" w:hAnsi="Times New Roman" w:cs="Times New Roman"/>
            <w:sz w:val="20"/>
          </w:rPr>
          <w:fldChar w:fldCharType="separate"/>
        </w:r>
        <w:r w:rsidR="00051CA5">
          <w:rPr>
            <w:rFonts w:ascii="Times New Roman" w:hAnsi="Times New Roman" w:cs="Times New Roman"/>
            <w:noProof/>
            <w:sz w:val="20"/>
          </w:rPr>
          <w:t>22</w:t>
        </w:r>
        <w:r w:rsidR="00EF1EDC" w:rsidRPr="00C02539">
          <w:rPr>
            <w:rFonts w:ascii="Times New Roman" w:hAnsi="Times New Roman" w:cs="Times New Roman"/>
            <w:sz w:val="20"/>
          </w:rPr>
          <w:fldChar w:fldCharType="end"/>
        </w:r>
      </w:sdtContent>
    </w:sdt>
  </w:p>
  <w:p w:rsidR="00DF111B" w:rsidRDefault="00DF111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111B" w:rsidRPr="003C5640" w:rsidRDefault="00DF111B">
    <w:pPr>
      <w:pStyle w:val="Footer"/>
      <w:jc w:val="center"/>
      <w:rPr>
        <w:rFonts w:ascii="Times New Roman" w:hAnsi="Times New Roman" w:cs="Times New Roman"/>
        <w:sz w:val="20"/>
      </w:rPr>
    </w:pPr>
    <w:r w:rsidRPr="003C5640">
      <w:rPr>
        <w:rFonts w:ascii="Times New Roman" w:hAnsi="Times New Roman" w:cs="Times New Roman"/>
        <w:sz w:val="20"/>
      </w:rPr>
      <w:t xml:space="preserve">Page </w:t>
    </w:r>
    <w:sdt>
      <w:sdtPr>
        <w:rPr>
          <w:rFonts w:ascii="Times New Roman" w:hAnsi="Times New Roman" w:cs="Times New Roman"/>
          <w:sz w:val="20"/>
        </w:rPr>
        <w:id w:val="16178883"/>
        <w:docPartObj>
          <w:docPartGallery w:val="Page Numbers (Bottom of Page)"/>
          <w:docPartUnique/>
        </w:docPartObj>
      </w:sdtPr>
      <w:sdtContent>
        <w:r w:rsidR="00EF1EDC" w:rsidRPr="003C5640">
          <w:rPr>
            <w:rFonts w:ascii="Times New Roman" w:hAnsi="Times New Roman" w:cs="Times New Roman"/>
            <w:sz w:val="20"/>
          </w:rPr>
          <w:fldChar w:fldCharType="begin"/>
        </w:r>
        <w:r w:rsidRPr="003C5640">
          <w:rPr>
            <w:rFonts w:ascii="Times New Roman" w:hAnsi="Times New Roman" w:cs="Times New Roman"/>
            <w:sz w:val="20"/>
          </w:rPr>
          <w:instrText xml:space="preserve"> PAGE   \* MERGEFORMAT </w:instrText>
        </w:r>
        <w:r w:rsidR="00EF1EDC" w:rsidRPr="003C5640">
          <w:rPr>
            <w:rFonts w:ascii="Times New Roman" w:hAnsi="Times New Roman" w:cs="Times New Roman"/>
            <w:sz w:val="20"/>
          </w:rPr>
          <w:fldChar w:fldCharType="separate"/>
        </w:r>
        <w:r w:rsidR="00051CA5">
          <w:rPr>
            <w:rFonts w:ascii="Times New Roman" w:hAnsi="Times New Roman" w:cs="Times New Roman"/>
            <w:noProof/>
            <w:sz w:val="20"/>
          </w:rPr>
          <w:t>70</w:t>
        </w:r>
        <w:r w:rsidR="00EF1EDC" w:rsidRPr="003C5640">
          <w:rPr>
            <w:rFonts w:ascii="Times New Roman" w:hAnsi="Times New Roman" w:cs="Times New Roman"/>
            <w:sz w:val="20"/>
          </w:rPr>
          <w:fldChar w:fldCharType="end"/>
        </w:r>
      </w:sdtContent>
    </w:sdt>
  </w:p>
  <w:p w:rsidR="00DF111B" w:rsidRPr="00D15847" w:rsidRDefault="00DF111B">
    <w:pPr>
      <w:pStyle w:val="Footer"/>
      <w:rPr>
        <w:rFonts w:ascii="Times New Roman" w:hAnsi="Times New Roman" w:cs="Times New Roman"/>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2CAF" w:rsidRDefault="005E2CAF" w:rsidP="00401E8D">
      <w:pPr>
        <w:spacing w:before="0" w:after="0" w:line="240" w:lineRule="auto"/>
      </w:pPr>
      <w:r>
        <w:separator/>
      </w:r>
    </w:p>
  </w:footnote>
  <w:footnote w:type="continuationSeparator" w:id="0">
    <w:p w:rsidR="005E2CAF" w:rsidRDefault="005E2CAF" w:rsidP="00401E8D">
      <w:pPr>
        <w:spacing w:before="0" w:after="0" w:line="240" w:lineRule="auto"/>
      </w:pPr>
      <w:r>
        <w:continuationSeparator/>
      </w:r>
    </w:p>
  </w:footnote>
  <w:footnote w:id="1">
    <w:p w:rsidR="00DF111B" w:rsidRDefault="00DF111B" w:rsidP="00FB3652">
      <w:pPr>
        <w:pStyle w:val="FootnoteText"/>
        <w:jc w:val="both"/>
      </w:pPr>
      <w:r>
        <w:rPr>
          <w:rStyle w:val="FootnoteReference"/>
        </w:rPr>
        <w:footnoteRef/>
      </w:r>
      <w:r>
        <w:t xml:space="preserve"> </w:t>
      </w:r>
      <w:r w:rsidRPr="000170B0">
        <w:rPr>
          <w:rFonts w:ascii="Times New Roman" w:hAnsi="Times New Roman" w:cs="Times New Roman"/>
          <w:sz w:val="18"/>
          <w:szCs w:val="18"/>
        </w:rPr>
        <w:t>Source from: The World Bank: http://blogs.worldbank.org/eastasiapacific/state-owned-enterprises-in-china-how-big-are-they (2010)</w:t>
      </w:r>
    </w:p>
  </w:footnote>
  <w:footnote w:id="2">
    <w:p w:rsidR="00DF111B" w:rsidRPr="00B9756C" w:rsidRDefault="00DF111B" w:rsidP="00BF62CD">
      <w:pPr>
        <w:pStyle w:val="FootnoteText"/>
        <w:jc w:val="both"/>
        <w:rPr>
          <w:rFonts w:ascii="Times New Roman" w:hAnsi="Times New Roman" w:cs="Times New Roman"/>
          <w:sz w:val="18"/>
          <w:szCs w:val="18"/>
        </w:rPr>
      </w:pPr>
      <w:r>
        <w:rPr>
          <w:rStyle w:val="FootnoteReference"/>
        </w:rPr>
        <w:footnoteRef/>
      </w:r>
      <w:r>
        <w:t xml:space="preserve"> </w:t>
      </w:r>
      <w:r w:rsidRPr="00BF62CD">
        <w:rPr>
          <w:rFonts w:ascii="Times New Roman" w:hAnsi="Times New Roman" w:cs="Times New Roman"/>
          <w:sz w:val="18"/>
          <w:szCs w:val="18"/>
        </w:rPr>
        <w:t>Source from: http://www.eurofound.europa.eu/emire/NETHERLANDS/SUPERVISORYBOARD-NL.htm(2009)</w:t>
      </w:r>
    </w:p>
  </w:footnote>
  <w:footnote w:id="3">
    <w:p w:rsidR="00DF111B" w:rsidRPr="00263654" w:rsidRDefault="00DF111B" w:rsidP="00263654">
      <w:pPr>
        <w:pStyle w:val="FootnoteText"/>
        <w:jc w:val="both"/>
        <w:rPr>
          <w:rFonts w:ascii="Times New Roman" w:hAnsi="Times New Roman" w:cs="Times New Roman"/>
          <w:sz w:val="18"/>
          <w:szCs w:val="18"/>
        </w:rPr>
      </w:pPr>
      <w:r>
        <w:rPr>
          <w:rStyle w:val="FootnoteReference"/>
        </w:rPr>
        <w:footnoteRef/>
      </w:r>
      <w:r>
        <w:t xml:space="preserve"> </w:t>
      </w:r>
      <w:r>
        <w:rPr>
          <w:rFonts w:ascii="Times New Roman" w:hAnsi="Times New Roman" w:cs="Times New Roman"/>
          <w:sz w:val="18"/>
          <w:szCs w:val="18"/>
        </w:rPr>
        <w:t>Power of test: The probability that a test will reject a null hypothesis that is false. Source from:</w:t>
      </w:r>
      <w:r w:rsidRPr="00263654">
        <w:t xml:space="preserve"> </w:t>
      </w:r>
      <w:r w:rsidRPr="00263654">
        <w:rPr>
          <w:rFonts w:ascii="Times New Roman" w:hAnsi="Times New Roman" w:cs="Times New Roman"/>
          <w:sz w:val="18"/>
          <w:szCs w:val="18"/>
        </w:rPr>
        <w:t xml:space="preserve">Park, Hun </w:t>
      </w:r>
      <w:proofErr w:type="spellStart"/>
      <w:r w:rsidRPr="00263654">
        <w:rPr>
          <w:rFonts w:ascii="Times New Roman" w:hAnsi="Times New Roman" w:cs="Times New Roman"/>
          <w:sz w:val="18"/>
          <w:szCs w:val="18"/>
        </w:rPr>
        <w:t>Myoung</w:t>
      </w:r>
      <w:proofErr w:type="spellEnd"/>
      <w:r w:rsidRPr="00263654">
        <w:rPr>
          <w:rFonts w:ascii="Times New Roman" w:hAnsi="Times New Roman" w:cs="Times New Roman"/>
          <w:sz w:val="18"/>
          <w:szCs w:val="18"/>
        </w:rPr>
        <w:t>. 2008. Hypothesis Testing and Stat</w:t>
      </w:r>
      <w:r>
        <w:rPr>
          <w:rFonts w:ascii="Times New Roman" w:hAnsi="Times New Roman" w:cs="Times New Roman"/>
          <w:sz w:val="18"/>
          <w:szCs w:val="18"/>
        </w:rPr>
        <w:t xml:space="preserve">istical Power </w:t>
      </w:r>
      <w:r w:rsidRPr="00263654">
        <w:rPr>
          <w:rFonts w:ascii="Times New Roman" w:hAnsi="Times New Roman" w:cs="Times New Roman"/>
          <w:sz w:val="18"/>
          <w:szCs w:val="18"/>
        </w:rPr>
        <w:t>of a Test. Working Paper. The University Information Technology Services (UI</w:t>
      </w:r>
      <w:r>
        <w:rPr>
          <w:rFonts w:ascii="Times New Roman" w:hAnsi="Times New Roman" w:cs="Times New Roman"/>
          <w:sz w:val="18"/>
          <w:szCs w:val="18"/>
        </w:rPr>
        <w:t xml:space="preserve">TS) Center for Statistical and </w:t>
      </w:r>
      <w:r w:rsidRPr="00263654">
        <w:rPr>
          <w:rFonts w:ascii="Times New Roman" w:hAnsi="Times New Roman" w:cs="Times New Roman"/>
          <w:sz w:val="18"/>
          <w:szCs w:val="18"/>
        </w:rPr>
        <w:t>Mathematical Computing, Indiana University.” http://www.indiana.edu/~statmath/stat/all/power/index.html</w:t>
      </w:r>
    </w:p>
  </w:footnote>
  <w:footnote w:id="4">
    <w:p w:rsidR="00DF111B" w:rsidRPr="00BF4F63" w:rsidRDefault="00DF111B" w:rsidP="00E02AB1">
      <w:pPr>
        <w:pStyle w:val="FootnoteText"/>
        <w:jc w:val="both"/>
        <w:rPr>
          <w:rFonts w:ascii="Times New Roman" w:hAnsi="Times New Roman" w:cs="Times New Roman"/>
          <w:szCs w:val="22"/>
        </w:rPr>
      </w:pPr>
      <w:r w:rsidRPr="00BF4F63">
        <w:rPr>
          <w:rStyle w:val="FootnoteReference"/>
          <w:rFonts w:ascii="Times New Roman" w:hAnsi="Times New Roman" w:cs="Times New Roman"/>
          <w:szCs w:val="22"/>
        </w:rPr>
        <w:footnoteRef/>
      </w:r>
      <w:r w:rsidRPr="00BF4F63">
        <w:rPr>
          <w:rFonts w:ascii="Times New Roman" w:hAnsi="Times New Roman" w:cs="Times New Roman"/>
          <w:szCs w:val="22"/>
        </w:rPr>
        <w:t xml:space="preserve"> </w:t>
      </w:r>
      <w:r w:rsidRPr="00406665">
        <w:rPr>
          <w:rFonts w:ascii="Times New Roman" w:hAnsi="Times New Roman" w:cs="Times New Roman"/>
          <w:sz w:val="18"/>
          <w:szCs w:val="18"/>
        </w:rPr>
        <w:t>Correlated omitted variables bias: the bias occurs when the regression model does not control for factors Z which may relate to both X and Y. If the correlated variables are omitted, the regression coefficients are biased and the causality is unclear. Source from:</w:t>
      </w:r>
      <w:r w:rsidRPr="00406665">
        <w:rPr>
          <w:sz w:val="18"/>
          <w:szCs w:val="18"/>
        </w:rPr>
        <w:t xml:space="preserve"> </w:t>
      </w:r>
      <w:proofErr w:type="spellStart"/>
      <w:r w:rsidRPr="00406665">
        <w:rPr>
          <w:rFonts w:ascii="Times New Roman" w:hAnsi="Times New Roman" w:cs="Times New Roman"/>
          <w:sz w:val="18"/>
          <w:szCs w:val="18"/>
        </w:rPr>
        <w:t>Barreto</w:t>
      </w:r>
      <w:proofErr w:type="spellEnd"/>
      <w:r w:rsidRPr="00406665">
        <w:rPr>
          <w:rFonts w:ascii="Times New Roman" w:hAnsi="Times New Roman" w:cs="Times New Roman"/>
          <w:sz w:val="18"/>
          <w:szCs w:val="18"/>
        </w:rPr>
        <w:t>, H., Howland, F. (2006).</w:t>
      </w:r>
      <w:r w:rsidRPr="00406665">
        <w:rPr>
          <w:rFonts w:ascii="Verdana" w:hAnsi="Verdana"/>
          <w:iCs/>
          <w:color w:val="2E302B"/>
          <w:sz w:val="18"/>
          <w:szCs w:val="18"/>
        </w:rPr>
        <w:t xml:space="preserve"> </w:t>
      </w:r>
      <w:r w:rsidRPr="00406665">
        <w:rPr>
          <w:rFonts w:ascii="Times New Roman" w:hAnsi="Times New Roman" w:cs="Times New Roman"/>
          <w:iCs/>
          <w:sz w:val="18"/>
          <w:szCs w:val="18"/>
        </w:rPr>
        <w:t xml:space="preserve">Introductory Econometrics: Using Monte Carlo Simulation with Microsoft Excel, </w:t>
      </w:r>
      <w:r w:rsidRPr="00406665">
        <w:rPr>
          <w:rFonts w:ascii="Times New Roman" w:hAnsi="Times New Roman" w:cs="Times New Roman"/>
          <w:sz w:val="18"/>
          <w:szCs w:val="18"/>
        </w:rPr>
        <w:t>Cambridge University Press.</w:t>
      </w:r>
    </w:p>
  </w:footnote>
  <w:footnote w:id="5">
    <w:p w:rsidR="00DF111B" w:rsidRPr="00B9756C" w:rsidRDefault="00DF111B" w:rsidP="006D352E">
      <w:pPr>
        <w:pStyle w:val="FootnoteText"/>
        <w:rPr>
          <w:rFonts w:ascii="Times New Roman" w:hAnsi="Times New Roman" w:cs="Times New Roman"/>
        </w:rPr>
      </w:pPr>
      <w:r>
        <w:rPr>
          <w:rStyle w:val="FootnoteReference"/>
          <w:rFonts w:ascii="Times New Roman" w:hAnsi="Times New Roman" w:cs="Times New Roman"/>
          <w:sz w:val="18"/>
        </w:rPr>
        <w:footnoteRef/>
      </w:r>
      <w:r>
        <w:rPr>
          <w:rFonts w:ascii="Times New Roman" w:hAnsi="Times New Roman" w:cs="Times New Roman"/>
          <w:sz w:val="18"/>
        </w:rPr>
        <w:t xml:space="preserve"> </w:t>
      </w:r>
      <w:r w:rsidRPr="00406665">
        <w:rPr>
          <w:rFonts w:ascii="Times New Roman" w:hAnsi="Times New Roman" w:cs="Times New Roman"/>
          <w:sz w:val="18"/>
          <w:szCs w:val="18"/>
        </w:rPr>
        <w:t xml:space="preserve">Note: Link #1 theoretical support for the effect IV on DV. Link #2 and #3 show the </w:t>
      </w:r>
      <w:proofErr w:type="spellStart"/>
      <w:r w:rsidRPr="00406665">
        <w:rPr>
          <w:rFonts w:ascii="Times New Roman" w:hAnsi="Times New Roman" w:cs="Times New Roman"/>
          <w:sz w:val="18"/>
          <w:szCs w:val="18"/>
        </w:rPr>
        <w:t>o</w:t>
      </w:r>
      <w:r>
        <w:rPr>
          <w:rFonts w:ascii="Times New Roman" w:hAnsi="Times New Roman" w:cs="Times New Roman"/>
          <w:sz w:val="18"/>
          <w:szCs w:val="18"/>
        </w:rPr>
        <w:t>perationalization</w:t>
      </w:r>
      <w:proofErr w:type="spellEnd"/>
      <w:r>
        <w:rPr>
          <w:rFonts w:ascii="Times New Roman" w:hAnsi="Times New Roman" w:cs="Times New Roman"/>
          <w:sz w:val="18"/>
          <w:szCs w:val="18"/>
        </w:rPr>
        <w:t xml:space="preserve"> of IV and DV. </w:t>
      </w:r>
      <w:r w:rsidRPr="00406665">
        <w:rPr>
          <w:rFonts w:ascii="Times New Roman" w:hAnsi="Times New Roman" w:cs="Times New Roman"/>
          <w:sz w:val="18"/>
          <w:szCs w:val="18"/>
        </w:rPr>
        <w:t>Link #4 reflects the empirical test on the relation IV and DV. Link #5 captures the effects of control variables on DV.</w:t>
      </w:r>
    </w:p>
  </w:footnote>
  <w:footnote w:id="6">
    <w:p w:rsidR="00DF111B" w:rsidRDefault="00DF111B" w:rsidP="00E02AB1">
      <w:pPr>
        <w:pStyle w:val="FootnoteText"/>
        <w:rPr>
          <w:rFonts w:ascii="Times New Roman" w:hAnsi="Times New Roman" w:cs="Times New Roman"/>
        </w:rPr>
      </w:pPr>
      <w:r>
        <w:rPr>
          <w:rStyle w:val="FootnoteReference"/>
        </w:rPr>
        <w:footnoteRef/>
      </w:r>
      <w:r>
        <w:t xml:space="preserve"> </w:t>
      </w:r>
      <w:r w:rsidRPr="00406665">
        <w:rPr>
          <w:rFonts w:ascii="Times New Roman" w:hAnsi="Times New Roman" w:cs="Times New Roman"/>
          <w:sz w:val="18"/>
          <w:szCs w:val="18"/>
        </w:rPr>
        <w:t>CSRC industry code class J: financial industries (insurance, monetary and financial services, capital market services and so on); class G: transportation and public utilities (road transport, railway transportation industry and so on).</w:t>
      </w:r>
    </w:p>
  </w:footnote>
  <w:footnote w:id="7">
    <w:p w:rsidR="00DF111B" w:rsidRDefault="00DF111B" w:rsidP="00E02AB1">
      <w:pPr>
        <w:pStyle w:val="FootnoteText"/>
        <w:rPr>
          <w:rFonts w:ascii="Times New Roman" w:hAnsi="Times New Roman" w:cs="Times New Roman"/>
          <w:sz w:val="18"/>
        </w:rPr>
      </w:pPr>
      <w:r>
        <w:rPr>
          <w:rStyle w:val="FootnoteReference"/>
          <w:rFonts w:ascii="Times New Roman" w:hAnsi="Times New Roman" w:cs="Times New Roman"/>
          <w:sz w:val="18"/>
        </w:rPr>
        <w:footnoteRef/>
      </w:r>
      <w:r>
        <w:rPr>
          <w:rFonts w:ascii="Times New Roman" w:hAnsi="Times New Roman" w:cs="Times New Roman"/>
          <w:sz w:val="18"/>
        </w:rPr>
        <w:t xml:space="preserve"> </w:t>
      </w:r>
      <w:r w:rsidRPr="000170B0">
        <w:rPr>
          <w:rFonts w:ascii="Times New Roman" w:hAnsi="Times New Roman" w:cs="Times New Roman"/>
          <w:color w:val="333333"/>
          <w:sz w:val="18"/>
          <w:szCs w:val="18"/>
          <w:shd w:val="clear" w:color="auto" w:fill="FFFFFF"/>
        </w:rPr>
        <w:t>NASDAQ Company List:</w:t>
      </w:r>
      <w:r w:rsidRPr="000170B0">
        <w:rPr>
          <w:rFonts w:ascii="Times New Roman" w:hAnsi="Times New Roman" w:cs="Times New Roman"/>
          <w:sz w:val="18"/>
          <w:szCs w:val="18"/>
        </w:rPr>
        <w:t xml:space="preserve"> </w:t>
      </w:r>
      <w:r w:rsidRPr="000170B0">
        <w:rPr>
          <w:rFonts w:ascii="Times New Roman" w:hAnsi="Times New Roman" w:cs="Times New Roman"/>
          <w:color w:val="333333"/>
          <w:sz w:val="18"/>
          <w:szCs w:val="18"/>
          <w:shd w:val="clear" w:color="auto" w:fill="FFFFFF"/>
        </w:rPr>
        <w:t>http://www.nasdaq.com/screening/company-list.aspx.</w:t>
      </w:r>
    </w:p>
  </w:footnote>
  <w:footnote w:id="8">
    <w:p w:rsidR="00DF111B" w:rsidRPr="000170B0" w:rsidRDefault="00DF111B" w:rsidP="00A943E1">
      <w:pPr>
        <w:pStyle w:val="FootnoteText"/>
        <w:jc w:val="both"/>
        <w:rPr>
          <w:rFonts w:ascii="Times New Roman" w:hAnsi="Times New Roman" w:cs="Times New Roman"/>
          <w:color w:val="000000" w:themeColor="text1"/>
          <w:sz w:val="18"/>
          <w:szCs w:val="18"/>
        </w:rPr>
      </w:pPr>
      <w:r>
        <w:rPr>
          <w:rStyle w:val="FootnoteReference"/>
        </w:rPr>
        <w:footnoteRef/>
      </w:r>
      <w:r>
        <w:t xml:space="preserve"> </w:t>
      </w:r>
      <w:r w:rsidRPr="000170B0">
        <w:rPr>
          <w:rFonts w:ascii="Times New Roman" w:hAnsi="Times New Roman" w:cs="Times New Roman"/>
          <w:color w:val="000000" w:themeColor="text1"/>
          <w:sz w:val="18"/>
          <w:szCs w:val="18"/>
        </w:rPr>
        <w:t xml:space="preserve">This value is quite higher than the maximum value of </w:t>
      </w:r>
      <w:proofErr w:type="spellStart"/>
      <w:r w:rsidRPr="000170B0">
        <w:rPr>
          <w:rFonts w:ascii="Times New Roman" w:hAnsi="Times New Roman" w:cs="Times New Roman"/>
          <w:color w:val="000000" w:themeColor="text1"/>
          <w:sz w:val="18"/>
          <w:szCs w:val="18"/>
        </w:rPr>
        <w:t>DA</w:t>
      </w:r>
      <w:r w:rsidRPr="000170B0">
        <w:rPr>
          <w:rFonts w:ascii="Times New Roman" w:hAnsi="Times New Roman" w:cs="Times New Roman"/>
          <w:color w:val="000000" w:themeColor="text1"/>
          <w:sz w:val="18"/>
          <w:szCs w:val="18"/>
          <w:vertAlign w:val="subscript"/>
        </w:rPr>
        <w:t>i</w:t>
      </w:r>
      <w:proofErr w:type="gramStart"/>
      <w:r w:rsidRPr="000170B0">
        <w:rPr>
          <w:rFonts w:ascii="Times New Roman" w:hAnsi="Times New Roman" w:cs="Times New Roman"/>
          <w:color w:val="000000" w:themeColor="text1"/>
          <w:sz w:val="18"/>
          <w:szCs w:val="18"/>
          <w:vertAlign w:val="subscript"/>
        </w:rPr>
        <w:t>,t</w:t>
      </w:r>
      <w:proofErr w:type="spellEnd"/>
      <w:proofErr w:type="gramEnd"/>
      <w:r w:rsidRPr="000170B0">
        <w:rPr>
          <w:rFonts w:ascii="Times New Roman" w:hAnsi="Times New Roman" w:cs="Times New Roman"/>
          <w:color w:val="000000" w:themeColor="text1"/>
          <w:sz w:val="18"/>
          <w:szCs w:val="18"/>
        </w:rPr>
        <w:t xml:space="preserve"> in U.S. sample firms. The occurrence of this extreme </w:t>
      </w:r>
      <w:r>
        <w:rPr>
          <w:rFonts w:ascii="Times New Roman" w:hAnsi="Times New Roman" w:cs="Times New Roman"/>
          <w:color w:val="000000" w:themeColor="text1"/>
          <w:sz w:val="18"/>
          <w:szCs w:val="18"/>
        </w:rPr>
        <w:t xml:space="preserve">   </w:t>
      </w:r>
      <w:r w:rsidRPr="000170B0">
        <w:rPr>
          <w:rFonts w:ascii="Times New Roman" w:hAnsi="Times New Roman" w:cs="Times New Roman"/>
          <w:color w:val="000000" w:themeColor="text1"/>
          <w:sz w:val="18"/>
          <w:szCs w:val="18"/>
        </w:rPr>
        <w:t>value may be because the calculation currency of China and U.S. is different (Chinese Yuan and U.S dollar).</w:t>
      </w:r>
    </w:p>
  </w:footnote>
  <w:footnote w:id="9">
    <w:p w:rsidR="00DF111B" w:rsidRPr="00C82A02" w:rsidRDefault="00DF111B" w:rsidP="00C82A02">
      <w:pPr>
        <w:pStyle w:val="FootnoteText"/>
        <w:jc w:val="both"/>
        <w:rPr>
          <w:rFonts w:ascii="Times New Roman" w:hAnsi="Times New Roman" w:cs="Times New Roman"/>
        </w:rPr>
      </w:pPr>
      <w:r w:rsidRPr="00AB3156">
        <w:rPr>
          <w:rStyle w:val="FootnoteReference"/>
          <w:rFonts w:ascii="Times New Roman" w:hAnsi="Times New Roman" w:cs="Times New Roman"/>
        </w:rPr>
        <w:footnoteRef/>
      </w:r>
      <w:r w:rsidRPr="00AB3156">
        <w:rPr>
          <w:rFonts w:ascii="Times New Roman" w:hAnsi="Times New Roman" w:cs="Times New Roman"/>
        </w:rPr>
        <w:t xml:space="preserve"> </w:t>
      </w:r>
      <w:r w:rsidRPr="000170B0">
        <w:rPr>
          <w:rFonts w:ascii="Times New Roman" w:hAnsi="Times New Roman" w:cs="Times New Roman"/>
          <w:noProof/>
          <w:sz w:val="18"/>
          <w:szCs w:val="18"/>
        </w:rPr>
        <w:t>R</w:t>
      </w:r>
      <w:r w:rsidRPr="000170B0">
        <w:rPr>
          <w:rFonts w:ascii="Times New Roman" w:hAnsi="Times New Roman" w:cs="Times New Roman"/>
          <w:noProof/>
          <w:sz w:val="18"/>
          <w:szCs w:val="18"/>
          <w:vertAlign w:val="superscript"/>
        </w:rPr>
        <w:t>2</w:t>
      </w:r>
      <w:r w:rsidRPr="000170B0">
        <w:rPr>
          <w:rFonts w:ascii="Times New Roman" w:hAnsi="Times New Roman" w:cs="Times New Roman"/>
          <w:noProof/>
          <w:sz w:val="18"/>
          <w:szCs w:val="18"/>
        </w:rPr>
        <w:t xml:space="preserve"> measures the variation in the dependent variable that can be explained by the independent variables and shows the predictive power of the model. Source from:</w:t>
      </w:r>
      <w:r w:rsidRPr="000170B0">
        <w:rPr>
          <w:rFonts w:ascii="Times New Roman" w:hAnsi="Times New Roman" w:cs="Times New Roman"/>
          <w:sz w:val="18"/>
          <w:szCs w:val="18"/>
        </w:rPr>
        <w:t xml:space="preserve"> </w:t>
      </w:r>
      <w:r w:rsidRPr="000170B0">
        <w:rPr>
          <w:rFonts w:ascii="Times New Roman" w:hAnsi="Times New Roman" w:cs="Times New Roman"/>
          <w:noProof/>
          <w:sz w:val="18"/>
          <w:szCs w:val="18"/>
        </w:rPr>
        <w:t>Wooldridge, J. M. (2002). Introductory Econometrics: A Modern Approach,</w:t>
      </w:r>
      <w:r w:rsidRPr="000170B0">
        <w:rPr>
          <w:rFonts w:ascii="Times New Roman" w:hAnsi="Times New Roman" w:cs="Times New Roman"/>
          <w:color w:val="000000"/>
          <w:sz w:val="18"/>
          <w:szCs w:val="18"/>
        </w:rPr>
        <w:t xml:space="preserve"> South-Western.</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226D0"/>
    <w:multiLevelType w:val="multilevel"/>
    <w:tmpl w:val="43DA7FBE"/>
    <w:lvl w:ilvl="0">
      <w:start w:val="2"/>
      <w:numFmt w:val="decimal"/>
      <w:lvlText w:val="Chapter %1"/>
      <w:lvlJc w:val="left"/>
      <w:pPr>
        <w:ind w:left="432" w:hanging="432"/>
      </w:pPr>
      <w:rPr>
        <w:rFonts w:hint="eastAsia"/>
      </w:rPr>
    </w:lvl>
    <w:lvl w:ilvl="1">
      <w:start w:val="1"/>
      <w:numFmt w:val="decimal"/>
      <w:lvlText w:val="1.%2"/>
      <w:lvlJc w:val="left"/>
      <w:pPr>
        <w:ind w:left="576" w:hanging="576"/>
      </w:pPr>
      <w:rPr>
        <w:rFonts w:hint="eastAsia"/>
      </w:rPr>
    </w:lvl>
    <w:lvl w:ilvl="2">
      <w:start w:val="2"/>
      <w:numFmt w:val="decimal"/>
      <w:lvlText w:val="%3%1.3.1"/>
      <w:lvlJc w:val="left"/>
      <w:pPr>
        <w:ind w:left="720" w:hanging="720"/>
      </w:pPr>
      <w:rPr>
        <w:rFonts w:hint="eastAsia"/>
      </w:rPr>
    </w:lvl>
    <w:lvl w:ilvl="3">
      <w:start w:val="1"/>
      <w:numFmt w:val="decimal"/>
      <w:lvlText w:val="%1.%2.%3.%4"/>
      <w:lvlJc w:val="left"/>
      <w:pPr>
        <w:ind w:left="104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none"/>
      <w:lvlRestart w:val="0"/>
      <w:pStyle w:val="Heading7"/>
      <w:lvlText w:val="reference"/>
      <w:lvlJc w:val="left"/>
      <w:pPr>
        <w:ind w:left="0" w:firstLine="0"/>
      </w:pPr>
      <w:rPr>
        <w:rFonts w:hint="eastAsia"/>
      </w:rPr>
    </w:lvl>
    <w:lvl w:ilvl="7">
      <w:start w:val="1"/>
      <w:numFmt w:val="decimal"/>
      <w:pStyle w:val="Heading8"/>
      <w:lvlText w:val="%1.%2.%3.%4.%5.%6.%7.%8"/>
      <w:lvlJc w:val="left"/>
      <w:pPr>
        <w:ind w:left="1440" w:hanging="1440"/>
      </w:pPr>
      <w:rPr>
        <w:rFonts w:hint="eastAsia"/>
      </w:rPr>
    </w:lvl>
    <w:lvl w:ilvl="8">
      <w:start w:val="1"/>
      <w:numFmt w:val="decimal"/>
      <w:pStyle w:val="Heading9"/>
      <w:lvlText w:val="%1.%2.%3.%4.%5.%6.%7.%8.%9"/>
      <w:lvlJc w:val="left"/>
      <w:pPr>
        <w:ind w:left="1584" w:hanging="1584"/>
      </w:pPr>
      <w:rPr>
        <w:rFonts w:hint="eastAsia"/>
      </w:rPr>
    </w:lvl>
  </w:abstractNum>
  <w:abstractNum w:abstractNumId="1">
    <w:nsid w:val="18CF6723"/>
    <w:multiLevelType w:val="hybridMultilevel"/>
    <w:tmpl w:val="2BEEC3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90630B1"/>
    <w:multiLevelType w:val="multilevel"/>
    <w:tmpl w:val="C284D894"/>
    <w:lvl w:ilvl="0">
      <w:start w:val="1"/>
      <w:numFmt w:val="decimal"/>
      <w:pStyle w:val="Heading1"/>
      <w:lvlText w:val="Chapter %1."/>
      <w:lvlJc w:val="left"/>
      <w:pPr>
        <w:ind w:left="0" w:firstLine="0"/>
      </w:pPr>
      <w:rPr>
        <w:rFonts w:ascii="Times New Roman" w:hAnsi="Times New Roman" w:hint="default"/>
        <w:b/>
        <w:i w:val="0"/>
        <w:sz w:val="28"/>
      </w:rPr>
    </w:lvl>
    <w:lvl w:ilvl="1">
      <w:start w:val="1"/>
      <w:numFmt w:val="decimal"/>
      <w:pStyle w:val="Heading2"/>
      <w:lvlText w:val="%1.%2"/>
      <w:lvlJc w:val="left"/>
      <w:pPr>
        <w:ind w:left="0" w:firstLine="0"/>
      </w:pPr>
      <w:rPr>
        <w:rFonts w:hint="eastAsia"/>
      </w:rPr>
    </w:lvl>
    <w:lvl w:ilvl="2">
      <w:start w:val="1"/>
      <w:numFmt w:val="decimal"/>
      <w:pStyle w:val="Heading3"/>
      <w:lvlText w:val="%1.%2.%3"/>
      <w:lvlJc w:val="left"/>
      <w:pPr>
        <w:ind w:left="0" w:firstLine="0"/>
      </w:pPr>
      <w:rPr>
        <w:rFonts w:hint="eastAsia"/>
      </w:rPr>
    </w:lvl>
    <w:lvl w:ilvl="3">
      <w:start w:val="1"/>
      <w:numFmt w:val="decimal"/>
      <w:pStyle w:val="Heading4"/>
      <w:lvlText w:val="%1.%2.%3.%4"/>
      <w:lvlJc w:val="left"/>
      <w:pPr>
        <w:ind w:left="0" w:firstLine="0"/>
      </w:pPr>
      <w:rPr>
        <w:rFonts w:hint="eastAsia"/>
      </w:rPr>
    </w:lvl>
    <w:lvl w:ilvl="4">
      <w:start w:val="1"/>
      <w:numFmt w:val="none"/>
      <w:lvlRestart w:val="1"/>
      <w:pStyle w:val="Heading5"/>
      <w:lvlText w:val="Reference"/>
      <w:lvlJc w:val="left"/>
      <w:pPr>
        <w:ind w:left="0" w:firstLine="0"/>
      </w:pPr>
      <w:rPr>
        <w:rFonts w:hint="eastAsia"/>
      </w:rPr>
    </w:lvl>
    <w:lvl w:ilvl="5">
      <w:start w:val="1"/>
      <w:numFmt w:val="upperLetter"/>
      <w:lvlRestart w:val="0"/>
      <w:pStyle w:val="Heading6"/>
      <w:lvlText w:val="Appendix.%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
    <w:nsid w:val="19D95528"/>
    <w:multiLevelType w:val="hybridMultilevel"/>
    <w:tmpl w:val="C86A432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nsid w:val="1C605767"/>
    <w:multiLevelType w:val="hybridMultilevel"/>
    <w:tmpl w:val="31A053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0C265C7"/>
    <w:multiLevelType w:val="hybridMultilevel"/>
    <w:tmpl w:val="31A053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1DA5C33"/>
    <w:multiLevelType w:val="multilevel"/>
    <w:tmpl w:val="C298D8E4"/>
    <w:styleLink w:val="Style2"/>
    <w:lvl w:ilvl="0">
      <w:start w:val="1"/>
      <w:numFmt w:val="decimal"/>
      <w:lvlText w:val="Chapter %1."/>
      <w:lvlJc w:val="left"/>
      <w:pPr>
        <w:ind w:left="0" w:firstLine="0"/>
      </w:pPr>
      <w:rPr>
        <w:rFonts w:hint="eastAsia"/>
      </w:rPr>
    </w:lvl>
    <w:lvl w:ilvl="1">
      <w:start w:val="1"/>
      <w:numFmt w:val="decimal"/>
      <w:lvlText w:val="%1.%2."/>
      <w:lvlJc w:val="left"/>
      <w:pPr>
        <w:ind w:left="0" w:firstLine="0"/>
      </w:pPr>
      <w:rPr>
        <w:rFonts w:hint="eastAsia"/>
      </w:rPr>
    </w:lvl>
    <w:lvl w:ilvl="2">
      <w:start w:val="1"/>
      <w:numFmt w:val="decimal"/>
      <w:lvlText w:val="%1.%2.%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7">
    <w:nsid w:val="334B0F2A"/>
    <w:multiLevelType w:val="hybridMultilevel"/>
    <w:tmpl w:val="DAA0CB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4C0664B"/>
    <w:multiLevelType w:val="multilevel"/>
    <w:tmpl w:val="47C0E650"/>
    <w:lvl w:ilvl="0">
      <w:start w:val="2"/>
      <w:numFmt w:val="decimal"/>
      <w:lvlText w:val="Chapter %1."/>
      <w:lvlJc w:val="left"/>
      <w:pPr>
        <w:ind w:left="360" w:hanging="360"/>
      </w:pPr>
      <w:rPr>
        <w:rFonts w:ascii="Times New Roman" w:hAnsi="Times New Roman" w:hint="eastAsia"/>
        <w:b/>
        <w:color w:val="auto"/>
        <w:sz w:val="28"/>
      </w:rPr>
    </w:lvl>
    <w:lvl w:ilvl="1">
      <w:start w:val="1"/>
      <w:numFmt w:val="decimal"/>
      <w:lvlText w:val="%1.%2."/>
      <w:lvlJc w:val="left"/>
      <w:pPr>
        <w:ind w:left="720" w:hanging="720"/>
      </w:pPr>
      <w:rPr>
        <w:rFonts w:hint="eastAsia"/>
      </w:rPr>
    </w:lvl>
    <w:lvl w:ilvl="2">
      <w:start w:val="1"/>
      <w:numFmt w:val="decimal"/>
      <w:lvlText w:val="%2%1..%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9">
    <w:nsid w:val="3BD04976"/>
    <w:multiLevelType w:val="hybridMultilevel"/>
    <w:tmpl w:val="8050E77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C0D04AB"/>
    <w:multiLevelType w:val="hybridMultilevel"/>
    <w:tmpl w:val="A48AE2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3C182C9D"/>
    <w:multiLevelType w:val="multilevel"/>
    <w:tmpl w:val="17BA7E26"/>
    <w:styleLink w:val="Style1"/>
    <w:lvl w:ilvl="0">
      <w:start w:val="1"/>
      <w:numFmt w:val="decimal"/>
      <w:lvlText w:val="Chapter %1."/>
      <w:lvlJc w:val="left"/>
      <w:pPr>
        <w:ind w:left="360" w:hanging="360"/>
      </w:pPr>
      <w:rPr>
        <w:rFonts w:ascii="Times New Roman" w:hAnsi="Times New Roman" w:hint="eastAsia"/>
        <w:b/>
        <w:color w:val="auto"/>
        <w:sz w:val="28"/>
      </w:rPr>
    </w:lvl>
    <w:lvl w:ilvl="1">
      <w:start w:val="1"/>
      <w:numFmt w:val="decimal"/>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12">
    <w:nsid w:val="4A184DDD"/>
    <w:multiLevelType w:val="hybridMultilevel"/>
    <w:tmpl w:val="D9B44C68"/>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189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start w:val="1"/>
      <w:numFmt w:val="bullet"/>
      <w:lvlText w:val="o"/>
      <w:lvlJc w:val="left"/>
      <w:pPr>
        <w:ind w:left="3330" w:hanging="360"/>
      </w:pPr>
      <w:rPr>
        <w:rFonts w:ascii="Courier New" w:hAnsi="Courier New" w:cs="Courier New" w:hint="default"/>
      </w:rPr>
    </w:lvl>
    <w:lvl w:ilvl="5" w:tplc="04090005">
      <w:start w:val="1"/>
      <w:numFmt w:val="bullet"/>
      <w:lvlText w:val=""/>
      <w:lvlJc w:val="left"/>
      <w:pPr>
        <w:ind w:left="4050" w:hanging="360"/>
      </w:pPr>
      <w:rPr>
        <w:rFonts w:ascii="Wingdings" w:hAnsi="Wingdings" w:hint="default"/>
      </w:rPr>
    </w:lvl>
    <w:lvl w:ilvl="6" w:tplc="04090001">
      <w:start w:val="1"/>
      <w:numFmt w:val="bullet"/>
      <w:lvlText w:val=""/>
      <w:lvlJc w:val="left"/>
      <w:pPr>
        <w:ind w:left="4770" w:hanging="360"/>
      </w:pPr>
      <w:rPr>
        <w:rFonts w:ascii="Symbol" w:hAnsi="Symbol" w:hint="default"/>
      </w:rPr>
    </w:lvl>
    <w:lvl w:ilvl="7" w:tplc="04090003">
      <w:start w:val="1"/>
      <w:numFmt w:val="bullet"/>
      <w:lvlText w:val="o"/>
      <w:lvlJc w:val="left"/>
      <w:pPr>
        <w:ind w:left="5490" w:hanging="360"/>
      </w:pPr>
      <w:rPr>
        <w:rFonts w:ascii="Courier New" w:hAnsi="Courier New" w:cs="Courier New" w:hint="default"/>
      </w:rPr>
    </w:lvl>
    <w:lvl w:ilvl="8" w:tplc="04090005">
      <w:start w:val="1"/>
      <w:numFmt w:val="bullet"/>
      <w:lvlText w:val=""/>
      <w:lvlJc w:val="left"/>
      <w:pPr>
        <w:ind w:left="6210" w:hanging="360"/>
      </w:pPr>
      <w:rPr>
        <w:rFonts w:ascii="Wingdings" w:hAnsi="Wingdings" w:hint="default"/>
      </w:rPr>
    </w:lvl>
  </w:abstractNum>
  <w:abstractNum w:abstractNumId="13">
    <w:nsid w:val="576627DA"/>
    <w:multiLevelType w:val="multilevel"/>
    <w:tmpl w:val="631C9CEE"/>
    <w:lvl w:ilvl="0">
      <w:start w:val="1"/>
      <w:numFmt w:val="decimal"/>
      <w:lvlText w:val="Chapter %1."/>
      <w:lvlJc w:val="left"/>
      <w:pPr>
        <w:ind w:left="0" w:firstLine="0"/>
      </w:pPr>
      <w:rPr>
        <w:rFonts w:ascii="Times New Roman" w:hAnsi="Times New Roman" w:hint="default"/>
        <w:b/>
        <w:i w:val="0"/>
        <w:sz w:val="28"/>
      </w:rPr>
    </w:lvl>
    <w:lvl w:ilvl="1">
      <w:start w:val="1"/>
      <w:numFmt w:val="decimal"/>
      <w:lvlText w:val="%1.%2"/>
      <w:lvlJc w:val="left"/>
      <w:pPr>
        <w:ind w:left="0" w:firstLine="0"/>
      </w:pPr>
      <w:rPr>
        <w:rFonts w:hint="eastAsia"/>
      </w:rPr>
    </w:lvl>
    <w:lvl w:ilvl="2">
      <w:start w:val="1"/>
      <w:numFmt w:val="decimal"/>
      <w:lvlText w:val="%1.%2.%3"/>
      <w:lvlJc w:val="left"/>
      <w:pPr>
        <w:ind w:left="0" w:firstLine="0"/>
      </w:pPr>
      <w:rPr>
        <w:rFonts w:hint="eastAsia"/>
      </w:rPr>
    </w:lvl>
    <w:lvl w:ilvl="3">
      <w:start w:val="1"/>
      <w:numFmt w:val="decimal"/>
      <w:lvlText w:val="%1.%2.%3.%4"/>
      <w:lvlJc w:val="left"/>
      <w:pPr>
        <w:ind w:left="0" w:firstLine="0"/>
      </w:pPr>
      <w:rPr>
        <w:rFonts w:hint="eastAsia"/>
      </w:rPr>
    </w:lvl>
    <w:lvl w:ilvl="4">
      <w:start w:val="1"/>
      <w:numFmt w:val="none"/>
      <w:lvlRestart w:val="0"/>
      <w:lvlText w:val="Reference"/>
      <w:lvlJc w:val="left"/>
      <w:pPr>
        <w:ind w:left="0" w:firstLine="0"/>
      </w:pPr>
      <w:rPr>
        <w:rFonts w:hint="eastAsia"/>
      </w:rPr>
    </w:lvl>
    <w:lvl w:ilvl="5">
      <w:start w:val="1"/>
      <w:numFmt w:val="upperLetter"/>
      <w:lvlRestart w:val="0"/>
      <w:lvlText w:val="Appendix.%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4">
    <w:nsid w:val="639E687A"/>
    <w:multiLevelType w:val="multilevel"/>
    <w:tmpl w:val="243C6494"/>
    <w:lvl w:ilvl="0">
      <w:start w:val="1"/>
      <w:numFmt w:val="decimal"/>
      <w:lvlText w:val="Chapter %1."/>
      <w:lvlJc w:val="left"/>
      <w:pPr>
        <w:ind w:left="0" w:firstLine="0"/>
      </w:pPr>
      <w:rPr>
        <w:rFonts w:ascii="Times New Roman" w:hAnsi="Times New Roman" w:hint="default"/>
        <w:b/>
        <w:i w:val="0"/>
        <w:sz w:val="28"/>
      </w:rPr>
    </w:lvl>
    <w:lvl w:ilvl="1">
      <w:start w:val="1"/>
      <w:numFmt w:val="decimal"/>
      <w:lvlText w:val="%1.%2"/>
      <w:lvlJc w:val="left"/>
      <w:pPr>
        <w:ind w:left="0" w:firstLine="0"/>
      </w:pPr>
      <w:rPr>
        <w:rFonts w:hint="eastAsia"/>
      </w:rPr>
    </w:lvl>
    <w:lvl w:ilvl="2">
      <w:start w:val="1"/>
      <w:numFmt w:val="decimal"/>
      <w:lvlText w:val="%1.%2.%3"/>
      <w:lvlJc w:val="left"/>
      <w:pPr>
        <w:ind w:left="0" w:firstLine="0"/>
      </w:pPr>
      <w:rPr>
        <w:rFonts w:hint="eastAsia"/>
      </w:rPr>
    </w:lvl>
    <w:lvl w:ilvl="3">
      <w:start w:val="1"/>
      <w:numFmt w:val="decimal"/>
      <w:lvlText w:val="%1.%2.%3.%4"/>
      <w:lvlJc w:val="left"/>
      <w:pPr>
        <w:ind w:left="0" w:firstLine="0"/>
      </w:pPr>
      <w:rPr>
        <w:rFonts w:hint="eastAsia"/>
      </w:rPr>
    </w:lvl>
    <w:lvl w:ilvl="4">
      <w:start w:val="1"/>
      <w:numFmt w:val="none"/>
      <w:lvlText w:val=""/>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5">
    <w:nsid w:val="6D57663A"/>
    <w:multiLevelType w:val="multilevel"/>
    <w:tmpl w:val="243C6494"/>
    <w:lvl w:ilvl="0">
      <w:start w:val="1"/>
      <w:numFmt w:val="decimal"/>
      <w:lvlText w:val="Chapter %1."/>
      <w:lvlJc w:val="left"/>
      <w:pPr>
        <w:ind w:left="0" w:firstLine="0"/>
      </w:pPr>
      <w:rPr>
        <w:rFonts w:ascii="Times New Roman" w:hAnsi="Times New Roman" w:hint="default"/>
        <w:b/>
        <w:i w:val="0"/>
        <w:sz w:val="28"/>
      </w:rPr>
    </w:lvl>
    <w:lvl w:ilvl="1">
      <w:start w:val="1"/>
      <w:numFmt w:val="decimal"/>
      <w:lvlText w:val="%1.%2"/>
      <w:lvlJc w:val="left"/>
      <w:pPr>
        <w:ind w:left="0" w:firstLine="0"/>
      </w:pPr>
      <w:rPr>
        <w:rFonts w:hint="eastAsia"/>
      </w:rPr>
    </w:lvl>
    <w:lvl w:ilvl="2">
      <w:start w:val="1"/>
      <w:numFmt w:val="decimal"/>
      <w:lvlText w:val="%1.%2.%3"/>
      <w:lvlJc w:val="left"/>
      <w:pPr>
        <w:ind w:left="0" w:firstLine="0"/>
      </w:pPr>
      <w:rPr>
        <w:rFonts w:hint="eastAsia"/>
      </w:rPr>
    </w:lvl>
    <w:lvl w:ilvl="3">
      <w:start w:val="1"/>
      <w:numFmt w:val="decimal"/>
      <w:lvlText w:val="%1.%2.%3.%4"/>
      <w:lvlJc w:val="left"/>
      <w:pPr>
        <w:ind w:left="0" w:firstLine="0"/>
      </w:pPr>
      <w:rPr>
        <w:rFonts w:hint="eastAsia"/>
      </w:rPr>
    </w:lvl>
    <w:lvl w:ilvl="4">
      <w:start w:val="1"/>
      <w:numFmt w:val="none"/>
      <w:lvlText w:val=""/>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num w:numId="1">
    <w:abstractNumId w:val="9"/>
  </w:num>
  <w:num w:numId="2">
    <w:abstractNumId w:val="3"/>
  </w:num>
  <w:num w:numId="3">
    <w:abstractNumId w:val="1"/>
  </w:num>
  <w:num w:numId="4">
    <w:abstractNumId w:val="10"/>
  </w:num>
  <w:num w:numId="5">
    <w:abstractNumId w:val="12"/>
  </w:num>
  <w:num w:numId="6">
    <w:abstractNumId w:val="11"/>
  </w:num>
  <w:num w:numId="7">
    <w:abstractNumId w:val="4"/>
  </w:num>
  <w:num w:numId="8">
    <w:abstractNumId w:val="0"/>
  </w:num>
  <w:num w:numId="9">
    <w:abstractNumId w:val="8"/>
  </w:num>
  <w:num w:numId="10">
    <w:abstractNumId w:val="6"/>
  </w:num>
  <w:num w:numId="11">
    <w:abstractNumId w:val="2"/>
  </w:num>
  <w:num w:numId="12">
    <w:abstractNumId w:val="2"/>
  </w:num>
  <w:num w:numId="13">
    <w:abstractNumId w:val="2"/>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num>
  <w:num w:numId="16">
    <w:abstractNumId w:val="14"/>
  </w:num>
  <w:num w:numId="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
  </w:num>
  <w:num w:numId="20">
    <w:abstractNumId w:val="2"/>
  </w:num>
  <w:num w:numId="21">
    <w:abstractNumId w:val="7"/>
  </w:num>
  <w:num w:numId="22">
    <w:abstractNumId w:val="5"/>
  </w:num>
  <w:num w:numId="23">
    <w:abstractNumId w:val="13"/>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useFELayout/>
  </w:compat>
  <w:rsids>
    <w:rsidRoot w:val="00A31FB3"/>
    <w:rsid w:val="00007543"/>
    <w:rsid w:val="00010D96"/>
    <w:rsid w:val="00011443"/>
    <w:rsid w:val="000151F4"/>
    <w:rsid w:val="000170B0"/>
    <w:rsid w:val="00023643"/>
    <w:rsid w:val="00023B3A"/>
    <w:rsid w:val="00033071"/>
    <w:rsid w:val="00033F78"/>
    <w:rsid w:val="000372E7"/>
    <w:rsid w:val="00040AA6"/>
    <w:rsid w:val="000428EC"/>
    <w:rsid w:val="000441CE"/>
    <w:rsid w:val="00051CA5"/>
    <w:rsid w:val="00053071"/>
    <w:rsid w:val="00053D97"/>
    <w:rsid w:val="00057234"/>
    <w:rsid w:val="000604D1"/>
    <w:rsid w:val="00061299"/>
    <w:rsid w:val="00061CFD"/>
    <w:rsid w:val="00067C30"/>
    <w:rsid w:val="00067C9E"/>
    <w:rsid w:val="0007136A"/>
    <w:rsid w:val="00071AAA"/>
    <w:rsid w:val="00072139"/>
    <w:rsid w:val="00072F09"/>
    <w:rsid w:val="000753E1"/>
    <w:rsid w:val="0008053D"/>
    <w:rsid w:val="00082115"/>
    <w:rsid w:val="00082E8D"/>
    <w:rsid w:val="00085AC9"/>
    <w:rsid w:val="0009225D"/>
    <w:rsid w:val="00093037"/>
    <w:rsid w:val="000A6C06"/>
    <w:rsid w:val="000A6C2A"/>
    <w:rsid w:val="000B1328"/>
    <w:rsid w:val="000B6EED"/>
    <w:rsid w:val="000C1E7F"/>
    <w:rsid w:val="000C3B62"/>
    <w:rsid w:val="000C53B5"/>
    <w:rsid w:val="000C664C"/>
    <w:rsid w:val="000D036D"/>
    <w:rsid w:val="000E0580"/>
    <w:rsid w:val="000F4D3D"/>
    <w:rsid w:val="0010066B"/>
    <w:rsid w:val="00102926"/>
    <w:rsid w:val="00102944"/>
    <w:rsid w:val="00105868"/>
    <w:rsid w:val="00110061"/>
    <w:rsid w:val="00113947"/>
    <w:rsid w:val="00113EFB"/>
    <w:rsid w:val="00114E8E"/>
    <w:rsid w:val="001173B5"/>
    <w:rsid w:val="001211E5"/>
    <w:rsid w:val="00121C4A"/>
    <w:rsid w:val="00136390"/>
    <w:rsid w:val="00141ECF"/>
    <w:rsid w:val="00142A74"/>
    <w:rsid w:val="00146542"/>
    <w:rsid w:val="00154CDC"/>
    <w:rsid w:val="00155A25"/>
    <w:rsid w:val="001561F8"/>
    <w:rsid w:val="0017377D"/>
    <w:rsid w:val="00180415"/>
    <w:rsid w:val="001814DE"/>
    <w:rsid w:val="001A2E82"/>
    <w:rsid w:val="001A3A31"/>
    <w:rsid w:val="001A6DB5"/>
    <w:rsid w:val="001B4B90"/>
    <w:rsid w:val="001B4DAE"/>
    <w:rsid w:val="001B4FE1"/>
    <w:rsid w:val="001C1287"/>
    <w:rsid w:val="001C2D93"/>
    <w:rsid w:val="001C35B9"/>
    <w:rsid w:val="001C3B08"/>
    <w:rsid w:val="001C5636"/>
    <w:rsid w:val="001C672F"/>
    <w:rsid w:val="001C6A36"/>
    <w:rsid w:val="001D0AB6"/>
    <w:rsid w:val="001D2A04"/>
    <w:rsid w:val="001E5557"/>
    <w:rsid w:val="001E70D5"/>
    <w:rsid w:val="001F55A3"/>
    <w:rsid w:val="001F77E4"/>
    <w:rsid w:val="002000B1"/>
    <w:rsid w:val="00201281"/>
    <w:rsid w:val="002025B0"/>
    <w:rsid w:val="0020729B"/>
    <w:rsid w:val="00216863"/>
    <w:rsid w:val="00230494"/>
    <w:rsid w:val="00230DA6"/>
    <w:rsid w:val="002414BD"/>
    <w:rsid w:val="00246BCA"/>
    <w:rsid w:val="0024793F"/>
    <w:rsid w:val="00251D5B"/>
    <w:rsid w:val="00252752"/>
    <w:rsid w:val="0025519E"/>
    <w:rsid w:val="0026014F"/>
    <w:rsid w:val="00263654"/>
    <w:rsid w:val="00264B93"/>
    <w:rsid w:val="00270129"/>
    <w:rsid w:val="00272D08"/>
    <w:rsid w:val="002762AC"/>
    <w:rsid w:val="00280DE8"/>
    <w:rsid w:val="002821AA"/>
    <w:rsid w:val="00283A07"/>
    <w:rsid w:val="00293E24"/>
    <w:rsid w:val="00297CC0"/>
    <w:rsid w:val="002A1071"/>
    <w:rsid w:val="002A436B"/>
    <w:rsid w:val="002A4443"/>
    <w:rsid w:val="002A54B0"/>
    <w:rsid w:val="002C2A51"/>
    <w:rsid w:val="002C4DFA"/>
    <w:rsid w:val="002D4AB6"/>
    <w:rsid w:val="002D654D"/>
    <w:rsid w:val="002E1543"/>
    <w:rsid w:val="002E3AA5"/>
    <w:rsid w:val="002E4416"/>
    <w:rsid w:val="002E50AF"/>
    <w:rsid w:val="002E5C78"/>
    <w:rsid w:val="002F44C9"/>
    <w:rsid w:val="003004C3"/>
    <w:rsid w:val="00304B66"/>
    <w:rsid w:val="00304C0C"/>
    <w:rsid w:val="00305FE0"/>
    <w:rsid w:val="00307273"/>
    <w:rsid w:val="00310F3C"/>
    <w:rsid w:val="00314F6B"/>
    <w:rsid w:val="00320AA4"/>
    <w:rsid w:val="003248E5"/>
    <w:rsid w:val="0032727D"/>
    <w:rsid w:val="00333089"/>
    <w:rsid w:val="00341D53"/>
    <w:rsid w:val="003571CC"/>
    <w:rsid w:val="00366E38"/>
    <w:rsid w:val="00370892"/>
    <w:rsid w:val="00370E9E"/>
    <w:rsid w:val="00374604"/>
    <w:rsid w:val="00374AB6"/>
    <w:rsid w:val="0039585F"/>
    <w:rsid w:val="0039617E"/>
    <w:rsid w:val="00396A82"/>
    <w:rsid w:val="003A04E0"/>
    <w:rsid w:val="003A11A4"/>
    <w:rsid w:val="003A278C"/>
    <w:rsid w:val="003A5619"/>
    <w:rsid w:val="003A6EB6"/>
    <w:rsid w:val="003B0C71"/>
    <w:rsid w:val="003B41DF"/>
    <w:rsid w:val="003B4792"/>
    <w:rsid w:val="003B5896"/>
    <w:rsid w:val="003B6373"/>
    <w:rsid w:val="003C1822"/>
    <w:rsid w:val="003C4BA4"/>
    <w:rsid w:val="003C5640"/>
    <w:rsid w:val="003D0F58"/>
    <w:rsid w:val="003D2AC7"/>
    <w:rsid w:val="003D2DC0"/>
    <w:rsid w:val="003E2848"/>
    <w:rsid w:val="003E4021"/>
    <w:rsid w:val="003E65C1"/>
    <w:rsid w:val="003E6AE8"/>
    <w:rsid w:val="003F3525"/>
    <w:rsid w:val="00401E8D"/>
    <w:rsid w:val="00406665"/>
    <w:rsid w:val="004119A0"/>
    <w:rsid w:val="00417525"/>
    <w:rsid w:val="00435A93"/>
    <w:rsid w:val="00436FC6"/>
    <w:rsid w:val="00437E84"/>
    <w:rsid w:val="00443250"/>
    <w:rsid w:val="00443C8B"/>
    <w:rsid w:val="004473A5"/>
    <w:rsid w:val="004500C6"/>
    <w:rsid w:val="004524FF"/>
    <w:rsid w:val="00461282"/>
    <w:rsid w:val="004636DB"/>
    <w:rsid w:val="00467F47"/>
    <w:rsid w:val="00470932"/>
    <w:rsid w:val="0047797C"/>
    <w:rsid w:val="00482933"/>
    <w:rsid w:val="00483E9D"/>
    <w:rsid w:val="00485E1B"/>
    <w:rsid w:val="00495247"/>
    <w:rsid w:val="004A7A0C"/>
    <w:rsid w:val="004B67A2"/>
    <w:rsid w:val="004C205C"/>
    <w:rsid w:val="004C314B"/>
    <w:rsid w:val="004D3649"/>
    <w:rsid w:val="004E1D6C"/>
    <w:rsid w:val="004E3F0E"/>
    <w:rsid w:val="004E62ED"/>
    <w:rsid w:val="004E7B96"/>
    <w:rsid w:val="004F1986"/>
    <w:rsid w:val="004F1A6B"/>
    <w:rsid w:val="004F4651"/>
    <w:rsid w:val="005036C1"/>
    <w:rsid w:val="005039FA"/>
    <w:rsid w:val="00506804"/>
    <w:rsid w:val="00510FFC"/>
    <w:rsid w:val="00511333"/>
    <w:rsid w:val="00514248"/>
    <w:rsid w:val="005206FA"/>
    <w:rsid w:val="005221A1"/>
    <w:rsid w:val="005241A9"/>
    <w:rsid w:val="005247FF"/>
    <w:rsid w:val="005325F3"/>
    <w:rsid w:val="00536BCF"/>
    <w:rsid w:val="005467E3"/>
    <w:rsid w:val="00550701"/>
    <w:rsid w:val="00552733"/>
    <w:rsid w:val="005561EB"/>
    <w:rsid w:val="005577C1"/>
    <w:rsid w:val="00561B7E"/>
    <w:rsid w:val="00565016"/>
    <w:rsid w:val="005757FE"/>
    <w:rsid w:val="00581E98"/>
    <w:rsid w:val="00582065"/>
    <w:rsid w:val="005848C2"/>
    <w:rsid w:val="0058562F"/>
    <w:rsid w:val="00585641"/>
    <w:rsid w:val="00593C4E"/>
    <w:rsid w:val="005A5C77"/>
    <w:rsid w:val="005B029C"/>
    <w:rsid w:val="005B4242"/>
    <w:rsid w:val="005B62E9"/>
    <w:rsid w:val="005B7008"/>
    <w:rsid w:val="005C2F4E"/>
    <w:rsid w:val="005C64DE"/>
    <w:rsid w:val="005D6B92"/>
    <w:rsid w:val="005D6D58"/>
    <w:rsid w:val="005E1884"/>
    <w:rsid w:val="005E2CAF"/>
    <w:rsid w:val="005E7221"/>
    <w:rsid w:val="005F3D2F"/>
    <w:rsid w:val="005F744C"/>
    <w:rsid w:val="006000E7"/>
    <w:rsid w:val="006029D6"/>
    <w:rsid w:val="006077B4"/>
    <w:rsid w:val="0061464D"/>
    <w:rsid w:val="006266A5"/>
    <w:rsid w:val="0062692F"/>
    <w:rsid w:val="006271E8"/>
    <w:rsid w:val="00627866"/>
    <w:rsid w:val="006302C5"/>
    <w:rsid w:val="0063217D"/>
    <w:rsid w:val="00644CA2"/>
    <w:rsid w:val="00650FFA"/>
    <w:rsid w:val="006541E1"/>
    <w:rsid w:val="0066122F"/>
    <w:rsid w:val="006655EB"/>
    <w:rsid w:val="00666575"/>
    <w:rsid w:val="0066719A"/>
    <w:rsid w:val="00672649"/>
    <w:rsid w:val="00682E45"/>
    <w:rsid w:val="006904AD"/>
    <w:rsid w:val="00694BB7"/>
    <w:rsid w:val="00696B88"/>
    <w:rsid w:val="006A1BA9"/>
    <w:rsid w:val="006A39DB"/>
    <w:rsid w:val="006B015F"/>
    <w:rsid w:val="006B0AB7"/>
    <w:rsid w:val="006B134B"/>
    <w:rsid w:val="006B1D67"/>
    <w:rsid w:val="006B643A"/>
    <w:rsid w:val="006C0CFF"/>
    <w:rsid w:val="006C442F"/>
    <w:rsid w:val="006C4727"/>
    <w:rsid w:val="006D3049"/>
    <w:rsid w:val="006D352E"/>
    <w:rsid w:val="006D36B6"/>
    <w:rsid w:val="006D53B0"/>
    <w:rsid w:val="006E1A87"/>
    <w:rsid w:val="006F2121"/>
    <w:rsid w:val="006F79BD"/>
    <w:rsid w:val="006F7C65"/>
    <w:rsid w:val="00703175"/>
    <w:rsid w:val="00703DD2"/>
    <w:rsid w:val="00710415"/>
    <w:rsid w:val="00713CDA"/>
    <w:rsid w:val="0071421E"/>
    <w:rsid w:val="00725177"/>
    <w:rsid w:val="00725200"/>
    <w:rsid w:val="00727E0B"/>
    <w:rsid w:val="00742BDB"/>
    <w:rsid w:val="0074334E"/>
    <w:rsid w:val="0074336D"/>
    <w:rsid w:val="007537EB"/>
    <w:rsid w:val="00756494"/>
    <w:rsid w:val="00761274"/>
    <w:rsid w:val="00771DC5"/>
    <w:rsid w:val="007736C5"/>
    <w:rsid w:val="00776B8F"/>
    <w:rsid w:val="0078311E"/>
    <w:rsid w:val="007851F6"/>
    <w:rsid w:val="00785747"/>
    <w:rsid w:val="0079342C"/>
    <w:rsid w:val="007934D3"/>
    <w:rsid w:val="00797170"/>
    <w:rsid w:val="007A0540"/>
    <w:rsid w:val="007A513E"/>
    <w:rsid w:val="007A7A77"/>
    <w:rsid w:val="007B15BA"/>
    <w:rsid w:val="007B3B08"/>
    <w:rsid w:val="007B4191"/>
    <w:rsid w:val="007C7B27"/>
    <w:rsid w:val="007D5DF6"/>
    <w:rsid w:val="007D726B"/>
    <w:rsid w:val="007D74AA"/>
    <w:rsid w:val="007E1989"/>
    <w:rsid w:val="007E49C7"/>
    <w:rsid w:val="007E5AE2"/>
    <w:rsid w:val="007F30FE"/>
    <w:rsid w:val="00800FF2"/>
    <w:rsid w:val="00801620"/>
    <w:rsid w:val="0080627D"/>
    <w:rsid w:val="0080628F"/>
    <w:rsid w:val="00807215"/>
    <w:rsid w:val="0080758E"/>
    <w:rsid w:val="00812091"/>
    <w:rsid w:val="00816E1F"/>
    <w:rsid w:val="00821452"/>
    <w:rsid w:val="00830174"/>
    <w:rsid w:val="008304FE"/>
    <w:rsid w:val="008344A5"/>
    <w:rsid w:val="00835C88"/>
    <w:rsid w:val="0083773F"/>
    <w:rsid w:val="0084050E"/>
    <w:rsid w:val="008435DE"/>
    <w:rsid w:val="00845076"/>
    <w:rsid w:val="008474C4"/>
    <w:rsid w:val="00857693"/>
    <w:rsid w:val="00860783"/>
    <w:rsid w:val="00863676"/>
    <w:rsid w:val="00863C89"/>
    <w:rsid w:val="00864160"/>
    <w:rsid w:val="00865CBC"/>
    <w:rsid w:val="00880E11"/>
    <w:rsid w:val="00882028"/>
    <w:rsid w:val="00886DA2"/>
    <w:rsid w:val="00890A14"/>
    <w:rsid w:val="00890CFF"/>
    <w:rsid w:val="00892A60"/>
    <w:rsid w:val="00895828"/>
    <w:rsid w:val="008A2C2D"/>
    <w:rsid w:val="008A6F4D"/>
    <w:rsid w:val="008B5348"/>
    <w:rsid w:val="008B6159"/>
    <w:rsid w:val="008C28BD"/>
    <w:rsid w:val="008C5399"/>
    <w:rsid w:val="008D07BC"/>
    <w:rsid w:val="008D2E19"/>
    <w:rsid w:val="008E158C"/>
    <w:rsid w:val="008E5F95"/>
    <w:rsid w:val="008F0580"/>
    <w:rsid w:val="008F223E"/>
    <w:rsid w:val="008F23F2"/>
    <w:rsid w:val="00900233"/>
    <w:rsid w:val="0090094D"/>
    <w:rsid w:val="00903E0A"/>
    <w:rsid w:val="00905F2F"/>
    <w:rsid w:val="00912188"/>
    <w:rsid w:val="00914C78"/>
    <w:rsid w:val="009158A2"/>
    <w:rsid w:val="00916552"/>
    <w:rsid w:val="00920EFC"/>
    <w:rsid w:val="00925CF8"/>
    <w:rsid w:val="009276A3"/>
    <w:rsid w:val="009342C3"/>
    <w:rsid w:val="0093488B"/>
    <w:rsid w:val="009446C6"/>
    <w:rsid w:val="00952F89"/>
    <w:rsid w:val="0096148F"/>
    <w:rsid w:val="00964532"/>
    <w:rsid w:val="00967966"/>
    <w:rsid w:val="0097597A"/>
    <w:rsid w:val="00975C2A"/>
    <w:rsid w:val="00976CB5"/>
    <w:rsid w:val="00987E34"/>
    <w:rsid w:val="00992E3B"/>
    <w:rsid w:val="0099448E"/>
    <w:rsid w:val="009977C2"/>
    <w:rsid w:val="009A0D0A"/>
    <w:rsid w:val="009A60ED"/>
    <w:rsid w:val="009B4B7D"/>
    <w:rsid w:val="009C08B4"/>
    <w:rsid w:val="009C1B2C"/>
    <w:rsid w:val="009C7517"/>
    <w:rsid w:val="009C7C4B"/>
    <w:rsid w:val="009C7D5B"/>
    <w:rsid w:val="009D3161"/>
    <w:rsid w:val="009D6D92"/>
    <w:rsid w:val="009E0765"/>
    <w:rsid w:val="009E5AD4"/>
    <w:rsid w:val="009E65D5"/>
    <w:rsid w:val="009E7323"/>
    <w:rsid w:val="009F4A06"/>
    <w:rsid w:val="009F582E"/>
    <w:rsid w:val="00A001EC"/>
    <w:rsid w:val="00A00344"/>
    <w:rsid w:val="00A0390F"/>
    <w:rsid w:val="00A0627C"/>
    <w:rsid w:val="00A07C57"/>
    <w:rsid w:val="00A130F1"/>
    <w:rsid w:val="00A162C1"/>
    <w:rsid w:val="00A31FB3"/>
    <w:rsid w:val="00A33A3B"/>
    <w:rsid w:val="00A33CB4"/>
    <w:rsid w:val="00A3607A"/>
    <w:rsid w:val="00A361C2"/>
    <w:rsid w:val="00A469FD"/>
    <w:rsid w:val="00A47B3D"/>
    <w:rsid w:val="00A63C9E"/>
    <w:rsid w:val="00A678FA"/>
    <w:rsid w:val="00A75BAC"/>
    <w:rsid w:val="00A76BF2"/>
    <w:rsid w:val="00A865F4"/>
    <w:rsid w:val="00A93FA1"/>
    <w:rsid w:val="00A943E1"/>
    <w:rsid w:val="00A96EE8"/>
    <w:rsid w:val="00AA10D2"/>
    <w:rsid w:val="00AB21ED"/>
    <w:rsid w:val="00AB2A25"/>
    <w:rsid w:val="00AB54B5"/>
    <w:rsid w:val="00AB5D8C"/>
    <w:rsid w:val="00AB710F"/>
    <w:rsid w:val="00AC05B3"/>
    <w:rsid w:val="00AC20C7"/>
    <w:rsid w:val="00AC67B6"/>
    <w:rsid w:val="00AD2E39"/>
    <w:rsid w:val="00AD5B94"/>
    <w:rsid w:val="00AD6F97"/>
    <w:rsid w:val="00AD79C4"/>
    <w:rsid w:val="00AE0CDC"/>
    <w:rsid w:val="00AE4930"/>
    <w:rsid w:val="00AE51B3"/>
    <w:rsid w:val="00AE54DB"/>
    <w:rsid w:val="00AF0746"/>
    <w:rsid w:val="00AF2380"/>
    <w:rsid w:val="00AF2EF2"/>
    <w:rsid w:val="00AF413A"/>
    <w:rsid w:val="00AF4ED3"/>
    <w:rsid w:val="00AF59D7"/>
    <w:rsid w:val="00AF59FD"/>
    <w:rsid w:val="00B05051"/>
    <w:rsid w:val="00B0761F"/>
    <w:rsid w:val="00B17DFB"/>
    <w:rsid w:val="00B21820"/>
    <w:rsid w:val="00B25D02"/>
    <w:rsid w:val="00B37B72"/>
    <w:rsid w:val="00B50893"/>
    <w:rsid w:val="00B51A31"/>
    <w:rsid w:val="00B61517"/>
    <w:rsid w:val="00B61B59"/>
    <w:rsid w:val="00B63DEB"/>
    <w:rsid w:val="00B63E97"/>
    <w:rsid w:val="00B71634"/>
    <w:rsid w:val="00B725C2"/>
    <w:rsid w:val="00B82F91"/>
    <w:rsid w:val="00B83D3F"/>
    <w:rsid w:val="00B8682D"/>
    <w:rsid w:val="00B90F9F"/>
    <w:rsid w:val="00B910C6"/>
    <w:rsid w:val="00B93008"/>
    <w:rsid w:val="00B958A6"/>
    <w:rsid w:val="00B9756C"/>
    <w:rsid w:val="00BA23FE"/>
    <w:rsid w:val="00BA7EF7"/>
    <w:rsid w:val="00BB3645"/>
    <w:rsid w:val="00BB4F07"/>
    <w:rsid w:val="00BC4EC1"/>
    <w:rsid w:val="00BC6CC0"/>
    <w:rsid w:val="00BE2513"/>
    <w:rsid w:val="00BE3E42"/>
    <w:rsid w:val="00BE4284"/>
    <w:rsid w:val="00BE5CC5"/>
    <w:rsid w:val="00BF0447"/>
    <w:rsid w:val="00BF08C7"/>
    <w:rsid w:val="00BF14B5"/>
    <w:rsid w:val="00BF1E76"/>
    <w:rsid w:val="00BF445C"/>
    <w:rsid w:val="00BF4F63"/>
    <w:rsid w:val="00BF62CD"/>
    <w:rsid w:val="00C02539"/>
    <w:rsid w:val="00C12A33"/>
    <w:rsid w:val="00C148DC"/>
    <w:rsid w:val="00C15242"/>
    <w:rsid w:val="00C1563F"/>
    <w:rsid w:val="00C16DF9"/>
    <w:rsid w:val="00C208F2"/>
    <w:rsid w:val="00C22E45"/>
    <w:rsid w:val="00C27052"/>
    <w:rsid w:val="00C35EEF"/>
    <w:rsid w:val="00C37507"/>
    <w:rsid w:val="00C37916"/>
    <w:rsid w:val="00C514BC"/>
    <w:rsid w:val="00C5217A"/>
    <w:rsid w:val="00C5291E"/>
    <w:rsid w:val="00C536C4"/>
    <w:rsid w:val="00C543A2"/>
    <w:rsid w:val="00C54684"/>
    <w:rsid w:val="00C55405"/>
    <w:rsid w:val="00C60813"/>
    <w:rsid w:val="00C644CB"/>
    <w:rsid w:val="00C73963"/>
    <w:rsid w:val="00C75A0D"/>
    <w:rsid w:val="00C76A1E"/>
    <w:rsid w:val="00C76F5D"/>
    <w:rsid w:val="00C772B5"/>
    <w:rsid w:val="00C825E6"/>
    <w:rsid w:val="00C82A02"/>
    <w:rsid w:val="00C87410"/>
    <w:rsid w:val="00C95B01"/>
    <w:rsid w:val="00C96F00"/>
    <w:rsid w:val="00CA60A0"/>
    <w:rsid w:val="00CA7378"/>
    <w:rsid w:val="00CC25A5"/>
    <w:rsid w:val="00CD08B6"/>
    <w:rsid w:val="00CD63C5"/>
    <w:rsid w:val="00CE0E15"/>
    <w:rsid w:val="00CF288C"/>
    <w:rsid w:val="00CF3C78"/>
    <w:rsid w:val="00D036BA"/>
    <w:rsid w:val="00D15305"/>
    <w:rsid w:val="00D1784F"/>
    <w:rsid w:val="00D203EF"/>
    <w:rsid w:val="00D20E4B"/>
    <w:rsid w:val="00D21C5C"/>
    <w:rsid w:val="00D30407"/>
    <w:rsid w:val="00D35FEA"/>
    <w:rsid w:val="00D505F8"/>
    <w:rsid w:val="00D5344B"/>
    <w:rsid w:val="00D53F1E"/>
    <w:rsid w:val="00D54BE5"/>
    <w:rsid w:val="00D55255"/>
    <w:rsid w:val="00D634F9"/>
    <w:rsid w:val="00D72622"/>
    <w:rsid w:val="00D72E08"/>
    <w:rsid w:val="00D73552"/>
    <w:rsid w:val="00D73E27"/>
    <w:rsid w:val="00D80813"/>
    <w:rsid w:val="00D86366"/>
    <w:rsid w:val="00D91B14"/>
    <w:rsid w:val="00D95816"/>
    <w:rsid w:val="00D970DF"/>
    <w:rsid w:val="00DA1C70"/>
    <w:rsid w:val="00DA1EBB"/>
    <w:rsid w:val="00DA2620"/>
    <w:rsid w:val="00DA532E"/>
    <w:rsid w:val="00DB2A55"/>
    <w:rsid w:val="00DC17D6"/>
    <w:rsid w:val="00DC22F2"/>
    <w:rsid w:val="00DD2110"/>
    <w:rsid w:val="00DD6E87"/>
    <w:rsid w:val="00DD7143"/>
    <w:rsid w:val="00DD7C00"/>
    <w:rsid w:val="00DE0BDE"/>
    <w:rsid w:val="00DE4D4D"/>
    <w:rsid w:val="00DF111B"/>
    <w:rsid w:val="00E023E5"/>
    <w:rsid w:val="00E02AB1"/>
    <w:rsid w:val="00E0407F"/>
    <w:rsid w:val="00E13841"/>
    <w:rsid w:val="00E1412C"/>
    <w:rsid w:val="00E14DE1"/>
    <w:rsid w:val="00E208D3"/>
    <w:rsid w:val="00E20DD4"/>
    <w:rsid w:val="00E27FDB"/>
    <w:rsid w:val="00E316DB"/>
    <w:rsid w:val="00E3222B"/>
    <w:rsid w:val="00E330ED"/>
    <w:rsid w:val="00E3424D"/>
    <w:rsid w:val="00E4286E"/>
    <w:rsid w:val="00E45C7D"/>
    <w:rsid w:val="00E460DC"/>
    <w:rsid w:val="00E46797"/>
    <w:rsid w:val="00E5596D"/>
    <w:rsid w:val="00E63D18"/>
    <w:rsid w:val="00E6748E"/>
    <w:rsid w:val="00E70433"/>
    <w:rsid w:val="00E7109B"/>
    <w:rsid w:val="00E8526D"/>
    <w:rsid w:val="00E85D4E"/>
    <w:rsid w:val="00E90672"/>
    <w:rsid w:val="00E934DA"/>
    <w:rsid w:val="00E974AE"/>
    <w:rsid w:val="00EA286B"/>
    <w:rsid w:val="00EB0DCA"/>
    <w:rsid w:val="00EB53E1"/>
    <w:rsid w:val="00EC2137"/>
    <w:rsid w:val="00EC2C53"/>
    <w:rsid w:val="00EC41CE"/>
    <w:rsid w:val="00ED6A8D"/>
    <w:rsid w:val="00ED7E25"/>
    <w:rsid w:val="00EE118C"/>
    <w:rsid w:val="00EE4BFD"/>
    <w:rsid w:val="00EE7CD6"/>
    <w:rsid w:val="00EF09FA"/>
    <w:rsid w:val="00EF0D18"/>
    <w:rsid w:val="00EF1EDC"/>
    <w:rsid w:val="00EF488B"/>
    <w:rsid w:val="00F03AC7"/>
    <w:rsid w:val="00F06554"/>
    <w:rsid w:val="00F07C33"/>
    <w:rsid w:val="00F13A8E"/>
    <w:rsid w:val="00F14D44"/>
    <w:rsid w:val="00F1578F"/>
    <w:rsid w:val="00F17565"/>
    <w:rsid w:val="00F22433"/>
    <w:rsid w:val="00F22E67"/>
    <w:rsid w:val="00F2461E"/>
    <w:rsid w:val="00F25CDB"/>
    <w:rsid w:val="00F2613C"/>
    <w:rsid w:val="00F319AF"/>
    <w:rsid w:val="00F34957"/>
    <w:rsid w:val="00F419A2"/>
    <w:rsid w:val="00F42AE0"/>
    <w:rsid w:val="00F4420F"/>
    <w:rsid w:val="00F45698"/>
    <w:rsid w:val="00F46EC8"/>
    <w:rsid w:val="00F524BE"/>
    <w:rsid w:val="00F572E0"/>
    <w:rsid w:val="00F61F76"/>
    <w:rsid w:val="00F71C2F"/>
    <w:rsid w:val="00F81F0C"/>
    <w:rsid w:val="00F82EEB"/>
    <w:rsid w:val="00F84997"/>
    <w:rsid w:val="00F96A67"/>
    <w:rsid w:val="00F97B9A"/>
    <w:rsid w:val="00FA4970"/>
    <w:rsid w:val="00FB3652"/>
    <w:rsid w:val="00FB4377"/>
    <w:rsid w:val="00FB5106"/>
    <w:rsid w:val="00FB6148"/>
    <w:rsid w:val="00FC036E"/>
    <w:rsid w:val="00FC0AB0"/>
    <w:rsid w:val="00FC1094"/>
    <w:rsid w:val="00FC2984"/>
    <w:rsid w:val="00FC4F0B"/>
    <w:rsid w:val="00FD2717"/>
    <w:rsid w:val="00FD52F6"/>
    <w:rsid w:val="00FD5C42"/>
    <w:rsid w:val="00FD5E35"/>
    <w:rsid w:val="00FE11CB"/>
    <w:rsid w:val="00FE7D59"/>
    <w:rsid w:val="00FF5EB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4BE"/>
    <w:pPr>
      <w:spacing w:before="120" w:after="120" w:line="360" w:lineRule="auto"/>
      <w:jc w:val="both"/>
    </w:pPr>
    <w:rPr>
      <w:rFonts w:ascii="Times New Roman" w:hAnsi="Times New Roman"/>
      <w:sz w:val="24"/>
    </w:rPr>
  </w:style>
  <w:style w:type="paragraph" w:styleId="Heading1">
    <w:name w:val="heading 1"/>
    <w:basedOn w:val="Normal"/>
    <w:next w:val="Normal"/>
    <w:link w:val="Heading1Char"/>
    <w:uiPriority w:val="9"/>
    <w:qFormat/>
    <w:rsid w:val="00A31FB3"/>
    <w:pPr>
      <w:keepNext/>
      <w:keepLines/>
      <w:numPr>
        <w:numId w:val="11"/>
      </w:numPr>
      <w:spacing w:before="360" w:after="360"/>
      <w:outlineLvl w:val="0"/>
    </w:pPr>
    <w:rPr>
      <w:rFonts w:eastAsiaTheme="majorEastAsia" w:cstheme="majorBidi"/>
      <w:b/>
      <w:bCs/>
      <w:sz w:val="32"/>
      <w:szCs w:val="28"/>
    </w:rPr>
  </w:style>
  <w:style w:type="paragraph" w:styleId="Heading2">
    <w:name w:val="heading 2"/>
    <w:basedOn w:val="Normal"/>
    <w:next w:val="Normal"/>
    <w:link w:val="Heading2Char"/>
    <w:autoRedefine/>
    <w:uiPriority w:val="9"/>
    <w:unhideWhenUsed/>
    <w:qFormat/>
    <w:rsid w:val="00252752"/>
    <w:pPr>
      <w:keepNext/>
      <w:keepLines/>
      <w:numPr>
        <w:ilvl w:val="1"/>
        <w:numId w:val="11"/>
      </w:numPr>
      <w:jc w:val="left"/>
      <w:outlineLvl w:val="1"/>
    </w:pPr>
    <w:rPr>
      <w:rFonts w:eastAsiaTheme="majorEastAsia" w:cs="Times New Roman"/>
      <w:b/>
      <w:bCs/>
      <w:lang w:eastAsia="en-US"/>
    </w:rPr>
  </w:style>
  <w:style w:type="paragraph" w:styleId="Heading3">
    <w:name w:val="heading 3"/>
    <w:basedOn w:val="Normal"/>
    <w:next w:val="Normal"/>
    <w:link w:val="Heading3Char"/>
    <w:uiPriority w:val="9"/>
    <w:unhideWhenUsed/>
    <w:qFormat/>
    <w:rsid w:val="00F524BE"/>
    <w:pPr>
      <w:keepNext/>
      <w:keepLines/>
      <w:numPr>
        <w:ilvl w:val="2"/>
        <w:numId w:val="11"/>
      </w:numPr>
      <w:spacing w:before="200" w:after="0"/>
      <w:outlineLvl w:val="2"/>
    </w:pPr>
    <w:rPr>
      <w:rFonts w:eastAsiaTheme="majorEastAsia" w:cstheme="majorBidi"/>
      <w:b/>
      <w:bCs/>
    </w:rPr>
  </w:style>
  <w:style w:type="paragraph" w:styleId="Heading4">
    <w:name w:val="heading 4"/>
    <w:basedOn w:val="Normal"/>
    <w:next w:val="Normal"/>
    <w:link w:val="Heading4Char"/>
    <w:uiPriority w:val="9"/>
    <w:unhideWhenUsed/>
    <w:qFormat/>
    <w:rsid w:val="00666575"/>
    <w:pPr>
      <w:keepNext/>
      <w:keepLines/>
      <w:numPr>
        <w:ilvl w:val="3"/>
        <w:numId w:val="11"/>
      </w:numPr>
      <w:jc w:val="left"/>
      <w:outlineLvl w:val="3"/>
    </w:pPr>
    <w:rPr>
      <w:rFonts w:eastAsiaTheme="majorEastAsia" w:cstheme="majorBidi"/>
      <w:b/>
      <w:bCs/>
      <w:iCs/>
    </w:rPr>
  </w:style>
  <w:style w:type="paragraph" w:styleId="Heading5">
    <w:name w:val="heading 5"/>
    <w:basedOn w:val="Normal"/>
    <w:next w:val="Normal"/>
    <w:link w:val="Heading5Char"/>
    <w:uiPriority w:val="9"/>
    <w:unhideWhenUsed/>
    <w:qFormat/>
    <w:rsid w:val="002C4DFA"/>
    <w:pPr>
      <w:keepNext/>
      <w:keepLines/>
      <w:numPr>
        <w:ilvl w:val="4"/>
        <w:numId w:val="11"/>
      </w:numPr>
      <w:spacing w:after="240"/>
      <w:jc w:val="left"/>
      <w:outlineLvl w:val="4"/>
    </w:pPr>
    <w:rPr>
      <w:rFonts w:eastAsiaTheme="majorEastAsia" w:cstheme="majorBidi"/>
      <w:b/>
    </w:rPr>
  </w:style>
  <w:style w:type="paragraph" w:styleId="Heading6">
    <w:name w:val="heading 6"/>
    <w:basedOn w:val="Normal"/>
    <w:next w:val="Normal"/>
    <w:link w:val="Heading6Char"/>
    <w:uiPriority w:val="9"/>
    <w:unhideWhenUsed/>
    <w:qFormat/>
    <w:rsid w:val="002C4DFA"/>
    <w:pPr>
      <w:keepNext/>
      <w:keepLines/>
      <w:numPr>
        <w:ilvl w:val="5"/>
        <w:numId w:val="11"/>
      </w:numPr>
      <w:spacing w:before="200" w:after="0"/>
      <w:jc w:val="left"/>
      <w:outlineLvl w:val="5"/>
    </w:pPr>
    <w:rPr>
      <w:rFonts w:eastAsiaTheme="majorEastAsia" w:cstheme="majorBidi"/>
      <w:b/>
      <w:iCs/>
    </w:rPr>
  </w:style>
  <w:style w:type="paragraph" w:styleId="Heading7">
    <w:name w:val="heading 7"/>
    <w:basedOn w:val="Normal"/>
    <w:next w:val="Normal"/>
    <w:link w:val="Heading7Char"/>
    <w:uiPriority w:val="9"/>
    <w:unhideWhenUsed/>
    <w:qFormat/>
    <w:rsid w:val="00011443"/>
    <w:pPr>
      <w:keepNext/>
      <w:keepLines/>
      <w:numPr>
        <w:ilvl w:val="6"/>
        <w:numId w:val="8"/>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011443"/>
    <w:pPr>
      <w:keepNext/>
      <w:keepLines/>
      <w:numPr>
        <w:ilvl w:val="7"/>
        <w:numId w:val="8"/>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011443"/>
    <w:pPr>
      <w:keepNext/>
      <w:keepLines/>
      <w:numPr>
        <w:ilvl w:val="8"/>
        <w:numId w:val="8"/>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1FB3"/>
    <w:rPr>
      <w:rFonts w:ascii="Times New Roman" w:eastAsiaTheme="majorEastAsia" w:hAnsi="Times New Roman" w:cstheme="majorBidi"/>
      <w:b/>
      <w:bCs/>
      <w:sz w:val="32"/>
      <w:szCs w:val="28"/>
    </w:rPr>
  </w:style>
  <w:style w:type="character" w:customStyle="1" w:styleId="Heading2Char">
    <w:name w:val="Heading 2 Char"/>
    <w:basedOn w:val="DefaultParagraphFont"/>
    <w:link w:val="Heading2"/>
    <w:uiPriority w:val="9"/>
    <w:rsid w:val="00252752"/>
    <w:rPr>
      <w:rFonts w:ascii="Times New Roman" w:eastAsiaTheme="majorEastAsia" w:hAnsi="Times New Roman" w:cs="Times New Roman"/>
      <w:b/>
      <w:bCs/>
      <w:sz w:val="24"/>
      <w:lang w:eastAsia="en-US"/>
    </w:rPr>
  </w:style>
  <w:style w:type="table" w:styleId="TableGrid">
    <w:name w:val="Table Grid"/>
    <w:basedOn w:val="TableNormal"/>
    <w:uiPriority w:val="59"/>
    <w:rsid w:val="0001144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11443"/>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1443"/>
    <w:rPr>
      <w:rFonts w:ascii="Tahoma" w:hAnsi="Tahoma" w:cs="Tahoma"/>
      <w:sz w:val="16"/>
      <w:szCs w:val="16"/>
    </w:rPr>
  </w:style>
  <w:style w:type="paragraph" w:styleId="Caption">
    <w:name w:val="caption"/>
    <w:basedOn w:val="Normal"/>
    <w:next w:val="Normal"/>
    <w:uiPriority w:val="35"/>
    <w:unhideWhenUsed/>
    <w:qFormat/>
    <w:rsid w:val="00011443"/>
    <w:rPr>
      <w:b/>
      <w:bCs/>
      <w:szCs w:val="18"/>
    </w:rPr>
  </w:style>
  <w:style w:type="character" w:customStyle="1" w:styleId="Heading3Char">
    <w:name w:val="Heading 3 Char"/>
    <w:basedOn w:val="DefaultParagraphFont"/>
    <w:link w:val="Heading3"/>
    <w:uiPriority w:val="9"/>
    <w:rsid w:val="00F524BE"/>
    <w:rPr>
      <w:rFonts w:ascii="Times New Roman" w:eastAsiaTheme="majorEastAsia" w:hAnsi="Times New Roman" w:cstheme="majorBidi"/>
      <w:b/>
      <w:bCs/>
      <w:sz w:val="24"/>
    </w:rPr>
  </w:style>
  <w:style w:type="character" w:customStyle="1" w:styleId="Heading4Char">
    <w:name w:val="Heading 4 Char"/>
    <w:basedOn w:val="DefaultParagraphFont"/>
    <w:link w:val="Heading4"/>
    <w:uiPriority w:val="9"/>
    <w:rsid w:val="00666575"/>
    <w:rPr>
      <w:rFonts w:ascii="Times New Roman" w:eastAsiaTheme="majorEastAsia" w:hAnsi="Times New Roman" w:cstheme="majorBidi"/>
      <w:b/>
      <w:bCs/>
      <w:iCs/>
      <w:sz w:val="24"/>
    </w:rPr>
  </w:style>
  <w:style w:type="character" w:customStyle="1" w:styleId="Heading5Char">
    <w:name w:val="Heading 5 Char"/>
    <w:basedOn w:val="DefaultParagraphFont"/>
    <w:link w:val="Heading5"/>
    <w:uiPriority w:val="9"/>
    <w:rsid w:val="002C4DFA"/>
    <w:rPr>
      <w:rFonts w:ascii="Times New Roman" w:eastAsiaTheme="majorEastAsia" w:hAnsi="Times New Roman" w:cstheme="majorBidi"/>
      <w:b/>
      <w:sz w:val="24"/>
    </w:rPr>
  </w:style>
  <w:style w:type="character" w:customStyle="1" w:styleId="Heading6Char">
    <w:name w:val="Heading 6 Char"/>
    <w:basedOn w:val="DefaultParagraphFont"/>
    <w:link w:val="Heading6"/>
    <w:uiPriority w:val="9"/>
    <w:rsid w:val="002C4DFA"/>
    <w:rPr>
      <w:rFonts w:ascii="Times New Roman" w:eastAsiaTheme="majorEastAsia" w:hAnsi="Times New Roman" w:cstheme="majorBidi"/>
      <w:b/>
      <w:iCs/>
      <w:sz w:val="24"/>
    </w:rPr>
  </w:style>
  <w:style w:type="character" w:customStyle="1" w:styleId="Heading7Char">
    <w:name w:val="Heading 7 Char"/>
    <w:basedOn w:val="DefaultParagraphFont"/>
    <w:link w:val="Heading7"/>
    <w:uiPriority w:val="9"/>
    <w:rsid w:val="00011443"/>
    <w:rPr>
      <w:rFonts w:asciiTheme="majorHAnsi" w:eastAsiaTheme="majorEastAsia" w:hAnsiTheme="majorHAnsi" w:cstheme="majorBidi"/>
      <w:i/>
      <w:iCs/>
      <w:color w:val="404040" w:themeColor="text1" w:themeTint="BF"/>
      <w:sz w:val="24"/>
    </w:rPr>
  </w:style>
  <w:style w:type="character" w:customStyle="1" w:styleId="Heading8Char">
    <w:name w:val="Heading 8 Char"/>
    <w:basedOn w:val="DefaultParagraphFont"/>
    <w:link w:val="Heading8"/>
    <w:uiPriority w:val="9"/>
    <w:semiHidden/>
    <w:rsid w:val="00011443"/>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011443"/>
    <w:rPr>
      <w:rFonts w:asciiTheme="majorHAnsi" w:eastAsiaTheme="majorEastAsia" w:hAnsiTheme="majorHAnsi" w:cstheme="majorBidi"/>
      <w:i/>
      <w:iCs/>
      <w:color w:val="404040" w:themeColor="text1" w:themeTint="BF"/>
      <w:sz w:val="20"/>
      <w:szCs w:val="20"/>
    </w:rPr>
  </w:style>
  <w:style w:type="paragraph" w:styleId="FootnoteText">
    <w:name w:val="footnote text"/>
    <w:basedOn w:val="Normal"/>
    <w:link w:val="FootnoteTextChar"/>
    <w:uiPriority w:val="99"/>
    <w:semiHidden/>
    <w:unhideWhenUsed/>
    <w:rsid w:val="00401E8D"/>
    <w:pPr>
      <w:spacing w:before="0" w:after="0" w:line="240" w:lineRule="auto"/>
      <w:jc w:val="left"/>
    </w:pPr>
    <w:rPr>
      <w:rFonts w:asciiTheme="minorHAnsi" w:hAnsiTheme="minorHAnsi"/>
      <w:sz w:val="20"/>
      <w:szCs w:val="20"/>
    </w:rPr>
  </w:style>
  <w:style w:type="character" w:customStyle="1" w:styleId="FootnoteTextChar">
    <w:name w:val="Footnote Text Char"/>
    <w:basedOn w:val="DefaultParagraphFont"/>
    <w:link w:val="FootnoteText"/>
    <w:uiPriority w:val="99"/>
    <w:semiHidden/>
    <w:rsid w:val="00401E8D"/>
    <w:rPr>
      <w:sz w:val="20"/>
      <w:szCs w:val="20"/>
    </w:rPr>
  </w:style>
  <w:style w:type="character" w:styleId="FootnoteReference">
    <w:name w:val="footnote reference"/>
    <w:basedOn w:val="DefaultParagraphFont"/>
    <w:uiPriority w:val="99"/>
    <w:semiHidden/>
    <w:unhideWhenUsed/>
    <w:rsid w:val="00401E8D"/>
    <w:rPr>
      <w:vertAlign w:val="superscript"/>
    </w:rPr>
  </w:style>
  <w:style w:type="paragraph" w:styleId="ListParagraph">
    <w:name w:val="List Paragraph"/>
    <w:basedOn w:val="Normal"/>
    <w:uiPriority w:val="34"/>
    <w:qFormat/>
    <w:rsid w:val="00E02AB1"/>
    <w:pPr>
      <w:spacing w:before="0" w:after="200" w:line="276" w:lineRule="auto"/>
      <w:ind w:left="720"/>
      <w:contextualSpacing/>
      <w:jc w:val="left"/>
    </w:pPr>
    <w:rPr>
      <w:rFonts w:asciiTheme="minorHAnsi" w:eastAsiaTheme="minorHAnsi" w:hAnsiTheme="minorHAnsi"/>
      <w:sz w:val="22"/>
      <w:lang w:eastAsia="en-US"/>
    </w:rPr>
  </w:style>
  <w:style w:type="paragraph" w:styleId="NoSpacing">
    <w:name w:val="No Spacing"/>
    <w:link w:val="NoSpacingChar"/>
    <w:uiPriority w:val="1"/>
    <w:qFormat/>
    <w:rsid w:val="00E02AB1"/>
    <w:pPr>
      <w:spacing w:after="0" w:line="240" w:lineRule="auto"/>
    </w:pPr>
    <w:rPr>
      <w:rFonts w:eastAsiaTheme="minorHAnsi"/>
      <w:lang w:eastAsia="en-US"/>
    </w:rPr>
  </w:style>
  <w:style w:type="paragraph" w:styleId="DocumentMap">
    <w:name w:val="Document Map"/>
    <w:basedOn w:val="Normal"/>
    <w:link w:val="DocumentMapChar"/>
    <w:uiPriority w:val="99"/>
    <w:semiHidden/>
    <w:unhideWhenUsed/>
    <w:rsid w:val="00E02AB1"/>
    <w:pPr>
      <w:spacing w:before="0" w:after="0" w:line="240" w:lineRule="auto"/>
      <w:jc w:val="left"/>
    </w:pPr>
    <w:rPr>
      <w:rFonts w:ascii="Tahoma" w:hAnsi="Tahoma" w:cs="Tahoma"/>
      <w:sz w:val="16"/>
      <w:szCs w:val="16"/>
      <w:lang w:val="nl-NL" w:eastAsia="en-US"/>
    </w:rPr>
  </w:style>
  <w:style w:type="character" w:customStyle="1" w:styleId="DocumentMapChar">
    <w:name w:val="Document Map Char"/>
    <w:basedOn w:val="DefaultParagraphFont"/>
    <w:link w:val="DocumentMap"/>
    <w:uiPriority w:val="99"/>
    <w:semiHidden/>
    <w:rsid w:val="00E02AB1"/>
    <w:rPr>
      <w:rFonts w:ascii="Tahoma" w:hAnsi="Tahoma" w:cs="Tahoma"/>
      <w:sz w:val="16"/>
      <w:szCs w:val="16"/>
      <w:lang w:val="nl-NL" w:eastAsia="en-US"/>
    </w:rPr>
  </w:style>
  <w:style w:type="character" w:styleId="PlaceholderText">
    <w:name w:val="Placeholder Text"/>
    <w:basedOn w:val="DefaultParagraphFont"/>
    <w:uiPriority w:val="99"/>
    <w:semiHidden/>
    <w:rsid w:val="00E02AB1"/>
    <w:rPr>
      <w:color w:val="808080"/>
    </w:rPr>
  </w:style>
  <w:style w:type="paragraph" w:customStyle="1" w:styleId="Default">
    <w:name w:val="Default"/>
    <w:uiPriority w:val="99"/>
    <w:rsid w:val="00E02AB1"/>
    <w:pPr>
      <w:autoSpaceDE w:val="0"/>
      <w:autoSpaceDN w:val="0"/>
      <w:adjustRightInd w:val="0"/>
      <w:spacing w:after="0" w:line="240" w:lineRule="auto"/>
    </w:pPr>
    <w:rPr>
      <w:rFonts w:ascii="Times New Roman" w:hAnsi="Times New Roman" w:cs="Times New Roman"/>
      <w:color w:val="000000"/>
      <w:sz w:val="24"/>
      <w:szCs w:val="24"/>
      <w:lang w:val="nl-NL" w:eastAsia="en-US"/>
    </w:rPr>
  </w:style>
  <w:style w:type="character" w:customStyle="1" w:styleId="apple-converted-space">
    <w:name w:val="apple-converted-space"/>
    <w:basedOn w:val="DefaultParagraphFont"/>
    <w:rsid w:val="00E02AB1"/>
  </w:style>
  <w:style w:type="character" w:styleId="Hyperlink">
    <w:name w:val="Hyperlink"/>
    <w:basedOn w:val="DefaultParagraphFont"/>
    <w:uiPriority w:val="99"/>
    <w:unhideWhenUsed/>
    <w:rsid w:val="00E02AB1"/>
    <w:rPr>
      <w:color w:val="0000FF"/>
      <w:u w:val="single"/>
    </w:rPr>
  </w:style>
  <w:style w:type="paragraph" w:styleId="Header">
    <w:name w:val="header"/>
    <w:basedOn w:val="Normal"/>
    <w:link w:val="HeaderChar"/>
    <w:uiPriority w:val="99"/>
    <w:unhideWhenUsed/>
    <w:rsid w:val="00E02AB1"/>
    <w:pPr>
      <w:tabs>
        <w:tab w:val="center" w:pos="4513"/>
        <w:tab w:val="right" w:pos="9026"/>
      </w:tabs>
      <w:spacing w:before="0" w:after="0" w:line="240" w:lineRule="auto"/>
      <w:jc w:val="left"/>
    </w:pPr>
    <w:rPr>
      <w:rFonts w:asciiTheme="minorHAnsi" w:hAnsiTheme="minorHAnsi"/>
      <w:sz w:val="22"/>
      <w:lang w:val="nl-NL" w:eastAsia="en-US"/>
    </w:rPr>
  </w:style>
  <w:style w:type="character" w:customStyle="1" w:styleId="HeaderChar">
    <w:name w:val="Header Char"/>
    <w:basedOn w:val="DefaultParagraphFont"/>
    <w:link w:val="Header"/>
    <w:uiPriority w:val="99"/>
    <w:rsid w:val="00E02AB1"/>
    <w:rPr>
      <w:lang w:val="nl-NL" w:eastAsia="en-US"/>
    </w:rPr>
  </w:style>
  <w:style w:type="paragraph" w:styleId="Footer">
    <w:name w:val="footer"/>
    <w:basedOn w:val="Normal"/>
    <w:link w:val="FooterChar"/>
    <w:uiPriority w:val="99"/>
    <w:unhideWhenUsed/>
    <w:rsid w:val="00E02AB1"/>
    <w:pPr>
      <w:tabs>
        <w:tab w:val="center" w:pos="4513"/>
        <w:tab w:val="right" w:pos="9026"/>
      </w:tabs>
      <w:spacing w:before="0" w:after="0" w:line="240" w:lineRule="auto"/>
      <w:jc w:val="left"/>
    </w:pPr>
    <w:rPr>
      <w:rFonts w:asciiTheme="minorHAnsi" w:hAnsiTheme="minorHAnsi"/>
      <w:sz w:val="22"/>
      <w:lang w:val="nl-NL" w:eastAsia="en-US"/>
    </w:rPr>
  </w:style>
  <w:style w:type="character" w:customStyle="1" w:styleId="FooterChar">
    <w:name w:val="Footer Char"/>
    <w:basedOn w:val="DefaultParagraphFont"/>
    <w:link w:val="Footer"/>
    <w:uiPriority w:val="99"/>
    <w:rsid w:val="00E02AB1"/>
    <w:rPr>
      <w:lang w:val="nl-NL" w:eastAsia="en-US"/>
    </w:rPr>
  </w:style>
  <w:style w:type="table" w:styleId="MediumList2-Accent1">
    <w:name w:val="Medium List 2 Accent 1"/>
    <w:basedOn w:val="TableNormal"/>
    <w:uiPriority w:val="66"/>
    <w:rsid w:val="00E02AB1"/>
    <w:pPr>
      <w:spacing w:after="0" w:line="240" w:lineRule="auto"/>
    </w:pPr>
    <w:rPr>
      <w:rFonts w:asciiTheme="majorHAnsi" w:eastAsiaTheme="majorEastAsia" w:hAnsiTheme="majorHAnsi" w:cstheme="majorBidi"/>
      <w:color w:val="000000" w:themeColor="text1"/>
      <w:lang w:val="nl-NL" w:eastAsia="nl-NL"/>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1">
    <w:name w:val="Medium Grid 1 Accent 1"/>
    <w:basedOn w:val="TableNormal"/>
    <w:uiPriority w:val="67"/>
    <w:rsid w:val="00E02AB1"/>
    <w:pPr>
      <w:spacing w:after="0" w:line="240" w:lineRule="auto"/>
    </w:pPr>
    <w:rPr>
      <w:lang w:val="nl-NL" w:eastAsia="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author">
    <w:name w:val="author"/>
    <w:basedOn w:val="DefaultParagraphFont"/>
    <w:rsid w:val="00E02AB1"/>
  </w:style>
  <w:style w:type="character" w:customStyle="1" w:styleId="pubyear">
    <w:name w:val="pubyear"/>
    <w:basedOn w:val="DefaultParagraphFont"/>
    <w:rsid w:val="00E02AB1"/>
  </w:style>
  <w:style w:type="character" w:customStyle="1" w:styleId="articletitle">
    <w:name w:val="articletitle"/>
    <w:basedOn w:val="DefaultParagraphFont"/>
    <w:rsid w:val="00E02AB1"/>
  </w:style>
  <w:style w:type="character" w:customStyle="1" w:styleId="journaltitle">
    <w:name w:val="journaltitle"/>
    <w:basedOn w:val="DefaultParagraphFont"/>
    <w:rsid w:val="00E02AB1"/>
  </w:style>
  <w:style w:type="character" w:customStyle="1" w:styleId="vol">
    <w:name w:val="vol"/>
    <w:basedOn w:val="DefaultParagraphFont"/>
    <w:rsid w:val="00E02AB1"/>
  </w:style>
  <w:style w:type="character" w:customStyle="1" w:styleId="pagefirst">
    <w:name w:val="pagefirst"/>
    <w:basedOn w:val="DefaultParagraphFont"/>
    <w:rsid w:val="00E02AB1"/>
  </w:style>
  <w:style w:type="character" w:customStyle="1" w:styleId="pagelast">
    <w:name w:val="pagelast"/>
    <w:basedOn w:val="DefaultParagraphFont"/>
    <w:rsid w:val="00E02AB1"/>
  </w:style>
  <w:style w:type="paragraph" w:styleId="NormalWeb">
    <w:name w:val="Normal (Web)"/>
    <w:basedOn w:val="Normal"/>
    <w:uiPriority w:val="99"/>
    <w:unhideWhenUsed/>
    <w:rsid w:val="00E02AB1"/>
    <w:pPr>
      <w:spacing w:before="100" w:beforeAutospacing="1" w:after="100" w:afterAutospacing="1" w:line="240" w:lineRule="auto"/>
      <w:jc w:val="left"/>
    </w:pPr>
    <w:rPr>
      <w:rFonts w:eastAsia="Times New Roman" w:cs="Times New Roman"/>
      <w:szCs w:val="24"/>
      <w:lang w:val="nl-NL" w:eastAsia="nl-NL"/>
    </w:rPr>
  </w:style>
  <w:style w:type="character" w:customStyle="1" w:styleId="NoSpacingChar">
    <w:name w:val="No Spacing Char"/>
    <w:basedOn w:val="DefaultParagraphFont"/>
    <w:link w:val="NoSpacing"/>
    <w:uiPriority w:val="1"/>
    <w:rsid w:val="00E02AB1"/>
    <w:rPr>
      <w:rFonts w:eastAsiaTheme="minorHAnsi"/>
      <w:lang w:eastAsia="en-US"/>
    </w:rPr>
  </w:style>
  <w:style w:type="paragraph" w:styleId="Revision">
    <w:name w:val="Revision"/>
    <w:hidden/>
    <w:uiPriority w:val="99"/>
    <w:semiHidden/>
    <w:rsid w:val="00E02AB1"/>
    <w:pPr>
      <w:spacing w:after="0" w:line="240" w:lineRule="auto"/>
    </w:pPr>
    <w:rPr>
      <w:rFonts w:eastAsia="SimSun"/>
      <w:lang w:val="nl-NL" w:eastAsia="en-US"/>
    </w:rPr>
  </w:style>
  <w:style w:type="character" w:customStyle="1" w:styleId="collapsetext">
    <w:name w:val="collapsetext"/>
    <w:basedOn w:val="DefaultParagraphFont"/>
    <w:rsid w:val="00E02AB1"/>
  </w:style>
  <w:style w:type="character" w:customStyle="1" w:styleId="showinfo">
    <w:name w:val="showinfo"/>
    <w:basedOn w:val="DefaultParagraphFont"/>
    <w:rsid w:val="00E02AB1"/>
  </w:style>
  <w:style w:type="character" w:customStyle="1" w:styleId="scdddoi">
    <w:name w:val="s_c_dddoi"/>
    <w:basedOn w:val="DefaultParagraphFont"/>
    <w:rsid w:val="00E02AB1"/>
  </w:style>
  <w:style w:type="character" w:customStyle="1" w:styleId="EndnoteTextChar">
    <w:name w:val="Endnote Text Char"/>
    <w:basedOn w:val="DefaultParagraphFont"/>
    <w:link w:val="EndnoteText"/>
    <w:uiPriority w:val="99"/>
    <w:rsid w:val="00E02AB1"/>
  </w:style>
  <w:style w:type="paragraph" w:styleId="EndnoteText">
    <w:name w:val="endnote text"/>
    <w:basedOn w:val="Normal"/>
    <w:link w:val="EndnoteTextChar"/>
    <w:uiPriority w:val="99"/>
    <w:unhideWhenUsed/>
    <w:rsid w:val="00E02AB1"/>
    <w:pPr>
      <w:widowControl w:val="0"/>
      <w:snapToGrid w:val="0"/>
      <w:spacing w:before="0" w:after="0" w:line="240" w:lineRule="auto"/>
      <w:jc w:val="left"/>
    </w:pPr>
    <w:rPr>
      <w:rFonts w:asciiTheme="minorHAnsi" w:hAnsiTheme="minorHAnsi"/>
      <w:sz w:val="22"/>
    </w:rPr>
  </w:style>
  <w:style w:type="character" w:customStyle="1" w:styleId="EndnoteTextChar1">
    <w:name w:val="Endnote Text Char1"/>
    <w:basedOn w:val="DefaultParagraphFont"/>
    <w:uiPriority w:val="99"/>
    <w:semiHidden/>
    <w:rsid w:val="00E02AB1"/>
    <w:rPr>
      <w:rFonts w:ascii="Times New Roman" w:hAnsi="Times New Roman"/>
      <w:sz w:val="20"/>
      <w:szCs w:val="20"/>
    </w:rPr>
  </w:style>
  <w:style w:type="character" w:styleId="EndnoteReference">
    <w:name w:val="endnote reference"/>
    <w:basedOn w:val="DefaultParagraphFont"/>
    <w:uiPriority w:val="99"/>
    <w:semiHidden/>
    <w:unhideWhenUsed/>
    <w:rsid w:val="00E02AB1"/>
    <w:rPr>
      <w:vertAlign w:val="superscript"/>
    </w:rPr>
  </w:style>
  <w:style w:type="table" w:styleId="LightList-Accent2">
    <w:name w:val="Light List Accent 2"/>
    <w:basedOn w:val="TableNormal"/>
    <w:uiPriority w:val="61"/>
    <w:rsid w:val="00E02AB1"/>
    <w:pPr>
      <w:spacing w:after="0" w:line="240" w:lineRule="auto"/>
    </w:pPr>
    <w:rPr>
      <w:rFonts w:eastAsia="SimSun"/>
      <w:lang w:val="nl-NL" w:eastAsia="en-US"/>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shd w:val="clear" w:color="auto" w:fill="C0504D" w:themeFill="accent2"/>
      </w:tcPr>
    </w:tblStylePr>
    <w:tblStylePr w:type="lastRow">
      <w:pPr>
        <w:spacing w:beforeLines="0" w:beforeAutospacing="0" w:afterLines="0" w:afterAutospacing="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E02AB1"/>
    <w:pPr>
      <w:spacing w:after="0" w:line="240" w:lineRule="auto"/>
    </w:pPr>
    <w:rPr>
      <w:rFonts w:eastAsia="SimSun"/>
      <w:lang w:val="nl-NL" w:eastAsia="en-US"/>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shd w:val="clear" w:color="auto" w:fill="9BBB59" w:themeFill="accent3"/>
      </w:tcPr>
    </w:tblStylePr>
    <w:tblStylePr w:type="lastRow">
      <w:pPr>
        <w:spacing w:beforeLines="0" w:beforeAutospacing="0" w:afterLines="0" w:afterAutospacing="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E02AB1"/>
    <w:pPr>
      <w:spacing w:after="0" w:line="240" w:lineRule="auto"/>
    </w:pPr>
    <w:rPr>
      <w:rFonts w:eastAsia="SimSun"/>
      <w:lang w:val="nl-NL" w:eastAsia="en-US"/>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shd w:val="clear" w:color="auto" w:fill="8064A2" w:themeFill="accent4"/>
      </w:tcPr>
    </w:tblStylePr>
    <w:tblStylePr w:type="lastRow">
      <w:pPr>
        <w:spacing w:beforeLines="0" w:beforeAutospacing="0" w:afterLines="0" w:afterAutospacing="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E02AB1"/>
    <w:pPr>
      <w:spacing w:after="0" w:line="240" w:lineRule="auto"/>
    </w:pPr>
    <w:rPr>
      <w:rFonts w:eastAsia="SimSun"/>
      <w:lang w:val="nl-NL" w:eastAsia="en-US"/>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shd w:val="clear" w:color="auto" w:fill="4BACC6" w:themeFill="accent5"/>
      </w:tcPr>
    </w:tblStylePr>
    <w:tblStylePr w:type="lastRow">
      <w:pPr>
        <w:spacing w:beforeLines="0" w:beforeAutospacing="0" w:afterLines="0" w:afterAutospacing="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LightList1">
    <w:name w:val="Light List1"/>
    <w:basedOn w:val="TableNormal"/>
    <w:uiPriority w:val="61"/>
    <w:rsid w:val="00E02AB1"/>
    <w:pPr>
      <w:spacing w:after="0" w:line="240" w:lineRule="auto"/>
    </w:pPr>
    <w:rPr>
      <w:rFonts w:eastAsia="SimSun"/>
      <w:lang w:val="nl-NL" w:eastAsia="en-US"/>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shd w:val="clear" w:color="auto" w:fill="000000" w:themeFill="text1"/>
      </w:tcPr>
    </w:tblStylePr>
    <w:tblStylePr w:type="lastRow">
      <w:pPr>
        <w:spacing w:beforeLines="0" w:beforeAutospacing="0" w:afterLines="0" w:afterAutospacing="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1">
    <w:name w:val="Light List - Accent 11"/>
    <w:basedOn w:val="TableNormal"/>
    <w:uiPriority w:val="61"/>
    <w:rsid w:val="00E02AB1"/>
    <w:pPr>
      <w:spacing w:after="0" w:line="240" w:lineRule="auto"/>
    </w:pPr>
    <w:rPr>
      <w:rFonts w:eastAsia="SimSun"/>
      <w:lang w:val="nl-NL" w:eastAsia="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shd w:val="clear" w:color="auto" w:fill="4F81BD" w:themeFill="accent1"/>
      </w:tcPr>
    </w:tblStylePr>
    <w:tblStylePr w:type="lastRow">
      <w:pPr>
        <w:spacing w:beforeLines="0" w:beforeAutospacing="0" w:afterLines="0" w:afterAutospacing="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LightShading1">
    <w:name w:val="Light Shading1"/>
    <w:basedOn w:val="TableNormal"/>
    <w:uiPriority w:val="60"/>
    <w:rsid w:val="00E02AB1"/>
    <w:pPr>
      <w:spacing w:after="0" w:line="240" w:lineRule="auto"/>
    </w:pPr>
    <w:rPr>
      <w:rFonts w:eastAsia="SimSun"/>
      <w:color w:val="000000" w:themeColor="text1" w:themeShade="BF"/>
      <w:lang w:val="nl-NL" w:eastAsia="en-US"/>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Lines="0" w:beforeAutospacing="0" w:afterLines="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
    <w:name w:val="Light Shading - Accent 11"/>
    <w:basedOn w:val="TableNormal"/>
    <w:uiPriority w:val="60"/>
    <w:rsid w:val="00E02AB1"/>
    <w:pPr>
      <w:spacing w:after="0" w:line="240" w:lineRule="auto"/>
    </w:pPr>
    <w:rPr>
      <w:rFonts w:eastAsia="SimSun"/>
      <w:color w:val="365F91" w:themeColor="accent1" w:themeShade="BF"/>
      <w:lang w:val="nl-NL" w:eastAsia="en-US"/>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Lines="0" w:beforeAutospacing="0" w:afterLines="0" w:afterAutospacing="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TableGridLight1">
    <w:name w:val="Table Grid Light1"/>
    <w:basedOn w:val="TableNormal"/>
    <w:uiPriority w:val="40"/>
    <w:rsid w:val="00E02AB1"/>
    <w:pPr>
      <w:spacing w:after="0" w:line="240" w:lineRule="auto"/>
    </w:pPr>
    <w:rPr>
      <w:rFonts w:eastAsia="SimSun"/>
      <w:lang w:val="nl-NL" w:eastAsia="en-US"/>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numbering" w:customStyle="1" w:styleId="Style1">
    <w:name w:val="Style1"/>
    <w:uiPriority w:val="99"/>
    <w:rsid w:val="00E02AB1"/>
    <w:pPr>
      <w:numPr>
        <w:numId w:val="6"/>
      </w:numPr>
    </w:pPr>
  </w:style>
  <w:style w:type="numbering" w:customStyle="1" w:styleId="Style2">
    <w:name w:val="Style2"/>
    <w:uiPriority w:val="99"/>
    <w:rsid w:val="00771DC5"/>
    <w:pPr>
      <w:numPr>
        <w:numId w:val="10"/>
      </w:numPr>
    </w:pPr>
  </w:style>
  <w:style w:type="paragraph" w:styleId="TOCHeading">
    <w:name w:val="TOC Heading"/>
    <w:basedOn w:val="Heading1"/>
    <w:next w:val="Normal"/>
    <w:uiPriority w:val="39"/>
    <w:unhideWhenUsed/>
    <w:qFormat/>
    <w:rsid w:val="00443250"/>
    <w:pPr>
      <w:numPr>
        <w:numId w:val="0"/>
      </w:numPr>
      <w:spacing w:before="480" w:after="0" w:line="276" w:lineRule="auto"/>
      <w:jc w:val="left"/>
      <w:outlineLvl w:val="9"/>
    </w:pPr>
    <w:rPr>
      <w:rFonts w:asciiTheme="majorHAnsi" w:hAnsiTheme="majorHAnsi"/>
      <w:color w:val="365F91" w:themeColor="accent1" w:themeShade="BF"/>
      <w:sz w:val="28"/>
      <w:lang w:eastAsia="ja-JP"/>
    </w:rPr>
  </w:style>
  <w:style w:type="paragraph" w:styleId="TOC1">
    <w:name w:val="toc 1"/>
    <w:basedOn w:val="Normal"/>
    <w:next w:val="Normal"/>
    <w:autoRedefine/>
    <w:uiPriority w:val="39"/>
    <w:unhideWhenUsed/>
    <w:qFormat/>
    <w:rsid w:val="00882028"/>
    <w:pPr>
      <w:tabs>
        <w:tab w:val="left" w:pos="1320"/>
        <w:tab w:val="right" w:leader="dot" w:pos="8297"/>
      </w:tabs>
      <w:spacing w:after="100"/>
    </w:pPr>
  </w:style>
  <w:style w:type="paragraph" w:styleId="TOC2">
    <w:name w:val="toc 2"/>
    <w:basedOn w:val="Normal"/>
    <w:next w:val="Normal"/>
    <w:autoRedefine/>
    <w:uiPriority w:val="39"/>
    <w:unhideWhenUsed/>
    <w:qFormat/>
    <w:rsid w:val="00443250"/>
    <w:pPr>
      <w:spacing w:after="100"/>
      <w:ind w:left="240"/>
    </w:pPr>
  </w:style>
  <w:style w:type="paragraph" w:styleId="TOC3">
    <w:name w:val="toc 3"/>
    <w:basedOn w:val="Normal"/>
    <w:next w:val="Normal"/>
    <w:autoRedefine/>
    <w:uiPriority w:val="39"/>
    <w:unhideWhenUsed/>
    <w:qFormat/>
    <w:rsid w:val="00443250"/>
    <w:pPr>
      <w:spacing w:after="100"/>
      <w:ind w:left="480"/>
    </w:pPr>
  </w:style>
  <w:style w:type="character" w:styleId="CommentReference">
    <w:name w:val="annotation reference"/>
    <w:basedOn w:val="DefaultParagraphFont"/>
    <w:uiPriority w:val="99"/>
    <w:semiHidden/>
    <w:unhideWhenUsed/>
    <w:rsid w:val="00B9756C"/>
    <w:rPr>
      <w:sz w:val="16"/>
      <w:szCs w:val="16"/>
    </w:rPr>
  </w:style>
  <w:style w:type="paragraph" w:styleId="CommentText">
    <w:name w:val="annotation text"/>
    <w:basedOn w:val="Normal"/>
    <w:link w:val="CommentTextChar"/>
    <w:uiPriority w:val="99"/>
    <w:semiHidden/>
    <w:unhideWhenUsed/>
    <w:rsid w:val="00B9756C"/>
    <w:pPr>
      <w:spacing w:line="240" w:lineRule="auto"/>
    </w:pPr>
    <w:rPr>
      <w:sz w:val="20"/>
      <w:szCs w:val="20"/>
    </w:rPr>
  </w:style>
  <w:style w:type="character" w:customStyle="1" w:styleId="CommentTextChar">
    <w:name w:val="Comment Text Char"/>
    <w:basedOn w:val="DefaultParagraphFont"/>
    <w:link w:val="CommentText"/>
    <w:uiPriority w:val="99"/>
    <w:semiHidden/>
    <w:rsid w:val="00B9756C"/>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B9756C"/>
    <w:rPr>
      <w:b/>
      <w:bCs/>
    </w:rPr>
  </w:style>
  <w:style w:type="character" w:customStyle="1" w:styleId="CommentSubjectChar">
    <w:name w:val="Comment Subject Char"/>
    <w:basedOn w:val="CommentTextChar"/>
    <w:link w:val="CommentSubject"/>
    <w:uiPriority w:val="99"/>
    <w:semiHidden/>
    <w:rsid w:val="00B9756C"/>
    <w:rPr>
      <w:rFonts w:ascii="Times New Roman" w:hAnsi="Times New Roman"/>
      <w:b/>
      <w:bCs/>
      <w:sz w:val="20"/>
      <w:szCs w:val="20"/>
    </w:rPr>
  </w:style>
</w:styles>
</file>

<file path=word/webSettings.xml><?xml version="1.0" encoding="utf-8"?>
<w:webSettings xmlns:r="http://schemas.openxmlformats.org/officeDocument/2006/relationships" xmlns:w="http://schemas.openxmlformats.org/wordprocessingml/2006/main">
  <w:divs>
    <w:div w:id="82773113">
      <w:bodyDiv w:val="1"/>
      <w:marLeft w:val="0"/>
      <w:marRight w:val="0"/>
      <w:marTop w:val="0"/>
      <w:marBottom w:val="0"/>
      <w:divBdr>
        <w:top w:val="none" w:sz="0" w:space="0" w:color="auto"/>
        <w:left w:val="none" w:sz="0" w:space="0" w:color="auto"/>
        <w:bottom w:val="none" w:sz="0" w:space="0" w:color="auto"/>
        <w:right w:val="none" w:sz="0" w:space="0" w:color="auto"/>
      </w:divBdr>
    </w:div>
    <w:div w:id="145249409">
      <w:bodyDiv w:val="1"/>
      <w:marLeft w:val="0"/>
      <w:marRight w:val="0"/>
      <w:marTop w:val="0"/>
      <w:marBottom w:val="0"/>
      <w:divBdr>
        <w:top w:val="none" w:sz="0" w:space="0" w:color="auto"/>
        <w:left w:val="none" w:sz="0" w:space="0" w:color="auto"/>
        <w:bottom w:val="none" w:sz="0" w:space="0" w:color="auto"/>
        <w:right w:val="none" w:sz="0" w:space="0" w:color="auto"/>
      </w:divBdr>
    </w:div>
    <w:div w:id="523830761">
      <w:bodyDiv w:val="1"/>
      <w:marLeft w:val="0"/>
      <w:marRight w:val="0"/>
      <w:marTop w:val="0"/>
      <w:marBottom w:val="0"/>
      <w:divBdr>
        <w:top w:val="none" w:sz="0" w:space="0" w:color="auto"/>
        <w:left w:val="none" w:sz="0" w:space="0" w:color="auto"/>
        <w:bottom w:val="none" w:sz="0" w:space="0" w:color="auto"/>
        <w:right w:val="none" w:sz="0" w:space="0" w:color="auto"/>
      </w:divBdr>
    </w:div>
    <w:div w:id="1073049123">
      <w:bodyDiv w:val="1"/>
      <w:marLeft w:val="0"/>
      <w:marRight w:val="0"/>
      <w:marTop w:val="0"/>
      <w:marBottom w:val="0"/>
      <w:divBdr>
        <w:top w:val="none" w:sz="0" w:space="0" w:color="auto"/>
        <w:left w:val="none" w:sz="0" w:space="0" w:color="auto"/>
        <w:bottom w:val="none" w:sz="0" w:space="0" w:color="auto"/>
        <w:right w:val="none" w:sz="0" w:space="0" w:color="auto"/>
      </w:divBdr>
    </w:div>
    <w:div w:id="1155999340">
      <w:bodyDiv w:val="1"/>
      <w:marLeft w:val="0"/>
      <w:marRight w:val="0"/>
      <w:marTop w:val="0"/>
      <w:marBottom w:val="0"/>
      <w:divBdr>
        <w:top w:val="none" w:sz="0" w:space="0" w:color="auto"/>
        <w:left w:val="none" w:sz="0" w:space="0" w:color="auto"/>
        <w:bottom w:val="none" w:sz="0" w:space="0" w:color="auto"/>
        <w:right w:val="none" w:sz="0" w:space="0" w:color="auto"/>
      </w:divBdr>
    </w:div>
    <w:div w:id="1438408140">
      <w:bodyDiv w:val="1"/>
      <w:marLeft w:val="0"/>
      <w:marRight w:val="0"/>
      <w:marTop w:val="0"/>
      <w:marBottom w:val="0"/>
      <w:divBdr>
        <w:top w:val="none" w:sz="0" w:space="0" w:color="auto"/>
        <w:left w:val="none" w:sz="0" w:space="0" w:color="auto"/>
        <w:bottom w:val="none" w:sz="0" w:space="0" w:color="auto"/>
        <w:right w:val="none" w:sz="0" w:space="0" w:color="auto"/>
      </w:divBdr>
    </w:div>
    <w:div w:id="1514342617">
      <w:bodyDiv w:val="1"/>
      <w:marLeft w:val="0"/>
      <w:marRight w:val="0"/>
      <w:marTop w:val="0"/>
      <w:marBottom w:val="0"/>
      <w:divBdr>
        <w:top w:val="none" w:sz="0" w:space="0" w:color="auto"/>
        <w:left w:val="none" w:sz="0" w:space="0" w:color="auto"/>
        <w:bottom w:val="none" w:sz="0" w:space="0" w:color="auto"/>
        <w:right w:val="none" w:sz="0" w:space="0" w:color="auto"/>
      </w:divBdr>
    </w:div>
    <w:div w:id="1521970894">
      <w:bodyDiv w:val="1"/>
      <w:marLeft w:val="0"/>
      <w:marRight w:val="0"/>
      <w:marTop w:val="0"/>
      <w:marBottom w:val="0"/>
      <w:divBdr>
        <w:top w:val="none" w:sz="0" w:space="0" w:color="auto"/>
        <w:left w:val="none" w:sz="0" w:space="0" w:color="auto"/>
        <w:bottom w:val="none" w:sz="0" w:space="0" w:color="auto"/>
        <w:right w:val="none" w:sz="0" w:space="0" w:color="auto"/>
      </w:divBdr>
    </w:div>
    <w:div w:id="1873036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oleObject" Target="embeddings/Microsoft_Visio_2003-2010_Drawing22.vsd"/><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bis.org/publ/bcbs122.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Microsoft_Visio_2003-2010_Drawing11.vsd"/><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7161B2-DF7A-43D2-BA1C-359CFCD145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92</Pages>
  <Words>29184</Words>
  <Characters>166354</Characters>
  <Application>Microsoft Office Word</Application>
  <DocSecurity>0</DocSecurity>
  <Lines>1386</Lines>
  <Paragraphs>390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Erik</dc:creator>
  <cp:lastModifiedBy>zyrr999</cp:lastModifiedBy>
  <cp:revision>2</cp:revision>
  <dcterms:created xsi:type="dcterms:W3CDTF">2014-10-24T10:38:00Z</dcterms:created>
  <dcterms:modified xsi:type="dcterms:W3CDTF">2014-10-24T10:38:00Z</dcterms:modified>
</cp:coreProperties>
</file>