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C6A" w:rsidRDefault="001C6C6A" w:rsidP="001C6C6A">
      <w:pPr>
        <w:spacing w:line="240" w:lineRule="auto"/>
        <w:jc w:val="center"/>
        <w:rPr>
          <w:rFonts w:cstheme="minorHAnsi"/>
          <w:szCs w:val="24"/>
        </w:rPr>
      </w:pPr>
      <w:bookmarkStart w:id="0" w:name="_GoBack"/>
      <w:bookmarkEnd w:id="0"/>
      <w:r w:rsidRPr="000A6144">
        <w:rPr>
          <w:rFonts w:ascii="Times New Roman" w:hAnsi="Times New Roman" w:cs="Times New Roman"/>
          <w:noProof/>
          <w:lang w:val="en-GB" w:eastAsia="en-GB"/>
        </w:rPr>
        <w:drawing>
          <wp:anchor distT="0" distB="0" distL="114300" distR="114300" simplePos="0" relativeHeight="251659264" behindDoc="0" locked="0" layoutInCell="1" allowOverlap="1" wp14:anchorId="76EE39CF" wp14:editId="2C2CB469">
            <wp:simplePos x="0" y="0"/>
            <wp:positionH relativeFrom="column">
              <wp:posOffset>0</wp:posOffset>
            </wp:positionH>
            <wp:positionV relativeFrom="paragraph">
              <wp:posOffset>299720</wp:posOffset>
            </wp:positionV>
            <wp:extent cx="4948555" cy="1186815"/>
            <wp:effectExtent l="1905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948555" cy="1186815"/>
                    </a:xfrm>
                    <a:prstGeom prst="rect">
                      <a:avLst/>
                    </a:prstGeom>
                    <a:noFill/>
                    <a:ln w="9525">
                      <a:noFill/>
                      <a:miter lim="800000"/>
                      <a:headEnd/>
                      <a:tailEnd/>
                    </a:ln>
                  </pic:spPr>
                </pic:pic>
              </a:graphicData>
            </a:graphic>
          </wp:anchor>
        </w:drawing>
      </w: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Default="001C6C6A" w:rsidP="001C6C6A">
      <w:pPr>
        <w:spacing w:line="240" w:lineRule="auto"/>
        <w:jc w:val="center"/>
        <w:rPr>
          <w:rFonts w:cstheme="minorHAnsi"/>
          <w:szCs w:val="24"/>
        </w:rPr>
      </w:pPr>
    </w:p>
    <w:p w:rsidR="001C6C6A" w:rsidRPr="0089194C" w:rsidRDefault="001C6C6A" w:rsidP="001C6C6A">
      <w:pPr>
        <w:spacing w:line="240" w:lineRule="auto"/>
        <w:jc w:val="center"/>
        <w:rPr>
          <w:rFonts w:cstheme="minorHAnsi"/>
          <w:sz w:val="32"/>
          <w:szCs w:val="24"/>
          <w:lang w:val="en-US"/>
        </w:rPr>
      </w:pPr>
      <w:r w:rsidRPr="0089194C">
        <w:rPr>
          <w:rFonts w:ascii="Calibri" w:hAnsi="Calibri" w:cs="Calibri"/>
          <w:i/>
          <w:iCs/>
          <w:color w:val="000000"/>
          <w:sz w:val="32"/>
          <w:lang w:val="en-US"/>
        </w:rPr>
        <w:t xml:space="preserve">Exploring the </w:t>
      </w:r>
      <w:r w:rsidR="00226A53">
        <w:rPr>
          <w:rFonts w:ascii="Calibri" w:hAnsi="Calibri" w:cs="Calibri"/>
          <w:i/>
          <w:iCs/>
          <w:color w:val="000000"/>
          <w:sz w:val="32"/>
          <w:lang w:val="en-US"/>
        </w:rPr>
        <w:t>stock market participation</w:t>
      </w:r>
      <w:r w:rsidRPr="0089194C">
        <w:rPr>
          <w:rFonts w:ascii="Calibri" w:hAnsi="Calibri" w:cs="Calibri"/>
          <w:i/>
          <w:iCs/>
          <w:color w:val="000000"/>
          <w:sz w:val="32"/>
          <w:lang w:val="en-US"/>
        </w:rPr>
        <w:t xml:space="preserve"> of the Dutch population</w:t>
      </w:r>
    </w:p>
    <w:p w:rsidR="00084729" w:rsidRDefault="00084729" w:rsidP="00084729">
      <w:pPr>
        <w:spacing w:line="240" w:lineRule="auto"/>
        <w:jc w:val="center"/>
        <w:rPr>
          <w:rFonts w:cstheme="minorHAnsi"/>
          <w:i/>
          <w:szCs w:val="24"/>
          <w:lang w:val="en-US"/>
        </w:rPr>
      </w:pPr>
      <w:r>
        <w:rPr>
          <w:rFonts w:cstheme="minorHAnsi"/>
          <w:i/>
          <w:szCs w:val="24"/>
          <w:lang w:val="en-US"/>
        </w:rPr>
        <w:t>21 June 2015</w:t>
      </w:r>
    </w:p>
    <w:p w:rsidR="0089194C" w:rsidRDefault="0089194C" w:rsidP="00B83B3B">
      <w:pPr>
        <w:spacing w:line="360" w:lineRule="auto"/>
        <w:rPr>
          <w:rFonts w:cstheme="minorHAnsi"/>
          <w:i/>
          <w:szCs w:val="24"/>
          <w:lang w:val="en-US"/>
        </w:rPr>
      </w:pPr>
    </w:p>
    <w:p w:rsidR="0089194C" w:rsidRDefault="0089194C" w:rsidP="00B83B3B">
      <w:pPr>
        <w:spacing w:line="360" w:lineRule="auto"/>
        <w:rPr>
          <w:rFonts w:cstheme="minorHAnsi"/>
          <w:i/>
          <w:szCs w:val="24"/>
          <w:lang w:val="en-US"/>
        </w:rPr>
      </w:pPr>
    </w:p>
    <w:p w:rsidR="001C6C6A" w:rsidRPr="001C6C6A" w:rsidRDefault="006E5B4E" w:rsidP="00C02A37">
      <w:pPr>
        <w:spacing w:line="360" w:lineRule="auto"/>
        <w:jc w:val="both"/>
        <w:rPr>
          <w:rFonts w:cstheme="minorHAnsi"/>
          <w:szCs w:val="24"/>
          <w:lang w:val="en-US"/>
        </w:rPr>
      </w:pPr>
      <w:r w:rsidRPr="006E5B4E">
        <w:rPr>
          <w:rFonts w:cstheme="minorHAnsi"/>
          <w:i/>
          <w:szCs w:val="24"/>
          <w:lang w:val="en-US"/>
        </w:rPr>
        <w:t>Abstract.</w:t>
      </w:r>
      <w:r>
        <w:rPr>
          <w:rFonts w:cstheme="minorHAnsi"/>
          <w:szCs w:val="24"/>
          <w:lang w:val="en-US"/>
        </w:rPr>
        <w:t xml:space="preserve"> </w:t>
      </w:r>
      <w:r w:rsidR="00226A53">
        <w:rPr>
          <w:rFonts w:cstheme="minorHAnsi"/>
          <w:szCs w:val="24"/>
          <w:lang w:val="en-US"/>
        </w:rPr>
        <w:t>Replicating and e</w:t>
      </w:r>
      <w:r>
        <w:rPr>
          <w:rFonts w:cstheme="minorHAnsi"/>
          <w:szCs w:val="24"/>
          <w:lang w:val="en-US"/>
        </w:rPr>
        <w:t xml:space="preserve">xtending a 2014 paper written by Dimmock, Kouwenberg and Wakker, </w:t>
      </w:r>
      <w:r w:rsidR="00A160C9">
        <w:rPr>
          <w:rFonts w:cstheme="minorHAnsi"/>
          <w:szCs w:val="24"/>
          <w:lang w:val="en-US"/>
        </w:rPr>
        <w:t xml:space="preserve">this study investigates the relation between stock market participation and </w:t>
      </w:r>
      <w:r w:rsidR="00873725">
        <w:rPr>
          <w:rFonts w:cstheme="minorHAnsi"/>
          <w:szCs w:val="24"/>
          <w:lang w:val="en-US"/>
        </w:rPr>
        <w:t xml:space="preserve">ambiguity attitudes along with </w:t>
      </w:r>
      <w:r w:rsidR="00A160C9">
        <w:rPr>
          <w:rFonts w:cstheme="minorHAnsi"/>
          <w:szCs w:val="24"/>
          <w:lang w:val="en-US"/>
        </w:rPr>
        <w:t xml:space="preserve">several demographic </w:t>
      </w:r>
      <w:r w:rsidR="00B83B3B">
        <w:rPr>
          <w:rFonts w:cstheme="minorHAnsi"/>
          <w:szCs w:val="24"/>
          <w:lang w:val="en-US"/>
        </w:rPr>
        <w:t>variables</w:t>
      </w:r>
      <w:r w:rsidR="00A160C9">
        <w:rPr>
          <w:rFonts w:cstheme="minorHAnsi"/>
          <w:szCs w:val="24"/>
          <w:lang w:val="en-US"/>
        </w:rPr>
        <w:t xml:space="preserve">. The extension </w:t>
      </w:r>
      <w:r w:rsidR="00A160C9">
        <w:rPr>
          <w:rFonts w:cstheme="minorHAnsi"/>
          <w:szCs w:val="24"/>
          <w:lang w:val="en-US"/>
        </w:rPr>
        <w:lastRenderedPageBreak/>
        <w:t>involve</w:t>
      </w:r>
      <w:r w:rsidR="00B3799F">
        <w:rPr>
          <w:rFonts w:cstheme="minorHAnsi"/>
          <w:szCs w:val="24"/>
          <w:lang w:val="en-US"/>
        </w:rPr>
        <w:t>s</w:t>
      </w:r>
      <w:r w:rsidR="00A160C9">
        <w:rPr>
          <w:rFonts w:cstheme="minorHAnsi"/>
          <w:szCs w:val="24"/>
          <w:lang w:val="en-US"/>
        </w:rPr>
        <w:t xml:space="preserve"> the introduction of interaction terms between gender and ambiguity and risk</w:t>
      </w:r>
      <w:r w:rsidR="00D529CE">
        <w:rPr>
          <w:rFonts w:cstheme="minorHAnsi"/>
          <w:szCs w:val="24"/>
          <w:lang w:val="en-US"/>
        </w:rPr>
        <w:t xml:space="preserve"> </w:t>
      </w:r>
      <w:r w:rsidR="00873725">
        <w:rPr>
          <w:rFonts w:cstheme="minorHAnsi"/>
          <w:szCs w:val="24"/>
          <w:lang w:val="en-US"/>
        </w:rPr>
        <w:t>attitudes</w:t>
      </w:r>
      <w:r w:rsidR="00147724">
        <w:rPr>
          <w:rFonts w:cstheme="minorHAnsi"/>
          <w:szCs w:val="24"/>
          <w:lang w:val="en-US"/>
        </w:rPr>
        <w:t xml:space="preserve"> in the</w:t>
      </w:r>
      <w:r w:rsidR="00226A53">
        <w:rPr>
          <w:rFonts w:cstheme="minorHAnsi"/>
          <w:szCs w:val="24"/>
          <w:lang w:val="en-US"/>
        </w:rPr>
        <w:t xml:space="preserve"> regression analysis</w:t>
      </w:r>
      <w:r w:rsidR="00A160C9">
        <w:rPr>
          <w:rFonts w:cstheme="minorHAnsi"/>
          <w:szCs w:val="24"/>
          <w:lang w:val="en-US"/>
        </w:rPr>
        <w:t xml:space="preserve">. Most notably, women are found to be more risk averse than men, </w:t>
      </w:r>
      <w:r w:rsidR="00D54BF2">
        <w:rPr>
          <w:rFonts w:cstheme="minorHAnsi"/>
          <w:szCs w:val="24"/>
          <w:lang w:val="en-US"/>
        </w:rPr>
        <w:t>while</w:t>
      </w:r>
      <w:r w:rsidR="00A160C9">
        <w:rPr>
          <w:rFonts w:cstheme="minorHAnsi"/>
          <w:szCs w:val="24"/>
          <w:lang w:val="en-US"/>
        </w:rPr>
        <w:t xml:space="preserve"> men exhibit higher stock market participation.</w:t>
      </w:r>
      <w:r w:rsidR="00226A53">
        <w:rPr>
          <w:rFonts w:cstheme="minorHAnsi"/>
          <w:szCs w:val="24"/>
          <w:lang w:val="en-US"/>
        </w:rPr>
        <w:t xml:space="preserve"> The analysis of </w:t>
      </w:r>
      <w:r w:rsidR="009B3DC6">
        <w:rPr>
          <w:rFonts w:cstheme="minorHAnsi"/>
          <w:szCs w:val="24"/>
          <w:lang w:val="en-US"/>
        </w:rPr>
        <w:t xml:space="preserve">the </w:t>
      </w:r>
      <w:r w:rsidR="00226A53">
        <w:rPr>
          <w:rFonts w:cstheme="minorHAnsi"/>
          <w:szCs w:val="24"/>
          <w:lang w:val="en-US"/>
        </w:rPr>
        <w:t>data also indicated that</w:t>
      </w:r>
      <w:r w:rsidR="00A160C9">
        <w:rPr>
          <w:rFonts w:cstheme="minorHAnsi"/>
          <w:szCs w:val="24"/>
          <w:lang w:val="en-US"/>
        </w:rPr>
        <w:t xml:space="preserve"> </w:t>
      </w:r>
      <w:r w:rsidR="00226A53">
        <w:rPr>
          <w:rFonts w:cstheme="minorHAnsi"/>
          <w:szCs w:val="24"/>
          <w:lang w:val="en-US"/>
        </w:rPr>
        <w:t>a</w:t>
      </w:r>
      <w:r w:rsidR="00A12DEF">
        <w:rPr>
          <w:rFonts w:cstheme="minorHAnsi"/>
          <w:szCs w:val="24"/>
          <w:lang w:val="en-US"/>
        </w:rPr>
        <w:t xml:space="preserve">mbiguity </w:t>
      </w:r>
      <w:r w:rsidR="00042F8F">
        <w:rPr>
          <w:rFonts w:cstheme="minorHAnsi"/>
          <w:szCs w:val="24"/>
          <w:lang w:val="en-US"/>
        </w:rPr>
        <w:t>aversion</w:t>
      </w:r>
      <w:r w:rsidR="00226A53">
        <w:rPr>
          <w:rFonts w:cstheme="minorHAnsi"/>
          <w:szCs w:val="24"/>
          <w:lang w:val="en-US"/>
        </w:rPr>
        <w:t xml:space="preserve"> does not differ between Dutch men and women, and</w:t>
      </w:r>
      <w:r w:rsidR="00042F8F">
        <w:rPr>
          <w:rFonts w:cstheme="minorHAnsi"/>
          <w:szCs w:val="24"/>
          <w:lang w:val="en-US"/>
        </w:rPr>
        <w:t xml:space="preserve"> </w:t>
      </w:r>
      <w:r w:rsidR="00A12DEF">
        <w:rPr>
          <w:rFonts w:cstheme="minorHAnsi"/>
          <w:szCs w:val="24"/>
          <w:lang w:val="en-US"/>
        </w:rPr>
        <w:t xml:space="preserve">holds no significant explanatory power over stock market participation. In contrast, household income, gender, risk aversion and household size are </w:t>
      </w:r>
      <w:r w:rsidR="00147724">
        <w:rPr>
          <w:rFonts w:cstheme="minorHAnsi"/>
          <w:szCs w:val="24"/>
          <w:lang w:val="en-US"/>
        </w:rPr>
        <w:t xml:space="preserve">significant </w:t>
      </w:r>
      <w:r w:rsidR="00A12DEF">
        <w:rPr>
          <w:rFonts w:cstheme="minorHAnsi"/>
          <w:szCs w:val="24"/>
          <w:lang w:val="en-US"/>
        </w:rPr>
        <w:t>predictors for stock market participation.</w:t>
      </w:r>
      <w:r w:rsidR="00873725">
        <w:rPr>
          <w:rFonts w:cstheme="minorHAnsi"/>
          <w:szCs w:val="24"/>
          <w:lang w:val="en-US"/>
        </w:rPr>
        <w:t xml:space="preserve"> Lastly,</w:t>
      </w:r>
      <w:r w:rsidR="00226A53">
        <w:rPr>
          <w:rFonts w:cstheme="minorHAnsi"/>
          <w:szCs w:val="24"/>
          <w:lang w:val="en-US"/>
        </w:rPr>
        <w:t xml:space="preserve"> estimations of </w:t>
      </w:r>
      <w:r w:rsidR="00AA313A">
        <w:rPr>
          <w:rFonts w:cstheme="minorHAnsi"/>
          <w:szCs w:val="24"/>
          <w:lang w:val="en-US"/>
        </w:rPr>
        <w:t>the</w:t>
      </w:r>
      <w:r w:rsidR="00226A53">
        <w:rPr>
          <w:rFonts w:cstheme="minorHAnsi"/>
          <w:szCs w:val="24"/>
          <w:lang w:val="en-US"/>
        </w:rPr>
        <w:t xml:space="preserve"> interaction terms showed that neither risk nor</w:t>
      </w:r>
      <w:r w:rsidR="00873725">
        <w:rPr>
          <w:rFonts w:cstheme="minorHAnsi"/>
          <w:szCs w:val="24"/>
          <w:lang w:val="en-US"/>
        </w:rPr>
        <w:t xml:space="preserve"> ambiguity atti</w:t>
      </w:r>
      <w:r w:rsidR="00226A53">
        <w:rPr>
          <w:rFonts w:cstheme="minorHAnsi"/>
          <w:szCs w:val="24"/>
          <w:lang w:val="en-US"/>
        </w:rPr>
        <w:t>tudes have a significant impact on the gender gap in</w:t>
      </w:r>
      <w:r w:rsidR="00873725">
        <w:rPr>
          <w:rFonts w:cstheme="minorHAnsi"/>
          <w:szCs w:val="24"/>
          <w:lang w:val="en-US"/>
        </w:rPr>
        <w:t xml:space="preserve"> stock market participation decision.</w:t>
      </w:r>
    </w:p>
    <w:p w:rsidR="001C6C6A" w:rsidRPr="001C6C6A" w:rsidRDefault="001C6C6A" w:rsidP="001C6C6A">
      <w:pPr>
        <w:spacing w:line="240" w:lineRule="auto"/>
        <w:jc w:val="center"/>
        <w:rPr>
          <w:rFonts w:cstheme="minorHAnsi"/>
          <w:szCs w:val="24"/>
          <w:lang w:val="en-US"/>
        </w:rPr>
      </w:pPr>
    </w:p>
    <w:p w:rsidR="001C6C6A" w:rsidRDefault="001C6C6A" w:rsidP="001C6C6A">
      <w:pPr>
        <w:spacing w:line="240" w:lineRule="auto"/>
        <w:jc w:val="center"/>
        <w:rPr>
          <w:rFonts w:cstheme="minorHAnsi"/>
          <w:szCs w:val="24"/>
          <w:lang w:val="en-US"/>
        </w:rPr>
      </w:pPr>
    </w:p>
    <w:p w:rsidR="001C6C6A" w:rsidRPr="004C4045" w:rsidRDefault="001C6C6A" w:rsidP="001C6C6A">
      <w:pPr>
        <w:spacing w:line="240" w:lineRule="auto"/>
        <w:jc w:val="center"/>
        <w:rPr>
          <w:rFonts w:cstheme="minorHAnsi"/>
          <w:szCs w:val="24"/>
          <w:lang w:val="en-US"/>
        </w:rPr>
      </w:pPr>
      <w:r w:rsidRPr="004C4045">
        <w:rPr>
          <w:rFonts w:cstheme="minorHAnsi"/>
          <w:szCs w:val="24"/>
          <w:lang w:val="en-US"/>
        </w:rPr>
        <w:t>Joren Verbunt</w:t>
      </w:r>
      <w:r w:rsidRPr="004C4045">
        <w:rPr>
          <w:rFonts w:cstheme="minorHAnsi"/>
          <w:szCs w:val="24"/>
          <w:lang w:val="en-US"/>
        </w:rPr>
        <w:br/>
        <w:t>Erasmus School of Economics</w:t>
      </w:r>
      <w:r w:rsidR="00C07790">
        <w:rPr>
          <w:rFonts w:cstheme="minorHAnsi"/>
          <w:szCs w:val="24"/>
          <w:lang w:val="en-US"/>
        </w:rPr>
        <w:br/>
        <w:t>Rotterdam, The Netherlands</w:t>
      </w:r>
      <w:r w:rsidRPr="004C4045">
        <w:rPr>
          <w:rFonts w:cstheme="minorHAnsi"/>
          <w:szCs w:val="24"/>
          <w:lang w:val="en-US"/>
        </w:rPr>
        <w:br/>
        <w:t>Student</w:t>
      </w:r>
      <w:r w:rsidR="00C503AE">
        <w:rPr>
          <w:rFonts w:cstheme="minorHAnsi"/>
          <w:szCs w:val="24"/>
          <w:lang w:val="en-US"/>
        </w:rPr>
        <w:t xml:space="preserve"> </w:t>
      </w:r>
      <w:r w:rsidRPr="004C4045">
        <w:rPr>
          <w:rFonts w:cstheme="minorHAnsi"/>
          <w:szCs w:val="24"/>
          <w:lang w:val="en-US"/>
        </w:rPr>
        <w:t>number: 322291</w:t>
      </w:r>
      <w:r w:rsidRPr="004C4045">
        <w:rPr>
          <w:rFonts w:cstheme="minorHAnsi"/>
          <w:szCs w:val="24"/>
          <w:lang w:val="en-US"/>
        </w:rPr>
        <w:br/>
        <w:t>Email: 322291jv@student.eur.nl</w:t>
      </w:r>
    </w:p>
    <w:p w:rsidR="001C6C6A" w:rsidRPr="004C4045" w:rsidRDefault="001C6C6A" w:rsidP="001C6C6A">
      <w:pPr>
        <w:tabs>
          <w:tab w:val="left" w:pos="3630"/>
        </w:tabs>
        <w:spacing w:line="240" w:lineRule="auto"/>
        <w:jc w:val="center"/>
        <w:rPr>
          <w:rFonts w:cstheme="minorHAnsi"/>
          <w:szCs w:val="24"/>
          <w:lang w:val="en-US"/>
        </w:rPr>
      </w:pPr>
      <w:r w:rsidRPr="004C4045">
        <w:rPr>
          <w:rFonts w:cstheme="minorHAnsi"/>
          <w:szCs w:val="24"/>
          <w:lang w:val="en-US"/>
        </w:rPr>
        <w:t>Academi</w:t>
      </w:r>
      <w:r w:rsidR="0099010F">
        <w:rPr>
          <w:rFonts w:cstheme="minorHAnsi"/>
          <w:szCs w:val="24"/>
          <w:lang w:val="en-US"/>
        </w:rPr>
        <w:t>c year</w:t>
      </w:r>
      <w:r w:rsidRPr="004C4045">
        <w:rPr>
          <w:rFonts w:cstheme="minorHAnsi"/>
          <w:szCs w:val="24"/>
          <w:lang w:val="en-US"/>
        </w:rPr>
        <w:t>: 2014-2015</w:t>
      </w:r>
    </w:p>
    <w:p w:rsidR="004226BA" w:rsidRPr="004C4045" w:rsidRDefault="004226BA">
      <w:pPr>
        <w:spacing w:after="160" w:line="259" w:lineRule="auto"/>
        <w:rPr>
          <w:rFonts w:cstheme="minorHAnsi"/>
          <w:lang w:val="en-US"/>
        </w:rPr>
      </w:pPr>
      <w:r w:rsidRPr="004C4045">
        <w:rPr>
          <w:rFonts w:cstheme="minorHAnsi"/>
          <w:lang w:val="en-US"/>
        </w:rPr>
        <w:br w:type="page"/>
      </w:r>
    </w:p>
    <w:p w:rsidR="004226BA" w:rsidRPr="00C503AE" w:rsidRDefault="004226BA" w:rsidP="009E53D1">
      <w:pPr>
        <w:rPr>
          <w:b/>
          <w:sz w:val="36"/>
          <w:lang w:val="en-US"/>
        </w:rPr>
      </w:pPr>
      <w:r w:rsidRPr="00C503AE">
        <w:rPr>
          <w:b/>
          <w:sz w:val="36"/>
          <w:lang w:val="en-US"/>
        </w:rPr>
        <w:lastRenderedPageBreak/>
        <w:t>Acknowledgments</w:t>
      </w:r>
    </w:p>
    <w:p w:rsidR="004226BA" w:rsidRPr="004C4045" w:rsidRDefault="00B83B3B" w:rsidP="00C02A37">
      <w:pPr>
        <w:spacing w:before="240" w:after="160" w:line="360" w:lineRule="auto"/>
        <w:jc w:val="both"/>
        <w:rPr>
          <w:rFonts w:cstheme="minorHAnsi"/>
          <w:lang w:val="en-US"/>
        </w:rPr>
      </w:pPr>
      <w:r>
        <w:rPr>
          <w:rFonts w:cstheme="minorHAnsi"/>
          <w:lang w:val="en-US"/>
        </w:rPr>
        <w:t>I would like to thank Ilke Aydogan, my thesis supervisor, for h</w:t>
      </w:r>
      <w:r w:rsidR="002D22F1">
        <w:rPr>
          <w:rFonts w:cstheme="minorHAnsi"/>
          <w:lang w:val="en-US"/>
        </w:rPr>
        <w:t>is ideas, comments and support. I’m sure that w</w:t>
      </w:r>
      <w:r>
        <w:rPr>
          <w:rFonts w:cstheme="minorHAnsi"/>
          <w:lang w:val="en-US"/>
        </w:rPr>
        <w:t xml:space="preserve">ithout him this thesis would not have reached the quality I aspired to. Furthermore I would like to thank Nikita Hompus for her kind words of </w:t>
      </w:r>
      <w:r w:rsidR="00CA2514">
        <w:rPr>
          <w:rFonts w:cstheme="minorHAnsi"/>
          <w:lang w:val="en-US"/>
        </w:rPr>
        <w:t>support</w:t>
      </w:r>
      <w:r>
        <w:rPr>
          <w:rFonts w:cstheme="minorHAnsi"/>
          <w:lang w:val="en-US"/>
        </w:rPr>
        <w:t xml:space="preserve"> and the time she</w:t>
      </w:r>
      <w:r w:rsidR="002D22F1">
        <w:rPr>
          <w:rFonts w:cstheme="minorHAnsi"/>
          <w:lang w:val="en-US"/>
        </w:rPr>
        <w:t xml:space="preserve"> took </w:t>
      </w:r>
      <w:r w:rsidR="000A5C5D">
        <w:rPr>
          <w:rFonts w:cstheme="minorHAnsi"/>
          <w:lang w:val="en-US"/>
        </w:rPr>
        <w:t xml:space="preserve">to </w:t>
      </w:r>
      <w:r w:rsidR="002D22F1">
        <w:rPr>
          <w:rFonts w:cstheme="minorHAnsi"/>
          <w:lang w:val="en-US"/>
        </w:rPr>
        <w:t>correct my thesis.</w:t>
      </w:r>
    </w:p>
    <w:p w:rsidR="005369E4" w:rsidRPr="00B83B3B" w:rsidRDefault="005369E4">
      <w:pPr>
        <w:spacing w:after="160" w:line="259" w:lineRule="auto"/>
        <w:rPr>
          <w:rFonts w:cstheme="minorHAnsi"/>
          <w: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pPr>
    </w:p>
    <w:p w:rsidR="005369E4" w:rsidRDefault="005369E4">
      <w:pPr>
        <w:spacing w:after="160" w:line="259" w:lineRule="auto"/>
        <w:rPr>
          <w:rFonts w:cstheme="minorHAnsi"/>
          <w:lang w:val="en-US"/>
        </w:rPr>
        <w:sectPr w:rsidR="005369E4" w:rsidSect="00A04753">
          <w:pgSz w:w="11906" w:h="16838"/>
          <w:pgMar w:top="1417" w:right="1417" w:bottom="1417" w:left="1417" w:header="708" w:footer="708" w:gutter="0"/>
          <w:cols w:space="708"/>
          <w:docGrid w:linePitch="360"/>
        </w:sectPr>
      </w:pPr>
    </w:p>
    <w:sdt>
      <w:sdtPr>
        <w:rPr>
          <w:rFonts w:asciiTheme="minorHAnsi" w:eastAsiaTheme="minorHAnsi" w:hAnsiTheme="minorHAnsi" w:cstheme="minorBidi"/>
          <w:color w:val="auto"/>
          <w:sz w:val="22"/>
          <w:szCs w:val="22"/>
          <w:lang w:val="nl-NL"/>
        </w:rPr>
        <w:id w:val="-167555303"/>
        <w:docPartObj>
          <w:docPartGallery w:val="Table of Contents"/>
          <w:docPartUnique/>
        </w:docPartObj>
      </w:sdtPr>
      <w:sdtEndPr>
        <w:rPr>
          <w:b/>
          <w:bCs/>
          <w:noProof/>
        </w:rPr>
      </w:sdtEndPr>
      <w:sdtContent>
        <w:p w:rsidR="00EA7457" w:rsidRPr="004C4045" w:rsidRDefault="00EA7457" w:rsidP="00EA7457">
          <w:pPr>
            <w:pStyle w:val="TOCHeading"/>
            <w:rPr>
              <w:rFonts w:asciiTheme="minorHAnsi" w:hAnsiTheme="minorHAnsi" w:cstheme="minorHAnsi"/>
              <w:b/>
              <w:color w:val="000000" w:themeColor="text1"/>
              <w:sz w:val="36"/>
            </w:rPr>
          </w:pPr>
          <w:r w:rsidRPr="004C4045">
            <w:rPr>
              <w:rFonts w:asciiTheme="minorHAnsi" w:hAnsiTheme="minorHAnsi" w:cstheme="minorHAnsi"/>
              <w:b/>
              <w:color w:val="000000" w:themeColor="text1"/>
              <w:sz w:val="36"/>
            </w:rPr>
            <w:t>Contents</w:t>
          </w:r>
        </w:p>
        <w:p w:rsidR="00C02A37" w:rsidRDefault="00EA7457">
          <w:pPr>
            <w:pStyle w:val="TOC1"/>
            <w:rPr>
              <w:rFonts w:eastAsiaTheme="minorEastAsia"/>
              <w:noProof/>
              <w:lang w:eastAsia="nl-NL"/>
            </w:rPr>
          </w:pPr>
          <w:r>
            <w:fldChar w:fldCharType="begin"/>
          </w:r>
          <w:r>
            <w:instrText xml:space="preserve"> TOC \o "1-3" \h \z \u </w:instrText>
          </w:r>
          <w:r>
            <w:fldChar w:fldCharType="separate"/>
          </w:r>
          <w:hyperlink w:anchor="_Toc422695270" w:history="1">
            <w:r w:rsidR="00C02A37" w:rsidRPr="008E4BFA">
              <w:rPr>
                <w:rStyle w:val="Hyperlink"/>
                <w:rFonts w:cstheme="minorHAnsi"/>
                <w:b/>
                <w:noProof/>
              </w:rPr>
              <w:t>Introduction</w:t>
            </w:r>
            <w:r w:rsidR="00C02A37">
              <w:rPr>
                <w:noProof/>
                <w:webHidden/>
              </w:rPr>
              <w:tab/>
            </w:r>
            <w:r w:rsidR="00C02A37">
              <w:rPr>
                <w:noProof/>
                <w:webHidden/>
              </w:rPr>
              <w:fldChar w:fldCharType="begin"/>
            </w:r>
            <w:r w:rsidR="00C02A37">
              <w:rPr>
                <w:noProof/>
                <w:webHidden/>
              </w:rPr>
              <w:instrText xml:space="preserve"> PAGEREF _Toc422695270 \h </w:instrText>
            </w:r>
            <w:r w:rsidR="00C02A37">
              <w:rPr>
                <w:noProof/>
                <w:webHidden/>
              </w:rPr>
            </w:r>
            <w:r w:rsidR="00C02A37">
              <w:rPr>
                <w:noProof/>
                <w:webHidden/>
              </w:rPr>
              <w:fldChar w:fldCharType="separate"/>
            </w:r>
            <w:r w:rsidR="00C02A37">
              <w:rPr>
                <w:noProof/>
                <w:webHidden/>
              </w:rPr>
              <w:t>2</w:t>
            </w:r>
            <w:r w:rsidR="00C02A37">
              <w:rPr>
                <w:noProof/>
                <w:webHidden/>
              </w:rPr>
              <w:fldChar w:fldCharType="end"/>
            </w:r>
          </w:hyperlink>
        </w:p>
        <w:p w:rsidR="00C02A37" w:rsidRDefault="000345BD">
          <w:pPr>
            <w:pStyle w:val="TOC1"/>
            <w:rPr>
              <w:rFonts w:eastAsiaTheme="minorEastAsia"/>
              <w:noProof/>
              <w:lang w:eastAsia="nl-NL"/>
            </w:rPr>
          </w:pPr>
          <w:hyperlink w:anchor="_Toc422695271" w:history="1">
            <w:r w:rsidR="00C02A37" w:rsidRPr="008E4BFA">
              <w:rPr>
                <w:rStyle w:val="Hyperlink"/>
                <w:rFonts w:cstheme="minorHAnsi"/>
                <w:b/>
                <w:noProof/>
              </w:rPr>
              <w:t>1 Literature Review</w:t>
            </w:r>
            <w:r w:rsidR="00C02A37">
              <w:rPr>
                <w:noProof/>
                <w:webHidden/>
              </w:rPr>
              <w:tab/>
            </w:r>
            <w:r w:rsidR="00C02A37">
              <w:rPr>
                <w:noProof/>
                <w:webHidden/>
              </w:rPr>
              <w:fldChar w:fldCharType="begin"/>
            </w:r>
            <w:r w:rsidR="00C02A37">
              <w:rPr>
                <w:noProof/>
                <w:webHidden/>
              </w:rPr>
              <w:instrText xml:space="preserve"> PAGEREF _Toc422695271 \h </w:instrText>
            </w:r>
            <w:r w:rsidR="00C02A37">
              <w:rPr>
                <w:noProof/>
                <w:webHidden/>
              </w:rPr>
            </w:r>
            <w:r w:rsidR="00C02A37">
              <w:rPr>
                <w:noProof/>
                <w:webHidden/>
              </w:rPr>
              <w:fldChar w:fldCharType="separate"/>
            </w:r>
            <w:r w:rsidR="00C02A37">
              <w:rPr>
                <w:noProof/>
                <w:webHidden/>
              </w:rPr>
              <w:t>3</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72" w:history="1">
            <w:r w:rsidR="00C02A37" w:rsidRPr="008E4BFA">
              <w:rPr>
                <w:rStyle w:val="Hyperlink"/>
                <w:rFonts w:cstheme="minorHAnsi"/>
                <w:noProof/>
                <w:lang w:val="en-US"/>
              </w:rPr>
              <w:t>1.1 Ambiguity Attitudes</w:t>
            </w:r>
            <w:r w:rsidR="00C02A37">
              <w:rPr>
                <w:noProof/>
                <w:webHidden/>
              </w:rPr>
              <w:tab/>
            </w:r>
            <w:r w:rsidR="00C02A37">
              <w:rPr>
                <w:noProof/>
                <w:webHidden/>
              </w:rPr>
              <w:fldChar w:fldCharType="begin"/>
            </w:r>
            <w:r w:rsidR="00C02A37">
              <w:rPr>
                <w:noProof/>
                <w:webHidden/>
              </w:rPr>
              <w:instrText xml:space="preserve"> PAGEREF _Toc422695272 \h </w:instrText>
            </w:r>
            <w:r w:rsidR="00C02A37">
              <w:rPr>
                <w:noProof/>
                <w:webHidden/>
              </w:rPr>
            </w:r>
            <w:r w:rsidR="00C02A37">
              <w:rPr>
                <w:noProof/>
                <w:webHidden/>
              </w:rPr>
              <w:fldChar w:fldCharType="separate"/>
            </w:r>
            <w:r w:rsidR="00C02A37">
              <w:rPr>
                <w:noProof/>
                <w:webHidden/>
              </w:rPr>
              <w:t>3</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73" w:history="1">
            <w:r w:rsidR="00C02A37" w:rsidRPr="008E4BFA">
              <w:rPr>
                <w:rStyle w:val="Hyperlink"/>
                <w:rFonts w:eastAsia="Times New Roman" w:cstheme="minorHAnsi"/>
                <w:b/>
                <w:noProof/>
                <w:lang w:val="en-US" w:eastAsia="nl-NL"/>
              </w:rPr>
              <w:t>1.1.1 History of ambiguity</w:t>
            </w:r>
            <w:r w:rsidR="00C02A37">
              <w:rPr>
                <w:noProof/>
                <w:webHidden/>
              </w:rPr>
              <w:tab/>
            </w:r>
            <w:r w:rsidR="00C02A37">
              <w:rPr>
                <w:noProof/>
                <w:webHidden/>
              </w:rPr>
              <w:fldChar w:fldCharType="begin"/>
            </w:r>
            <w:r w:rsidR="00C02A37">
              <w:rPr>
                <w:noProof/>
                <w:webHidden/>
              </w:rPr>
              <w:instrText xml:space="preserve"> PAGEREF _Toc422695273 \h </w:instrText>
            </w:r>
            <w:r w:rsidR="00C02A37">
              <w:rPr>
                <w:noProof/>
                <w:webHidden/>
              </w:rPr>
            </w:r>
            <w:r w:rsidR="00C02A37">
              <w:rPr>
                <w:noProof/>
                <w:webHidden/>
              </w:rPr>
              <w:fldChar w:fldCharType="separate"/>
            </w:r>
            <w:r w:rsidR="00C02A37">
              <w:rPr>
                <w:noProof/>
                <w:webHidden/>
              </w:rPr>
              <w:t>3</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74" w:history="1">
            <w:r w:rsidR="00C02A37" w:rsidRPr="008E4BFA">
              <w:rPr>
                <w:rStyle w:val="Hyperlink"/>
                <w:rFonts w:eastAsia="Times New Roman" w:cstheme="minorHAnsi"/>
                <w:b/>
                <w:noProof/>
                <w:lang w:val="en-US" w:eastAsia="nl-NL"/>
              </w:rPr>
              <w:t>1.1.2 Possible explanations for ambiguity aversion</w:t>
            </w:r>
            <w:r w:rsidR="00C02A37">
              <w:rPr>
                <w:noProof/>
                <w:webHidden/>
              </w:rPr>
              <w:tab/>
            </w:r>
            <w:r w:rsidR="00C02A37">
              <w:rPr>
                <w:noProof/>
                <w:webHidden/>
              </w:rPr>
              <w:fldChar w:fldCharType="begin"/>
            </w:r>
            <w:r w:rsidR="00C02A37">
              <w:rPr>
                <w:noProof/>
                <w:webHidden/>
              </w:rPr>
              <w:instrText xml:space="preserve"> PAGEREF _Toc422695274 \h </w:instrText>
            </w:r>
            <w:r w:rsidR="00C02A37">
              <w:rPr>
                <w:noProof/>
                <w:webHidden/>
              </w:rPr>
            </w:r>
            <w:r w:rsidR="00C02A37">
              <w:rPr>
                <w:noProof/>
                <w:webHidden/>
              </w:rPr>
              <w:fldChar w:fldCharType="separate"/>
            </w:r>
            <w:r w:rsidR="00C02A37">
              <w:rPr>
                <w:noProof/>
                <w:webHidden/>
              </w:rPr>
              <w:t>3</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75" w:history="1">
            <w:r w:rsidR="00C02A37" w:rsidRPr="008E4BFA">
              <w:rPr>
                <w:rStyle w:val="Hyperlink"/>
                <w:rFonts w:cstheme="minorHAnsi"/>
                <w:noProof/>
                <w:lang w:val="en-US"/>
              </w:rPr>
              <w:t>1.2 Ambiguity Attitudes and Stock Market Participation</w:t>
            </w:r>
            <w:r w:rsidR="00C02A37">
              <w:rPr>
                <w:noProof/>
                <w:webHidden/>
              </w:rPr>
              <w:tab/>
            </w:r>
            <w:r w:rsidR="00C02A37">
              <w:rPr>
                <w:noProof/>
                <w:webHidden/>
              </w:rPr>
              <w:fldChar w:fldCharType="begin"/>
            </w:r>
            <w:r w:rsidR="00C02A37">
              <w:rPr>
                <w:noProof/>
                <w:webHidden/>
              </w:rPr>
              <w:instrText xml:space="preserve"> PAGEREF _Toc422695275 \h </w:instrText>
            </w:r>
            <w:r w:rsidR="00C02A37">
              <w:rPr>
                <w:noProof/>
                <w:webHidden/>
              </w:rPr>
            </w:r>
            <w:r w:rsidR="00C02A37">
              <w:rPr>
                <w:noProof/>
                <w:webHidden/>
              </w:rPr>
              <w:fldChar w:fldCharType="separate"/>
            </w:r>
            <w:r w:rsidR="00C02A37">
              <w:rPr>
                <w:noProof/>
                <w:webHidden/>
              </w:rPr>
              <w:t>5</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76" w:history="1">
            <w:r w:rsidR="00C02A37" w:rsidRPr="008E4BFA">
              <w:rPr>
                <w:rStyle w:val="Hyperlink"/>
                <w:rFonts w:cstheme="minorHAnsi"/>
                <w:noProof/>
                <w:lang w:val="en-US"/>
              </w:rPr>
              <w:t>1.3 Gender Differences in Risk/Ambiguity</w:t>
            </w:r>
            <w:r w:rsidR="00C02A37">
              <w:rPr>
                <w:noProof/>
                <w:webHidden/>
              </w:rPr>
              <w:tab/>
            </w:r>
            <w:r w:rsidR="00C02A37">
              <w:rPr>
                <w:noProof/>
                <w:webHidden/>
              </w:rPr>
              <w:fldChar w:fldCharType="begin"/>
            </w:r>
            <w:r w:rsidR="00C02A37">
              <w:rPr>
                <w:noProof/>
                <w:webHidden/>
              </w:rPr>
              <w:instrText xml:space="preserve"> PAGEREF _Toc422695276 \h </w:instrText>
            </w:r>
            <w:r w:rsidR="00C02A37">
              <w:rPr>
                <w:noProof/>
                <w:webHidden/>
              </w:rPr>
            </w:r>
            <w:r w:rsidR="00C02A37">
              <w:rPr>
                <w:noProof/>
                <w:webHidden/>
              </w:rPr>
              <w:fldChar w:fldCharType="separate"/>
            </w:r>
            <w:r w:rsidR="00C02A37">
              <w:rPr>
                <w:noProof/>
                <w:webHidden/>
              </w:rPr>
              <w:t>7</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77" w:history="1">
            <w:r w:rsidR="00C02A37" w:rsidRPr="008E4BFA">
              <w:rPr>
                <w:rStyle w:val="Hyperlink"/>
                <w:rFonts w:eastAsia="Times New Roman" w:cstheme="minorHAnsi"/>
                <w:b/>
                <w:noProof/>
                <w:lang w:val="en-US" w:eastAsia="nl-NL"/>
              </w:rPr>
              <w:t>1.3.1 Interpretation of a risky situation</w:t>
            </w:r>
            <w:r w:rsidR="00C02A37">
              <w:rPr>
                <w:noProof/>
                <w:webHidden/>
              </w:rPr>
              <w:tab/>
            </w:r>
            <w:r w:rsidR="00C02A37">
              <w:rPr>
                <w:noProof/>
                <w:webHidden/>
              </w:rPr>
              <w:fldChar w:fldCharType="begin"/>
            </w:r>
            <w:r w:rsidR="00C02A37">
              <w:rPr>
                <w:noProof/>
                <w:webHidden/>
              </w:rPr>
              <w:instrText xml:space="preserve"> PAGEREF _Toc422695277 \h </w:instrText>
            </w:r>
            <w:r w:rsidR="00C02A37">
              <w:rPr>
                <w:noProof/>
                <w:webHidden/>
              </w:rPr>
            </w:r>
            <w:r w:rsidR="00C02A37">
              <w:rPr>
                <w:noProof/>
                <w:webHidden/>
              </w:rPr>
              <w:fldChar w:fldCharType="separate"/>
            </w:r>
            <w:r w:rsidR="00C02A37">
              <w:rPr>
                <w:noProof/>
                <w:webHidden/>
              </w:rPr>
              <w:t>7</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78" w:history="1">
            <w:r w:rsidR="00C02A37" w:rsidRPr="008E4BFA">
              <w:rPr>
                <w:rStyle w:val="Hyperlink"/>
                <w:rFonts w:eastAsia="Times New Roman" w:cstheme="minorHAnsi"/>
                <w:b/>
                <w:noProof/>
                <w:lang w:val="en-US" w:eastAsia="nl-NL"/>
              </w:rPr>
              <w:t>1.3.2 Overconfidence</w:t>
            </w:r>
            <w:r w:rsidR="00C02A37">
              <w:rPr>
                <w:noProof/>
                <w:webHidden/>
              </w:rPr>
              <w:tab/>
            </w:r>
            <w:r w:rsidR="00C02A37">
              <w:rPr>
                <w:noProof/>
                <w:webHidden/>
              </w:rPr>
              <w:fldChar w:fldCharType="begin"/>
            </w:r>
            <w:r w:rsidR="00C02A37">
              <w:rPr>
                <w:noProof/>
                <w:webHidden/>
              </w:rPr>
              <w:instrText xml:space="preserve"> PAGEREF _Toc422695278 \h </w:instrText>
            </w:r>
            <w:r w:rsidR="00C02A37">
              <w:rPr>
                <w:noProof/>
                <w:webHidden/>
              </w:rPr>
            </w:r>
            <w:r w:rsidR="00C02A37">
              <w:rPr>
                <w:noProof/>
                <w:webHidden/>
              </w:rPr>
              <w:fldChar w:fldCharType="separate"/>
            </w:r>
            <w:r w:rsidR="00C02A37">
              <w:rPr>
                <w:noProof/>
                <w:webHidden/>
              </w:rPr>
              <w:t>8</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79" w:history="1">
            <w:r w:rsidR="00C02A37" w:rsidRPr="008E4BFA">
              <w:rPr>
                <w:rStyle w:val="Hyperlink"/>
                <w:rFonts w:eastAsia="Times New Roman" w:cstheme="minorHAnsi"/>
                <w:b/>
                <w:noProof/>
                <w:lang w:val="en-US" w:eastAsia="nl-NL"/>
              </w:rPr>
              <w:t>1.3.3 Emotion</w:t>
            </w:r>
            <w:r w:rsidR="00C02A37">
              <w:rPr>
                <w:noProof/>
                <w:webHidden/>
              </w:rPr>
              <w:tab/>
            </w:r>
            <w:r w:rsidR="00C02A37">
              <w:rPr>
                <w:noProof/>
                <w:webHidden/>
              </w:rPr>
              <w:fldChar w:fldCharType="begin"/>
            </w:r>
            <w:r w:rsidR="00C02A37">
              <w:rPr>
                <w:noProof/>
                <w:webHidden/>
              </w:rPr>
              <w:instrText xml:space="preserve"> PAGEREF _Toc422695279 \h </w:instrText>
            </w:r>
            <w:r w:rsidR="00C02A37">
              <w:rPr>
                <w:noProof/>
                <w:webHidden/>
              </w:rPr>
            </w:r>
            <w:r w:rsidR="00C02A37">
              <w:rPr>
                <w:noProof/>
                <w:webHidden/>
              </w:rPr>
              <w:fldChar w:fldCharType="separate"/>
            </w:r>
            <w:r w:rsidR="00C02A37">
              <w:rPr>
                <w:noProof/>
                <w:webHidden/>
              </w:rPr>
              <w:t>8</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80" w:history="1">
            <w:r w:rsidR="00C02A37" w:rsidRPr="008E4BFA">
              <w:rPr>
                <w:rStyle w:val="Hyperlink"/>
                <w:rFonts w:eastAsia="Times New Roman" w:cstheme="minorHAnsi"/>
                <w:b/>
                <w:noProof/>
                <w:lang w:val="en-US" w:eastAsia="nl-NL"/>
              </w:rPr>
              <w:t>1.3.4 Exceptions</w:t>
            </w:r>
            <w:r w:rsidR="00C02A37">
              <w:rPr>
                <w:noProof/>
                <w:webHidden/>
              </w:rPr>
              <w:tab/>
            </w:r>
            <w:r w:rsidR="00C02A37">
              <w:rPr>
                <w:noProof/>
                <w:webHidden/>
              </w:rPr>
              <w:fldChar w:fldCharType="begin"/>
            </w:r>
            <w:r w:rsidR="00C02A37">
              <w:rPr>
                <w:noProof/>
                <w:webHidden/>
              </w:rPr>
              <w:instrText xml:space="preserve"> PAGEREF _Toc422695280 \h </w:instrText>
            </w:r>
            <w:r w:rsidR="00C02A37">
              <w:rPr>
                <w:noProof/>
                <w:webHidden/>
              </w:rPr>
            </w:r>
            <w:r w:rsidR="00C02A37">
              <w:rPr>
                <w:noProof/>
                <w:webHidden/>
              </w:rPr>
              <w:fldChar w:fldCharType="separate"/>
            </w:r>
            <w:r w:rsidR="00C02A37">
              <w:rPr>
                <w:noProof/>
                <w:webHidden/>
              </w:rPr>
              <w:t>8</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81" w:history="1">
            <w:r w:rsidR="00C02A37" w:rsidRPr="008E4BFA">
              <w:rPr>
                <w:rStyle w:val="Hyperlink"/>
                <w:rFonts w:eastAsia="Times New Roman" w:cstheme="minorHAnsi"/>
                <w:b/>
                <w:noProof/>
                <w:lang w:val="en-US" w:eastAsia="nl-NL"/>
              </w:rPr>
              <w:t>1.3.5 Conclusion</w:t>
            </w:r>
            <w:r w:rsidR="00C02A37">
              <w:rPr>
                <w:noProof/>
                <w:webHidden/>
              </w:rPr>
              <w:tab/>
            </w:r>
            <w:r w:rsidR="00C02A37">
              <w:rPr>
                <w:noProof/>
                <w:webHidden/>
              </w:rPr>
              <w:fldChar w:fldCharType="begin"/>
            </w:r>
            <w:r w:rsidR="00C02A37">
              <w:rPr>
                <w:noProof/>
                <w:webHidden/>
              </w:rPr>
              <w:instrText xml:space="preserve"> PAGEREF _Toc422695281 \h </w:instrText>
            </w:r>
            <w:r w:rsidR="00C02A37">
              <w:rPr>
                <w:noProof/>
                <w:webHidden/>
              </w:rPr>
            </w:r>
            <w:r w:rsidR="00C02A37">
              <w:rPr>
                <w:noProof/>
                <w:webHidden/>
              </w:rPr>
              <w:fldChar w:fldCharType="separate"/>
            </w:r>
            <w:r w:rsidR="00C02A37">
              <w:rPr>
                <w:noProof/>
                <w:webHidden/>
              </w:rPr>
              <w:t>9</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82" w:history="1">
            <w:r w:rsidR="00C02A37" w:rsidRPr="008E4BFA">
              <w:rPr>
                <w:rStyle w:val="Hyperlink"/>
                <w:rFonts w:cstheme="minorHAnsi"/>
                <w:noProof/>
                <w:lang w:val="en-US"/>
              </w:rPr>
              <w:t>1.4 Gender Differences in Stock Market Participation</w:t>
            </w:r>
            <w:r w:rsidR="00C02A37">
              <w:rPr>
                <w:noProof/>
                <w:webHidden/>
              </w:rPr>
              <w:tab/>
            </w:r>
            <w:r w:rsidR="00C02A37">
              <w:rPr>
                <w:noProof/>
                <w:webHidden/>
              </w:rPr>
              <w:fldChar w:fldCharType="begin"/>
            </w:r>
            <w:r w:rsidR="00C02A37">
              <w:rPr>
                <w:noProof/>
                <w:webHidden/>
              </w:rPr>
              <w:instrText xml:space="preserve"> PAGEREF _Toc422695282 \h </w:instrText>
            </w:r>
            <w:r w:rsidR="00C02A37">
              <w:rPr>
                <w:noProof/>
                <w:webHidden/>
              </w:rPr>
            </w:r>
            <w:r w:rsidR="00C02A37">
              <w:rPr>
                <w:noProof/>
                <w:webHidden/>
              </w:rPr>
              <w:fldChar w:fldCharType="separate"/>
            </w:r>
            <w:r w:rsidR="00C02A37">
              <w:rPr>
                <w:noProof/>
                <w:webHidden/>
              </w:rPr>
              <w:t>9</w:t>
            </w:r>
            <w:r w:rsidR="00C02A37">
              <w:rPr>
                <w:noProof/>
                <w:webHidden/>
              </w:rPr>
              <w:fldChar w:fldCharType="end"/>
            </w:r>
          </w:hyperlink>
        </w:p>
        <w:p w:rsidR="00C02A37" w:rsidRDefault="000345BD">
          <w:pPr>
            <w:pStyle w:val="TOC1"/>
            <w:rPr>
              <w:rFonts w:eastAsiaTheme="minorEastAsia"/>
              <w:noProof/>
              <w:lang w:eastAsia="nl-NL"/>
            </w:rPr>
          </w:pPr>
          <w:hyperlink w:anchor="_Toc422695283" w:history="1">
            <w:r w:rsidR="00C02A37" w:rsidRPr="008E4BFA">
              <w:rPr>
                <w:rStyle w:val="Hyperlink"/>
                <w:rFonts w:cstheme="minorHAnsi"/>
                <w:b/>
                <w:noProof/>
              </w:rPr>
              <w:t>3 Data Description</w:t>
            </w:r>
            <w:r w:rsidR="00C02A37">
              <w:rPr>
                <w:noProof/>
                <w:webHidden/>
              </w:rPr>
              <w:tab/>
            </w:r>
            <w:r w:rsidR="00C02A37">
              <w:rPr>
                <w:noProof/>
                <w:webHidden/>
              </w:rPr>
              <w:fldChar w:fldCharType="begin"/>
            </w:r>
            <w:r w:rsidR="00C02A37">
              <w:rPr>
                <w:noProof/>
                <w:webHidden/>
              </w:rPr>
              <w:instrText xml:space="preserve"> PAGEREF _Toc422695283 \h </w:instrText>
            </w:r>
            <w:r w:rsidR="00C02A37">
              <w:rPr>
                <w:noProof/>
                <w:webHidden/>
              </w:rPr>
            </w:r>
            <w:r w:rsidR="00C02A37">
              <w:rPr>
                <w:noProof/>
                <w:webHidden/>
              </w:rPr>
              <w:fldChar w:fldCharType="separate"/>
            </w:r>
            <w:r w:rsidR="00C02A37">
              <w:rPr>
                <w:noProof/>
                <w:webHidden/>
              </w:rPr>
              <w:t>12</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84" w:history="1">
            <w:r w:rsidR="00C02A37" w:rsidRPr="008E4BFA">
              <w:rPr>
                <w:rStyle w:val="Hyperlink"/>
                <w:rFonts w:eastAsia="Times New Roman" w:cstheme="minorHAnsi"/>
                <w:noProof/>
                <w:lang w:val="en-US" w:eastAsia="nl-NL"/>
              </w:rPr>
              <w:t>3.1 Data Origin</w:t>
            </w:r>
            <w:r w:rsidR="00C02A37">
              <w:rPr>
                <w:noProof/>
                <w:webHidden/>
              </w:rPr>
              <w:tab/>
            </w:r>
            <w:r w:rsidR="00C02A37">
              <w:rPr>
                <w:noProof/>
                <w:webHidden/>
              </w:rPr>
              <w:fldChar w:fldCharType="begin"/>
            </w:r>
            <w:r w:rsidR="00C02A37">
              <w:rPr>
                <w:noProof/>
                <w:webHidden/>
              </w:rPr>
              <w:instrText xml:space="preserve"> PAGEREF _Toc422695284 \h </w:instrText>
            </w:r>
            <w:r w:rsidR="00C02A37">
              <w:rPr>
                <w:noProof/>
                <w:webHidden/>
              </w:rPr>
            </w:r>
            <w:r w:rsidR="00C02A37">
              <w:rPr>
                <w:noProof/>
                <w:webHidden/>
              </w:rPr>
              <w:fldChar w:fldCharType="separate"/>
            </w:r>
            <w:r w:rsidR="00C02A37">
              <w:rPr>
                <w:noProof/>
                <w:webHidden/>
              </w:rPr>
              <w:t>12</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85" w:history="1">
            <w:r w:rsidR="00C02A37" w:rsidRPr="008E4BFA">
              <w:rPr>
                <w:rStyle w:val="Hyperlink"/>
                <w:rFonts w:eastAsia="Times New Roman" w:cstheme="minorHAnsi"/>
                <w:noProof/>
                <w:lang w:val="en-US" w:eastAsia="nl-NL"/>
              </w:rPr>
              <w:t>3.2 Variables</w:t>
            </w:r>
            <w:r w:rsidR="00C02A37">
              <w:rPr>
                <w:noProof/>
                <w:webHidden/>
              </w:rPr>
              <w:tab/>
            </w:r>
            <w:r w:rsidR="00C02A37">
              <w:rPr>
                <w:noProof/>
                <w:webHidden/>
              </w:rPr>
              <w:fldChar w:fldCharType="begin"/>
            </w:r>
            <w:r w:rsidR="00C02A37">
              <w:rPr>
                <w:noProof/>
                <w:webHidden/>
              </w:rPr>
              <w:instrText xml:space="preserve"> PAGEREF _Toc422695285 \h </w:instrText>
            </w:r>
            <w:r w:rsidR="00C02A37">
              <w:rPr>
                <w:noProof/>
                <w:webHidden/>
              </w:rPr>
            </w:r>
            <w:r w:rsidR="00C02A37">
              <w:rPr>
                <w:noProof/>
                <w:webHidden/>
              </w:rPr>
              <w:fldChar w:fldCharType="separate"/>
            </w:r>
            <w:r w:rsidR="00C02A37">
              <w:rPr>
                <w:noProof/>
                <w:webHidden/>
              </w:rPr>
              <w:t>12</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86" w:history="1">
            <w:r w:rsidR="00C02A37" w:rsidRPr="008E4BFA">
              <w:rPr>
                <w:rStyle w:val="Hyperlink"/>
                <w:rFonts w:eastAsia="Times New Roman" w:cstheme="minorHAnsi"/>
                <w:b/>
                <w:noProof/>
                <w:lang w:val="en-US" w:eastAsia="nl-NL"/>
              </w:rPr>
              <w:t>3.2.1 Demographic variables</w:t>
            </w:r>
            <w:r w:rsidR="00C02A37">
              <w:rPr>
                <w:noProof/>
                <w:webHidden/>
              </w:rPr>
              <w:tab/>
            </w:r>
            <w:r w:rsidR="00C02A37">
              <w:rPr>
                <w:noProof/>
                <w:webHidden/>
              </w:rPr>
              <w:fldChar w:fldCharType="begin"/>
            </w:r>
            <w:r w:rsidR="00C02A37">
              <w:rPr>
                <w:noProof/>
                <w:webHidden/>
              </w:rPr>
              <w:instrText xml:space="preserve"> PAGEREF _Toc422695286 \h </w:instrText>
            </w:r>
            <w:r w:rsidR="00C02A37">
              <w:rPr>
                <w:noProof/>
                <w:webHidden/>
              </w:rPr>
            </w:r>
            <w:r w:rsidR="00C02A37">
              <w:rPr>
                <w:noProof/>
                <w:webHidden/>
              </w:rPr>
              <w:fldChar w:fldCharType="separate"/>
            </w:r>
            <w:r w:rsidR="00C02A37">
              <w:rPr>
                <w:noProof/>
                <w:webHidden/>
              </w:rPr>
              <w:t>12</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87" w:history="1">
            <w:r w:rsidR="00C02A37" w:rsidRPr="008E4BFA">
              <w:rPr>
                <w:rStyle w:val="Hyperlink"/>
                <w:rFonts w:eastAsia="Times New Roman" w:cstheme="minorHAnsi"/>
                <w:b/>
                <w:noProof/>
                <w:lang w:val="en-US" w:eastAsia="nl-NL"/>
              </w:rPr>
              <w:t>3.2.2 Ambiguity and Risk Attitudes</w:t>
            </w:r>
            <w:r w:rsidR="00C02A37">
              <w:rPr>
                <w:noProof/>
                <w:webHidden/>
              </w:rPr>
              <w:tab/>
            </w:r>
            <w:r w:rsidR="00C02A37">
              <w:rPr>
                <w:noProof/>
                <w:webHidden/>
              </w:rPr>
              <w:fldChar w:fldCharType="begin"/>
            </w:r>
            <w:r w:rsidR="00C02A37">
              <w:rPr>
                <w:noProof/>
                <w:webHidden/>
              </w:rPr>
              <w:instrText xml:space="preserve"> PAGEREF _Toc422695287 \h </w:instrText>
            </w:r>
            <w:r w:rsidR="00C02A37">
              <w:rPr>
                <w:noProof/>
                <w:webHidden/>
              </w:rPr>
            </w:r>
            <w:r w:rsidR="00C02A37">
              <w:rPr>
                <w:noProof/>
                <w:webHidden/>
              </w:rPr>
              <w:fldChar w:fldCharType="separate"/>
            </w:r>
            <w:r w:rsidR="00C02A37">
              <w:rPr>
                <w:noProof/>
                <w:webHidden/>
              </w:rPr>
              <w:t>13</w:t>
            </w:r>
            <w:r w:rsidR="00C02A37">
              <w:rPr>
                <w:noProof/>
                <w:webHidden/>
              </w:rPr>
              <w:fldChar w:fldCharType="end"/>
            </w:r>
          </w:hyperlink>
        </w:p>
        <w:p w:rsidR="00C02A37" w:rsidRDefault="000345BD">
          <w:pPr>
            <w:pStyle w:val="TOC1"/>
            <w:rPr>
              <w:rFonts w:eastAsiaTheme="minorEastAsia"/>
              <w:noProof/>
              <w:lang w:eastAsia="nl-NL"/>
            </w:rPr>
          </w:pPr>
          <w:hyperlink w:anchor="_Toc422695288" w:history="1">
            <w:r w:rsidR="00C02A37" w:rsidRPr="008E4BFA">
              <w:rPr>
                <w:rStyle w:val="Hyperlink"/>
                <w:rFonts w:cstheme="minorHAnsi"/>
                <w:b/>
                <w:noProof/>
              </w:rPr>
              <w:t>4 Results</w:t>
            </w:r>
            <w:r w:rsidR="00C02A37">
              <w:rPr>
                <w:noProof/>
                <w:webHidden/>
              </w:rPr>
              <w:tab/>
            </w:r>
            <w:r w:rsidR="00C02A37">
              <w:rPr>
                <w:noProof/>
                <w:webHidden/>
              </w:rPr>
              <w:fldChar w:fldCharType="begin"/>
            </w:r>
            <w:r w:rsidR="00C02A37">
              <w:rPr>
                <w:noProof/>
                <w:webHidden/>
              </w:rPr>
              <w:instrText xml:space="preserve"> PAGEREF _Toc422695288 \h </w:instrText>
            </w:r>
            <w:r w:rsidR="00C02A37">
              <w:rPr>
                <w:noProof/>
                <w:webHidden/>
              </w:rPr>
            </w:r>
            <w:r w:rsidR="00C02A37">
              <w:rPr>
                <w:noProof/>
                <w:webHidden/>
              </w:rPr>
              <w:fldChar w:fldCharType="separate"/>
            </w:r>
            <w:r w:rsidR="00C02A37">
              <w:rPr>
                <w:noProof/>
                <w:webHidden/>
              </w:rPr>
              <w:t>15</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89" w:history="1">
            <w:r w:rsidR="00C02A37" w:rsidRPr="008E4BFA">
              <w:rPr>
                <w:rStyle w:val="Hyperlink"/>
                <w:rFonts w:cstheme="minorHAnsi"/>
                <w:noProof/>
                <w:lang w:val="en-US"/>
              </w:rPr>
              <w:t>4.1 Descriptive Statistics</w:t>
            </w:r>
            <w:r w:rsidR="00C02A37">
              <w:rPr>
                <w:noProof/>
                <w:webHidden/>
              </w:rPr>
              <w:tab/>
            </w:r>
            <w:r w:rsidR="00C02A37">
              <w:rPr>
                <w:noProof/>
                <w:webHidden/>
              </w:rPr>
              <w:fldChar w:fldCharType="begin"/>
            </w:r>
            <w:r w:rsidR="00C02A37">
              <w:rPr>
                <w:noProof/>
                <w:webHidden/>
              </w:rPr>
              <w:instrText xml:space="preserve"> PAGEREF _Toc422695289 \h </w:instrText>
            </w:r>
            <w:r w:rsidR="00C02A37">
              <w:rPr>
                <w:noProof/>
                <w:webHidden/>
              </w:rPr>
            </w:r>
            <w:r w:rsidR="00C02A37">
              <w:rPr>
                <w:noProof/>
                <w:webHidden/>
              </w:rPr>
              <w:fldChar w:fldCharType="separate"/>
            </w:r>
            <w:r w:rsidR="00C02A37">
              <w:rPr>
                <w:noProof/>
                <w:webHidden/>
              </w:rPr>
              <w:t>15</w:t>
            </w:r>
            <w:r w:rsidR="00C02A37">
              <w:rPr>
                <w:noProof/>
                <w:webHidden/>
              </w:rPr>
              <w:fldChar w:fldCharType="end"/>
            </w:r>
          </w:hyperlink>
        </w:p>
        <w:p w:rsidR="00C02A37" w:rsidRDefault="000345BD">
          <w:pPr>
            <w:pStyle w:val="TOC2"/>
            <w:tabs>
              <w:tab w:val="right" w:leader="dot" w:pos="9062"/>
            </w:tabs>
            <w:rPr>
              <w:rFonts w:eastAsiaTheme="minorEastAsia"/>
              <w:noProof/>
              <w:lang w:eastAsia="nl-NL"/>
            </w:rPr>
          </w:pPr>
          <w:hyperlink w:anchor="_Toc422695290" w:history="1">
            <w:r w:rsidR="00C02A37" w:rsidRPr="008E4BFA">
              <w:rPr>
                <w:rStyle w:val="Hyperlink"/>
                <w:rFonts w:cstheme="minorHAnsi"/>
                <w:noProof/>
                <w:lang w:val="en-US"/>
              </w:rPr>
              <w:t>4.2 Econometric Analysis</w:t>
            </w:r>
            <w:r w:rsidR="00C02A37">
              <w:rPr>
                <w:noProof/>
                <w:webHidden/>
              </w:rPr>
              <w:tab/>
            </w:r>
            <w:r w:rsidR="00C02A37">
              <w:rPr>
                <w:noProof/>
                <w:webHidden/>
              </w:rPr>
              <w:fldChar w:fldCharType="begin"/>
            </w:r>
            <w:r w:rsidR="00C02A37">
              <w:rPr>
                <w:noProof/>
                <w:webHidden/>
              </w:rPr>
              <w:instrText xml:space="preserve"> PAGEREF _Toc422695290 \h </w:instrText>
            </w:r>
            <w:r w:rsidR="00C02A37">
              <w:rPr>
                <w:noProof/>
                <w:webHidden/>
              </w:rPr>
            </w:r>
            <w:r w:rsidR="00C02A37">
              <w:rPr>
                <w:noProof/>
                <w:webHidden/>
              </w:rPr>
              <w:fldChar w:fldCharType="separate"/>
            </w:r>
            <w:r w:rsidR="00C02A37">
              <w:rPr>
                <w:noProof/>
                <w:webHidden/>
              </w:rPr>
              <w:t>15</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91" w:history="1">
            <w:r w:rsidR="00C02A37" w:rsidRPr="008E4BFA">
              <w:rPr>
                <w:rStyle w:val="Hyperlink"/>
                <w:rFonts w:cstheme="minorHAnsi"/>
                <w:b/>
                <w:noProof/>
                <w:lang w:val="en-US"/>
              </w:rPr>
              <w:t>4.2.1 Demographic Predictors for Stock Market Participation</w:t>
            </w:r>
            <w:r w:rsidR="00C02A37">
              <w:rPr>
                <w:noProof/>
                <w:webHidden/>
              </w:rPr>
              <w:tab/>
            </w:r>
            <w:r w:rsidR="00C02A37">
              <w:rPr>
                <w:noProof/>
                <w:webHidden/>
              </w:rPr>
              <w:fldChar w:fldCharType="begin"/>
            </w:r>
            <w:r w:rsidR="00C02A37">
              <w:rPr>
                <w:noProof/>
                <w:webHidden/>
              </w:rPr>
              <w:instrText xml:space="preserve"> PAGEREF _Toc422695291 \h </w:instrText>
            </w:r>
            <w:r w:rsidR="00C02A37">
              <w:rPr>
                <w:noProof/>
                <w:webHidden/>
              </w:rPr>
            </w:r>
            <w:r w:rsidR="00C02A37">
              <w:rPr>
                <w:noProof/>
                <w:webHidden/>
              </w:rPr>
              <w:fldChar w:fldCharType="separate"/>
            </w:r>
            <w:r w:rsidR="00C02A37">
              <w:rPr>
                <w:noProof/>
                <w:webHidden/>
              </w:rPr>
              <w:t>15</w:t>
            </w:r>
            <w:r w:rsidR="00C02A37">
              <w:rPr>
                <w:noProof/>
                <w:webHidden/>
              </w:rPr>
              <w:fldChar w:fldCharType="end"/>
            </w:r>
          </w:hyperlink>
        </w:p>
        <w:p w:rsidR="00C02A37" w:rsidRDefault="000345BD">
          <w:pPr>
            <w:pStyle w:val="TOC3"/>
            <w:tabs>
              <w:tab w:val="right" w:leader="dot" w:pos="9062"/>
            </w:tabs>
            <w:rPr>
              <w:rFonts w:eastAsiaTheme="minorEastAsia"/>
              <w:noProof/>
              <w:lang w:eastAsia="nl-NL"/>
            </w:rPr>
          </w:pPr>
          <w:hyperlink w:anchor="_Toc422695292" w:history="1">
            <w:r w:rsidR="00C02A37" w:rsidRPr="008E4BFA">
              <w:rPr>
                <w:rStyle w:val="Hyperlink"/>
                <w:rFonts w:cstheme="minorHAnsi"/>
                <w:b/>
                <w:noProof/>
                <w:lang w:val="en-US"/>
              </w:rPr>
              <w:t>4.2.2 Demographic Predictors for Ambiguity Attitudes</w:t>
            </w:r>
            <w:r w:rsidR="00C02A37">
              <w:rPr>
                <w:noProof/>
                <w:webHidden/>
              </w:rPr>
              <w:tab/>
            </w:r>
            <w:r w:rsidR="00C02A37">
              <w:rPr>
                <w:noProof/>
                <w:webHidden/>
              </w:rPr>
              <w:fldChar w:fldCharType="begin"/>
            </w:r>
            <w:r w:rsidR="00C02A37">
              <w:rPr>
                <w:noProof/>
                <w:webHidden/>
              </w:rPr>
              <w:instrText xml:space="preserve"> PAGEREF _Toc422695292 \h </w:instrText>
            </w:r>
            <w:r w:rsidR="00C02A37">
              <w:rPr>
                <w:noProof/>
                <w:webHidden/>
              </w:rPr>
            </w:r>
            <w:r w:rsidR="00C02A37">
              <w:rPr>
                <w:noProof/>
                <w:webHidden/>
              </w:rPr>
              <w:fldChar w:fldCharType="separate"/>
            </w:r>
            <w:r w:rsidR="00C02A37">
              <w:rPr>
                <w:noProof/>
                <w:webHidden/>
              </w:rPr>
              <w:t>16</w:t>
            </w:r>
            <w:r w:rsidR="00C02A37">
              <w:rPr>
                <w:noProof/>
                <w:webHidden/>
              </w:rPr>
              <w:fldChar w:fldCharType="end"/>
            </w:r>
          </w:hyperlink>
        </w:p>
        <w:p w:rsidR="00C02A37" w:rsidRDefault="000345BD">
          <w:pPr>
            <w:pStyle w:val="TOC1"/>
            <w:rPr>
              <w:rFonts w:eastAsiaTheme="minorEastAsia"/>
              <w:noProof/>
              <w:lang w:eastAsia="nl-NL"/>
            </w:rPr>
          </w:pPr>
          <w:hyperlink w:anchor="_Toc422695293" w:history="1">
            <w:r w:rsidR="00C02A37" w:rsidRPr="008E4BFA">
              <w:rPr>
                <w:rStyle w:val="Hyperlink"/>
                <w:rFonts w:cstheme="minorHAnsi"/>
                <w:b/>
                <w:noProof/>
              </w:rPr>
              <w:t>5 Discussion</w:t>
            </w:r>
            <w:r w:rsidR="00C02A37">
              <w:rPr>
                <w:noProof/>
                <w:webHidden/>
              </w:rPr>
              <w:tab/>
            </w:r>
            <w:r w:rsidR="00C02A37">
              <w:rPr>
                <w:noProof/>
                <w:webHidden/>
              </w:rPr>
              <w:fldChar w:fldCharType="begin"/>
            </w:r>
            <w:r w:rsidR="00C02A37">
              <w:rPr>
                <w:noProof/>
                <w:webHidden/>
              </w:rPr>
              <w:instrText xml:space="preserve"> PAGEREF _Toc422695293 \h </w:instrText>
            </w:r>
            <w:r w:rsidR="00C02A37">
              <w:rPr>
                <w:noProof/>
                <w:webHidden/>
              </w:rPr>
            </w:r>
            <w:r w:rsidR="00C02A37">
              <w:rPr>
                <w:noProof/>
                <w:webHidden/>
              </w:rPr>
              <w:fldChar w:fldCharType="separate"/>
            </w:r>
            <w:r w:rsidR="00C02A37">
              <w:rPr>
                <w:noProof/>
                <w:webHidden/>
              </w:rPr>
              <w:t>21</w:t>
            </w:r>
            <w:r w:rsidR="00C02A37">
              <w:rPr>
                <w:noProof/>
                <w:webHidden/>
              </w:rPr>
              <w:fldChar w:fldCharType="end"/>
            </w:r>
          </w:hyperlink>
        </w:p>
        <w:p w:rsidR="00C02A37" w:rsidRDefault="000345BD">
          <w:pPr>
            <w:pStyle w:val="TOC1"/>
            <w:rPr>
              <w:rFonts w:eastAsiaTheme="minorEastAsia"/>
              <w:noProof/>
              <w:lang w:eastAsia="nl-NL"/>
            </w:rPr>
          </w:pPr>
          <w:hyperlink w:anchor="_Toc422695294" w:history="1">
            <w:r w:rsidR="00C02A37" w:rsidRPr="008E4BFA">
              <w:rPr>
                <w:rStyle w:val="Hyperlink"/>
                <w:rFonts w:cstheme="minorHAnsi"/>
                <w:b/>
                <w:noProof/>
              </w:rPr>
              <w:t>6 Conclusion</w:t>
            </w:r>
            <w:r w:rsidR="00C02A37">
              <w:rPr>
                <w:noProof/>
                <w:webHidden/>
              </w:rPr>
              <w:tab/>
            </w:r>
            <w:r w:rsidR="00C02A37">
              <w:rPr>
                <w:noProof/>
                <w:webHidden/>
              </w:rPr>
              <w:fldChar w:fldCharType="begin"/>
            </w:r>
            <w:r w:rsidR="00C02A37">
              <w:rPr>
                <w:noProof/>
                <w:webHidden/>
              </w:rPr>
              <w:instrText xml:space="preserve"> PAGEREF _Toc422695294 \h </w:instrText>
            </w:r>
            <w:r w:rsidR="00C02A37">
              <w:rPr>
                <w:noProof/>
                <w:webHidden/>
              </w:rPr>
            </w:r>
            <w:r w:rsidR="00C02A37">
              <w:rPr>
                <w:noProof/>
                <w:webHidden/>
              </w:rPr>
              <w:fldChar w:fldCharType="separate"/>
            </w:r>
            <w:r w:rsidR="00C02A37">
              <w:rPr>
                <w:noProof/>
                <w:webHidden/>
              </w:rPr>
              <w:t>24</w:t>
            </w:r>
            <w:r w:rsidR="00C02A37">
              <w:rPr>
                <w:noProof/>
                <w:webHidden/>
              </w:rPr>
              <w:fldChar w:fldCharType="end"/>
            </w:r>
          </w:hyperlink>
        </w:p>
        <w:p w:rsidR="00C02A37" w:rsidRDefault="000345BD">
          <w:pPr>
            <w:pStyle w:val="TOC1"/>
            <w:rPr>
              <w:rFonts w:eastAsiaTheme="minorEastAsia"/>
              <w:noProof/>
              <w:lang w:eastAsia="nl-NL"/>
            </w:rPr>
          </w:pPr>
          <w:hyperlink w:anchor="_Toc422695295" w:history="1">
            <w:r w:rsidR="00C02A37" w:rsidRPr="008E4BFA">
              <w:rPr>
                <w:rStyle w:val="Hyperlink"/>
                <w:rFonts w:cstheme="minorHAnsi"/>
                <w:b/>
                <w:noProof/>
              </w:rPr>
              <w:t>References</w:t>
            </w:r>
            <w:r w:rsidR="00C02A37">
              <w:rPr>
                <w:noProof/>
                <w:webHidden/>
              </w:rPr>
              <w:tab/>
            </w:r>
            <w:r w:rsidR="00C02A37">
              <w:rPr>
                <w:noProof/>
                <w:webHidden/>
              </w:rPr>
              <w:fldChar w:fldCharType="begin"/>
            </w:r>
            <w:r w:rsidR="00C02A37">
              <w:rPr>
                <w:noProof/>
                <w:webHidden/>
              </w:rPr>
              <w:instrText xml:space="preserve"> PAGEREF _Toc422695295 \h </w:instrText>
            </w:r>
            <w:r w:rsidR="00C02A37">
              <w:rPr>
                <w:noProof/>
                <w:webHidden/>
              </w:rPr>
            </w:r>
            <w:r w:rsidR="00C02A37">
              <w:rPr>
                <w:noProof/>
                <w:webHidden/>
              </w:rPr>
              <w:fldChar w:fldCharType="separate"/>
            </w:r>
            <w:r w:rsidR="00C02A37">
              <w:rPr>
                <w:noProof/>
                <w:webHidden/>
              </w:rPr>
              <w:t>25</w:t>
            </w:r>
            <w:r w:rsidR="00C02A37">
              <w:rPr>
                <w:noProof/>
                <w:webHidden/>
              </w:rPr>
              <w:fldChar w:fldCharType="end"/>
            </w:r>
          </w:hyperlink>
        </w:p>
        <w:p w:rsidR="00C02A37" w:rsidRDefault="000345BD">
          <w:pPr>
            <w:pStyle w:val="TOC1"/>
            <w:rPr>
              <w:rFonts w:eastAsiaTheme="minorEastAsia"/>
              <w:noProof/>
              <w:lang w:eastAsia="nl-NL"/>
            </w:rPr>
          </w:pPr>
          <w:hyperlink w:anchor="_Toc422695296" w:history="1">
            <w:r w:rsidR="00C02A37" w:rsidRPr="008E4BFA">
              <w:rPr>
                <w:rStyle w:val="Hyperlink"/>
                <w:rFonts w:cstheme="minorHAnsi"/>
                <w:b/>
                <w:noProof/>
              </w:rPr>
              <w:t>Appendix 1</w:t>
            </w:r>
            <w:r w:rsidR="00C02A37">
              <w:rPr>
                <w:noProof/>
                <w:webHidden/>
              </w:rPr>
              <w:tab/>
            </w:r>
            <w:r w:rsidR="00C02A37">
              <w:rPr>
                <w:noProof/>
                <w:webHidden/>
              </w:rPr>
              <w:fldChar w:fldCharType="begin"/>
            </w:r>
            <w:r w:rsidR="00C02A37">
              <w:rPr>
                <w:noProof/>
                <w:webHidden/>
              </w:rPr>
              <w:instrText xml:space="preserve"> PAGEREF _Toc422695296 \h </w:instrText>
            </w:r>
            <w:r w:rsidR="00C02A37">
              <w:rPr>
                <w:noProof/>
                <w:webHidden/>
              </w:rPr>
            </w:r>
            <w:r w:rsidR="00C02A37">
              <w:rPr>
                <w:noProof/>
                <w:webHidden/>
              </w:rPr>
              <w:fldChar w:fldCharType="separate"/>
            </w:r>
            <w:r w:rsidR="00C02A37">
              <w:rPr>
                <w:noProof/>
                <w:webHidden/>
              </w:rPr>
              <w:t>27</w:t>
            </w:r>
            <w:r w:rsidR="00C02A37">
              <w:rPr>
                <w:noProof/>
                <w:webHidden/>
              </w:rPr>
              <w:fldChar w:fldCharType="end"/>
            </w:r>
          </w:hyperlink>
        </w:p>
        <w:p w:rsidR="00EA7457" w:rsidRDefault="00EA7457">
          <w:r>
            <w:rPr>
              <w:b/>
              <w:bCs/>
              <w:noProof/>
            </w:rPr>
            <w:fldChar w:fldCharType="end"/>
          </w:r>
        </w:p>
      </w:sdtContent>
    </w:sdt>
    <w:p w:rsidR="004226BA" w:rsidRPr="004226BA" w:rsidRDefault="004226BA" w:rsidP="004226BA">
      <w:pPr>
        <w:pStyle w:val="Heading1"/>
        <w:rPr>
          <w:rFonts w:asciiTheme="minorHAnsi" w:hAnsiTheme="minorHAnsi" w:cstheme="minorHAnsi"/>
          <w:b/>
          <w:color w:val="000000" w:themeColor="text1"/>
          <w:sz w:val="36"/>
        </w:rPr>
      </w:pPr>
      <w:r w:rsidRPr="004226BA">
        <w:rPr>
          <w:rFonts w:cstheme="minorHAnsi"/>
        </w:rPr>
        <w:br w:type="page"/>
      </w:r>
      <w:bookmarkStart w:id="1" w:name="_Toc422695270"/>
      <w:r w:rsidRPr="004226BA">
        <w:rPr>
          <w:rFonts w:asciiTheme="minorHAnsi" w:hAnsiTheme="minorHAnsi" w:cstheme="minorHAnsi"/>
          <w:b/>
          <w:color w:val="000000" w:themeColor="text1"/>
          <w:sz w:val="36"/>
        </w:rPr>
        <w:lastRenderedPageBreak/>
        <w:t>Introduction</w:t>
      </w:r>
      <w:bookmarkEnd w:id="1"/>
    </w:p>
    <w:p w:rsidR="004226BA" w:rsidRPr="00014480" w:rsidRDefault="004226BA" w:rsidP="004226BA">
      <w:pPr>
        <w:spacing w:before="240" w:line="360" w:lineRule="auto"/>
        <w:jc w:val="both"/>
        <w:rPr>
          <w:rFonts w:ascii="Calibri" w:eastAsia="Times New Roman" w:hAnsi="Calibri" w:cs="Calibri"/>
          <w:szCs w:val="23"/>
          <w:lang w:val="en-US" w:eastAsia="nl-NL"/>
        </w:rPr>
      </w:pPr>
      <w:r w:rsidRPr="004226BA">
        <w:rPr>
          <w:rFonts w:ascii="Calibri" w:eastAsia="Times New Roman" w:hAnsi="Calibri" w:cs="Calibri"/>
          <w:szCs w:val="23"/>
          <w:lang w:val="en-US" w:eastAsia="nl-NL"/>
        </w:rPr>
        <w:t xml:space="preserve">The </w:t>
      </w:r>
      <w:r w:rsidR="00604670">
        <w:rPr>
          <w:rFonts w:ascii="Calibri" w:eastAsia="Times New Roman" w:hAnsi="Calibri" w:cs="Calibri"/>
          <w:szCs w:val="23"/>
          <w:lang w:val="en-US" w:eastAsia="nl-NL"/>
        </w:rPr>
        <w:t>first mention of ambiguity, the situation in which objective probabilities are unknown to the decision maker,</w:t>
      </w:r>
      <w:r w:rsidRPr="004226BA">
        <w:rPr>
          <w:rFonts w:ascii="Calibri" w:eastAsia="Times New Roman" w:hAnsi="Calibri" w:cs="Calibri"/>
          <w:szCs w:val="23"/>
          <w:lang w:val="en-US" w:eastAsia="nl-NL"/>
        </w:rPr>
        <w:t xml:space="preserve"> </w:t>
      </w:r>
      <w:r w:rsidR="00DB36FA">
        <w:rPr>
          <w:rFonts w:ascii="Calibri" w:eastAsia="Times New Roman" w:hAnsi="Calibri" w:cs="Calibri"/>
          <w:szCs w:val="23"/>
          <w:lang w:val="en-US" w:eastAsia="nl-NL"/>
        </w:rPr>
        <w:t>occurred</w:t>
      </w:r>
      <w:r w:rsidRPr="004226BA">
        <w:rPr>
          <w:rFonts w:ascii="Calibri" w:eastAsia="Times New Roman" w:hAnsi="Calibri" w:cs="Calibri"/>
          <w:szCs w:val="23"/>
          <w:lang w:val="en-US" w:eastAsia="nl-NL"/>
        </w:rPr>
        <w:t xml:space="preserve"> in 1921 by F.H. Knight</w:t>
      </w:r>
      <w:sdt>
        <w:sdtPr>
          <w:rPr>
            <w:rFonts w:ascii="Calibri" w:eastAsia="Times New Roman" w:hAnsi="Calibri" w:cs="Calibri"/>
            <w:szCs w:val="23"/>
            <w:lang w:eastAsia="nl-NL"/>
          </w:rPr>
          <w:id w:val="794643426"/>
          <w:citation/>
        </w:sdtPr>
        <w:sdtEndPr/>
        <w:sdtContent>
          <w:r>
            <w:rPr>
              <w:rFonts w:ascii="Calibri" w:eastAsia="Times New Roman" w:hAnsi="Calibri" w:cs="Calibri"/>
              <w:szCs w:val="23"/>
              <w:lang w:eastAsia="nl-NL"/>
            </w:rPr>
            <w:fldChar w:fldCharType="begin"/>
          </w:r>
          <w:r w:rsidR="00D6764A">
            <w:rPr>
              <w:rFonts w:ascii="Calibri" w:eastAsia="Times New Roman" w:hAnsi="Calibri" w:cs="Calibri"/>
              <w:szCs w:val="23"/>
              <w:lang w:val="en-US" w:eastAsia="nl-NL"/>
            </w:rPr>
            <w:instrText xml:space="preserve">CITATION FHK21 \n  \t  \l 1033 </w:instrText>
          </w:r>
          <w:r>
            <w:rPr>
              <w:rFonts w:ascii="Calibri" w:eastAsia="Times New Roman" w:hAnsi="Calibri" w:cs="Calibri"/>
              <w:szCs w:val="23"/>
              <w:lang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(1921)</w:t>
          </w:r>
          <w:r>
            <w:rPr>
              <w:rFonts w:ascii="Calibri" w:eastAsia="Times New Roman" w:hAnsi="Calibri" w:cs="Calibri"/>
              <w:szCs w:val="23"/>
              <w:lang w:eastAsia="nl-NL"/>
            </w:rPr>
            <w:fldChar w:fldCharType="end"/>
          </w:r>
        </w:sdtContent>
      </w:sdt>
      <w:r w:rsidRPr="004226BA">
        <w:rPr>
          <w:rFonts w:ascii="Calibri" w:eastAsia="Times New Roman" w:hAnsi="Calibri" w:cs="Calibri"/>
          <w:szCs w:val="23"/>
          <w:lang w:val="en-US" w:eastAsia="nl-NL"/>
        </w:rPr>
        <w:t xml:space="preserve">. He </w:t>
      </w:r>
      <w:r w:rsidR="00CE47CA">
        <w:rPr>
          <w:rFonts w:ascii="Calibri" w:eastAsia="Times New Roman" w:hAnsi="Calibri" w:cs="Calibri"/>
          <w:szCs w:val="23"/>
          <w:lang w:val="en-US" w:eastAsia="nl-NL"/>
        </w:rPr>
        <w:t xml:space="preserve">thus distinguished </w:t>
      </w:r>
      <w:r w:rsidRPr="004226BA">
        <w:rPr>
          <w:rFonts w:ascii="Calibri" w:eastAsia="Times New Roman" w:hAnsi="Calibri" w:cs="Calibri"/>
          <w:szCs w:val="23"/>
          <w:lang w:val="en-US" w:eastAsia="nl-NL"/>
        </w:rPr>
        <w:t xml:space="preserve">ambiguity from risk </w:t>
      </w:r>
      <w:r w:rsidR="00CE47CA">
        <w:rPr>
          <w:rFonts w:ascii="Calibri" w:eastAsia="Times New Roman" w:hAnsi="Calibri" w:cs="Calibri"/>
          <w:szCs w:val="23"/>
          <w:lang w:val="en-US" w:eastAsia="nl-NL"/>
        </w:rPr>
        <w:t>where objective probabilities are known to the decision maker. A</w:t>
      </w:r>
      <w:r w:rsidRPr="004226BA">
        <w:rPr>
          <w:rFonts w:ascii="Calibri" w:eastAsia="Times New Roman" w:hAnsi="Calibri" w:cs="Calibri"/>
          <w:szCs w:val="23"/>
          <w:lang w:val="en-US" w:eastAsia="nl-NL"/>
        </w:rPr>
        <w:t xml:space="preserve">fter this novel approach many papers have been written on the subject. The subject is fascinating in that it occupies a central role in our existence, for we have to deal with unknown probabilities while making decisions every day. For decades, researchers have suspected that ambiguity plays a role in the decision whether or not to </w:t>
      </w:r>
      <w:r w:rsidR="002B0651">
        <w:rPr>
          <w:rFonts w:ascii="Calibri" w:eastAsia="Times New Roman" w:hAnsi="Calibri" w:cs="Calibri"/>
          <w:szCs w:val="23"/>
          <w:lang w:val="en-US" w:eastAsia="nl-NL"/>
        </w:rPr>
        <w:t>participate</w:t>
      </w:r>
      <w:r w:rsidRPr="004226BA">
        <w:rPr>
          <w:rFonts w:ascii="Calibri" w:eastAsia="Times New Roman" w:hAnsi="Calibri" w:cs="Calibri"/>
          <w:szCs w:val="23"/>
          <w:lang w:val="en-US" w:eastAsia="nl-NL"/>
        </w:rPr>
        <w:t xml:space="preserve"> in the stock market. Interestingly, not many studies have managed to prove that ambiguity attitudes influence stock market participation.</w:t>
      </w:r>
    </w:p>
    <w:p w:rsidR="004226BA" w:rsidRPr="004226BA" w:rsidRDefault="004226BA" w:rsidP="004226BA">
      <w:pPr>
        <w:spacing w:line="360" w:lineRule="auto"/>
        <w:jc w:val="both"/>
        <w:rPr>
          <w:lang w:val="en-US"/>
        </w:rPr>
      </w:pPr>
      <w:r w:rsidRPr="004226BA">
        <w:rPr>
          <w:lang w:val="en-US"/>
        </w:rPr>
        <w:t>In 2014,</w:t>
      </w:r>
      <w:r w:rsidR="00625441">
        <w:rPr>
          <w:lang w:val="en-US"/>
        </w:rPr>
        <w:t xml:space="preserve"> Dimmock, Kouwenberg and Wakker </w:t>
      </w:r>
      <w:r w:rsidRPr="004226BA">
        <w:rPr>
          <w:lang w:val="en-US"/>
        </w:rPr>
        <w:t xml:space="preserve">investigated the ambiguity attitudes of the Dutch population. After a pilot study with students they studied a large test panel with the help of the LISS data survey. The goal of their study was to measure the ambiguity attitudes of subjects and then </w:t>
      </w:r>
      <w:r w:rsidR="004A478A">
        <w:rPr>
          <w:lang w:val="en-US"/>
        </w:rPr>
        <w:t>investigate</w:t>
      </w:r>
      <w:r w:rsidRPr="004226BA">
        <w:rPr>
          <w:lang w:val="en-US"/>
        </w:rPr>
        <w:t xml:space="preserve"> if those findings could predict investment behavior. They introduced a simple method for measuring ambiguity attitudes and concluded that their findings correlate with the economic decisions of the subjects. The results of Dimmock et al</w:t>
      </w:r>
      <w:r w:rsidR="00216A9C">
        <w:rPr>
          <w:lang w:val="en-US"/>
        </w:rPr>
        <w:t xml:space="preserve">. </w:t>
      </w:r>
      <w:sdt>
        <w:sdtPr>
          <w:rPr>
            <w:lang w:val="en-US"/>
          </w:rPr>
          <w:id w:val="1558360573"/>
          <w:citation/>
        </w:sdtPr>
        <w:sdtEndPr/>
        <w:sdtContent>
          <w:r w:rsidR="00216A9C">
            <w:rPr>
              <w:lang w:val="en-US"/>
            </w:rPr>
            <w:fldChar w:fldCharType="begin"/>
          </w:r>
          <w:r w:rsidR="00216A9C">
            <w:rPr>
              <w:lang w:val="en-US"/>
            </w:rPr>
            <w:instrText xml:space="preserve">CITATION Dim14 \n  \t  \l 1033 </w:instrText>
          </w:r>
          <w:r w:rsidR="00216A9C">
            <w:rPr>
              <w:lang w:val="en-US"/>
            </w:rPr>
            <w:fldChar w:fldCharType="separate"/>
          </w:r>
          <w:r w:rsidR="002C23B4">
            <w:rPr>
              <w:noProof/>
              <w:lang w:val="en-US"/>
            </w:rPr>
            <w:t>(2014)</w:t>
          </w:r>
          <w:r w:rsidR="00216A9C">
            <w:rPr>
              <w:lang w:val="en-US"/>
            </w:rPr>
            <w:fldChar w:fldCharType="end"/>
          </w:r>
        </w:sdtContent>
      </w:sdt>
      <w:r w:rsidRPr="004226BA">
        <w:rPr>
          <w:lang w:val="en-US"/>
        </w:rPr>
        <w:t xml:space="preserve"> are convincing, but there are extensions possible. Because Dimmock et al</w:t>
      </w:r>
      <w:r w:rsidR="00216A9C">
        <w:rPr>
          <w:lang w:val="en-US"/>
        </w:rPr>
        <w:t xml:space="preserve">. </w:t>
      </w:r>
      <w:sdt>
        <w:sdtPr>
          <w:rPr>
            <w:lang w:val="en-US"/>
          </w:rPr>
          <w:id w:val="-482622359"/>
          <w:citation/>
        </w:sdtPr>
        <w:sdtEndPr/>
        <w:sdtContent>
          <w:r w:rsidR="00216A9C">
            <w:rPr>
              <w:lang w:val="en-US"/>
            </w:rPr>
            <w:fldChar w:fldCharType="begin"/>
          </w:r>
          <w:r w:rsidR="00216A9C">
            <w:rPr>
              <w:lang w:val="en-US"/>
            </w:rPr>
            <w:instrText xml:space="preserve">CITATION Dim14 \n  \t  \l 1033 </w:instrText>
          </w:r>
          <w:r w:rsidR="00216A9C">
            <w:rPr>
              <w:lang w:val="en-US"/>
            </w:rPr>
            <w:fldChar w:fldCharType="separate"/>
          </w:r>
          <w:r w:rsidR="002C23B4">
            <w:rPr>
              <w:noProof/>
              <w:lang w:val="en-US"/>
            </w:rPr>
            <w:t>(2014)</w:t>
          </w:r>
          <w:r w:rsidR="00216A9C">
            <w:rPr>
              <w:lang w:val="en-US"/>
            </w:rPr>
            <w:fldChar w:fldCharType="end"/>
          </w:r>
        </w:sdtContent>
      </w:sdt>
      <w:r w:rsidRPr="004226BA">
        <w:rPr>
          <w:lang w:val="en-US"/>
        </w:rPr>
        <w:t xml:space="preserve"> used a large representative sample of subjects, it is possible to verify hypotheses that can be generalized to the population of a country. This opens up all kinds of interesting possibilities. For example, it is possible to investigate which gender </w:t>
      </w:r>
      <w:r w:rsidRPr="004226BA">
        <w:rPr>
          <w:lang w:val="en-US"/>
        </w:rPr>
        <w:lastRenderedPageBreak/>
        <w:t xml:space="preserve">exhibits higher stock market participation. </w:t>
      </w:r>
      <w:r w:rsidR="0030547D">
        <w:rPr>
          <w:lang w:val="en-US"/>
        </w:rPr>
        <w:t>Moreover, o</w:t>
      </w:r>
      <w:r w:rsidRPr="004226BA">
        <w:rPr>
          <w:lang w:val="en-US"/>
        </w:rPr>
        <w:t xml:space="preserve">ther interesting research possibilities are the </w:t>
      </w:r>
      <w:r w:rsidR="00147724">
        <w:rPr>
          <w:lang w:val="en-US"/>
        </w:rPr>
        <w:t xml:space="preserve">gender </w:t>
      </w:r>
      <w:r w:rsidRPr="004226BA">
        <w:rPr>
          <w:lang w:val="en-US"/>
        </w:rPr>
        <w:t xml:space="preserve">differences in risk aversion and ambiguity aversion. </w:t>
      </w:r>
      <w:r w:rsidR="008F3332">
        <w:rPr>
          <w:lang w:val="en-US"/>
        </w:rPr>
        <w:t xml:space="preserve">In particular, whether male and female </w:t>
      </w:r>
      <w:r w:rsidR="00D55EEF">
        <w:rPr>
          <w:lang w:val="en-US"/>
        </w:rPr>
        <w:t>subjects</w:t>
      </w:r>
      <w:r w:rsidR="008F3332">
        <w:rPr>
          <w:lang w:val="en-US"/>
        </w:rPr>
        <w:t xml:space="preserve"> are affected by</w:t>
      </w:r>
      <w:r w:rsidR="00147724">
        <w:rPr>
          <w:lang w:val="en-US"/>
        </w:rPr>
        <w:t xml:space="preserve"> risk and</w:t>
      </w:r>
      <w:r w:rsidR="008F3332">
        <w:rPr>
          <w:lang w:val="en-US"/>
        </w:rPr>
        <w:t xml:space="preserve"> ambiguity </w:t>
      </w:r>
      <w:r w:rsidR="00E75E0D">
        <w:rPr>
          <w:lang w:val="en-US"/>
        </w:rPr>
        <w:t xml:space="preserve">to the same degree </w:t>
      </w:r>
      <w:r w:rsidR="008F3332">
        <w:rPr>
          <w:lang w:val="en-US"/>
        </w:rPr>
        <w:t>in decision of stock market participation is an open intriguing question that the current study will try to address.</w:t>
      </w:r>
      <w:r w:rsidR="002B232A">
        <w:rPr>
          <w:lang w:val="en-US"/>
        </w:rPr>
        <w:t xml:space="preserve"> </w:t>
      </w:r>
    </w:p>
    <w:p w:rsidR="002B232A" w:rsidRDefault="004226BA" w:rsidP="004226BA">
      <w:pPr>
        <w:spacing w:line="360" w:lineRule="auto"/>
        <w:jc w:val="both"/>
        <w:rPr>
          <w:lang w:val="en-US"/>
        </w:rPr>
      </w:pPr>
      <w:r w:rsidRPr="004226BA">
        <w:rPr>
          <w:lang w:val="en-US"/>
        </w:rPr>
        <w:t>This</w:t>
      </w:r>
      <w:r w:rsidR="00941B19">
        <w:rPr>
          <w:lang w:val="en-US"/>
        </w:rPr>
        <w:t xml:space="preserve"> current</w:t>
      </w:r>
      <w:r w:rsidRPr="004226BA">
        <w:rPr>
          <w:lang w:val="en-US"/>
        </w:rPr>
        <w:t xml:space="preserve"> paper aim</w:t>
      </w:r>
      <w:r w:rsidR="00941B19">
        <w:rPr>
          <w:lang w:val="en-US"/>
        </w:rPr>
        <w:t>ed</w:t>
      </w:r>
      <w:r w:rsidRPr="004226BA">
        <w:rPr>
          <w:lang w:val="en-US"/>
        </w:rPr>
        <w:t xml:space="preserve"> to recreate</w:t>
      </w:r>
      <w:r w:rsidR="00216A9C">
        <w:rPr>
          <w:lang w:val="en-US"/>
        </w:rPr>
        <w:t xml:space="preserve"> the research done by Dimmock, Kouwenberg and Wakker</w:t>
      </w:r>
      <w:r w:rsidRPr="004226BA">
        <w:rPr>
          <w:lang w:val="en-US"/>
        </w:rPr>
        <w:t xml:space="preserve"> and extend it further by examining</w:t>
      </w:r>
      <w:r w:rsidR="00147724">
        <w:rPr>
          <w:lang w:val="en-US"/>
        </w:rPr>
        <w:t xml:space="preserve"> gender</w:t>
      </w:r>
      <w:r w:rsidRPr="004226BA">
        <w:rPr>
          <w:lang w:val="en-US"/>
        </w:rPr>
        <w:t xml:space="preserve"> differences </w:t>
      </w:r>
      <w:r w:rsidR="00941B19">
        <w:rPr>
          <w:lang w:val="en-US"/>
        </w:rPr>
        <w:t>by</w:t>
      </w:r>
      <w:r w:rsidRPr="004226BA">
        <w:rPr>
          <w:lang w:val="en-US"/>
        </w:rPr>
        <w:t xml:space="preserve"> estimating models to predict stock market participation and ambiguity attitudes. </w:t>
      </w:r>
      <w:r w:rsidR="002B232A">
        <w:rPr>
          <w:lang w:val="en-US"/>
        </w:rPr>
        <w:t>This study finds that both genders are equally ambiguity averse, but that women are more risk averse</w:t>
      </w:r>
      <w:r w:rsidR="007051B4">
        <w:rPr>
          <w:lang w:val="en-US"/>
        </w:rPr>
        <w:t xml:space="preserve"> and less likely to participate in </w:t>
      </w:r>
      <w:r w:rsidR="00930352">
        <w:rPr>
          <w:lang w:val="en-US"/>
        </w:rPr>
        <w:t xml:space="preserve">the </w:t>
      </w:r>
      <w:r w:rsidR="007051B4">
        <w:rPr>
          <w:lang w:val="en-US"/>
        </w:rPr>
        <w:t>stock market</w:t>
      </w:r>
      <w:r w:rsidR="002B232A">
        <w:rPr>
          <w:lang w:val="en-US"/>
        </w:rPr>
        <w:t xml:space="preserve"> compared to men.</w:t>
      </w:r>
      <w:r w:rsidR="00941B19">
        <w:rPr>
          <w:lang w:val="en-US"/>
        </w:rPr>
        <w:t xml:space="preserve"> Moreover,</w:t>
      </w:r>
      <w:r w:rsidR="002B232A">
        <w:rPr>
          <w:lang w:val="en-US"/>
        </w:rPr>
        <w:t xml:space="preserve"> </w:t>
      </w:r>
      <w:r w:rsidR="00941B19">
        <w:rPr>
          <w:lang w:val="en-US"/>
        </w:rPr>
        <w:t>w</w:t>
      </w:r>
      <w:r w:rsidR="00147724">
        <w:rPr>
          <w:lang w:val="en-US"/>
        </w:rPr>
        <w:t>hile a</w:t>
      </w:r>
      <w:r w:rsidR="002B232A">
        <w:rPr>
          <w:lang w:val="en-US"/>
        </w:rPr>
        <w:t>mbiguity aversion is not a significant predictor for stock market participation</w:t>
      </w:r>
      <w:r w:rsidR="00147724">
        <w:rPr>
          <w:lang w:val="en-US"/>
        </w:rPr>
        <w:t>,</w:t>
      </w:r>
      <w:r w:rsidR="002B232A">
        <w:rPr>
          <w:lang w:val="en-US"/>
        </w:rPr>
        <w:t xml:space="preserve"> </w:t>
      </w:r>
      <w:r w:rsidR="00147724">
        <w:rPr>
          <w:lang w:val="en-US"/>
        </w:rPr>
        <w:t>r</w:t>
      </w:r>
      <w:r w:rsidR="002B232A">
        <w:rPr>
          <w:lang w:val="en-US"/>
        </w:rPr>
        <w:t xml:space="preserve">isk aversion </w:t>
      </w:r>
      <w:r w:rsidR="00147724">
        <w:rPr>
          <w:lang w:val="en-US"/>
        </w:rPr>
        <w:t>is found to</w:t>
      </w:r>
      <w:r w:rsidR="002B232A">
        <w:rPr>
          <w:lang w:val="en-US"/>
        </w:rPr>
        <w:t xml:space="preserve"> affect the decision to participate in the stock market.</w:t>
      </w:r>
      <w:r w:rsidR="00147724">
        <w:rPr>
          <w:lang w:val="en-US"/>
        </w:rPr>
        <w:t xml:space="preserve"> However, neither risk nor ambiguity attitudes</w:t>
      </w:r>
      <w:r w:rsidR="007051B4">
        <w:rPr>
          <w:lang w:val="en-US"/>
        </w:rPr>
        <w:t xml:space="preserve"> are found to have</w:t>
      </w:r>
      <w:r w:rsidR="00147724">
        <w:rPr>
          <w:lang w:val="en-US"/>
        </w:rPr>
        <w:t xml:space="preserve"> a significant impact on the observed gender difference in</w:t>
      </w:r>
      <w:r w:rsidR="007051B4">
        <w:rPr>
          <w:lang w:val="en-US"/>
        </w:rPr>
        <w:t xml:space="preserve"> stock market participation decision.</w:t>
      </w:r>
    </w:p>
    <w:p w:rsidR="004226BA" w:rsidRPr="00CE2805" w:rsidRDefault="004226BA" w:rsidP="004226BA">
      <w:pPr>
        <w:spacing w:line="360" w:lineRule="auto"/>
        <w:jc w:val="both"/>
        <w:rPr>
          <w:lang w:val="en-US"/>
        </w:rPr>
      </w:pPr>
      <w:r w:rsidRPr="004226BA">
        <w:rPr>
          <w:lang w:val="en-US"/>
        </w:rPr>
        <w:t xml:space="preserve">The outline of this paper is as follows. The relevant economic literature will be reviewed in chapter 1. In </w:t>
      </w:r>
      <w:r w:rsidR="002E4F07">
        <w:rPr>
          <w:lang w:val="en-US"/>
        </w:rPr>
        <w:t>section</w:t>
      </w:r>
      <w:r w:rsidRPr="004226BA">
        <w:rPr>
          <w:lang w:val="en-US"/>
        </w:rPr>
        <w:t xml:space="preserve"> 2 the research question and hypotheses will be </w:t>
      </w:r>
      <w:r w:rsidR="00E84F68">
        <w:rPr>
          <w:lang w:val="en-US"/>
        </w:rPr>
        <w:t>elaborated</w:t>
      </w:r>
      <w:r w:rsidRPr="004226BA">
        <w:rPr>
          <w:lang w:val="en-US"/>
        </w:rPr>
        <w:t xml:space="preserve">. In chapter 3 the used data will be described. In </w:t>
      </w:r>
      <w:r w:rsidR="002E4F07">
        <w:rPr>
          <w:lang w:val="en-US"/>
        </w:rPr>
        <w:t>section</w:t>
      </w:r>
      <w:r w:rsidRPr="004226BA">
        <w:rPr>
          <w:lang w:val="en-US"/>
        </w:rPr>
        <w:t xml:space="preserve"> 4 the results will </w:t>
      </w:r>
      <w:r w:rsidR="00CE2805">
        <w:rPr>
          <w:lang w:val="en-US"/>
        </w:rPr>
        <w:t>discussed</w:t>
      </w:r>
      <w:r w:rsidRPr="004226BA">
        <w:rPr>
          <w:lang w:val="en-US"/>
        </w:rPr>
        <w:t xml:space="preserve">. </w:t>
      </w:r>
      <w:r w:rsidRPr="00CE2805">
        <w:rPr>
          <w:lang w:val="en-US"/>
        </w:rPr>
        <w:t>Chapters 5 and 6 contain a discussion and a conclusion.</w:t>
      </w:r>
    </w:p>
    <w:p w:rsidR="004226BA" w:rsidRPr="004226BA" w:rsidRDefault="004C4045" w:rsidP="005762DC">
      <w:pPr>
        <w:pStyle w:val="Heading1"/>
        <w:spacing w:after="240"/>
        <w:rPr>
          <w:rFonts w:asciiTheme="minorHAnsi" w:hAnsiTheme="minorHAnsi" w:cstheme="minorHAnsi"/>
          <w:b/>
          <w:color w:val="000000" w:themeColor="text1"/>
          <w:sz w:val="36"/>
        </w:rPr>
      </w:pPr>
      <w:bookmarkStart w:id="2" w:name="_Toc422695271"/>
      <w:r>
        <w:rPr>
          <w:rFonts w:asciiTheme="minorHAnsi" w:hAnsiTheme="minorHAnsi" w:cstheme="minorHAnsi"/>
          <w:b/>
          <w:color w:val="000000" w:themeColor="text1"/>
          <w:sz w:val="36"/>
        </w:rPr>
        <w:lastRenderedPageBreak/>
        <w:t xml:space="preserve">1 </w:t>
      </w:r>
      <w:r w:rsidR="004226BA" w:rsidRPr="004226BA">
        <w:rPr>
          <w:rFonts w:asciiTheme="minorHAnsi" w:hAnsiTheme="minorHAnsi" w:cstheme="minorHAnsi"/>
          <w:b/>
          <w:color w:val="000000" w:themeColor="text1"/>
          <w:sz w:val="36"/>
        </w:rPr>
        <w:t>Literature Review</w:t>
      </w:r>
      <w:bookmarkEnd w:id="2"/>
    </w:p>
    <w:p w:rsidR="004226BA" w:rsidRPr="004C4045" w:rsidRDefault="004226BA" w:rsidP="005762DC">
      <w:pPr>
        <w:pStyle w:val="Heading2"/>
        <w:spacing w:after="240"/>
        <w:rPr>
          <w:rFonts w:asciiTheme="minorHAnsi" w:hAnsiTheme="minorHAnsi" w:cstheme="minorHAnsi"/>
          <w:color w:val="000000" w:themeColor="text1"/>
          <w:lang w:val="en-US"/>
        </w:rPr>
      </w:pPr>
      <w:bookmarkStart w:id="3" w:name="_Toc422695272"/>
      <w:r w:rsidRPr="004C4045">
        <w:rPr>
          <w:rFonts w:asciiTheme="minorHAnsi" w:hAnsiTheme="minorHAnsi" w:cstheme="minorHAnsi"/>
          <w:color w:val="000000" w:themeColor="text1"/>
          <w:lang w:val="en-US"/>
        </w:rPr>
        <w:t>1.1 Ambiguity Attitudes</w:t>
      </w:r>
      <w:bookmarkEnd w:id="3"/>
    </w:p>
    <w:p w:rsidR="004226BA" w:rsidRPr="004C4045" w:rsidRDefault="004226BA" w:rsidP="004226BA">
      <w:pPr>
        <w:pStyle w:val="Heading3"/>
        <w:rPr>
          <w:rFonts w:asciiTheme="minorHAnsi" w:hAnsiTheme="minorHAnsi" w:cstheme="minorHAnsi"/>
          <w:b/>
          <w:color w:val="000000" w:themeColor="text1"/>
          <w:sz w:val="28"/>
          <w:lang w:val="en-US"/>
        </w:rPr>
      </w:pPr>
      <w:bookmarkStart w:id="4" w:name="_Toc422695273"/>
      <w:r w:rsidRPr="004C4045">
        <w:rPr>
          <w:rFonts w:asciiTheme="minorHAnsi" w:eastAsia="Times New Roman" w:hAnsiTheme="minorHAnsi" w:cstheme="minorHAnsi"/>
          <w:b/>
          <w:color w:val="000000" w:themeColor="text1"/>
          <w:lang w:val="en-US" w:eastAsia="nl-NL"/>
        </w:rPr>
        <w:t>1.1.1 History of ambiguity</w:t>
      </w:r>
      <w:bookmarkEnd w:id="4"/>
    </w:p>
    <w:p w:rsidR="004226BA" w:rsidRDefault="004226BA" w:rsidP="004226BA">
      <w:pPr>
        <w:spacing w:before="240"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The first mention of ambiguity (unknown probabilities) occurred in 1921 by Knight who distinguished risk from uncertainty</w:t>
      </w:r>
      <w:sdt>
        <w:sdtPr>
          <w:rPr>
            <w:rFonts w:ascii="Calibri" w:eastAsia="Times New Roman" w:hAnsi="Calibri" w:cs="Calibri"/>
            <w:szCs w:val="23"/>
            <w:lang w:val="en-US" w:eastAsia="nl-NL"/>
          </w:rPr>
          <w:id w:val="698592297"/>
          <w:citation/>
        </w:sdtPr>
        <w:sdtEndPr/>
        <w:sdtContent>
          <w:r>
            <w:rPr>
              <w:rFonts w:ascii="Calibri" w:eastAsia="Times New Roman" w:hAnsi="Calibri" w:cs="Calibri"/>
              <w:szCs w:val="23"/>
              <w:lang w:val="en-US" w:eastAsia="nl-NL"/>
            </w:rPr>
            <w:fldChar w:fldCharType="begin"/>
          </w:r>
          <w:r>
            <w:rPr>
              <w:rFonts w:ascii="Calibri" w:eastAsia="Times New Roman" w:hAnsi="Calibri" w:cs="Calibri"/>
              <w:szCs w:val="23"/>
              <w:lang w:val="en-US" w:eastAsia="nl-NL"/>
            </w:rPr>
            <w:instrText xml:space="preserve"> CITATION FHK21 \l 1033 </w:instrText>
          </w:r>
          <w:r>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(Knight, 1921)</w:t>
          </w:r>
          <w:r>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He stated that risk included known probabilities and that uncertainty is fundamentally different. Camerer and Weber </w:t>
      </w:r>
      <w:sdt>
        <w:sdtPr>
          <w:rPr>
            <w:rFonts w:ascii="Calibri" w:eastAsia="Times New Roman" w:hAnsi="Calibri" w:cs="Calibri"/>
            <w:szCs w:val="23"/>
            <w:lang w:val="en-US" w:eastAsia="nl-NL"/>
          </w:rPr>
          <w:id w:val="1008786168"/>
          <w:citation/>
        </w:sdtPr>
        <w:sdtEndPr/>
        <w:sdtContent>
          <w:r w:rsidR="00115B12">
            <w:rPr>
              <w:rFonts w:ascii="Calibri" w:eastAsia="Times New Roman" w:hAnsi="Calibri" w:cs="Calibri"/>
              <w:szCs w:val="23"/>
              <w:lang w:val="en-US" w:eastAsia="nl-NL"/>
            </w:rPr>
            <w:fldChar w:fldCharType="begin"/>
          </w:r>
          <w:r w:rsidR="00115B12">
            <w:rPr>
              <w:rFonts w:ascii="Calibri" w:eastAsia="Times New Roman" w:hAnsi="Calibri" w:cs="Calibri"/>
              <w:szCs w:val="23"/>
              <w:lang w:val="en-US" w:eastAsia="nl-NL"/>
            </w:rPr>
            <w:instrText xml:space="preserve">CITATION Cam92 \n  \t  \l 1033 </w:instrText>
          </w:r>
          <w:r w:rsidR="00115B12">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(1992)</w:t>
          </w:r>
          <w:r w:rsidR="00115B12">
            <w:rPr>
              <w:rFonts w:ascii="Calibri" w:eastAsia="Times New Roman" w:hAnsi="Calibri" w:cs="Calibri"/>
              <w:szCs w:val="23"/>
              <w:lang w:val="en-US" w:eastAsia="nl-NL"/>
            </w:rPr>
            <w:fldChar w:fldCharType="end"/>
          </w:r>
        </w:sdtContent>
      </w:sdt>
      <w:r w:rsidR="00115B12">
        <w:rPr>
          <w:rFonts w:ascii="Calibri" w:eastAsia="Times New Roman" w:hAnsi="Calibri" w:cs="Calibri"/>
          <w:szCs w:val="23"/>
          <w:lang w:val="en-US" w:eastAsia="nl-NL"/>
        </w:rPr>
        <w:t xml:space="preserve"> </w:t>
      </w:r>
      <w:r>
        <w:rPr>
          <w:rFonts w:ascii="Calibri" w:eastAsia="Times New Roman" w:hAnsi="Calibri" w:cs="Calibri"/>
          <w:szCs w:val="23"/>
          <w:lang w:val="en-US" w:eastAsia="nl-NL"/>
        </w:rPr>
        <w:t>define ambiguity as follows</w:t>
      </w:r>
      <w:r w:rsidR="0085645F">
        <w:rPr>
          <w:rFonts w:ascii="Calibri" w:eastAsia="Times New Roman" w:hAnsi="Calibri" w:cs="Calibri"/>
          <w:szCs w:val="23"/>
          <w:lang w:val="en-US" w:eastAsia="nl-NL"/>
        </w:rPr>
        <w:t>:</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“Ambiguity is uncertainty about probability, created by missing information that i</w:t>
      </w:r>
      <w:r w:rsidR="0095238D">
        <w:rPr>
          <w:rFonts w:ascii="Calibri" w:eastAsia="Times New Roman" w:hAnsi="Calibri" w:cs="Calibri"/>
          <w:szCs w:val="23"/>
          <w:lang w:val="en-US" w:eastAsia="nl-NL"/>
        </w:rPr>
        <w:t>s relevant and could be known.”</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In a brilliant paper</w:t>
      </w:r>
      <w:r w:rsidR="0052360E">
        <w:rPr>
          <w:rFonts w:ascii="Calibri" w:eastAsia="Times New Roman" w:hAnsi="Calibri" w:cs="Calibri"/>
          <w:szCs w:val="23"/>
          <w:lang w:val="en-US" w:eastAsia="nl-NL"/>
        </w:rPr>
        <w:t>,</w:t>
      </w:r>
      <w:r>
        <w:rPr>
          <w:rFonts w:ascii="Calibri" w:eastAsia="Times New Roman" w:hAnsi="Calibri" w:cs="Calibri"/>
          <w:szCs w:val="23"/>
          <w:lang w:val="en-US" w:eastAsia="nl-NL"/>
        </w:rPr>
        <w:t xml:space="preserve"> Ellsberg</w:t>
      </w:r>
      <w:sdt>
        <w:sdtPr>
          <w:rPr>
            <w:rFonts w:ascii="Calibri" w:eastAsia="Times New Roman" w:hAnsi="Calibri" w:cs="Calibri"/>
            <w:szCs w:val="23"/>
            <w:lang w:val="en-US" w:eastAsia="nl-NL"/>
          </w:rPr>
          <w:id w:val="1563678664"/>
          <w:citation/>
        </w:sdtPr>
        <w:sdtEndPr/>
        <w:sdtContent>
          <w:r w:rsidR="006F30A2">
            <w:rPr>
              <w:rFonts w:ascii="Calibri" w:eastAsia="Times New Roman" w:hAnsi="Calibri" w:cs="Calibri"/>
              <w:szCs w:val="23"/>
              <w:lang w:val="en-US" w:eastAsia="nl-NL"/>
            </w:rPr>
            <w:fldChar w:fldCharType="begin"/>
          </w:r>
          <w:r w:rsidR="006F30A2">
            <w:rPr>
              <w:rFonts w:ascii="Calibri" w:eastAsia="Times New Roman" w:hAnsi="Calibri" w:cs="Calibri"/>
              <w:szCs w:val="23"/>
              <w:lang w:val="en-US" w:eastAsia="nl-NL"/>
            </w:rPr>
            <w:instrText xml:space="preserve">CITATION Dan61 \n  \t  \l 1033 </w:instrText>
          </w:r>
          <w:r w:rsidR="006F30A2">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(1961)</w:t>
          </w:r>
          <w:r w:rsidR="006F30A2">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expanded on the ambiguity problem and named it the ‘Ellsberg paradox’. He explained the paradox on the basis of an experiment, later called the 2-color problem. The experimental set-up is as follows: there are two urns, one urn with 50 red balls and 50 black balls, and one urn with 100 balls in an unknown proportion. The participant is promised a 15 dollar payout if a ball with his color of choice is drawn and then chooses the urn from which a ball to draw. Expected utility theory tells us that the odds of either color is identical for both urns, since there could be any variation between </w:t>
      </w:r>
      <w:r>
        <w:rPr>
          <w:rFonts w:ascii="Calibri" w:eastAsia="Times New Roman" w:hAnsi="Calibri" w:cs="Calibri"/>
          <w:szCs w:val="23"/>
          <w:lang w:val="en-US" w:eastAsia="nl-NL"/>
        </w:rPr>
        <w:lastRenderedPageBreak/>
        <w:t xml:space="preserve">100 red balls and 100 black balls in the ambiguous urn, so the mean for either color </w:t>
      </w:r>
      <w:r w:rsidR="0052360E">
        <w:rPr>
          <w:rFonts w:ascii="Calibri" w:eastAsia="Times New Roman" w:hAnsi="Calibri" w:cs="Calibri"/>
          <w:szCs w:val="23"/>
          <w:lang w:val="en-US" w:eastAsia="nl-NL"/>
        </w:rPr>
        <w:t xml:space="preserve">is </w:t>
      </w:r>
      <w:r>
        <w:rPr>
          <w:rFonts w:ascii="Calibri" w:eastAsia="Times New Roman" w:hAnsi="Calibri" w:cs="Calibri"/>
          <w:szCs w:val="23"/>
          <w:lang w:val="en-US" w:eastAsia="nl-NL"/>
        </w:rPr>
        <w:t>50 balls. Ellsberg noticed however that many people preferred betting on the known urn, which vi</w:t>
      </w:r>
      <w:r w:rsidR="00B244E8">
        <w:rPr>
          <w:rFonts w:ascii="Calibri" w:eastAsia="Times New Roman" w:hAnsi="Calibri" w:cs="Calibri"/>
          <w:szCs w:val="23"/>
          <w:lang w:val="en-US" w:eastAsia="nl-NL"/>
        </w:rPr>
        <w:t>olates expected utility theory.</w:t>
      </w:r>
    </w:p>
    <w:p w:rsidR="004226BA" w:rsidRPr="004C4045" w:rsidRDefault="004226BA" w:rsidP="004226BA">
      <w:pPr>
        <w:pStyle w:val="Heading3"/>
        <w:rPr>
          <w:rFonts w:asciiTheme="minorHAnsi" w:eastAsia="Times New Roman" w:hAnsiTheme="minorHAnsi" w:cstheme="minorHAnsi"/>
          <w:b/>
          <w:color w:val="000000" w:themeColor="text1"/>
          <w:lang w:val="en-US" w:eastAsia="nl-NL"/>
        </w:rPr>
      </w:pPr>
      <w:bookmarkStart w:id="5" w:name="_Toc422695274"/>
      <w:r w:rsidRPr="004C4045">
        <w:rPr>
          <w:rFonts w:asciiTheme="minorHAnsi" w:eastAsia="Times New Roman" w:hAnsiTheme="minorHAnsi" w:cstheme="minorHAnsi"/>
          <w:b/>
          <w:color w:val="000000" w:themeColor="text1"/>
          <w:lang w:val="en-US" w:eastAsia="nl-NL"/>
        </w:rPr>
        <w:t>1.1.2 Possible explanations for ambiguity aversion</w:t>
      </w:r>
      <w:bookmarkEnd w:id="5"/>
    </w:p>
    <w:p w:rsidR="004226BA" w:rsidRDefault="004226BA" w:rsidP="004226BA">
      <w:pPr>
        <w:spacing w:before="240"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Over the years many studies have tried to explain the possible motivations behind ambiguity attitudes. According to Einhorn and Hogarth</w:t>
      </w:r>
      <w:sdt>
        <w:sdtPr>
          <w:rPr>
            <w:rFonts w:ascii="Calibri" w:eastAsia="Times New Roman" w:hAnsi="Calibri" w:cs="Calibri"/>
            <w:szCs w:val="23"/>
            <w:lang w:val="en-US" w:eastAsia="nl-NL"/>
          </w:rPr>
          <w:id w:val="-1407990064"/>
          <w:citation/>
        </w:sdtPr>
        <w:sdtEndPr/>
        <w:sdtContent>
          <w:r w:rsidR="00352AA4">
            <w:rPr>
              <w:rFonts w:ascii="Calibri" w:eastAsia="Times New Roman" w:hAnsi="Calibri" w:cs="Calibri"/>
              <w:szCs w:val="23"/>
              <w:lang w:val="en-US" w:eastAsia="nl-NL"/>
            </w:rPr>
            <w:fldChar w:fldCharType="begin"/>
          </w:r>
          <w:r w:rsidR="00352AA4">
            <w:rPr>
              <w:rFonts w:ascii="Calibri" w:eastAsia="Times New Roman" w:hAnsi="Calibri" w:cs="Calibri"/>
              <w:szCs w:val="23"/>
              <w:lang w:val="en-US" w:eastAsia="nl-NL"/>
            </w:rPr>
            <w:instrText xml:space="preserve">CITATION RMH92 \n  \t  \l 1033 </w:instrText>
          </w:r>
          <w:r w:rsidR="00352AA4">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(1992)</w:t>
          </w:r>
          <w:r w:rsidR="00352AA4">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subjects use the information available to them to form an opinion. They suggest that subjects initially settle on an ambiguous probability and will gradually adjust their opinion as more information becomes available. To illustrate, if three witnesses claim that a robber wore a red vest and one witness claims the vest was blue, a subject is likely to hold the opinion that the robber wore a red vest even though he or she was </w:t>
      </w:r>
      <w:r w:rsidR="00212851">
        <w:rPr>
          <w:rFonts w:ascii="Calibri" w:eastAsia="Times New Roman" w:hAnsi="Calibri" w:cs="Calibri"/>
          <w:szCs w:val="23"/>
          <w:lang w:val="en-US" w:eastAsia="nl-NL"/>
        </w:rPr>
        <w:t>not present during the robbery.</w:t>
      </w:r>
    </w:p>
    <w:p w:rsidR="004226BA" w:rsidRPr="00B8310E"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Heath and Tversky</w:t>
      </w:r>
      <w:sdt>
        <w:sdtPr>
          <w:rPr>
            <w:rFonts w:ascii="Calibri" w:eastAsia="Times New Roman" w:hAnsi="Calibri" w:cs="Calibri"/>
            <w:szCs w:val="23"/>
            <w:lang w:val="en-US" w:eastAsia="nl-NL"/>
          </w:rPr>
          <w:id w:val="-314264229"/>
          <w:citation/>
        </w:sdtPr>
        <w:sdtEndPr/>
        <w:sdtContent>
          <w:r w:rsidR="00352AA4">
            <w:rPr>
              <w:rFonts w:ascii="Calibri" w:eastAsia="Times New Roman" w:hAnsi="Calibri" w:cs="Calibri"/>
              <w:szCs w:val="23"/>
              <w:lang w:val="en-US" w:eastAsia="nl-NL"/>
            </w:rPr>
            <w:fldChar w:fldCharType="begin"/>
          </w:r>
          <w:r w:rsidR="00352AA4">
            <w:rPr>
              <w:rFonts w:ascii="Calibri" w:eastAsia="Times New Roman" w:hAnsi="Calibri" w:cs="Calibri"/>
              <w:szCs w:val="23"/>
              <w:lang w:val="en-US" w:eastAsia="nl-NL"/>
            </w:rPr>
            <w:instrText xml:space="preserve">CITATION Hea91 \n  \t  \l 1033 </w:instrText>
          </w:r>
          <w:r w:rsidR="00352AA4">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(1991)</w:t>
          </w:r>
          <w:r w:rsidR="00352AA4">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tried to find an explanation for ambiguity attitudes by expanding on the two-color problem set forth by Ellsberg</w:t>
      </w:r>
      <w:sdt>
        <w:sdtPr>
          <w:rPr>
            <w:rFonts w:ascii="Calibri" w:eastAsia="Times New Roman" w:hAnsi="Calibri" w:cs="Calibri"/>
            <w:szCs w:val="23"/>
            <w:lang w:val="en-US" w:eastAsia="nl-NL"/>
          </w:rPr>
          <w:id w:val="1638525799"/>
          <w:citation/>
        </w:sdtPr>
        <w:sdtEndPr/>
        <w:sdtContent>
          <w:r w:rsidR="001F37D9">
            <w:rPr>
              <w:rFonts w:ascii="Calibri" w:eastAsia="Times New Roman" w:hAnsi="Calibri" w:cs="Calibri"/>
              <w:szCs w:val="23"/>
              <w:lang w:val="en-US" w:eastAsia="nl-NL"/>
            </w:rPr>
            <w:fldChar w:fldCharType="begin"/>
          </w:r>
          <w:r w:rsidR="001F37D9">
            <w:rPr>
              <w:rFonts w:ascii="Calibri" w:eastAsia="Times New Roman" w:hAnsi="Calibri" w:cs="Calibri"/>
              <w:szCs w:val="23"/>
              <w:lang w:val="en-US" w:eastAsia="nl-NL"/>
            </w:rPr>
            <w:instrText xml:space="preserve">CITATION Dan61 \n  \t  \l 1033 </w:instrText>
          </w:r>
          <w:r w:rsidR="001F37D9">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(1961)</w:t>
          </w:r>
          <w:r w:rsidR="001F37D9">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They suggested that perceived competence plays a role in decisions made under </w:t>
      </w:r>
      <w:r w:rsidR="00C13EF2">
        <w:rPr>
          <w:rFonts w:ascii="Calibri" w:eastAsia="Times New Roman" w:hAnsi="Calibri" w:cs="Calibri"/>
          <w:szCs w:val="23"/>
          <w:lang w:val="en-US" w:eastAsia="nl-NL"/>
        </w:rPr>
        <w:t xml:space="preserve">uncertainty and named this the </w:t>
      </w:r>
      <w:r>
        <w:rPr>
          <w:rFonts w:ascii="Calibri" w:eastAsia="Times New Roman" w:hAnsi="Calibri" w:cs="Calibri"/>
          <w:szCs w:val="23"/>
          <w:lang w:val="en-US" w:eastAsia="nl-NL"/>
        </w:rPr>
        <w:t>competence hypothesis. This hypoth</w:t>
      </w:r>
      <w:r w:rsidR="00E14A95">
        <w:rPr>
          <w:rFonts w:ascii="Calibri" w:eastAsia="Times New Roman" w:hAnsi="Calibri" w:cs="Calibri"/>
          <w:szCs w:val="23"/>
          <w:lang w:val="en-US" w:eastAsia="nl-NL"/>
        </w:rPr>
        <w:t>esis is summarized as follows: “</w:t>
      </w:r>
      <w:r>
        <w:rPr>
          <w:rFonts w:ascii="Calibri" w:eastAsia="Times New Roman" w:hAnsi="Calibri" w:cs="Calibri"/>
          <w:szCs w:val="23"/>
          <w:lang w:val="en-US" w:eastAsia="nl-NL"/>
        </w:rPr>
        <w:t>If people consider themselves knowledgeable about a subject, they tend to prefer to bet on</w:t>
      </w:r>
      <w:r w:rsidR="00C13EF2">
        <w:rPr>
          <w:rFonts w:ascii="Calibri" w:eastAsia="Times New Roman" w:hAnsi="Calibri" w:cs="Calibri"/>
          <w:szCs w:val="23"/>
          <w:lang w:val="en-US" w:eastAsia="nl-NL"/>
        </w:rPr>
        <w:t xml:space="preserve"> a situation related to </w:t>
      </w:r>
      <w:r>
        <w:rPr>
          <w:rFonts w:ascii="Calibri" w:eastAsia="Times New Roman" w:hAnsi="Calibri" w:cs="Calibri"/>
          <w:szCs w:val="23"/>
          <w:lang w:val="en-US" w:eastAsia="nl-NL"/>
        </w:rPr>
        <w:t xml:space="preserve">that subject rather than on </w:t>
      </w:r>
      <w:r w:rsidR="00E14A95">
        <w:rPr>
          <w:rFonts w:ascii="Calibri" w:eastAsia="Times New Roman" w:hAnsi="Calibri" w:cs="Calibri"/>
          <w:szCs w:val="23"/>
          <w:lang w:val="en-US" w:eastAsia="nl-NL"/>
        </w:rPr>
        <w:t>a comparable unambiguous event.”</w:t>
      </w:r>
      <w:r>
        <w:rPr>
          <w:rFonts w:ascii="Calibri" w:eastAsia="Times New Roman" w:hAnsi="Calibri" w:cs="Calibri"/>
          <w:szCs w:val="23"/>
          <w:lang w:val="en-US" w:eastAsia="nl-NL"/>
        </w:rPr>
        <w:t xml:space="preserve"> For example, people who knew a lot about football preferred betting on a game of football rather than on a</w:t>
      </w:r>
      <w:r w:rsidR="00C25D1D">
        <w:rPr>
          <w:rFonts w:ascii="Calibri" w:eastAsia="Times New Roman" w:hAnsi="Calibri" w:cs="Calibri"/>
          <w:szCs w:val="23"/>
          <w:lang w:val="en-US" w:eastAsia="nl-NL"/>
        </w:rPr>
        <w:t xml:space="preserve"> </w:t>
      </w:r>
      <w:r w:rsidR="00165A74">
        <w:rPr>
          <w:rFonts w:ascii="Calibri" w:eastAsia="Times New Roman" w:hAnsi="Calibri" w:cs="Calibri"/>
          <w:szCs w:val="23"/>
          <w:lang w:val="en-US" w:eastAsia="nl-NL"/>
        </w:rPr>
        <w:t>game of chance with comparable odds</w:t>
      </w:r>
      <w:r>
        <w:rPr>
          <w:rFonts w:ascii="Calibri" w:eastAsia="Times New Roman" w:hAnsi="Calibri" w:cs="Calibri"/>
          <w:szCs w:val="23"/>
          <w:lang w:val="en-US" w:eastAsia="nl-NL"/>
        </w:rPr>
        <w:t xml:space="preserve">. </w:t>
      </w:r>
      <w:r w:rsidRPr="00615765">
        <w:rPr>
          <w:rFonts w:ascii="Calibri" w:eastAsia="Times New Roman" w:hAnsi="Calibri" w:cs="Calibri"/>
          <w:szCs w:val="23"/>
          <w:lang w:val="en-US" w:eastAsia="nl-NL"/>
        </w:rPr>
        <w:t>These results were confirmed by Keppe a</w:t>
      </w:r>
      <w:r w:rsidR="00A44E40">
        <w:rPr>
          <w:rFonts w:ascii="Calibri" w:eastAsia="Times New Roman" w:hAnsi="Calibri" w:cs="Calibri"/>
          <w:szCs w:val="23"/>
          <w:lang w:val="en-US" w:eastAsia="nl-NL"/>
        </w:rPr>
        <w:t>n</w:t>
      </w:r>
      <w:r w:rsidRPr="00615765">
        <w:rPr>
          <w:rFonts w:ascii="Calibri" w:eastAsia="Times New Roman" w:hAnsi="Calibri" w:cs="Calibri"/>
          <w:szCs w:val="23"/>
          <w:lang w:val="en-US" w:eastAsia="nl-NL"/>
        </w:rPr>
        <w:t>d Weber</w:t>
      </w:r>
      <w:sdt>
        <w:sdtPr>
          <w:rPr>
            <w:rFonts w:ascii="Calibri" w:eastAsia="Times New Roman" w:hAnsi="Calibri" w:cs="Calibri"/>
            <w:szCs w:val="23"/>
            <w:lang w:eastAsia="nl-NL"/>
          </w:rPr>
          <w:id w:val="-1505661378"/>
          <w:citation/>
        </w:sdtPr>
        <w:sdtEndPr/>
        <w:sdtContent>
          <w:r w:rsidRPr="00615765">
            <w:rPr>
              <w:rFonts w:ascii="Calibri" w:eastAsia="Times New Roman" w:hAnsi="Calibri" w:cs="Calibri"/>
              <w:szCs w:val="23"/>
              <w:lang w:eastAsia="nl-NL"/>
            </w:rPr>
            <w:fldChar w:fldCharType="begin"/>
          </w:r>
          <w:r w:rsidR="00A44E40">
            <w:rPr>
              <w:rFonts w:ascii="Calibri" w:eastAsia="Times New Roman" w:hAnsi="Calibri" w:cs="Calibri"/>
              <w:szCs w:val="23"/>
              <w:lang w:val="en-US" w:eastAsia="nl-NL"/>
            </w:rPr>
            <w:instrText xml:space="preserve">CITATION Web95 \n  \t  \l 1033 </w:instrText>
          </w:r>
          <w:r w:rsidRPr="00615765">
            <w:rPr>
              <w:rFonts w:ascii="Calibri" w:eastAsia="Times New Roman" w:hAnsi="Calibri" w:cs="Calibri"/>
              <w:szCs w:val="23"/>
              <w:lang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(1995)</w:t>
          </w:r>
          <w:r w:rsidRPr="00615765">
            <w:rPr>
              <w:rFonts w:ascii="Calibri" w:eastAsia="Times New Roman" w:hAnsi="Calibri" w:cs="Calibri"/>
              <w:szCs w:val="23"/>
              <w:lang w:eastAsia="nl-NL"/>
            </w:rPr>
            <w:fldChar w:fldCharType="end"/>
          </w:r>
        </w:sdtContent>
      </w:sdt>
      <w:r w:rsidRPr="00615765">
        <w:rPr>
          <w:rFonts w:ascii="Calibri" w:eastAsia="Times New Roman" w:hAnsi="Calibri" w:cs="Calibri"/>
          <w:szCs w:val="23"/>
          <w:lang w:val="en-US" w:eastAsia="nl-NL"/>
        </w:rPr>
        <w:t>.</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lastRenderedPageBreak/>
        <w:t xml:space="preserve">Heath and Tversky </w:t>
      </w:r>
      <w:sdt>
        <w:sdtPr>
          <w:rPr>
            <w:rFonts w:ascii="Calibri" w:eastAsia="Times New Roman" w:hAnsi="Calibri" w:cs="Calibri"/>
            <w:szCs w:val="23"/>
            <w:lang w:val="en-US" w:eastAsia="nl-NL"/>
          </w:rPr>
          <w:id w:val="1451977427"/>
          <w:citation/>
        </w:sdtPr>
        <w:sdtEndPr/>
        <w:sdtContent>
          <w:r>
            <w:rPr>
              <w:rFonts w:ascii="Calibri" w:eastAsia="Times New Roman" w:hAnsi="Calibri" w:cs="Calibri"/>
              <w:szCs w:val="23"/>
              <w:lang w:val="en-US" w:eastAsia="nl-NL"/>
            </w:rPr>
            <w:fldChar w:fldCharType="begin"/>
          </w:r>
          <w:r w:rsidR="00A44E40">
            <w:rPr>
              <w:rFonts w:ascii="Calibri" w:eastAsia="Times New Roman" w:hAnsi="Calibri" w:cs="Calibri"/>
              <w:szCs w:val="23"/>
              <w:lang w:val="en-US" w:eastAsia="nl-NL"/>
            </w:rPr>
            <w:instrText xml:space="preserve">CITATION Hea91 \n  \t  \l 1033 </w:instrText>
          </w:r>
          <w:r>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(1991)</w:t>
          </w:r>
          <w:r>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propose</w:t>
      </w:r>
      <w:r w:rsidR="00CD5804">
        <w:rPr>
          <w:rFonts w:ascii="Calibri" w:eastAsia="Times New Roman" w:hAnsi="Calibri" w:cs="Calibri"/>
          <w:szCs w:val="23"/>
          <w:lang w:val="en-US" w:eastAsia="nl-NL"/>
        </w:rPr>
        <w:t>d</w:t>
      </w:r>
      <w:r>
        <w:rPr>
          <w:rFonts w:ascii="Calibri" w:eastAsia="Times New Roman" w:hAnsi="Calibri" w:cs="Calibri"/>
          <w:szCs w:val="23"/>
          <w:lang w:val="en-US" w:eastAsia="nl-NL"/>
        </w:rPr>
        <w:t xml:space="preserve"> two explanations for the competence hypothesis. The first proposed explanation is that people believe that being relatively competent and knowledgeable about a topic increases their</w:t>
      </w:r>
      <w:r w:rsidR="00147724">
        <w:rPr>
          <w:rFonts w:ascii="Calibri" w:eastAsia="Times New Roman" w:hAnsi="Calibri" w:cs="Calibri"/>
          <w:szCs w:val="23"/>
          <w:lang w:val="en-US" w:eastAsia="nl-NL"/>
        </w:rPr>
        <w:t xml:space="preserve"> perceived</w:t>
      </w:r>
      <w:r>
        <w:rPr>
          <w:rFonts w:ascii="Calibri" w:eastAsia="Times New Roman" w:hAnsi="Calibri" w:cs="Calibri"/>
          <w:szCs w:val="23"/>
          <w:lang w:val="en-US" w:eastAsia="nl-NL"/>
        </w:rPr>
        <w:t xml:space="preserve"> chance </w:t>
      </w:r>
      <w:r w:rsidR="00147724">
        <w:rPr>
          <w:rFonts w:ascii="Calibri" w:eastAsia="Times New Roman" w:hAnsi="Calibri" w:cs="Calibri"/>
          <w:szCs w:val="23"/>
          <w:lang w:val="en-US" w:eastAsia="nl-NL"/>
        </w:rPr>
        <w:t>of</w:t>
      </w:r>
      <w:r>
        <w:rPr>
          <w:rFonts w:ascii="Calibri" w:eastAsia="Times New Roman" w:hAnsi="Calibri" w:cs="Calibri"/>
          <w:szCs w:val="23"/>
          <w:lang w:val="en-US" w:eastAsia="nl-NL"/>
        </w:rPr>
        <w:t xml:space="preserve"> win</w:t>
      </w:r>
      <w:r w:rsidR="00147724">
        <w:rPr>
          <w:rFonts w:ascii="Calibri" w:eastAsia="Times New Roman" w:hAnsi="Calibri" w:cs="Calibri"/>
          <w:szCs w:val="23"/>
          <w:lang w:val="en-US" w:eastAsia="nl-NL"/>
        </w:rPr>
        <w:t>ning</w:t>
      </w:r>
      <w:r>
        <w:rPr>
          <w:rFonts w:ascii="Calibri" w:eastAsia="Times New Roman" w:hAnsi="Calibri" w:cs="Calibri"/>
          <w:szCs w:val="23"/>
          <w:lang w:val="en-US" w:eastAsia="nl-NL"/>
        </w:rPr>
        <w:t>. Such beliefs may stem from lifelong experience that they achieve better results within their fields of expertise.</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 xml:space="preserve">The second explanation proposed by Heath and Tversky </w:t>
      </w:r>
      <w:sdt>
        <w:sdtPr>
          <w:rPr>
            <w:rFonts w:ascii="Calibri" w:eastAsia="Times New Roman" w:hAnsi="Calibri" w:cs="Calibri"/>
            <w:szCs w:val="23"/>
            <w:lang w:val="en-US" w:eastAsia="nl-NL"/>
          </w:rPr>
          <w:id w:val="-122079285"/>
          <w:citation/>
        </w:sdtPr>
        <w:sdtEndPr/>
        <w:sdtContent>
          <w:r w:rsidR="005474B4">
            <w:rPr>
              <w:rFonts w:ascii="Calibri" w:eastAsia="Times New Roman" w:hAnsi="Calibri" w:cs="Calibri"/>
              <w:szCs w:val="23"/>
              <w:lang w:val="en-US" w:eastAsia="nl-NL"/>
            </w:rPr>
            <w:fldChar w:fldCharType="begin"/>
          </w:r>
          <w:r w:rsidR="005474B4">
            <w:rPr>
              <w:rFonts w:ascii="Calibri" w:eastAsia="Times New Roman" w:hAnsi="Calibri" w:cs="Calibri"/>
              <w:szCs w:val="23"/>
              <w:lang w:val="en-US" w:eastAsia="nl-NL"/>
            </w:rPr>
            <w:instrText xml:space="preserve">CITATION Hea91 \n  \t  \l 1033 </w:instrText>
          </w:r>
          <w:r w:rsidR="005474B4">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(1991)</w:t>
          </w:r>
          <w:r w:rsidR="005474B4">
            <w:rPr>
              <w:rFonts w:ascii="Calibri" w:eastAsia="Times New Roman" w:hAnsi="Calibri" w:cs="Calibri"/>
              <w:szCs w:val="23"/>
              <w:lang w:val="en-US" w:eastAsia="nl-NL"/>
            </w:rPr>
            <w:fldChar w:fldCharType="end"/>
          </w:r>
        </w:sdtContent>
      </w:sdt>
      <w:r w:rsidR="005474B4">
        <w:rPr>
          <w:rFonts w:ascii="Calibri" w:eastAsia="Times New Roman" w:hAnsi="Calibri" w:cs="Calibri"/>
          <w:szCs w:val="23"/>
          <w:lang w:val="en-US" w:eastAsia="nl-NL"/>
        </w:rPr>
        <w:t xml:space="preserve"> </w:t>
      </w:r>
      <w:r>
        <w:rPr>
          <w:rFonts w:ascii="Calibri" w:eastAsia="Times New Roman" w:hAnsi="Calibri" w:cs="Calibri"/>
          <w:szCs w:val="23"/>
          <w:lang w:val="en-US" w:eastAsia="nl-NL"/>
        </w:rPr>
        <w:t xml:space="preserve">is more complex. They suggest that losing a bet will be interpreted differently by a knowledgeable person than an ignorant person. The cause for this is that knowledgeable people will credit their knowledge for winning an ambiguous event (e.g. betting on a football game) </w:t>
      </w:r>
      <w:r w:rsidR="007A198E">
        <w:rPr>
          <w:rFonts w:ascii="Calibri" w:eastAsia="Times New Roman" w:hAnsi="Calibri" w:cs="Calibri"/>
          <w:szCs w:val="23"/>
          <w:lang w:val="en-US" w:eastAsia="nl-NL"/>
        </w:rPr>
        <w:t>while considering</w:t>
      </w:r>
      <w:r w:rsidR="00BD3089">
        <w:rPr>
          <w:rFonts w:ascii="Calibri" w:eastAsia="Times New Roman" w:hAnsi="Calibri" w:cs="Calibri"/>
          <w:szCs w:val="23"/>
          <w:lang w:val="en-US" w:eastAsia="nl-NL"/>
        </w:rPr>
        <w:t xml:space="preserve"> it</w:t>
      </w:r>
      <w:r>
        <w:rPr>
          <w:rFonts w:ascii="Calibri" w:eastAsia="Times New Roman" w:hAnsi="Calibri" w:cs="Calibri"/>
          <w:szCs w:val="23"/>
          <w:lang w:val="en-US" w:eastAsia="nl-NL"/>
        </w:rPr>
        <w:t xml:space="preserve"> </w:t>
      </w:r>
      <w:r w:rsidR="00907D09">
        <w:rPr>
          <w:rFonts w:ascii="Calibri" w:eastAsia="Times New Roman" w:hAnsi="Calibri" w:cs="Calibri"/>
          <w:szCs w:val="23"/>
          <w:lang w:val="en-US" w:eastAsia="nl-NL"/>
        </w:rPr>
        <w:t xml:space="preserve">bad </w:t>
      </w:r>
      <w:r>
        <w:rPr>
          <w:rFonts w:ascii="Calibri" w:eastAsia="Times New Roman" w:hAnsi="Calibri" w:cs="Calibri"/>
          <w:szCs w:val="23"/>
          <w:lang w:val="en-US" w:eastAsia="nl-NL"/>
        </w:rPr>
        <w:t xml:space="preserve">luck when they lose. People who consider themselves not so knowledgeable will likely </w:t>
      </w:r>
      <w:r w:rsidR="005A2D06">
        <w:rPr>
          <w:rFonts w:ascii="Calibri" w:eastAsia="Times New Roman" w:hAnsi="Calibri" w:cs="Calibri"/>
          <w:szCs w:val="23"/>
          <w:lang w:val="en-US" w:eastAsia="nl-NL"/>
        </w:rPr>
        <w:t>credit their ignorance on the t</w:t>
      </w:r>
      <w:r>
        <w:rPr>
          <w:rFonts w:ascii="Calibri" w:eastAsia="Times New Roman" w:hAnsi="Calibri" w:cs="Calibri"/>
          <w:szCs w:val="23"/>
          <w:lang w:val="en-US" w:eastAsia="nl-NL"/>
        </w:rPr>
        <w:t xml:space="preserve">opic for the loss while considering a win </w:t>
      </w:r>
      <w:r w:rsidR="00453452">
        <w:rPr>
          <w:rFonts w:ascii="Calibri" w:eastAsia="Times New Roman" w:hAnsi="Calibri" w:cs="Calibri"/>
          <w:szCs w:val="23"/>
          <w:lang w:val="en-US" w:eastAsia="nl-NL"/>
        </w:rPr>
        <w:t>‘</w:t>
      </w:r>
      <w:r>
        <w:rPr>
          <w:rFonts w:ascii="Calibri" w:eastAsia="Times New Roman" w:hAnsi="Calibri" w:cs="Calibri"/>
          <w:szCs w:val="23"/>
          <w:lang w:val="en-US" w:eastAsia="nl-NL"/>
        </w:rPr>
        <w:t>lucky</w:t>
      </w:r>
      <w:r w:rsidR="00453452">
        <w:rPr>
          <w:rFonts w:ascii="Calibri" w:eastAsia="Times New Roman" w:hAnsi="Calibri" w:cs="Calibri"/>
          <w:szCs w:val="23"/>
          <w:lang w:val="en-US" w:eastAsia="nl-NL"/>
        </w:rPr>
        <w:t>’</w:t>
      </w:r>
      <w:r>
        <w:rPr>
          <w:rFonts w:ascii="Calibri" w:eastAsia="Times New Roman" w:hAnsi="Calibri" w:cs="Calibri"/>
          <w:szCs w:val="23"/>
          <w:lang w:val="en-US" w:eastAsia="nl-NL"/>
        </w:rPr>
        <w:t>. Winning or losing the comparable game of chance is likely to be considered luck by both ignorant and knowledgeable people.</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 xml:space="preserve">In conclusion, competence or ignorance will influence how people feel after their bet on the ambiguous event. Since knowledgeable people are generally better at taking their loss into perspective, attributing it to </w:t>
      </w:r>
      <w:r w:rsidR="004E4881">
        <w:rPr>
          <w:rFonts w:ascii="Calibri" w:eastAsia="Times New Roman" w:hAnsi="Calibri" w:cs="Calibri"/>
          <w:szCs w:val="23"/>
          <w:lang w:val="en-US" w:eastAsia="nl-NL"/>
        </w:rPr>
        <w:t xml:space="preserve">bad </w:t>
      </w:r>
      <w:r>
        <w:rPr>
          <w:rFonts w:ascii="Calibri" w:eastAsia="Times New Roman" w:hAnsi="Calibri" w:cs="Calibri"/>
          <w:szCs w:val="23"/>
          <w:lang w:val="en-US" w:eastAsia="nl-NL"/>
        </w:rPr>
        <w:t xml:space="preserve">luck for example, they will not feel as badly about it. Winning the bet on an ambiguous event will likely be attributed to their competence, enabling the subject to take credit for it. Ignorant people however will not be able to take credit for a winning bet, since they have likely guessed the outcome. A loss will be even worse for them, as they will consider their ignorance the cause of their misjudgment. As Heath and Tversky </w:t>
      </w:r>
      <w:sdt>
        <w:sdtPr>
          <w:rPr>
            <w:rFonts w:ascii="Calibri" w:eastAsia="Times New Roman" w:hAnsi="Calibri" w:cs="Calibri"/>
            <w:szCs w:val="23"/>
            <w:lang w:val="en-US" w:eastAsia="nl-NL"/>
          </w:rPr>
          <w:id w:val="859474708"/>
          <w:citation/>
        </w:sdtPr>
        <w:sdtEndPr/>
        <w:sdtContent>
          <w:r w:rsidR="008612D1">
            <w:rPr>
              <w:rFonts w:ascii="Calibri" w:eastAsia="Times New Roman" w:hAnsi="Calibri" w:cs="Calibri"/>
              <w:szCs w:val="23"/>
              <w:lang w:val="en-US" w:eastAsia="nl-NL"/>
            </w:rPr>
            <w:fldChar w:fldCharType="begin"/>
          </w:r>
          <w:r w:rsidR="008612D1">
            <w:rPr>
              <w:rFonts w:ascii="Calibri" w:eastAsia="Times New Roman" w:hAnsi="Calibri" w:cs="Calibri"/>
              <w:szCs w:val="23"/>
              <w:lang w:val="en-US" w:eastAsia="nl-NL"/>
            </w:rPr>
            <w:instrText xml:space="preserve">CITATION Hea91 \n  \t  \l 1033 </w:instrText>
          </w:r>
          <w:r w:rsidR="008612D1">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(1991)</w:t>
          </w:r>
          <w:r w:rsidR="008612D1">
            <w:rPr>
              <w:rFonts w:ascii="Calibri" w:eastAsia="Times New Roman" w:hAnsi="Calibri" w:cs="Calibri"/>
              <w:szCs w:val="23"/>
              <w:lang w:val="en-US" w:eastAsia="nl-NL"/>
            </w:rPr>
            <w:fldChar w:fldCharType="end"/>
          </w:r>
        </w:sdtContent>
      </w:sdt>
      <w:r w:rsidR="008612D1">
        <w:rPr>
          <w:rFonts w:ascii="Calibri" w:eastAsia="Times New Roman" w:hAnsi="Calibri" w:cs="Calibri"/>
          <w:szCs w:val="23"/>
          <w:lang w:val="en-US" w:eastAsia="nl-NL"/>
        </w:rPr>
        <w:t xml:space="preserve"> </w:t>
      </w:r>
      <w:r w:rsidR="00212851">
        <w:rPr>
          <w:rFonts w:ascii="Calibri" w:eastAsia="Times New Roman" w:hAnsi="Calibri" w:cs="Calibri"/>
          <w:szCs w:val="23"/>
          <w:lang w:val="en-US" w:eastAsia="nl-NL"/>
        </w:rPr>
        <w:t>summarize it:</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lastRenderedPageBreak/>
        <w:t>“Competence or expertise, therefore, helps people take credit when they succeed and sometimes provides protection against blame when they fail. Ignorance or incompetence, on the other hand, prevent people from taking credit for success and exposes the</w:t>
      </w:r>
      <w:r w:rsidR="005D62C7">
        <w:rPr>
          <w:rFonts w:ascii="Calibri" w:eastAsia="Times New Roman" w:hAnsi="Calibri" w:cs="Calibri"/>
          <w:szCs w:val="23"/>
          <w:lang w:val="en-US" w:eastAsia="nl-NL"/>
        </w:rPr>
        <w:t>m to blame in case of failure.”</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As demonstrated by Heath and Tversky</w:t>
      </w:r>
      <w:r w:rsidR="008127B0" w:rsidRPr="008127B0">
        <w:rPr>
          <w:rFonts w:ascii="Calibri" w:eastAsia="Times New Roman" w:hAnsi="Calibri" w:cs="Calibri"/>
          <w:szCs w:val="23"/>
          <w:lang w:val="en-US" w:eastAsia="nl-NL"/>
        </w:rPr>
        <w:t xml:space="preserve"> </w:t>
      </w:r>
      <w:sdt>
        <w:sdtPr>
          <w:rPr>
            <w:rFonts w:ascii="Calibri" w:eastAsia="Times New Roman" w:hAnsi="Calibri" w:cs="Calibri"/>
            <w:szCs w:val="23"/>
            <w:lang w:val="en-US" w:eastAsia="nl-NL"/>
          </w:rPr>
          <w:id w:val="-2056761744"/>
          <w:citation/>
        </w:sdtPr>
        <w:sdtEndPr/>
        <w:sdtContent>
          <w:r w:rsidR="008127B0">
            <w:rPr>
              <w:rFonts w:ascii="Calibri" w:eastAsia="Times New Roman" w:hAnsi="Calibri" w:cs="Calibri"/>
              <w:szCs w:val="23"/>
              <w:lang w:val="en-US" w:eastAsia="nl-NL"/>
            </w:rPr>
            <w:fldChar w:fldCharType="begin"/>
          </w:r>
          <w:r w:rsidR="008127B0">
            <w:rPr>
              <w:rFonts w:ascii="Calibri" w:eastAsia="Times New Roman" w:hAnsi="Calibri" w:cs="Calibri"/>
              <w:szCs w:val="23"/>
              <w:lang w:val="en-US" w:eastAsia="nl-NL"/>
            </w:rPr>
            <w:instrText xml:space="preserve">CITATION Hea91 \n  \t  \l 1033 </w:instrText>
          </w:r>
          <w:r w:rsidR="008127B0">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(1991)</w:t>
          </w:r>
          <w:r w:rsidR="008127B0">
            <w:rPr>
              <w:rFonts w:ascii="Calibri" w:eastAsia="Times New Roman" w:hAnsi="Calibri" w:cs="Calibri"/>
              <w:szCs w:val="23"/>
              <w:lang w:val="en-US" w:eastAsia="nl-NL"/>
            </w:rPr>
            <w:fldChar w:fldCharType="end"/>
          </w:r>
        </w:sdtContent>
      </w:sdt>
      <w:r>
        <w:rPr>
          <w:rFonts w:ascii="Calibri" w:eastAsia="Times New Roman" w:hAnsi="Calibri" w:cs="Calibri"/>
          <w:szCs w:val="23"/>
          <w:lang w:val="en-US" w:eastAsia="nl-NL"/>
        </w:rPr>
        <w:t xml:space="preserve">, knowledge </w:t>
      </w:r>
      <w:r w:rsidR="0074022F">
        <w:rPr>
          <w:rFonts w:ascii="Calibri" w:eastAsia="Times New Roman" w:hAnsi="Calibri" w:cs="Calibri"/>
          <w:szCs w:val="23"/>
          <w:lang w:val="en-US" w:eastAsia="nl-NL"/>
        </w:rPr>
        <w:t>about a</w:t>
      </w:r>
      <w:r>
        <w:rPr>
          <w:rFonts w:ascii="Calibri" w:eastAsia="Times New Roman" w:hAnsi="Calibri" w:cs="Calibri"/>
          <w:szCs w:val="23"/>
          <w:lang w:val="en-US" w:eastAsia="nl-NL"/>
        </w:rPr>
        <w:t xml:space="preserve"> topic influences the willingness to bet on ambiguous events, but relative competence seems to be equally crucial. Relative competence can be explained as the amount of knowledge available to the subject compared to what can be known according to the subject.</w:t>
      </w:r>
    </w:p>
    <w:p w:rsidR="004226BA"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Rothbart and Snyder</w:t>
      </w:r>
      <w:sdt>
        <w:sdtPr>
          <w:rPr>
            <w:rFonts w:ascii="Calibri" w:eastAsia="Times New Roman" w:hAnsi="Calibri" w:cs="Calibri"/>
            <w:szCs w:val="23"/>
            <w:lang w:val="en-US" w:eastAsia="nl-NL"/>
          </w:rPr>
          <w:id w:val="-1300295265"/>
          <w:citation/>
        </w:sdtPr>
        <w:sdtEndPr/>
        <w:sdtContent>
          <w:r w:rsidR="00EC01F0">
            <w:rPr>
              <w:rFonts w:ascii="Calibri" w:eastAsia="Times New Roman" w:hAnsi="Calibri" w:cs="Calibri"/>
              <w:szCs w:val="23"/>
              <w:lang w:val="en-US" w:eastAsia="nl-NL"/>
            </w:rPr>
            <w:fldChar w:fldCharType="begin"/>
          </w:r>
          <w:r w:rsidR="00EC01F0">
            <w:rPr>
              <w:rFonts w:ascii="Calibri" w:eastAsia="Times New Roman" w:hAnsi="Calibri" w:cs="Calibri"/>
              <w:szCs w:val="23"/>
              <w:lang w:val="en-US" w:eastAsia="nl-NL"/>
            </w:rPr>
            <w:instrText xml:space="preserve">CITATION Rot70 \n  \t  \l 1033 </w:instrText>
          </w:r>
          <w:r w:rsidR="00EC01F0">
            <w:rPr>
              <w:rFonts w:ascii="Calibri" w:eastAsia="Times New Roman" w:hAnsi="Calibri" w:cs="Calibri"/>
              <w:szCs w:val="23"/>
              <w:lang w:val="en-US" w:eastAsia="nl-NL"/>
            </w:rPr>
            <w:fldChar w:fldCharType="separate"/>
          </w:r>
          <w:r w:rsidR="002C23B4">
            <w:rPr>
              <w:rFonts w:ascii="Calibri" w:eastAsia="Times New Roman" w:hAnsi="Calibri" w:cs="Calibri"/>
              <w:noProof/>
              <w:szCs w:val="23"/>
              <w:lang w:val="en-US" w:eastAsia="nl-NL"/>
            </w:rPr>
            <w:t xml:space="preserve"> </w:t>
          </w:r>
          <w:r w:rsidR="002C23B4" w:rsidRPr="002C23B4">
            <w:rPr>
              <w:rFonts w:ascii="Calibri" w:eastAsia="Times New Roman" w:hAnsi="Calibri" w:cs="Calibri"/>
              <w:noProof/>
              <w:szCs w:val="23"/>
              <w:lang w:val="en-US" w:eastAsia="nl-NL"/>
            </w:rPr>
            <w:t>(1970)</w:t>
          </w:r>
          <w:r w:rsidR="00EC01F0">
            <w:rPr>
              <w:rFonts w:ascii="Calibri" w:eastAsia="Times New Roman" w:hAnsi="Calibri" w:cs="Calibri"/>
              <w:szCs w:val="23"/>
              <w:lang w:val="en-US" w:eastAsia="nl-NL"/>
            </w:rPr>
            <w:fldChar w:fldCharType="end"/>
          </w:r>
        </w:sdtContent>
      </w:sdt>
      <w:r w:rsidR="00EC01F0">
        <w:rPr>
          <w:rFonts w:ascii="Calibri" w:eastAsia="Times New Roman" w:hAnsi="Calibri" w:cs="Calibri"/>
          <w:szCs w:val="23"/>
          <w:lang w:val="en-US" w:eastAsia="nl-NL"/>
        </w:rPr>
        <w:t xml:space="preserve"> </w:t>
      </w:r>
      <w:r>
        <w:rPr>
          <w:rFonts w:ascii="Calibri" w:eastAsia="Times New Roman" w:hAnsi="Calibri" w:cs="Calibri"/>
          <w:szCs w:val="23"/>
          <w:lang w:val="en-US" w:eastAsia="nl-NL"/>
        </w:rPr>
        <w:t xml:space="preserve">studied the behavior of subjects who were asked to predict the roll of a die, either before the die was cast or after the die had been cast. A significant portion of the subjects preferred </w:t>
      </w:r>
      <w:r w:rsidR="00CC3688">
        <w:rPr>
          <w:rFonts w:ascii="Calibri" w:eastAsia="Times New Roman" w:hAnsi="Calibri" w:cs="Calibri"/>
          <w:szCs w:val="23"/>
          <w:lang w:val="en-US" w:eastAsia="nl-NL"/>
        </w:rPr>
        <w:t xml:space="preserve">betting before the die was cast. Rothbart and Snyder suggest that their subjects behaved as if they could influence the cast of the die, </w:t>
      </w:r>
      <w:r w:rsidR="00244CBC">
        <w:rPr>
          <w:rFonts w:ascii="Calibri" w:eastAsia="Times New Roman" w:hAnsi="Calibri" w:cs="Calibri"/>
          <w:szCs w:val="23"/>
          <w:lang w:val="en-US" w:eastAsia="nl-NL"/>
        </w:rPr>
        <w:t>though</w:t>
      </w:r>
      <w:r w:rsidR="00CC3688">
        <w:rPr>
          <w:rFonts w:ascii="Calibri" w:eastAsia="Times New Roman" w:hAnsi="Calibri" w:cs="Calibri"/>
          <w:szCs w:val="23"/>
          <w:lang w:val="en-US" w:eastAsia="nl-NL"/>
        </w:rPr>
        <w:t xml:space="preserve"> only when the cast of the die</w:t>
      </w:r>
      <w:r w:rsidR="00244CBC">
        <w:rPr>
          <w:rFonts w:ascii="Calibri" w:eastAsia="Times New Roman" w:hAnsi="Calibri" w:cs="Calibri"/>
          <w:szCs w:val="23"/>
          <w:lang w:val="en-US" w:eastAsia="nl-NL"/>
        </w:rPr>
        <w:t xml:space="preserve"> will</w:t>
      </w:r>
      <w:r w:rsidR="00CC3688">
        <w:rPr>
          <w:rFonts w:ascii="Calibri" w:eastAsia="Times New Roman" w:hAnsi="Calibri" w:cs="Calibri"/>
          <w:szCs w:val="23"/>
          <w:lang w:val="en-US" w:eastAsia="nl-NL"/>
        </w:rPr>
        <w:t xml:space="preserve"> happen in the future, not if the cast of the die happened in the past. An explanation for this could be that subjects </w:t>
      </w:r>
      <w:r w:rsidR="00244CBC">
        <w:rPr>
          <w:rFonts w:ascii="Calibri" w:eastAsia="Times New Roman" w:hAnsi="Calibri" w:cs="Calibri"/>
          <w:szCs w:val="23"/>
          <w:lang w:val="en-US" w:eastAsia="nl-NL"/>
        </w:rPr>
        <w:t xml:space="preserve">prefer to </w:t>
      </w:r>
      <w:r>
        <w:rPr>
          <w:rFonts w:ascii="Calibri" w:eastAsia="Times New Roman" w:hAnsi="Calibri" w:cs="Calibri"/>
          <w:szCs w:val="23"/>
          <w:lang w:val="en-US" w:eastAsia="nl-NL"/>
        </w:rPr>
        <w:t>avoid giving an incorrect prediction for an event that had already happened. Since it is possible for someone to know the die roll before the prediction takes place, the relative ignorance of the subject is high w</w:t>
      </w:r>
      <w:r w:rsidR="00244CBC">
        <w:rPr>
          <w:rFonts w:ascii="Calibri" w:eastAsia="Times New Roman" w:hAnsi="Calibri" w:cs="Calibri"/>
          <w:szCs w:val="23"/>
          <w:lang w:val="en-US" w:eastAsia="nl-NL"/>
        </w:rPr>
        <w:t>hile betting on the past event.</w:t>
      </w:r>
    </w:p>
    <w:p w:rsidR="004226BA" w:rsidRPr="00B05695" w:rsidRDefault="004226BA" w:rsidP="004226BA">
      <w:pPr>
        <w:spacing w:line="360" w:lineRule="auto"/>
        <w:jc w:val="both"/>
        <w:rPr>
          <w:rFonts w:ascii="Calibri" w:eastAsia="Times New Roman" w:hAnsi="Calibri" w:cs="Calibri"/>
          <w:szCs w:val="23"/>
          <w:lang w:val="en-US" w:eastAsia="nl-NL"/>
        </w:rPr>
      </w:pPr>
      <w:r>
        <w:rPr>
          <w:rFonts w:ascii="Calibri" w:eastAsia="Times New Roman" w:hAnsi="Calibri" w:cs="Calibri"/>
          <w:szCs w:val="23"/>
          <w:lang w:val="en-US" w:eastAsia="nl-NL"/>
        </w:rPr>
        <w:t xml:space="preserve">This reasoning can be applied to the Ellsberg </w:t>
      </w:r>
      <w:sdt>
        <w:sdtPr>
          <w:rPr>
            <w:rFonts w:ascii="Calibri" w:eastAsia="Times New Roman" w:hAnsi="Calibri" w:cs="Calibri"/>
            <w:szCs w:val="23"/>
            <w:lang w:val="en-US" w:eastAsia="nl-NL"/>
          </w:rPr>
          <w:id w:val="1654416794"/>
          <w:citation/>
        </w:sdtPr>
        <w:sdtEndPr/>
        <w:sdtContent>
          <w:r w:rsidR="008127B0">
            <w:rPr>
              <w:rFonts w:ascii="Calibri" w:eastAsia="Times New Roman" w:hAnsi="Calibri" w:cs="Calibri"/>
              <w:szCs w:val="23"/>
              <w:lang w:val="en-US" w:eastAsia="nl-NL"/>
            </w:rPr>
            <w:fldChar w:fldCharType="begin"/>
          </w:r>
          <w:r w:rsidR="008127B0">
            <w:rPr>
              <w:rFonts w:ascii="Calibri" w:eastAsia="Times New Roman" w:hAnsi="Calibri" w:cs="Calibri"/>
              <w:szCs w:val="23"/>
              <w:lang w:val="en-US" w:eastAsia="nl-NL"/>
            </w:rPr>
            <w:instrText xml:space="preserve">CITATION Dan61 \n  \t  \l 1033 </w:instrText>
          </w:r>
          <w:r w:rsidR="008127B0">
            <w:rPr>
              <w:rFonts w:ascii="Calibri" w:eastAsia="Times New Roman" w:hAnsi="Calibri" w:cs="Calibri"/>
              <w:szCs w:val="23"/>
              <w:lang w:val="en-US" w:eastAsia="nl-NL"/>
            </w:rPr>
            <w:fldChar w:fldCharType="separate"/>
          </w:r>
          <w:r w:rsidR="002C23B4" w:rsidRPr="002C23B4">
            <w:rPr>
              <w:rFonts w:ascii="Calibri" w:eastAsia="Times New Roman" w:hAnsi="Calibri" w:cs="Calibri"/>
              <w:noProof/>
              <w:szCs w:val="23"/>
              <w:lang w:val="en-US" w:eastAsia="nl-NL"/>
            </w:rPr>
            <w:t>(1961)</w:t>
          </w:r>
          <w:r w:rsidR="008127B0">
            <w:rPr>
              <w:rFonts w:ascii="Calibri" w:eastAsia="Times New Roman" w:hAnsi="Calibri" w:cs="Calibri"/>
              <w:szCs w:val="23"/>
              <w:lang w:val="en-US" w:eastAsia="nl-NL"/>
            </w:rPr>
            <w:fldChar w:fldCharType="end"/>
          </w:r>
        </w:sdtContent>
      </w:sdt>
      <w:r w:rsidR="008127B0">
        <w:rPr>
          <w:rFonts w:ascii="Calibri" w:eastAsia="Times New Roman" w:hAnsi="Calibri" w:cs="Calibri"/>
          <w:szCs w:val="23"/>
          <w:lang w:val="en-US" w:eastAsia="nl-NL"/>
        </w:rPr>
        <w:t xml:space="preserve"> </w:t>
      </w:r>
      <w:r>
        <w:rPr>
          <w:rFonts w:ascii="Calibri" w:eastAsia="Times New Roman" w:hAnsi="Calibri" w:cs="Calibri"/>
          <w:szCs w:val="23"/>
          <w:lang w:val="en-US" w:eastAsia="nl-NL"/>
        </w:rPr>
        <w:t xml:space="preserve">experiment. Since the content of the ambiguous urn can be known (to the researcher for example) the relative ignorance of the subject is relatively high. It is therefore possible that choosing an urn is </w:t>
      </w:r>
      <w:r>
        <w:rPr>
          <w:rFonts w:ascii="Calibri" w:eastAsia="Times New Roman" w:hAnsi="Calibri" w:cs="Calibri"/>
          <w:szCs w:val="23"/>
          <w:lang w:val="en-US" w:eastAsia="nl-NL"/>
        </w:rPr>
        <w:lastRenderedPageBreak/>
        <w:t xml:space="preserve">‘wrong’ even before the drawing of a ball, for example: </w:t>
      </w:r>
      <w:r w:rsidR="007A198E">
        <w:rPr>
          <w:rFonts w:ascii="Calibri" w:eastAsia="Times New Roman" w:hAnsi="Calibri" w:cs="Calibri"/>
          <w:szCs w:val="23"/>
          <w:lang w:val="en-US" w:eastAsia="nl-NL"/>
        </w:rPr>
        <w:t>betting</w:t>
      </w:r>
      <w:r>
        <w:rPr>
          <w:rFonts w:ascii="Calibri" w:eastAsia="Times New Roman" w:hAnsi="Calibri" w:cs="Calibri"/>
          <w:szCs w:val="23"/>
          <w:lang w:val="en-US" w:eastAsia="nl-NL"/>
        </w:rPr>
        <w:t xml:space="preserve"> to draw a red ball from an urn that contains 100 black balls. People dislike betting on the ambiguous urn because the content is unknown to them, but can be known to others.</w:t>
      </w:r>
    </w:p>
    <w:p w:rsidR="004226BA" w:rsidRPr="00EA7457" w:rsidRDefault="004226BA" w:rsidP="00EA7457">
      <w:pPr>
        <w:pStyle w:val="Heading2"/>
        <w:rPr>
          <w:rFonts w:asciiTheme="minorHAnsi" w:eastAsia="Times New Roman" w:hAnsiTheme="minorHAnsi" w:cstheme="minorHAnsi"/>
          <w:color w:val="000000" w:themeColor="text1"/>
          <w:sz w:val="28"/>
          <w:szCs w:val="23"/>
          <w:lang w:val="en-US" w:eastAsia="nl-NL"/>
        </w:rPr>
      </w:pPr>
      <w:bookmarkStart w:id="6" w:name="_Toc422695275"/>
      <w:r w:rsidRPr="00EA7457">
        <w:rPr>
          <w:rFonts w:asciiTheme="minorHAnsi" w:hAnsiTheme="minorHAnsi" w:cstheme="minorHAnsi"/>
          <w:color w:val="000000" w:themeColor="text1"/>
          <w:sz w:val="28"/>
          <w:lang w:val="en-US"/>
        </w:rPr>
        <w:t>1.2 Ambiguity Attitudes and Stock Market Participation</w:t>
      </w:r>
      <w:bookmarkEnd w:id="6"/>
    </w:p>
    <w:p w:rsidR="004226BA" w:rsidRDefault="004226BA" w:rsidP="00EA7457">
      <w:pPr>
        <w:shd w:val="clear" w:color="auto" w:fill="FFFFFF"/>
        <w:tabs>
          <w:tab w:val="center" w:pos="4356"/>
        </w:tabs>
        <w:spacing w:before="240" w:after="0" w:line="360" w:lineRule="auto"/>
        <w:jc w:val="both"/>
        <w:rPr>
          <w:rFonts w:ascii="Calibri" w:eastAsia="Times New Roman" w:hAnsi="Calibri" w:cs="Calibri"/>
          <w:lang w:val="en-US" w:eastAsia="nl-NL"/>
        </w:rPr>
      </w:pPr>
      <w:r w:rsidRPr="0075555F">
        <w:rPr>
          <w:rFonts w:ascii="Calibri" w:eastAsia="Times New Roman" w:hAnsi="Calibri" w:cs="Calibri"/>
          <w:lang w:val="en-US" w:eastAsia="nl-NL"/>
        </w:rPr>
        <w:t>The stock m</w:t>
      </w:r>
      <w:r>
        <w:rPr>
          <w:rFonts w:ascii="Calibri" w:eastAsia="Times New Roman" w:hAnsi="Calibri" w:cs="Calibri"/>
          <w:lang w:val="en-US" w:eastAsia="nl-NL"/>
        </w:rPr>
        <w:t>arket participation puzzle takes a prominent place in financial literature. Why do households not invest in equities when it is certainly profitable to do so? Several papers have been written on the subject and all have tried to find a plausible explanation for this phenomenon. Gouskova, Juster and Stafford</w:t>
      </w:r>
      <w:sdt>
        <w:sdtPr>
          <w:rPr>
            <w:rFonts w:ascii="Calibri" w:eastAsia="Times New Roman" w:hAnsi="Calibri" w:cs="Calibri"/>
            <w:lang w:val="en-US" w:eastAsia="nl-NL"/>
          </w:rPr>
          <w:id w:val="-50387043"/>
          <w:citation/>
        </w:sdtPr>
        <w:sdtEndPr/>
        <w:sdtContent>
          <w:r w:rsidR="00626883">
            <w:rPr>
              <w:rFonts w:ascii="Calibri" w:eastAsia="Times New Roman" w:hAnsi="Calibri" w:cs="Calibri"/>
              <w:lang w:val="en-US" w:eastAsia="nl-NL"/>
            </w:rPr>
            <w:fldChar w:fldCharType="begin"/>
          </w:r>
          <w:r w:rsidR="00626883">
            <w:rPr>
              <w:rFonts w:ascii="Calibri" w:eastAsia="Times New Roman" w:hAnsi="Calibri" w:cs="Calibri"/>
              <w:lang w:val="en-US" w:eastAsia="nl-NL"/>
            </w:rPr>
            <w:instrText xml:space="preserve">CITATION Gou04 \n  \t  \l 1033 </w:instrText>
          </w:r>
          <w:r w:rsidR="00626883">
            <w:rPr>
              <w:rFonts w:ascii="Calibri" w:eastAsia="Times New Roman" w:hAnsi="Calibri" w:cs="Calibri"/>
              <w:lang w:val="en-US" w:eastAsia="nl-NL"/>
            </w:rPr>
            <w:fldChar w:fldCharType="separate"/>
          </w:r>
          <w:r w:rsidR="002C23B4">
            <w:rPr>
              <w:rFonts w:ascii="Calibri" w:eastAsia="Times New Roman" w:hAnsi="Calibri" w:cs="Calibri"/>
              <w:noProof/>
              <w:lang w:val="en-US" w:eastAsia="nl-NL"/>
            </w:rPr>
            <w:t xml:space="preserve"> </w:t>
          </w:r>
          <w:r w:rsidR="002C23B4" w:rsidRPr="002C23B4">
            <w:rPr>
              <w:rFonts w:ascii="Calibri" w:eastAsia="Times New Roman" w:hAnsi="Calibri" w:cs="Calibri"/>
              <w:noProof/>
              <w:lang w:val="en-US" w:eastAsia="nl-NL"/>
            </w:rPr>
            <w:t>(2004)</w:t>
          </w:r>
          <w:r w:rsidR="00626883">
            <w:rPr>
              <w:rFonts w:ascii="Calibri" w:eastAsia="Times New Roman" w:hAnsi="Calibri" w:cs="Calibri"/>
              <w:lang w:val="en-US" w:eastAsia="nl-NL"/>
            </w:rPr>
            <w:fldChar w:fldCharType="end"/>
          </w:r>
        </w:sdtContent>
      </w:sdt>
      <w:r w:rsidR="00626883">
        <w:rPr>
          <w:rFonts w:ascii="Calibri" w:eastAsia="Times New Roman" w:hAnsi="Calibri" w:cs="Calibri"/>
          <w:lang w:val="en-US" w:eastAsia="nl-NL"/>
        </w:rPr>
        <w:t xml:space="preserve"> </w:t>
      </w:r>
      <w:r>
        <w:rPr>
          <w:rFonts w:ascii="Calibri" w:eastAsia="Times New Roman" w:hAnsi="Calibri" w:cs="Calibri"/>
          <w:lang w:val="en-US" w:eastAsia="nl-NL"/>
        </w:rPr>
        <w:t>state that: “Costs are not a major consideration to participate in the stock market, and some behavioral or other explanation might be needed”. This was confirmed by Mankiw and Zeldes</w:t>
      </w:r>
      <w:sdt>
        <w:sdtPr>
          <w:rPr>
            <w:rFonts w:ascii="Calibri" w:eastAsia="Times New Roman" w:hAnsi="Calibri" w:cs="Calibri"/>
            <w:lang w:val="en-US" w:eastAsia="nl-NL"/>
          </w:rPr>
          <w:id w:val="227652832"/>
          <w:citation/>
        </w:sdtPr>
        <w:sdtEndPr/>
        <w:sdtContent>
          <w:r w:rsidR="001E69E6" w:rsidRPr="00615765">
            <w:rPr>
              <w:rFonts w:ascii="Calibri" w:eastAsia="Times New Roman" w:hAnsi="Calibri" w:cs="Calibri"/>
              <w:lang w:val="en-US" w:eastAsia="nl-NL"/>
            </w:rPr>
            <w:fldChar w:fldCharType="begin"/>
          </w:r>
          <w:r w:rsidR="001E69E6">
            <w:rPr>
              <w:rFonts w:ascii="Calibri" w:eastAsia="Times New Roman" w:hAnsi="Calibri" w:cs="Calibri"/>
              <w:lang w:val="en-US" w:eastAsia="nl-NL"/>
            </w:rPr>
            <w:instrText xml:space="preserve">CITATION Man91 \n  \t  \l 1033 </w:instrText>
          </w:r>
          <w:r w:rsidR="001E69E6" w:rsidRPr="00615765">
            <w:rPr>
              <w:rFonts w:ascii="Calibri" w:eastAsia="Times New Roman" w:hAnsi="Calibri" w:cs="Calibri"/>
              <w:lang w:val="en-US" w:eastAsia="nl-NL"/>
            </w:rPr>
            <w:fldChar w:fldCharType="separate"/>
          </w:r>
          <w:r w:rsidR="002C23B4">
            <w:rPr>
              <w:rFonts w:ascii="Calibri" w:eastAsia="Times New Roman" w:hAnsi="Calibri" w:cs="Calibri"/>
              <w:noProof/>
              <w:lang w:val="en-US" w:eastAsia="nl-NL"/>
            </w:rPr>
            <w:t xml:space="preserve"> </w:t>
          </w:r>
          <w:r w:rsidR="002C23B4" w:rsidRPr="002C23B4">
            <w:rPr>
              <w:rFonts w:ascii="Calibri" w:eastAsia="Times New Roman" w:hAnsi="Calibri" w:cs="Calibri"/>
              <w:noProof/>
              <w:lang w:val="en-US" w:eastAsia="nl-NL"/>
            </w:rPr>
            <w:t>(1991)</w:t>
          </w:r>
          <w:r w:rsidR="001E69E6" w:rsidRPr="00615765">
            <w:rPr>
              <w:rFonts w:ascii="Calibri" w:eastAsia="Times New Roman" w:hAnsi="Calibri" w:cs="Calibri"/>
              <w:lang w:val="en-US" w:eastAsia="nl-NL"/>
            </w:rPr>
            <w:fldChar w:fldCharType="end"/>
          </w:r>
        </w:sdtContent>
      </w:sdt>
      <w:r w:rsidR="001E69E6" w:rsidRPr="00615765">
        <w:rPr>
          <w:rFonts w:ascii="Calibri" w:eastAsia="Times New Roman" w:hAnsi="Calibri" w:cs="Calibri"/>
          <w:lang w:val="en-US" w:eastAsia="nl-NL"/>
        </w:rPr>
        <w:t xml:space="preserve"> </w:t>
      </w:r>
      <w:r w:rsidRPr="00615765">
        <w:rPr>
          <w:rFonts w:ascii="Calibri" w:eastAsia="Times New Roman" w:hAnsi="Calibri" w:cs="Calibri"/>
          <w:lang w:val="en-US" w:eastAsia="nl-NL"/>
        </w:rPr>
        <w:t>who observed that of families who owned $100.000 or more, only 47.7% own stocks.</w:t>
      </w:r>
    </w:p>
    <w:p w:rsidR="005245EF" w:rsidRDefault="004226BA" w:rsidP="004226BA">
      <w:pPr>
        <w:shd w:val="clear" w:color="auto" w:fill="FFFFFF"/>
        <w:tabs>
          <w:tab w:val="center" w:pos="4356"/>
        </w:tabs>
        <w:spacing w:before="240" w:after="0" w:line="360" w:lineRule="auto"/>
        <w:jc w:val="both"/>
        <w:rPr>
          <w:rFonts w:ascii="Calibri" w:eastAsia="Times New Roman" w:hAnsi="Calibri" w:cs="Calibri"/>
          <w:lang w:val="en-US" w:eastAsia="nl-NL"/>
        </w:rPr>
      </w:pPr>
      <w:r>
        <w:rPr>
          <w:rFonts w:ascii="Calibri" w:eastAsia="Times New Roman" w:hAnsi="Calibri" w:cs="Calibri"/>
          <w:lang w:val="en-US" w:eastAsia="nl-NL"/>
        </w:rPr>
        <w:t>Due to renewed interest in the subject of ambiguity attitudes thanks to Golboa and Schmeidler</w:t>
      </w:r>
      <w:sdt>
        <w:sdtPr>
          <w:rPr>
            <w:rFonts w:ascii="Calibri" w:eastAsia="Times New Roman" w:hAnsi="Calibri" w:cs="Calibri"/>
            <w:lang w:val="en-US" w:eastAsia="nl-NL"/>
          </w:rPr>
          <w:id w:val="74170426"/>
          <w:citation/>
        </w:sdtPr>
        <w:sdtEndPr/>
        <w:sdtContent>
          <w:r>
            <w:rPr>
              <w:rFonts w:ascii="Calibri" w:eastAsia="Times New Roman" w:hAnsi="Calibri" w:cs="Calibri"/>
              <w:lang w:val="en-US" w:eastAsia="nl-NL"/>
            </w:rPr>
            <w:fldChar w:fldCharType="begin"/>
          </w:r>
          <w:r w:rsidR="00626883">
            <w:rPr>
              <w:rFonts w:ascii="Calibri" w:eastAsia="Times New Roman" w:hAnsi="Calibri" w:cs="Calibri"/>
              <w:lang w:val="en-US" w:eastAsia="nl-NL"/>
            </w:rPr>
            <w:instrText xml:space="preserve">CITATION Gil89 \n  \t  \l 1033 </w:instrText>
          </w:r>
          <w:r>
            <w:rPr>
              <w:rFonts w:ascii="Calibri" w:eastAsia="Times New Roman" w:hAnsi="Calibri" w:cs="Calibri"/>
              <w:lang w:val="en-US" w:eastAsia="nl-NL"/>
            </w:rPr>
            <w:fldChar w:fldCharType="separate"/>
          </w:r>
          <w:r w:rsidR="002C23B4">
            <w:rPr>
              <w:rFonts w:ascii="Calibri" w:eastAsia="Times New Roman" w:hAnsi="Calibri" w:cs="Calibri"/>
              <w:noProof/>
              <w:lang w:val="en-US" w:eastAsia="nl-NL"/>
            </w:rPr>
            <w:t xml:space="preserve"> </w:t>
          </w:r>
          <w:r w:rsidR="002C23B4" w:rsidRPr="002C23B4">
            <w:rPr>
              <w:rFonts w:ascii="Calibri" w:eastAsia="Times New Roman" w:hAnsi="Calibri" w:cs="Calibri"/>
              <w:noProof/>
              <w:lang w:val="en-US" w:eastAsia="nl-NL"/>
            </w:rPr>
            <w:t>(1989)</w:t>
          </w:r>
          <w:r>
            <w:rPr>
              <w:rFonts w:ascii="Calibri" w:eastAsia="Times New Roman" w:hAnsi="Calibri" w:cs="Calibri"/>
              <w:lang w:val="en-US" w:eastAsia="nl-NL"/>
            </w:rPr>
            <w:fldChar w:fldCharType="end"/>
          </w:r>
        </w:sdtContent>
      </w:sdt>
      <w:r>
        <w:rPr>
          <w:rFonts w:ascii="Calibri" w:eastAsia="Times New Roman" w:hAnsi="Calibri" w:cs="Calibri"/>
          <w:lang w:val="en-US" w:eastAsia="nl-NL"/>
        </w:rPr>
        <w:t xml:space="preserve"> and Schmeidler </w:t>
      </w:r>
      <w:sdt>
        <w:sdtPr>
          <w:rPr>
            <w:rFonts w:ascii="Calibri" w:eastAsia="Times New Roman" w:hAnsi="Calibri" w:cs="Calibri"/>
            <w:lang w:val="en-US" w:eastAsia="nl-NL"/>
          </w:rPr>
          <w:id w:val="-619301070"/>
          <w:citation/>
        </w:sdtPr>
        <w:sdtEndPr/>
        <w:sdtContent>
          <w:r>
            <w:rPr>
              <w:rFonts w:ascii="Calibri" w:eastAsia="Times New Roman" w:hAnsi="Calibri" w:cs="Calibri"/>
              <w:lang w:val="en-US" w:eastAsia="nl-NL"/>
            </w:rPr>
            <w:fldChar w:fldCharType="begin"/>
          </w:r>
          <w:r w:rsidR="00626883">
            <w:rPr>
              <w:rFonts w:ascii="Calibri" w:eastAsia="Times New Roman" w:hAnsi="Calibri" w:cs="Calibri"/>
              <w:lang w:val="en-US" w:eastAsia="nl-NL"/>
            </w:rPr>
            <w:instrText xml:space="preserve">CITATION Sch89 \n  \t  \l 1033 </w:instrText>
          </w:r>
          <w:r>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(1989)</w:t>
          </w:r>
          <w:r>
            <w:rPr>
              <w:rFonts w:ascii="Calibri" w:eastAsia="Times New Roman" w:hAnsi="Calibri" w:cs="Calibri"/>
              <w:lang w:val="en-US" w:eastAsia="nl-NL"/>
            </w:rPr>
            <w:fldChar w:fldCharType="end"/>
          </w:r>
        </w:sdtContent>
      </w:sdt>
      <w:r>
        <w:rPr>
          <w:rFonts w:ascii="Calibri" w:eastAsia="Times New Roman" w:hAnsi="Calibri" w:cs="Calibri"/>
          <w:lang w:val="en-US" w:eastAsia="nl-NL"/>
        </w:rPr>
        <w:t xml:space="preserve">, Dow and Werlang </w:t>
      </w:r>
      <w:sdt>
        <w:sdtPr>
          <w:rPr>
            <w:rFonts w:ascii="Calibri" w:eastAsia="Times New Roman" w:hAnsi="Calibri" w:cs="Calibri"/>
            <w:lang w:val="en-US" w:eastAsia="nl-NL"/>
          </w:rPr>
          <w:id w:val="-1325280931"/>
          <w:citation/>
        </w:sdtPr>
        <w:sdtEndPr/>
        <w:sdtContent>
          <w:r>
            <w:rPr>
              <w:rFonts w:ascii="Calibri" w:eastAsia="Times New Roman" w:hAnsi="Calibri" w:cs="Calibri"/>
              <w:lang w:val="en-US" w:eastAsia="nl-NL"/>
            </w:rPr>
            <w:fldChar w:fldCharType="begin"/>
          </w:r>
          <w:r w:rsidR="00626883">
            <w:rPr>
              <w:rFonts w:ascii="Calibri" w:eastAsia="Times New Roman" w:hAnsi="Calibri" w:cs="Calibri"/>
              <w:lang w:val="en-US" w:eastAsia="nl-NL"/>
            </w:rPr>
            <w:instrText xml:space="preserve">CITATION Dow92 \n  \t  \l 1033 </w:instrText>
          </w:r>
          <w:r>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(1992)</w:t>
          </w:r>
          <w:r>
            <w:rPr>
              <w:rFonts w:ascii="Calibri" w:eastAsia="Times New Roman" w:hAnsi="Calibri" w:cs="Calibri"/>
              <w:lang w:val="en-US" w:eastAsia="nl-NL"/>
            </w:rPr>
            <w:fldChar w:fldCharType="end"/>
          </w:r>
        </w:sdtContent>
      </w:sdt>
      <w:r>
        <w:rPr>
          <w:rFonts w:ascii="Calibri" w:eastAsia="Times New Roman" w:hAnsi="Calibri" w:cs="Calibri"/>
          <w:lang w:val="en-US" w:eastAsia="nl-NL"/>
        </w:rPr>
        <w:t xml:space="preserve"> investigated if ambiguity could provide a solid explanation for the stock market participation puzzle. After careful examination of the Ellsberg </w:t>
      </w:r>
      <w:r w:rsidR="00990EEA">
        <w:rPr>
          <w:rFonts w:ascii="Calibri" w:eastAsia="Times New Roman" w:hAnsi="Calibri" w:cs="Calibri"/>
          <w:lang w:val="en-US" w:eastAsia="nl-NL"/>
        </w:rPr>
        <w:t>pa</w:t>
      </w:r>
      <w:r>
        <w:rPr>
          <w:rFonts w:ascii="Calibri" w:eastAsia="Times New Roman" w:hAnsi="Calibri" w:cs="Calibri"/>
          <w:lang w:val="en-US" w:eastAsia="nl-NL"/>
        </w:rPr>
        <w:t xml:space="preserve">radox they suggested that for ambiguity averse </w:t>
      </w:r>
      <w:r w:rsidR="007D4AE2">
        <w:rPr>
          <w:rFonts w:ascii="Calibri" w:eastAsia="Times New Roman" w:hAnsi="Calibri" w:cs="Calibri"/>
          <w:lang w:val="en-US" w:eastAsia="nl-NL"/>
        </w:rPr>
        <w:t>subjects</w:t>
      </w:r>
      <w:r>
        <w:rPr>
          <w:rFonts w:ascii="Calibri" w:eastAsia="Times New Roman" w:hAnsi="Calibri" w:cs="Calibri"/>
          <w:lang w:val="en-US" w:eastAsia="nl-NL"/>
        </w:rPr>
        <w:t xml:space="preserve">, the subjective probabilities of the mutually exclusive events do not add up to one. That is to say, ambiguity averse people consider the odds of drawing a red ball from the ambiguous urn plus the odds of drawing a black ball from the ambiguous urn less than a hundred percent. Ceteris paribus, ambiguity seeking people might consider those odds to be higher than a hundred percent. </w:t>
      </w:r>
    </w:p>
    <w:p w:rsidR="00816E24" w:rsidRDefault="007C3EE5" w:rsidP="004226BA">
      <w:pPr>
        <w:shd w:val="clear" w:color="auto" w:fill="FFFFFF"/>
        <w:tabs>
          <w:tab w:val="center" w:pos="4356"/>
        </w:tabs>
        <w:spacing w:before="240" w:after="0" w:line="360" w:lineRule="auto"/>
        <w:jc w:val="both"/>
        <w:rPr>
          <w:rFonts w:ascii="Calibri" w:eastAsia="Times New Roman" w:hAnsi="Calibri" w:cs="Calibri"/>
          <w:lang w:val="en-US" w:eastAsia="nl-NL"/>
        </w:rPr>
      </w:pPr>
      <w:r>
        <w:rPr>
          <w:rFonts w:ascii="Calibri" w:eastAsia="Times New Roman" w:hAnsi="Calibri" w:cs="Calibri"/>
          <w:lang w:val="en-US" w:eastAsia="nl-NL"/>
        </w:rPr>
        <w:lastRenderedPageBreak/>
        <w:t xml:space="preserve">This concept is quite abstract and can be clarified with the help of </w:t>
      </w:r>
      <w:r w:rsidR="00941B19">
        <w:rPr>
          <w:rFonts w:ascii="Calibri" w:eastAsia="Times New Roman" w:hAnsi="Calibri" w:cs="Calibri"/>
          <w:lang w:val="en-US" w:eastAsia="nl-NL"/>
        </w:rPr>
        <w:t>simple algebra</w:t>
      </w:r>
      <w:r>
        <w:rPr>
          <w:rFonts w:ascii="Calibri" w:eastAsia="Times New Roman" w:hAnsi="Calibri" w:cs="Calibri"/>
          <w:lang w:val="en-US" w:eastAsia="nl-NL"/>
        </w:rPr>
        <w:t>. Suppose the event that a black ball is drawn from the unknown urn to be B</w:t>
      </w:r>
      <w:r w:rsidRPr="007C3EE5">
        <w:rPr>
          <w:rFonts w:ascii="Calibri" w:eastAsia="Times New Roman" w:hAnsi="Calibri" w:cs="Calibri"/>
          <w:vertAlign w:val="subscript"/>
          <w:lang w:val="en-US" w:eastAsia="nl-NL"/>
        </w:rPr>
        <w:t>U</w:t>
      </w:r>
      <w:r>
        <w:rPr>
          <w:rFonts w:ascii="Calibri" w:eastAsia="Times New Roman" w:hAnsi="Calibri" w:cs="Calibri"/>
          <w:lang w:val="en-US" w:eastAsia="nl-NL"/>
        </w:rPr>
        <w:t>, and the event that a red ball is drawn from the unknown urn to be R</w:t>
      </w:r>
      <w:r w:rsidRPr="007C3EE5">
        <w:rPr>
          <w:rFonts w:ascii="Calibri" w:eastAsia="Times New Roman" w:hAnsi="Calibri" w:cs="Calibri"/>
          <w:vertAlign w:val="subscript"/>
          <w:lang w:val="en-US" w:eastAsia="nl-NL"/>
        </w:rPr>
        <w:t>U</w:t>
      </w:r>
      <w:r>
        <w:rPr>
          <w:rFonts w:ascii="Calibri" w:eastAsia="Times New Roman" w:hAnsi="Calibri" w:cs="Calibri"/>
          <w:lang w:val="en-US" w:eastAsia="nl-NL"/>
        </w:rPr>
        <w:t>. Here P(B</w:t>
      </w:r>
      <w:r w:rsidRPr="007C3EE5">
        <w:rPr>
          <w:rFonts w:ascii="Calibri" w:eastAsia="Times New Roman" w:hAnsi="Calibri" w:cs="Calibri"/>
          <w:vertAlign w:val="subscript"/>
          <w:lang w:val="en-US" w:eastAsia="nl-NL"/>
        </w:rPr>
        <w:t>U</w:t>
      </w:r>
      <w:r>
        <w:rPr>
          <w:rFonts w:ascii="Calibri" w:eastAsia="Times New Roman" w:hAnsi="Calibri" w:cs="Calibri"/>
          <w:lang w:val="en-US" w:eastAsia="nl-NL"/>
        </w:rPr>
        <w:t>) + P(R</w:t>
      </w:r>
      <w:r w:rsidRPr="007C3EE5">
        <w:rPr>
          <w:rFonts w:ascii="Calibri" w:eastAsia="Times New Roman" w:hAnsi="Calibri" w:cs="Calibri"/>
          <w:vertAlign w:val="subscript"/>
          <w:lang w:val="en-US" w:eastAsia="nl-NL"/>
        </w:rPr>
        <w:t>U</w:t>
      </w:r>
      <w:r>
        <w:rPr>
          <w:rFonts w:ascii="Calibri" w:eastAsia="Times New Roman" w:hAnsi="Calibri" w:cs="Calibri"/>
          <w:lang w:val="en-US" w:eastAsia="nl-NL"/>
        </w:rPr>
        <w:t xml:space="preserve">) = 1, since these events are </w:t>
      </w:r>
      <w:r w:rsidR="00CE1925">
        <w:rPr>
          <w:rFonts w:ascii="Calibri" w:eastAsia="Times New Roman" w:hAnsi="Calibri" w:cs="Calibri"/>
          <w:lang w:val="en-US" w:eastAsia="nl-NL"/>
        </w:rPr>
        <w:t xml:space="preserve">mutually </w:t>
      </w:r>
      <w:r>
        <w:rPr>
          <w:rFonts w:ascii="Calibri" w:eastAsia="Times New Roman" w:hAnsi="Calibri" w:cs="Calibri"/>
          <w:lang w:val="en-US" w:eastAsia="nl-NL"/>
        </w:rPr>
        <w:t xml:space="preserve">exclusive. </w:t>
      </w:r>
      <w:r w:rsidR="002F0363">
        <w:rPr>
          <w:rFonts w:ascii="Calibri" w:eastAsia="Times New Roman" w:hAnsi="Calibri" w:cs="Calibri"/>
          <w:lang w:val="en-US" w:eastAsia="nl-NL"/>
        </w:rPr>
        <w:t xml:space="preserve">But an ambiguity averse subject interprets these odds differently, since </w:t>
      </w:r>
      <w:r w:rsidR="00586BCE">
        <w:rPr>
          <w:rFonts w:ascii="Calibri" w:eastAsia="Times New Roman" w:hAnsi="Calibri" w:cs="Calibri"/>
          <w:lang w:val="en-US" w:eastAsia="nl-NL"/>
        </w:rPr>
        <w:t>these odds are unknown to the subject. Bec</w:t>
      </w:r>
      <w:r>
        <w:rPr>
          <w:rFonts w:ascii="Calibri" w:eastAsia="Times New Roman" w:hAnsi="Calibri" w:cs="Calibri"/>
          <w:lang w:val="en-US" w:eastAsia="nl-NL"/>
        </w:rPr>
        <w:t>ause</w:t>
      </w:r>
      <w:r w:rsidR="00586BCE">
        <w:rPr>
          <w:rFonts w:ascii="Calibri" w:eastAsia="Times New Roman" w:hAnsi="Calibri" w:cs="Calibri"/>
          <w:lang w:val="en-US" w:eastAsia="nl-NL"/>
        </w:rPr>
        <w:t xml:space="preserve"> </w:t>
      </w:r>
      <w:r>
        <w:rPr>
          <w:rFonts w:ascii="Calibri" w:eastAsia="Times New Roman" w:hAnsi="Calibri" w:cs="Calibri"/>
          <w:lang w:val="en-US" w:eastAsia="nl-NL"/>
        </w:rPr>
        <w:t xml:space="preserve">of ambiguity attitudes these </w:t>
      </w:r>
      <w:r w:rsidR="00CE1925">
        <w:rPr>
          <w:rFonts w:ascii="Calibri" w:eastAsia="Times New Roman" w:hAnsi="Calibri" w:cs="Calibri"/>
          <w:lang w:val="en-US" w:eastAsia="nl-NL"/>
        </w:rPr>
        <w:t>probabilities are transformed in a non-linear way with a matching probability function. For example, the matching probability function for an ambiguity averse subject would look like this: m(P(B</w:t>
      </w:r>
      <w:r w:rsidR="00CE1925" w:rsidRPr="007C3EE5">
        <w:rPr>
          <w:rFonts w:ascii="Calibri" w:eastAsia="Times New Roman" w:hAnsi="Calibri" w:cs="Calibri"/>
          <w:vertAlign w:val="subscript"/>
          <w:lang w:val="en-US" w:eastAsia="nl-NL"/>
        </w:rPr>
        <w:t>U</w:t>
      </w:r>
      <w:r w:rsidR="00CE1925">
        <w:rPr>
          <w:rFonts w:ascii="Calibri" w:eastAsia="Times New Roman" w:hAnsi="Calibri" w:cs="Calibri"/>
          <w:lang w:val="en-US" w:eastAsia="nl-NL"/>
        </w:rPr>
        <w:t>)) + m(P(R</w:t>
      </w:r>
      <w:r w:rsidR="00CE1925" w:rsidRPr="007C3EE5">
        <w:rPr>
          <w:rFonts w:ascii="Calibri" w:eastAsia="Times New Roman" w:hAnsi="Calibri" w:cs="Calibri"/>
          <w:vertAlign w:val="subscript"/>
          <w:lang w:val="en-US" w:eastAsia="nl-NL"/>
        </w:rPr>
        <w:t>U</w:t>
      </w:r>
      <w:r w:rsidR="00CE1925">
        <w:rPr>
          <w:rFonts w:ascii="Calibri" w:eastAsia="Times New Roman" w:hAnsi="Calibri" w:cs="Calibri"/>
          <w:lang w:val="en-US" w:eastAsia="nl-NL"/>
        </w:rPr>
        <w:t>)) &lt; 1. Thus, ambiguity attitudes can be captured by this m(.) function.</w:t>
      </w:r>
      <w:r w:rsidR="00484A08">
        <w:rPr>
          <w:rFonts w:ascii="Calibri" w:eastAsia="Times New Roman" w:hAnsi="Calibri" w:cs="Calibri"/>
          <w:lang w:val="en-US" w:eastAsia="nl-NL"/>
        </w:rPr>
        <w:t xml:space="preserve"> T</w:t>
      </w:r>
      <w:r w:rsidR="00941B19">
        <w:rPr>
          <w:rFonts w:ascii="Calibri" w:eastAsia="Times New Roman" w:hAnsi="Calibri" w:cs="Calibri"/>
          <w:lang w:val="en-US" w:eastAsia="nl-NL"/>
        </w:rPr>
        <w:t>his matching function is called ‘ambiguity fu</w:t>
      </w:r>
      <w:r w:rsidR="002E6A27">
        <w:rPr>
          <w:rFonts w:ascii="Calibri" w:eastAsia="Times New Roman" w:hAnsi="Calibri" w:cs="Calibri"/>
          <w:lang w:val="en-US" w:eastAsia="nl-NL"/>
        </w:rPr>
        <w:t>nction’ in Dimmock, Kouwenberg and</w:t>
      </w:r>
      <w:r w:rsidR="00941B19">
        <w:rPr>
          <w:rFonts w:ascii="Calibri" w:eastAsia="Times New Roman" w:hAnsi="Calibri" w:cs="Calibri"/>
          <w:lang w:val="en-US" w:eastAsia="nl-NL"/>
        </w:rPr>
        <w:t xml:space="preserve"> Wakker </w:t>
      </w:r>
      <w:sdt>
        <w:sdtPr>
          <w:rPr>
            <w:rFonts w:ascii="Calibri" w:eastAsia="Times New Roman" w:hAnsi="Calibri" w:cs="Calibri"/>
            <w:lang w:val="en-US" w:eastAsia="nl-NL"/>
          </w:rPr>
          <w:id w:val="1044632613"/>
          <w:citation/>
        </w:sdtPr>
        <w:sdtEndPr/>
        <w:sdtContent>
          <w:r w:rsidR="000C1EE2">
            <w:rPr>
              <w:rFonts w:ascii="Calibri" w:eastAsia="Times New Roman" w:hAnsi="Calibri" w:cs="Calibri"/>
              <w:lang w:val="en-US" w:eastAsia="nl-NL"/>
            </w:rPr>
            <w:fldChar w:fldCharType="begin"/>
          </w:r>
          <w:r w:rsidR="000C1EE2">
            <w:rPr>
              <w:rFonts w:ascii="Calibri" w:eastAsia="Times New Roman" w:hAnsi="Calibri" w:cs="Calibri"/>
              <w:lang w:val="en-US" w:eastAsia="nl-NL"/>
            </w:rPr>
            <w:instrText xml:space="preserve">CITATION Dim14 \n  \t  \l 1033 </w:instrText>
          </w:r>
          <w:r w:rsidR="000C1EE2">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(2014)</w:t>
          </w:r>
          <w:r w:rsidR="000C1EE2">
            <w:rPr>
              <w:rFonts w:ascii="Calibri" w:eastAsia="Times New Roman" w:hAnsi="Calibri" w:cs="Calibri"/>
              <w:lang w:val="en-US" w:eastAsia="nl-NL"/>
            </w:rPr>
            <w:fldChar w:fldCharType="end"/>
          </w:r>
        </w:sdtContent>
      </w:sdt>
      <w:r w:rsidR="00941B19">
        <w:rPr>
          <w:rFonts w:ascii="Calibri" w:eastAsia="Times New Roman" w:hAnsi="Calibri" w:cs="Calibri"/>
          <w:lang w:val="en-US" w:eastAsia="nl-NL"/>
        </w:rPr>
        <w:t xml:space="preserve">, and </w:t>
      </w:r>
      <w:r w:rsidR="00484A08">
        <w:rPr>
          <w:rFonts w:ascii="Calibri" w:eastAsia="Times New Roman" w:hAnsi="Calibri" w:cs="Calibri"/>
          <w:lang w:val="en-US" w:eastAsia="nl-NL"/>
        </w:rPr>
        <w:t xml:space="preserve">was </w:t>
      </w:r>
      <w:r w:rsidR="00941B19">
        <w:rPr>
          <w:rFonts w:ascii="Calibri" w:eastAsia="Times New Roman" w:hAnsi="Calibri" w:cs="Calibri"/>
          <w:lang w:val="en-US" w:eastAsia="nl-NL"/>
        </w:rPr>
        <w:t>used to investigate</w:t>
      </w:r>
      <w:r w:rsidR="00BF7471">
        <w:rPr>
          <w:rFonts w:ascii="Calibri" w:eastAsia="Times New Roman" w:hAnsi="Calibri" w:cs="Calibri"/>
          <w:lang w:val="en-US" w:eastAsia="nl-NL"/>
        </w:rPr>
        <w:t xml:space="preserve"> the</w:t>
      </w:r>
      <w:r w:rsidR="00941B19">
        <w:rPr>
          <w:rFonts w:ascii="Calibri" w:eastAsia="Times New Roman" w:hAnsi="Calibri" w:cs="Calibri"/>
          <w:lang w:val="en-US" w:eastAsia="nl-NL"/>
        </w:rPr>
        <w:t xml:space="preserve"> ambiguity attitudes of </w:t>
      </w:r>
      <w:r w:rsidR="000C1EE2">
        <w:rPr>
          <w:rFonts w:ascii="Calibri" w:eastAsia="Times New Roman" w:hAnsi="Calibri" w:cs="Calibri"/>
          <w:lang w:val="en-US" w:eastAsia="nl-NL"/>
        </w:rPr>
        <w:t xml:space="preserve">the </w:t>
      </w:r>
      <w:r w:rsidR="00941B19">
        <w:rPr>
          <w:rFonts w:ascii="Calibri" w:eastAsia="Times New Roman" w:hAnsi="Calibri" w:cs="Calibri"/>
          <w:lang w:val="en-US" w:eastAsia="nl-NL"/>
        </w:rPr>
        <w:t xml:space="preserve">Dutch </w:t>
      </w:r>
      <w:r w:rsidR="00B86480">
        <w:rPr>
          <w:rFonts w:ascii="Calibri" w:eastAsia="Times New Roman" w:hAnsi="Calibri" w:cs="Calibri"/>
          <w:lang w:val="en-US" w:eastAsia="nl-NL"/>
        </w:rPr>
        <w:t>subjects</w:t>
      </w:r>
      <w:r w:rsidR="00941B19">
        <w:rPr>
          <w:rFonts w:ascii="Calibri" w:eastAsia="Times New Roman" w:hAnsi="Calibri" w:cs="Calibri"/>
          <w:lang w:val="en-US" w:eastAsia="nl-NL"/>
        </w:rPr>
        <w:t>.</w:t>
      </w:r>
    </w:p>
    <w:p w:rsidR="004226BA" w:rsidRDefault="004226BA" w:rsidP="004226BA">
      <w:pPr>
        <w:shd w:val="clear" w:color="auto" w:fill="FFFFFF"/>
        <w:tabs>
          <w:tab w:val="center" w:pos="4356"/>
        </w:tabs>
        <w:spacing w:before="240" w:after="0" w:line="360" w:lineRule="auto"/>
        <w:jc w:val="both"/>
        <w:rPr>
          <w:rFonts w:ascii="Calibri" w:eastAsia="Times New Roman" w:hAnsi="Calibri" w:cs="Calibri"/>
          <w:lang w:val="en-US" w:eastAsia="nl-NL"/>
        </w:rPr>
      </w:pPr>
      <w:r>
        <w:rPr>
          <w:rFonts w:ascii="Calibri" w:eastAsia="Times New Roman" w:hAnsi="Calibri" w:cs="Calibri"/>
          <w:lang w:val="en-US" w:eastAsia="nl-NL"/>
        </w:rPr>
        <w:t xml:space="preserve">Dow and Werlang </w:t>
      </w:r>
      <w:sdt>
        <w:sdtPr>
          <w:rPr>
            <w:rFonts w:ascii="Calibri" w:eastAsia="Times New Roman" w:hAnsi="Calibri" w:cs="Calibri"/>
            <w:lang w:val="en-US" w:eastAsia="nl-NL"/>
          </w:rPr>
          <w:id w:val="-1399135828"/>
          <w:citation/>
        </w:sdtPr>
        <w:sdtEndPr/>
        <w:sdtContent>
          <w:r w:rsidR="00B742A4">
            <w:rPr>
              <w:rFonts w:ascii="Calibri" w:eastAsia="Times New Roman" w:hAnsi="Calibri" w:cs="Calibri"/>
              <w:lang w:val="en-US" w:eastAsia="nl-NL"/>
            </w:rPr>
            <w:fldChar w:fldCharType="begin"/>
          </w:r>
          <w:r w:rsidR="00B742A4">
            <w:rPr>
              <w:rFonts w:ascii="Calibri" w:eastAsia="Times New Roman" w:hAnsi="Calibri" w:cs="Calibri"/>
              <w:lang w:val="en-US" w:eastAsia="nl-NL"/>
            </w:rPr>
            <w:instrText xml:space="preserve">CITATION Dow92 \n  \t  \l 1033 </w:instrText>
          </w:r>
          <w:r w:rsidR="00B742A4">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(1992)</w:t>
          </w:r>
          <w:r w:rsidR="00B742A4">
            <w:rPr>
              <w:rFonts w:ascii="Calibri" w:eastAsia="Times New Roman" w:hAnsi="Calibri" w:cs="Calibri"/>
              <w:lang w:val="en-US" w:eastAsia="nl-NL"/>
            </w:rPr>
            <w:fldChar w:fldCharType="end"/>
          </w:r>
        </w:sdtContent>
      </w:sdt>
      <w:r w:rsidR="00B742A4">
        <w:rPr>
          <w:rFonts w:ascii="Calibri" w:eastAsia="Times New Roman" w:hAnsi="Calibri" w:cs="Calibri"/>
          <w:lang w:val="en-US" w:eastAsia="nl-NL"/>
        </w:rPr>
        <w:t xml:space="preserve"> </w:t>
      </w:r>
      <w:r>
        <w:rPr>
          <w:rFonts w:ascii="Calibri" w:eastAsia="Times New Roman" w:hAnsi="Calibri" w:cs="Calibri"/>
          <w:lang w:val="en-US" w:eastAsia="nl-NL"/>
        </w:rPr>
        <w:t>take th</w:t>
      </w:r>
      <w:r w:rsidR="00715308">
        <w:rPr>
          <w:rFonts w:ascii="Calibri" w:eastAsia="Times New Roman" w:hAnsi="Calibri" w:cs="Calibri"/>
          <w:lang w:val="en-US" w:eastAsia="nl-NL"/>
        </w:rPr>
        <w:t>e matching probability</w:t>
      </w:r>
      <w:r>
        <w:rPr>
          <w:rFonts w:ascii="Calibri" w:eastAsia="Times New Roman" w:hAnsi="Calibri" w:cs="Calibri"/>
          <w:lang w:val="en-US" w:eastAsia="nl-NL"/>
        </w:rPr>
        <w:t xml:space="preserve"> hypothesis a step further and apply it to stock market participation.</w:t>
      </w:r>
      <w:r w:rsidR="00AF6CA0">
        <w:rPr>
          <w:rFonts w:ascii="Calibri" w:eastAsia="Times New Roman" w:hAnsi="Calibri" w:cs="Calibri"/>
          <w:lang w:val="en-US" w:eastAsia="nl-NL"/>
        </w:rPr>
        <w:t xml:space="preserve"> </w:t>
      </w:r>
      <w:r>
        <w:rPr>
          <w:rFonts w:ascii="Calibri" w:eastAsia="Times New Roman" w:hAnsi="Calibri" w:cs="Calibri"/>
          <w:lang w:val="en-US" w:eastAsia="nl-NL"/>
        </w:rPr>
        <w:t>To illustrate the idea of Dow and Werlang we need to examine conventional expected utility theory first. Suppose prices for equity can be arranged over an interval. A subject that is ambiguity neutral and risk neutral would buy equity at a price lower than the expected value. The same subject would sell (or ‘short’) equity at prices higher than the expected value. The interval would look something like this:</w:t>
      </w:r>
    </w:p>
    <w:p w:rsidR="004226BA" w:rsidRPr="00C572B1" w:rsidRDefault="00C572B1" w:rsidP="004226BA">
      <w:pPr>
        <w:shd w:val="clear" w:color="auto" w:fill="FFFFFF"/>
        <w:tabs>
          <w:tab w:val="center" w:pos="4356"/>
        </w:tabs>
        <w:spacing w:after="0" w:line="360" w:lineRule="auto"/>
        <w:jc w:val="both"/>
        <w:rPr>
          <w:rFonts w:ascii="Calibri" w:eastAsia="Times New Roman" w:hAnsi="Calibri" w:cs="Calibri"/>
          <w:b/>
          <w:lang w:val="en-US" w:eastAsia="nl-NL"/>
        </w:rPr>
      </w:pPr>
      <w:r w:rsidRPr="00C572B1">
        <w:rPr>
          <w:rFonts w:ascii="Calibri" w:eastAsia="Times New Roman" w:hAnsi="Calibri" w:cs="Calibri"/>
          <w:b/>
          <w:lang w:val="en-US" w:eastAsia="nl-NL"/>
        </w:rPr>
        <w:t>Figure 1</w:t>
      </w: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r w:rsidRPr="006376BB">
        <w:rPr>
          <w:rFonts w:ascii="Calibri" w:eastAsia="Times New Roman" w:hAnsi="Calibri" w:cs="Calibri"/>
          <w:noProof/>
          <w:lang w:val="en-GB" w:eastAsia="en-GB"/>
        </w:rPr>
        <w:lastRenderedPageBreak/>
        <w:drawing>
          <wp:inline distT="0" distB="0" distL="0" distR="0" wp14:anchorId="533AFFDB" wp14:editId="19765A2A">
            <wp:extent cx="5760720" cy="757318"/>
            <wp:effectExtent l="0" t="0" r="0" b="5080"/>
            <wp:docPr id="2" name="Picture 2" descr="C:\Users\Ralistic\Documents\Economie en Bedrijfseconomie Jaar 4\Thesis\Writing Part\Ambiguity-risk neu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listic\Documents\Economie en Bedrijfseconomie Jaar 4\Thesis\Writing Part\Ambiguity-risk neutral.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757318"/>
                    </a:xfrm>
                    <a:prstGeom prst="rect">
                      <a:avLst/>
                    </a:prstGeom>
                    <a:noFill/>
                    <a:ln>
                      <a:noFill/>
                    </a:ln>
                  </pic:spPr>
                </pic:pic>
              </a:graphicData>
            </a:graphic>
          </wp:inline>
        </w:drawing>
      </w: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r>
        <w:rPr>
          <w:rFonts w:ascii="Calibri" w:eastAsia="Times New Roman" w:hAnsi="Calibri" w:cs="Calibri"/>
          <w:lang w:val="en-US" w:eastAsia="nl-NL"/>
        </w:rPr>
        <w:t>An ambiguity averse subject would behave differently in this situation because he or she values the same equity differently. There is a part on the interval on which the subject would neither buy nor sell the equity. At any price lower than this interval the subject would buy equity, at any price higher than this interval the subject would short equity. The interval would look something like this:</w:t>
      </w:r>
    </w:p>
    <w:p w:rsidR="004226BA" w:rsidRPr="00C572B1" w:rsidRDefault="00C572B1" w:rsidP="004226BA">
      <w:pPr>
        <w:shd w:val="clear" w:color="auto" w:fill="FFFFFF"/>
        <w:tabs>
          <w:tab w:val="center" w:pos="4356"/>
        </w:tabs>
        <w:spacing w:after="0" w:line="360" w:lineRule="auto"/>
        <w:jc w:val="both"/>
        <w:rPr>
          <w:rFonts w:ascii="Calibri" w:eastAsia="Times New Roman" w:hAnsi="Calibri" w:cs="Calibri"/>
          <w:b/>
          <w:lang w:val="en-US" w:eastAsia="nl-NL"/>
        </w:rPr>
      </w:pPr>
      <w:r w:rsidRPr="00C572B1">
        <w:rPr>
          <w:rFonts w:ascii="Calibri" w:eastAsia="Times New Roman" w:hAnsi="Calibri" w:cs="Calibri"/>
          <w:b/>
          <w:lang w:val="en-US" w:eastAsia="nl-NL"/>
        </w:rPr>
        <w:t>Figure 2</w:t>
      </w: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r w:rsidRPr="006376BB">
        <w:rPr>
          <w:rFonts w:ascii="Calibri" w:eastAsia="Times New Roman" w:hAnsi="Calibri" w:cs="Calibri"/>
          <w:noProof/>
          <w:lang w:val="en-GB" w:eastAsia="en-GB"/>
        </w:rPr>
        <w:drawing>
          <wp:inline distT="0" distB="0" distL="0" distR="0" wp14:anchorId="6C6DBC6C" wp14:editId="48E259CB">
            <wp:extent cx="5760720" cy="2307122"/>
            <wp:effectExtent l="0" t="0" r="0" b="0"/>
            <wp:docPr id="3" name="Picture 3" descr="C:\Users\Ralistic\Documents\Economie en Bedrijfseconomie Jaar 4\Thesis\Writing Part\Ambiguity-risk aver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listic\Documents\Economie en Bedrijfseconomie Jaar 4\Thesis\Writing Part\Ambiguity-risk avers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2307122"/>
                    </a:xfrm>
                    <a:prstGeom prst="rect">
                      <a:avLst/>
                    </a:prstGeom>
                    <a:noFill/>
                    <a:ln>
                      <a:noFill/>
                    </a:ln>
                  </pic:spPr>
                </pic:pic>
              </a:graphicData>
            </a:graphic>
          </wp:inline>
        </w:drawing>
      </w: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p>
    <w:p w:rsidR="004226BA" w:rsidRDefault="004226BA" w:rsidP="004226BA">
      <w:pPr>
        <w:shd w:val="clear" w:color="auto" w:fill="FFFFFF"/>
        <w:tabs>
          <w:tab w:val="center" w:pos="4356"/>
        </w:tabs>
        <w:spacing w:after="0" w:line="360" w:lineRule="auto"/>
        <w:jc w:val="both"/>
        <w:rPr>
          <w:rFonts w:ascii="Calibri" w:eastAsia="Times New Roman" w:hAnsi="Calibri" w:cs="Calibri"/>
          <w:lang w:val="en-US" w:eastAsia="nl-NL"/>
        </w:rPr>
      </w:pPr>
      <w:r>
        <w:rPr>
          <w:rFonts w:ascii="Calibri" w:eastAsia="Times New Roman" w:hAnsi="Calibri" w:cs="Calibri"/>
          <w:lang w:val="en-US" w:eastAsia="nl-NL"/>
        </w:rPr>
        <w:t xml:space="preserve">Ambiguity aversion is causing the discrepancy between the two points. Since ambiguity aversion is heterogeneous across the population it can plausibly explain the stock market participation puzzle. For the subjects that perceive the expected value of the equity to fall into the interval, there is an unambiguous alternative, insured deposits at a bank for example, and they will therefore choose not to invest in the stock market. </w:t>
      </w:r>
    </w:p>
    <w:p w:rsidR="004226BA" w:rsidRDefault="004226BA" w:rsidP="0065115A">
      <w:pPr>
        <w:shd w:val="clear" w:color="auto" w:fill="FFFFFF"/>
        <w:tabs>
          <w:tab w:val="center" w:pos="4356"/>
        </w:tabs>
        <w:spacing w:before="240" w:line="360" w:lineRule="auto"/>
        <w:jc w:val="both"/>
        <w:rPr>
          <w:rFonts w:ascii="Calibri" w:eastAsia="Times New Roman" w:hAnsi="Calibri" w:cs="Calibri"/>
          <w:lang w:val="en-US" w:eastAsia="nl-NL"/>
        </w:rPr>
      </w:pPr>
      <w:r>
        <w:rPr>
          <w:rFonts w:ascii="Calibri" w:eastAsia="Times New Roman" w:hAnsi="Calibri" w:cs="Calibri"/>
          <w:lang w:val="en-US" w:eastAsia="nl-NL"/>
        </w:rPr>
        <w:t xml:space="preserve">Following from this literature review it is logical to assume a negative relation between ambiguity aversion and stock market participation. </w:t>
      </w:r>
      <w:r w:rsidRPr="00CF4E1D">
        <w:rPr>
          <w:rFonts w:ascii="Calibri" w:eastAsia="Times New Roman" w:hAnsi="Calibri" w:cs="Calibri"/>
          <w:lang w:val="en-US" w:eastAsia="nl-NL"/>
        </w:rPr>
        <w:t xml:space="preserve">This </w:t>
      </w:r>
      <w:r>
        <w:rPr>
          <w:rFonts w:ascii="Calibri" w:eastAsia="Times New Roman" w:hAnsi="Calibri" w:cs="Calibri"/>
          <w:lang w:val="en-US" w:eastAsia="nl-NL"/>
        </w:rPr>
        <w:t>assumption</w:t>
      </w:r>
      <w:r w:rsidRPr="00CF4E1D">
        <w:rPr>
          <w:rFonts w:ascii="Calibri" w:eastAsia="Times New Roman" w:hAnsi="Calibri" w:cs="Calibri"/>
          <w:lang w:val="en-US" w:eastAsia="nl-NL"/>
        </w:rPr>
        <w:t xml:space="preserve"> will be tested in the statistical part of this paper.</w:t>
      </w:r>
    </w:p>
    <w:p w:rsidR="00B742A4" w:rsidRPr="0065115A" w:rsidRDefault="00B742A4" w:rsidP="0065115A">
      <w:pPr>
        <w:pStyle w:val="Heading2"/>
        <w:rPr>
          <w:rFonts w:asciiTheme="minorHAnsi" w:hAnsiTheme="minorHAnsi" w:cstheme="minorHAnsi"/>
          <w:color w:val="000000" w:themeColor="text1"/>
          <w:sz w:val="28"/>
          <w:lang w:val="en-US"/>
        </w:rPr>
      </w:pPr>
      <w:bookmarkStart w:id="7" w:name="_Toc422695276"/>
      <w:r w:rsidRPr="0065115A">
        <w:rPr>
          <w:rFonts w:asciiTheme="minorHAnsi" w:hAnsiTheme="minorHAnsi" w:cstheme="minorHAnsi"/>
          <w:color w:val="000000" w:themeColor="text1"/>
          <w:sz w:val="28"/>
          <w:lang w:val="en-US"/>
        </w:rPr>
        <w:t>1.3 Gender Differences in Risk/Ambiguity</w:t>
      </w:r>
      <w:bookmarkEnd w:id="7"/>
    </w:p>
    <w:p w:rsidR="004226BA" w:rsidRDefault="004226BA" w:rsidP="00B742A4">
      <w:pPr>
        <w:spacing w:before="240" w:line="360" w:lineRule="auto"/>
        <w:jc w:val="both"/>
        <w:rPr>
          <w:lang w:val="en-US"/>
        </w:rPr>
      </w:pPr>
      <w:r>
        <w:rPr>
          <w:lang w:val="en-US"/>
        </w:rPr>
        <w:t xml:space="preserve">There is a wide array of psychological and economic papers on the subject of gender differences and decision making under risk. As summarized by Eagly </w:t>
      </w:r>
      <w:sdt>
        <w:sdtPr>
          <w:rPr>
            <w:lang w:val="en-US"/>
          </w:rPr>
          <w:id w:val="502243431"/>
          <w:citation/>
        </w:sdtPr>
        <w:sdtEndPr/>
        <w:sdtContent>
          <w:r>
            <w:rPr>
              <w:lang w:val="en-US"/>
            </w:rPr>
            <w:fldChar w:fldCharType="begin"/>
          </w:r>
          <w:r w:rsidR="0057208D">
            <w:rPr>
              <w:lang w:val="en-US"/>
            </w:rPr>
            <w:instrText xml:space="preserve">CITATION Eag95 \n  \t  \l 1033 </w:instrText>
          </w:r>
          <w:r>
            <w:rPr>
              <w:lang w:val="en-US"/>
            </w:rPr>
            <w:fldChar w:fldCharType="separate"/>
          </w:r>
          <w:r w:rsidR="002C23B4">
            <w:rPr>
              <w:noProof/>
              <w:lang w:val="en-US"/>
            </w:rPr>
            <w:t>(1995)</w:t>
          </w:r>
          <w:r>
            <w:rPr>
              <w:lang w:val="en-US"/>
            </w:rPr>
            <w:fldChar w:fldCharType="end"/>
          </w:r>
        </w:sdtContent>
      </w:sdt>
      <w:r>
        <w:rPr>
          <w:lang w:val="en-US"/>
        </w:rPr>
        <w:t xml:space="preserve"> most psychological studies confirm that differences exist between genders, although the causes of these differences are left unexplained. Johnson and Powell</w:t>
      </w:r>
      <w:sdt>
        <w:sdtPr>
          <w:rPr>
            <w:lang w:val="en-US"/>
          </w:rPr>
          <w:id w:val="891538623"/>
          <w:citation/>
        </w:sdtPr>
        <w:sdtEndPr/>
        <w:sdtContent>
          <w:r w:rsidR="00DF5F97">
            <w:rPr>
              <w:lang w:val="en-US"/>
            </w:rPr>
            <w:fldChar w:fldCharType="begin"/>
          </w:r>
          <w:r w:rsidR="00DF5F97">
            <w:rPr>
              <w:lang w:val="en-US"/>
            </w:rPr>
            <w:instrText xml:space="preserve">CITATION Joh94 \n  \t  \l 1033 </w:instrText>
          </w:r>
          <w:r w:rsidR="00DF5F97">
            <w:rPr>
              <w:lang w:val="en-US"/>
            </w:rPr>
            <w:fldChar w:fldCharType="separate"/>
          </w:r>
          <w:r w:rsidR="002C23B4">
            <w:rPr>
              <w:noProof/>
              <w:lang w:val="en-US"/>
            </w:rPr>
            <w:t xml:space="preserve"> (1994)</w:t>
          </w:r>
          <w:r w:rsidR="00DF5F97">
            <w:rPr>
              <w:lang w:val="en-US"/>
            </w:rPr>
            <w:fldChar w:fldCharType="end"/>
          </w:r>
        </w:sdtContent>
      </w:sdt>
      <w:r w:rsidR="00DF5F97">
        <w:rPr>
          <w:lang w:val="en-US"/>
        </w:rPr>
        <w:t xml:space="preserve"> </w:t>
      </w:r>
      <w:r>
        <w:rPr>
          <w:lang w:val="en-US"/>
        </w:rPr>
        <w:t xml:space="preserve">state that </w:t>
      </w:r>
      <w:r w:rsidR="003D6F3D">
        <w:rPr>
          <w:lang w:val="en-US"/>
        </w:rPr>
        <w:t>findings of these psychological studies</w:t>
      </w:r>
      <w:r>
        <w:rPr>
          <w:lang w:val="en-US"/>
        </w:rPr>
        <w:t xml:space="preserve"> were causal in the forming of stereotypical beliefs concerning men and women in financial and business decision making. </w:t>
      </w:r>
      <w:r w:rsidRPr="00C740C2">
        <w:rPr>
          <w:lang w:val="en-US"/>
        </w:rPr>
        <w:t xml:space="preserve">Although recent papers contradict </w:t>
      </w:r>
      <w:r>
        <w:rPr>
          <w:lang w:val="en-US"/>
        </w:rPr>
        <w:t xml:space="preserve">some of </w:t>
      </w:r>
      <w:r w:rsidRPr="00C740C2">
        <w:rPr>
          <w:lang w:val="en-US"/>
        </w:rPr>
        <w:t>the</w:t>
      </w:r>
      <w:r>
        <w:rPr>
          <w:lang w:val="en-US"/>
        </w:rPr>
        <w:t>se</w:t>
      </w:r>
      <w:r w:rsidRPr="00C740C2">
        <w:rPr>
          <w:lang w:val="en-US"/>
        </w:rPr>
        <w:t xml:space="preserve"> findings</w:t>
      </w:r>
      <w:r>
        <w:rPr>
          <w:lang w:val="en-US"/>
        </w:rPr>
        <w:t>, a conclusion that was consistently found in the literature was that women are more risk averse than men.</w:t>
      </w:r>
      <w:r w:rsidR="005D2A35">
        <w:rPr>
          <w:lang w:val="en-US"/>
        </w:rPr>
        <w:t xml:space="preserve"> Moreover, Croson and Gneezy </w:t>
      </w:r>
      <w:sdt>
        <w:sdtPr>
          <w:rPr>
            <w:lang w:val="en-US"/>
          </w:rPr>
          <w:id w:val="-351273603"/>
          <w:citation/>
        </w:sdtPr>
        <w:sdtEndPr/>
        <w:sdtContent>
          <w:r w:rsidR="005D2A35">
            <w:rPr>
              <w:lang w:val="en-US"/>
            </w:rPr>
            <w:fldChar w:fldCharType="begin"/>
          </w:r>
          <w:r w:rsidR="005D2A35">
            <w:rPr>
              <w:lang w:val="en-US"/>
            </w:rPr>
            <w:instrText xml:space="preserve">CITATION Cro09 \n  \t  \l 1033 </w:instrText>
          </w:r>
          <w:r w:rsidR="005D2A35">
            <w:rPr>
              <w:lang w:val="en-US"/>
            </w:rPr>
            <w:fldChar w:fldCharType="separate"/>
          </w:r>
          <w:r w:rsidR="002C23B4">
            <w:rPr>
              <w:noProof/>
              <w:lang w:val="en-US"/>
            </w:rPr>
            <w:t>(2009)</w:t>
          </w:r>
          <w:r w:rsidR="005D2A35">
            <w:rPr>
              <w:lang w:val="en-US"/>
            </w:rPr>
            <w:fldChar w:fldCharType="end"/>
          </w:r>
        </w:sdtContent>
      </w:sdt>
      <w:r w:rsidR="005D2A35">
        <w:rPr>
          <w:lang w:val="en-US"/>
        </w:rPr>
        <w:t xml:space="preserve"> found that women are more averse to competition </w:t>
      </w:r>
      <w:r w:rsidR="005D2A35">
        <w:rPr>
          <w:lang w:val="en-US"/>
        </w:rPr>
        <w:lastRenderedPageBreak/>
        <w:t>than men.</w:t>
      </w:r>
      <w:r>
        <w:rPr>
          <w:lang w:val="en-US"/>
        </w:rPr>
        <w:t xml:space="preserve"> </w:t>
      </w:r>
      <w:r w:rsidR="00894275">
        <w:rPr>
          <w:lang w:val="en-US"/>
        </w:rPr>
        <w:t>Women were also found to be more ambiguity averse than men</w:t>
      </w:r>
      <w:sdt>
        <w:sdtPr>
          <w:rPr>
            <w:lang w:val="en-US"/>
          </w:rPr>
          <w:id w:val="-847717676"/>
          <w:citation/>
        </w:sdtPr>
        <w:sdtEndPr/>
        <w:sdtContent>
          <w:r w:rsidR="00894275">
            <w:rPr>
              <w:lang w:val="en-US"/>
            </w:rPr>
            <w:fldChar w:fldCharType="begin"/>
          </w:r>
          <w:r w:rsidR="00894275">
            <w:rPr>
              <w:lang w:val="en-US"/>
            </w:rPr>
            <w:instrText xml:space="preserve"> CITATION Pow97 \l 1033 </w:instrText>
          </w:r>
          <w:r w:rsidR="00894275">
            <w:rPr>
              <w:lang w:val="en-US"/>
            </w:rPr>
            <w:fldChar w:fldCharType="separate"/>
          </w:r>
          <w:r w:rsidR="002C23B4">
            <w:rPr>
              <w:noProof/>
              <w:lang w:val="en-US"/>
            </w:rPr>
            <w:t xml:space="preserve"> (Powell &amp; Ansic, 1997)</w:t>
          </w:r>
          <w:r w:rsidR="00894275">
            <w:rPr>
              <w:lang w:val="en-US"/>
            </w:rPr>
            <w:fldChar w:fldCharType="end"/>
          </w:r>
        </w:sdtContent>
      </w:sdt>
      <w:r w:rsidR="00894275">
        <w:rPr>
          <w:lang w:val="en-US"/>
        </w:rPr>
        <w:t xml:space="preserve">. </w:t>
      </w:r>
      <w:r w:rsidR="009E0ACA">
        <w:rPr>
          <w:lang w:val="en-US"/>
        </w:rPr>
        <w:t>Several explanations for the</w:t>
      </w:r>
      <w:r>
        <w:rPr>
          <w:lang w:val="en-US"/>
        </w:rPr>
        <w:t>s</w:t>
      </w:r>
      <w:r w:rsidR="009E0ACA">
        <w:rPr>
          <w:lang w:val="en-US"/>
        </w:rPr>
        <w:t>e</w:t>
      </w:r>
      <w:r>
        <w:rPr>
          <w:lang w:val="en-US"/>
        </w:rPr>
        <w:t xml:space="preserve"> conclusion</w:t>
      </w:r>
      <w:r w:rsidR="009E0ACA">
        <w:rPr>
          <w:lang w:val="en-US"/>
        </w:rPr>
        <w:t>s</w:t>
      </w:r>
      <w:r>
        <w:rPr>
          <w:lang w:val="en-US"/>
        </w:rPr>
        <w:t xml:space="preserve"> are proposed in the literature and the most prominent ones will be summarized below.</w:t>
      </w:r>
    </w:p>
    <w:p w:rsidR="004226BA" w:rsidRPr="004C4045" w:rsidRDefault="004226BA" w:rsidP="00EA7457">
      <w:pPr>
        <w:pStyle w:val="Heading3"/>
        <w:rPr>
          <w:rFonts w:asciiTheme="minorHAnsi" w:eastAsia="Times New Roman" w:hAnsiTheme="minorHAnsi" w:cstheme="minorHAnsi"/>
          <w:b/>
          <w:color w:val="000000" w:themeColor="text1"/>
          <w:lang w:val="en-US" w:eastAsia="nl-NL"/>
        </w:rPr>
      </w:pPr>
      <w:bookmarkStart w:id="8" w:name="_Toc422695277"/>
      <w:r w:rsidRPr="004C4045">
        <w:rPr>
          <w:rFonts w:asciiTheme="minorHAnsi" w:eastAsia="Times New Roman" w:hAnsiTheme="minorHAnsi" w:cstheme="minorHAnsi"/>
          <w:b/>
          <w:color w:val="000000" w:themeColor="text1"/>
          <w:lang w:val="en-US" w:eastAsia="nl-NL"/>
        </w:rPr>
        <w:t xml:space="preserve">1.3.1 </w:t>
      </w:r>
      <w:r w:rsidR="00DD3E5B">
        <w:rPr>
          <w:rFonts w:asciiTheme="minorHAnsi" w:eastAsia="Times New Roman" w:hAnsiTheme="minorHAnsi" w:cstheme="minorHAnsi"/>
          <w:b/>
          <w:color w:val="000000" w:themeColor="text1"/>
          <w:lang w:val="en-US" w:eastAsia="nl-NL"/>
        </w:rPr>
        <w:t>Interpretation of a risky situation</w:t>
      </w:r>
      <w:bookmarkEnd w:id="8"/>
    </w:p>
    <w:p w:rsidR="004226BA" w:rsidRDefault="004226BA" w:rsidP="00EA7457">
      <w:pPr>
        <w:spacing w:before="240" w:line="360" w:lineRule="auto"/>
        <w:jc w:val="both"/>
        <w:rPr>
          <w:lang w:val="en-US"/>
        </w:rPr>
      </w:pPr>
      <w:r>
        <w:rPr>
          <w:lang w:val="en-US"/>
        </w:rPr>
        <w:t xml:space="preserve">One aspect that influences the preferences of genders is the </w:t>
      </w:r>
      <w:r w:rsidR="009E0ACA">
        <w:rPr>
          <w:lang w:val="en-US"/>
        </w:rPr>
        <w:t xml:space="preserve">interpretation of </w:t>
      </w:r>
      <w:r w:rsidR="00E421D7">
        <w:rPr>
          <w:lang w:val="en-US"/>
        </w:rPr>
        <w:t>a</w:t>
      </w:r>
      <w:r w:rsidR="009E0ACA">
        <w:rPr>
          <w:lang w:val="en-US"/>
        </w:rPr>
        <w:t xml:space="preserve"> risky situation</w:t>
      </w:r>
      <w:r>
        <w:rPr>
          <w:lang w:val="en-US"/>
        </w:rPr>
        <w:t xml:space="preserve">. The description and setting of a risky situation have an influence on the subject’s mindset and decision making </w:t>
      </w:r>
      <w:sdt>
        <w:sdtPr>
          <w:rPr>
            <w:lang w:val="en-US"/>
          </w:rPr>
          <w:id w:val="-242254981"/>
          <w:citation/>
        </w:sdtPr>
        <w:sdtEndPr/>
        <w:sdtContent>
          <w:r>
            <w:rPr>
              <w:lang w:val="en-US"/>
            </w:rPr>
            <w:fldChar w:fldCharType="begin"/>
          </w:r>
          <w:r>
            <w:rPr>
              <w:lang w:val="en-US"/>
            </w:rPr>
            <w:instrText xml:space="preserve"> CITATION Bro92 \l 1033 </w:instrText>
          </w:r>
          <w:r>
            <w:rPr>
              <w:lang w:val="en-US"/>
            </w:rPr>
            <w:fldChar w:fldCharType="separate"/>
          </w:r>
          <w:r w:rsidR="002C23B4">
            <w:rPr>
              <w:noProof/>
              <w:lang w:val="en-US"/>
            </w:rPr>
            <w:t>(Bromiley &amp; Curley, 1992)</w:t>
          </w:r>
          <w:r>
            <w:rPr>
              <w:lang w:val="en-US"/>
            </w:rPr>
            <w:fldChar w:fldCharType="end"/>
          </w:r>
        </w:sdtContent>
      </w:sdt>
      <w:r w:rsidR="00894275">
        <w:rPr>
          <w:lang w:val="en-US"/>
        </w:rPr>
        <w:t>.</w:t>
      </w:r>
    </w:p>
    <w:p w:rsidR="004226BA" w:rsidRDefault="004226BA" w:rsidP="004226BA">
      <w:pPr>
        <w:spacing w:line="360" w:lineRule="auto"/>
        <w:jc w:val="both"/>
        <w:rPr>
          <w:lang w:val="en-US"/>
        </w:rPr>
      </w:pPr>
      <w:r>
        <w:rPr>
          <w:lang w:val="en-US"/>
        </w:rPr>
        <w:t>Schuber</w:t>
      </w:r>
      <w:r w:rsidR="00AC3C56">
        <w:rPr>
          <w:lang w:val="en-US"/>
        </w:rPr>
        <w:t>t, Brown, Gysler and Brachinger</w:t>
      </w:r>
      <w:sdt>
        <w:sdtPr>
          <w:rPr>
            <w:lang w:val="en-US"/>
          </w:rPr>
          <w:id w:val="-1303687207"/>
          <w:citation/>
        </w:sdtPr>
        <w:sdtEndPr/>
        <w:sdtContent>
          <w:r w:rsidR="00AC3C56">
            <w:rPr>
              <w:lang w:val="en-US"/>
            </w:rPr>
            <w:fldChar w:fldCharType="begin"/>
          </w:r>
          <w:r w:rsidR="00AC3C56">
            <w:rPr>
              <w:lang w:val="en-US"/>
            </w:rPr>
            <w:instrText xml:space="preserve">CITATION Sch99 \n  \t  \l 1033 </w:instrText>
          </w:r>
          <w:r w:rsidR="00AC3C56">
            <w:rPr>
              <w:lang w:val="en-US"/>
            </w:rPr>
            <w:fldChar w:fldCharType="separate"/>
          </w:r>
          <w:r w:rsidR="002C23B4">
            <w:rPr>
              <w:noProof/>
              <w:lang w:val="en-US"/>
            </w:rPr>
            <w:t xml:space="preserve"> (1999)</w:t>
          </w:r>
          <w:r w:rsidR="00AC3C56">
            <w:rPr>
              <w:lang w:val="en-US"/>
            </w:rPr>
            <w:fldChar w:fldCharType="end"/>
          </w:r>
        </w:sdtContent>
      </w:sdt>
      <w:r w:rsidR="00143AB8">
        <w:rPr>
          <w:lang w:val="en-US"/>
        </w:rPr>
        <w:t xml:space="preserve"> </w:t>
      </w:r>
      <w:r>
        <w:rPr>
          <w:lang w:val="en-US"/>
        </w:rPr>
        <w:t xml:space="preserve">state that the </w:t>
      </w:r>
      <w:r w:rsidR="00BE6262">
        <w:rPr>
          <w:lang w:val="en-US"/>
        </w:rPr>
        <w:t>setting of a risky situation</w:t>
      </w:r>
      <w:r>
        <w:rPr>
          <w:lang w:val="en-US"/>
        </w:rPr>
        <w:t xml:space="preserve"> influences the decision behavior. They conclude that men and women are equally risk averse in a contextual setting but that women are more risk averse in a purely hypothetical setting. Another finding by Schubert et al</w:t>
      </w:r>
      <w:r w:rsidR="003C2DE3">
        <w:rPr>
          <w:lang w:val="en-US"/>
        </w:rPr>
        <w:t>.</w:t>
      </w:r>
      <w:r>
        <w:rPr>
          <w:lang w:val="en-US"/>
        </w:rPr>
        <w:t xml:space="preserve"> </w:t>
      </w:r>
      <w:sdt>
        <w:sdtPr>
          <w:rPr>
            <w:lang w:val="en-US"/>
          </w:rPr>
          <w:id w:val="-487704009"/>
          <w:citation/>
        </w:sdtPr>
        <w:sdtEndPr/>
        <w:sdtContent>
          <w:r w:rsidR="00714DAB">
            <w:rPr>
              <w:lang w:val="en-US"/>
            </w:rPr>
            <w:fldChar w:fldCharType="begin"/>
          </w:r>
          <w:r w:rsidR="00714DAB">
            <w:rPr>
              <w:lang w:val="en-US"/>
            </w:rPr>
            <w:instrText xml:space="preserve">CITATION Sch99 \n  \t  \l 1033 </w:instrText>
          </w:r>
          <w:r w:rsidR="00714DAB">
            <w:rPr>
              <w:lang w:val="en-US"/>
            </w:rPr>
            <w:fldChar w:fldCharType="separate"/>
          </w:r>
          <w:r w:rsidR="002C23B4">
            <w:rPr>
              <w:noProof/>
              <w:lang w:val="en-US"/>
            </w:rPr>
            <w:t>(1999)</w:t>
          </w:r>
          <w:r w:rsidR="00714DAB">
            <w:rPr>
              <w:lang w:val="en-US"/>
            </w:rPr>
            <w:fldChar w:fldCharType="end"/>
          </w:r>
        </w:sdtContent>
      </w:sdt>
      <w:r w:rsidR="00714DAB">
        <w:rPr>
          <w:lang w:val="en-US"/>
        </w:rPr>
        <w:t xml:space="preserve"> </w:t>
      </w:r>
      <w:r>
        <w:rPr>
          <w:lang w:val="en-US"/>
        </w:rPr>
        <w:t xml:space="preserve">was that women are more ambiguity averse than men when considering an investment setting, but they recognized that both genders are equally ambiguity averse when considering an insurance setting. </w:t>
      </w:r>
    </w:p>
    <w:p w:rsidR="0033452F" w:rsidRDefault="004226BA" w:rsidP="004226BA">
      <w:pPr>
        <w:spacing w:line="360" w:lineRule="auto"/>
        <w:jc w:val="both"/>
        <w:rPr>
          <w:lang w:val="en-US"/>
        </w:rPr>
      </w:pPr>
      <w:r>
        <w:rPr>
          <w:lang w:val="en-US"/>
        </w:rPr>
        <w:t>Dickson</w:t>
      </w:r>
      <w:sdt>
        <w:sdtPr>
          <w:rPr>
            <w:lang w:val="en-US"/>
          </w:rPr>
          <w:id w:val="-1024556390"/>
          <w:citation/>
        </w:sdtPr>
        <w:sdtEndPr/>
        <w:sdtContent>
          <w:r w:rsidR="00397C4C">
            <w:rPr>
              <w:lang w:val="en-US"/>
            </w:rPr>
            <w:fldChar w:fldCharType="begin"/>
          </w:r>
          <w:r w:rsidR="00397C4C">
            <w:rPr>
              <w:lang w:val="en-US"/>
            </w:rPr>
            <w:instrText xml:space="preserve">CITATION Dic81 \n  \t  \l 1033 </w:instrText>
          </w:r>
          <w:r w:rsidR="00397C4C">
            <w:rPr>
              <w:lang w:val="en-US"/>
            </w:rPr>
            <w:fldChar w:fldCharType="separate"/>
          </w:r>
          <w:r w:rsidR="002C23B4">
            <w:rPr>
              <w:noProof/>
              <w:lang w:val="en-US"/>
            </w:rPr>
            <w:t xml:space="preserve"> (1981)</w:t>
          </w:r>
          <w:r w:rsidR="00397C4C">
            <w:rPr>
              <w:lang w:val="en-US"/>
            </w:rPr>
            <w:fldChar w:fldCharType="end"/>
          </w:r>
        </w:sdtContent>
      </w:sdt>
      <w:r w:rsidR="00397C4C">
        <w:rPr>
          <w:lang w:val="en-US"/>
        </w:rPr>
        <w:t xml:space="preserve"> </w:t>
      </w:r>
      <w:r>
        <w:rPr>
          <w:lang w:val="en-US"/>
        </w:rPr>
        <w:t xml:space="preserve">confirms the notion that the </w:t>
      </w:r>
      <w:r w:rsidR="001812FE">
        <w:rPr>
          <w:lang w:val="en-US"/>
        </w:rPr>
        <w:t>interpretation of a risky situation</w:t>
      </w:r>
      <w:r>
        <w:rPr>
          <w:lang w:val="en-US"/>
        </w:rPr>
        <w:t xml:space="preserve"> influences decision behavior. He discovered that risk aversion was more prominent when the questions were framed in terms of losses rather than gains. Croson and Gneezy</w:t>
      </w:r>
      <w:sdt>
        <w:sdtPr>
          <w:rPr>
            <w:lang w:val="en-US"/>
          </w:rPr>
          <w:id w:val="967939332"/>
          <w:citation/>
        </w:sdtPr>
        <w:sdtEndPr/>
        <w:sdtContent>
          <w:r w:rsidR="00397C4C">
            <w:rPr>
              <w:lang w:val="en-US"/>
            </w:rPr>
            <w:fldChar w:fldCharType="begin"/>
          </w:r>
          <w:r w:rsidR="00397C4C">
            <w:rPr>
              <w:lang w:val="en-US"/>
            </w:rPr>
            <w:instrText xml:space="preserve">CITATION Cro09 \n  \t  \l 1033 </w:instrText>
          </w:r>
          <w:r w:rsidR="00397C4C">
            <w:rPr>
              <w:lang w:val="en-US"/>
            </w:rPr>
            <w:fldChar w:fldCharType="separate"/>
          </w:r>
          <w:r w:rsidR="002C23B4">
            <w:rPr>
              <w:noProof/>
              <w:lang w:val="en-US"/>
            </w:rPr>
            <w:t xml:space="preserve"> (2009)</w:t>
          </w:r>
          <w:r w:rsidR="00397C4C">
            <w:rPr>
              <w:lang w:val="en-US"/>
            </w:rPr>
            <w:fldChar w:fldCharType="end"/>
          </w:r>
        </w:sdtContent>
      </w:sdt>
      <w:r w:rsidR="00397C4C">
        <w:rPr>
          <w:lang w:val="en-US"/>
        </w:rPr>
        <w:t xml:space="preserve"> </w:t>
      </w:r>
      <w:r>
        <w:rPr>
          <w:lang w:val="en-US"/>
        </w:rPr>
        <w:t>take that hypothesis a step further and suggest that males are more likely to consider a risky situation a challenge while females will consider it a threat.</w:t>
      </w:r>
      <w:r w:rsidR="00662936">
        <w:rPr>
          <w:lang w:val="en-US"/>
        </w:rPr>
        <w:t xml:space="preserve"> This results in different behavior.</w:t>
      </w:r>
    </w:p>
    <w:p w:rsidR="004226BA" w:rsidRPr="004C4045" w:rsidRDefault="004226BA" w:rsidP="00EA7457">
      <w:pPr>
        <w:pStyle w:val="Heading3"/>
        <w:rPr>
          <w:rFonts w:asciiTheme="minorHAnsi" w:eastAsia="Times New Roman" w:hAnsiTheme="minorHAnsi" w:cstheme="minorHAnsi"/>
          <w:b/>
          <w:color w:val="000000" w:themeColor="text1"/>
          <w:lang w:val="en-US" w:eastAsia="nl-NL"/>
        </w:rPr>
      </w:pPr>
      <w:bookmarkStart w:id="9" w:name="_Toc422695278"/>
      <w:r w:rsidRPr="004C4045">
        <w:rPr>
          <w:rFonts w:asciiTheme="minorHAnsi" w:eastAsia="Times New Roman" w:hAnsiTheme="minorHAnsi" w:cstheme="minorHAnsi"/>
          <w:b/>
          <w:color w:val="000000" w:themeColor="text1"/>
          <w:lang w:val="en-US" w:eastAsia="nl-NL"/>
        </w:rPr>
        <w:lastRenderedPageBreak/>
        <w:t>1.3.2 Overconfidence</w:t>
      </w:r>
      <w:bookmarkEnd w:id="9"/>
    </w:p>
    <w:p w:rsidR="004226BA" w:rsidRPr="00342666" w:rsidRDefault="004226BA" w:rsidP="00EA7457">
      <w:pPr>
        <w:spacing w:before="240" w:line="360" w:lineRule="auto"/>
        <w:jc w:val="both"/>
        <w:rPr>
          <w:i/>
          <w:lang w:val="en-US"/>
        </w:rPr>
      </w:pPr>
      <w:r>
        <w:rPr>
          <w:lang w:val="en-US"/>
        </w:rPr>
        <w:t xml:space="preserve">Another aspect that influences </w:t>
      </w:r>
      <w:r w:rsidR="00927B2E">
        <w:rPr>
          <w:lang w:val="en-US"/>
        </w:rPr>
        <w:t xml:space="preserve">the </w:t>
      </w:r>
      <w:r>
        <w:rPr>
          <w:lang w:val="en-US"/>
        </w:rPr>
        <w:t>preferences of genders relates to confidence. Croson and Gneezy</w:t>
      </w:r>
      <w:sdt>
        <w:sdtPr>
          <w:rPr>
            <w:lang w:val="en-US"/>
          </w:rPr>
          <w:id w:val="-1983764946"/>
          <w:citation/>
        </w:sdtPr>
        <w:sdtEndPr/>
        <w:sdtContent>
          <w:r w:rsidR="00934FD5">
            <w:rPr>
              <w:lang w:val="en-US"/>
            </w:rPr>
            <w:fldChar w:fldCharType="begin"/>
          </w:r>
          <w:r w:rsidR="00934FD5">
            <w:rPr>
              <w:lang w:val="en-US"/>
            </w:rPr>
            <w:instrText xml:space="preserve">CITATION Cro09 \n  \t  \l 1033 </w:instrText>
          </w:r>
          <w:r w:rsidR="00934FD5">
            <w:rPr>
              <w:lang w:val="en-US"/>
            </w:rPr>
            <w:fldChar w:fldCharType="separate"/>
          </w:r>
          <w:r w:rsidR="002C23B4">
            <w:rPr>
              <w:noProof/>
              <w:lang w:val="en-US"/>
            </w:rPr>
            <w:t xml:space="preserve"> (2009)</w:t>
          </w:r>
          <w:r w:rsidR="00934FD5">
            <w:rPr>
              <w:lang w:val="en-US"/>
            </w:rPr>
            <w:fldChar w:fldCharType="end"/>
          </w:r>
        </w:sdtContent>
      </w:sdt>
      <w:r w:rsidR="00934FD5">
        <w:rPr>
          <w:lang w:val="en-US"/>
        </w:rPr>
        <w:t xml:space="preserve"> </w:t>
      </w:r>
      <w:r>
        <w:rPr>
          <w:lang w:val="en-US"/>
        </w:rPr>
        <w:t xml:space="preserve">state that men are more often overconfident in their success in ambiguous situations </w:t>
      </w:r>
      <w:r w:rsidR="00927B2E">
        <w:rPr>
          <w:lang w:val="en-US"/>
        </w:rPr>
        <w:t>compared to</w:t>
      </w:r>
      <w:r>
        <w:rPr>
          <w:lang w:val="en-US"/>
        </w:rPr>
        <w:t xml:space="preserve"> women. They </w:t>
      </w:r>
      <w:r w:rsidR="00C50B03">
        <w:rPr>
          <w:lang w:val="en-US"/>
        </w:rPr>
        <w:t xml:space="preserve">also </w:t>
      </w:r>
      <w:r>
        <w:rPr>
          <w:lang w:val="en-US"/>
        </w:rPr>
        <w:t>found that women were less confident in their investment decisions than men. According to Niederle and Vesterlund</w:t>
      </w:r>
      <w:sdt>
        <w:sdtPr>
          <w:rPr>
            <w:lang w:val="en-US"/>
          </w:rPr>
          <w:id w:val="903104161"/>
          <w:citation/>
        </w:sdtPr>
        <w:sdtEndPr/>
        <w:sdtContent>
          <w:r w:rsidR="00934FD5">
            <w:rPr>
              <w:lang w:val="en-US"/>
            </w:rPr>
            <w:fldChar w:fldCharType="begin"/>
          </w:r>
          <w:r w:rsidR="00934FD5">
            <w:rPr>
              <w:lang w:val="en-US"/>
            </w:rPr>
            <w:instrText xml:space="preserve">CITATION Nie07 \n  \t  \l 1033 </w:instrText>
          </w:r>
          <w:r w:rsidR="00934FD5">
            <w:rPr>
              <w:lang w:val="en-US"/>
            </w:rPr>
            <w:fldChar w:fldCharType="separate"/>
          </w:r>
          <w:r w:rsidR="002C23B4">
            <w:rPr>
              <w:noProof/>
              <w:lang w:val="en-US"/>
            </w:rPr>
            <w:t xml:space="preserve"> (2007)</w:t>
          </w:r>
          <w:r w:rsidR="00934FD5">
            <w:rPr>
              <w:lang w:val="en-US"/>
            </w:rPr>
            <w:fldChar w:fldCharType="end"/>
          </w:r>
        </w:sdtContent>
      </w:sdt>
      <w:r>
        <w:rPr>
          <w:lang w:val="en-US"/>
        </w:rPr>
        <w:t>, overconfidence in their performance is common</w:t>
      </w:r>
      <w:r w:rsidR="00CF2E73">
        <w:rPr>
          <w:lang w:val="en-US"/>
        </w:rPr>
        <w:t xml:space="preserve"> </w:t>
      </w:r>
      <w:r>
        <w:rPr>
          <w:lang w:val="en-US"/>
        </w:rPr>
        <w:t xml:space="preserve">among men. Men are significantly more overconfident </w:t>
      </w:r>
      <w:r w:rsidR="002C373C">
        <w:rPr>
          <w:lang w:val="en-US"/>
        </w:rPr>
        <w:t>in</w:t>
      </w:r>
      <w:r>
        <w:rPr>
          <w:lang w:val="en-US"/>
        </w:rPr>
        <w:t xml:space="preserve"> their performance than women. Such overconfidence can lead to overestimation of the odds to win a bet and will make it more likely for</w:t>
      </w:r>
      <w:r w:rsidR="00897A74">
        <w:rPr>
          <w:lang w:val="en-US"/>
        </w:rPr>
        <w:t xml:space="preserve"> men to accept risk than women.</w:t>
      </w:r>
    </w:p>
    <w:p w:rsidR="004226BA" w:rsidRPr="004C4045" w:rsidRDefault="004226BA" w:rsidP="00EA7457">
      <w:pPr>
        <w:pStyle w:val="Heading3"/>
        <w:rPr>
          <w:rFonts w:asciiTheme="minorHAnsi" w:eastAsia="Times New Roman" w:hAnsiTheme="minorHAnsi" w:cstheme="minorHAnsi"/>
          <w:b/>
          <w:color w:val="000000" w:themeColor="text1"/>
          <w:lang w:val="en-US" w:eastAsia="nl-NL"/>
        </w:rPr>
      </w:pPr>
      <w:bookmarkStart w:id="10" w:name="_Toc422695279"/>
      <w:r w:rsidRPr="004C4045">
        <w:rPr>
          <w:rFonts w:asciiTheme="minorHAnsi" w:eastAsia="Times New Roman" w:hAnsiTheme="minorHAnsi" w:cstheme="minorHAnsi"/>
          <w:b/>
          <w:color w:val="000000" w:themeColor="text1"/>
          <w:lang w:val="en-US" w:eastAsia="nl-NL"/>
        </w:rPr>
        <w:t>1.3.3 Emotion</w:t>
      </w:r>
      <w:bookmarkEnd w:id="10"/>
    </w:p>
    <w:p w:rsidR="004226BA" w:rsidRPr="00D25FDB" w:rsidRDefault="004226BA" w:rsidP="00EA7457">
      <w:pPr>
        <w:spacing w:before="240" w:line="360" w:lineRule="auto"/>
        <w:jc w:val="both"/>
        <w:rPr>
          <w:lang w:val="en-US"/>
        </w:rPr>
      </w:pPr>
      <w:r>
        <w:rPr>
          <w:lang w:val="en-US"/>
        </w:rPr>
        <w:t xml:space="preserve">The last aspect that influences </w:t>
      </w:r>
      <w:r w:rsidR="003B1FF2">
        <w:rPr>
          <w:lang w:val="en-US"/>
        </w:rPr>
        <w:t xml:space="preserve">the </w:t>
      </w:r>
      <w:r>
        <w:rPr>
          <w:lang w:val="en-US"/>
        </w:rPr>
        <w:t>preferences of genders has to do with the difference in emotional reactions to risky situations. Croson and Gneezy</w:t>
      </w:r>
      <w:sdt>
        <w:sdtPr>
          <w:rPr>
            <w:lang w:val="en-US"/>
          </w:rPr>
          <w:id w:val="1156727429"/>
          <w:citation/>
        </w:sdtPr>
        <w:sdtEndPr/>
        <w:sdtContent>
          <w:r w:rsidR="00897A74">
            <w:rPr>
              <w:lang w:val="en-US"/>
            </w:rPr>
            <w:fldChar w:fldCharType="begin"/>
          </w:r>
          <w:r w:rsidR="00897A74">
            <w:rPr>
              <w:lang w:val="en-US"/>
            </w:rPr>
            <w:instrText xml:space="preserve">CITATION Cro09 \n  \t  \l 1033 </w:instrText>
          </w:r>
          <w:r w:rsidR="00897A74">
            <w:rPr>
              <w:lang w:val="en-US"/>
            </w:rPr>
            <w:fldChar w:fldCharType="separate"/>
          </w:r>
          <w:r w:rsidR="002C23B4">
            <w:rPr>
              <w:noProof/>
              <w:lang w:val="en-US"/>
            </w:rPr>
            <w:t xml:space="preserve"> (2009)</w:t>
          </w:r>
          <w:r w:rsidR="00897A74">
            <w:rPr>
              <w:lang w:val="en-US"/>
            </w:rPr>
            <w:fldChar w:fldCharType="end"/>
          </w:r>
        </w:sdtContent>
      </w:sdt>
      <w:r w:rsidR="00897A74">
        <w:rPr>
          <w:lang w:val="en-US"/>
        </w:rPr>
        <w:t xml:space="preserve"> </w:t>
      </w:r>
      <w:r>
        <w:rPr>
          <w:lang w:val="en-US"/>
        </w:rPr>
        <w:t>state that women experience more fear and nervousness when anticipating a negative outcome. This could lead to more risk aversion. Another significant difference between men and women is that women tend to experience fear in situations where men tend to experience anger. Lerner, Gonzalez, Small and Fischhoff</w:t>
      </w:r>
      <w:sdt>
        <w:sdtPr>
          <w:rPr>
            <w:lang w:val="en-US"/>
          </w:rPr>
          <w:id w:val="1538862309"/>
          <w:citation/>
        </w:sdtPr>
        <w:sdtEndPr/>
        <w:sdtContent>
          <w:r w:rsidR="00B1020A">
            <w:rPr>
              <w:lang w:val="en-US"/>
            </w:rPr>
            <w:fldChar w:fldCharType="begin"/>
          </w:r>
          <w:r w:rsidR="00B1020A">
            <w:rPr>
              <w:lang w:val="en-US"/>
            </w:rPr>
            <w:instrText xml:space="preserve">CITATION Ler03 \n  \t  \l 1033 </w:instrText>
          </w:r>
          <w:r w:rsidR="00B1020A">
            <w:rPr>
              <w:lang w:val="en-US"/>
            </w:rPr>
            <w:fldChar w:fldCharType="separate"/>
          </w:r>
          <w:r w:rsidR="002C23B4">
            <w:rPr>
              <w:noProof/>
              <w:lang w:val="en-US"/>
            </w:rPr>
            <w:t xml:space="preserve"> (2003)</w:t>
          </w:r>
          <w:r w:rsidR="00B1020A">
            <w:rPr>
              <w:lang w:val="en-US"/>
            </w:rPr>
            <w:fldChar w:fldCharType="end"/>
          </w:r>
        </w:sdtContent>
      </w:sdt>
      <w:r w:rsidR="00B1020A">
        <w:rPr>
          <w:lang w:val="en-US"/>
        </w:rPr>
        <w:t xml:space="preserve"> </w:t>
      </w:r>
      <w:r>
        <w:rPr>
          <w:lang w:val="en-US"/>
        </w:rPr>
        <w:t>found that anger influences the subjective interp</w:t>
      </w:r>
      <w:r w:rsidR="00B27937">
        <w:rPr>
          <w:lang w:val="en-US"/>
        </w:rPr>
        <w:t>retation of odds. They conclude</w:t>
      </w:r>
      <w:r>
        <w:rPr>
          <w:lang w:val="en-US"/>
        </w:rPr>
        <w:t xml:space="preserve"> that odds were considered less risky when subjects were angry compared to subjects that were in a fearful state of mind.</w:t>
      </w:r>
    </w:p>
    <w:p w:rsidR="004226BA" w:rsidRPr="004C4045" w:rsidRDefault="004226BA" w:rsidP="00EA7457">
      <w:pPr>
        <w:pStyle w:val="Heading3"/>
        <w:rPr>
          <w:rFonts w:asciiTheme="minorHAnsi" w:eastAsia="Times New Roman" w:hAnsiTheme="minorHAnsi" w:cstheme="minorHAnsi"/>
          <w:b/>
          <w:color w:val="000000" w:themeColor="text1"/>
          <w:lang w:val="en-US" w:eastAsia="nl-NL"/>
        </w:rPr>
      </w:pPr>
      <w:bookmarkStart w:id="11" w:name="_Toc422695280"/>
      <w:r w:rsidRPr="004C4045">
        <w:rPr>
          <w:rFonts w:asciiTheme="minorHAnsi" w:eastAsia="Times New Roman" w:hAnsiTheme="minorHAnsi" w:cstheme="minorHAnsi"/>
          <w:b/>
          <w:color w:val="000000" w:themeColor="text1"/>
          <w:lang w:val="en-US" w:eastAsia="nl-NL"/>
        </w:rPr>
        <w:lastRenderedPageBreak/>
        <w:t>1.3.4 Exceptions</w:t>
      </w:r>
      <w:bookmarkEnd w:id="11"/>
    </w:p>
    <w:p w:rsidR="004226BA" w:rsidRDefault="004226BA" w:rsidP="00EA7457">
      <w:pPr>
        <w:spacing w:before="240" w:line="360" w:lineRule="auto"/>
        <w:jc w:val="both"/>
        <w:rPr>
          <w:lang w:val="en-US"/>
        </w:rPr>
      </w:pPr>
      <w:r>
        <w:rPr>
          <w:lang w:val="en-US"/>
        </w:rPr>
        <w:t xml:space="preserve">Although the general consensus in the literature is that women of the general population are more risk averse than men, quite a few papers </w:t>
      </w:r>
      <w:r w:rsidR="00B27937">
        <w:rPr>
          <w:lang w:val="en-US"/>
        </w:rPr>
        <w:t>highlight</w:t>
      </w:r>
      <w:r>
        <w:rPr>
          <w:lang w:val="en-US"/>
        </w:rPr>
        <w:t xml:space="preserve"> an exception to this rule. The hypothesis that women are more risk averse than men does not apply to business majors and managers in the field of finance. These findings are supported by the conclusion of Schubert et al</w:t>
      </w:r>
      <w:r w:rsidR="00003D5B">
        <w:rPr>
          <w:lang w:val="en-US"/>
        </w:rPr>
        <w:t>.</w:t>
      </w:r>
      <w:sdt>
        <w:sdtPr>
          <w:rPr>
            <w:lang w:val="en-US"/>
          </w:rPr>
          <w:id w:val="-2099086049"/>
          <w:citation/>
        </w:sdtPr>
        <w:sdtEndPr/>
        <w:sdtContent>
          <w:r w:rsidR="00003D5B">
            <w:rPr>
              <w:lang w:val="en-US"/>
            </w:rPr>
            <w:fldChar w:fldCharType="begin"/>
          </w:r>
          <w:r w:rsidR="00003D5B">
            <w:rPr>
              <w:lang w:val="en-US"/>
            </w:rPr>
            <w:instrText xml:space="preserve">CITATION Sch99 \n  \t  \l 1033 </w:instrText>
          </w:r>
          <w:r w:rsidR="00003D5B">
            <w:rPr>
              <w:lang w:val="en-US"/>
            </w:rPr>
            <w:fldChar w:fldCharType="separate"/>
          </w:r>
          <w:r w:rsidR="002C23B4">
            <w:rPr>
              <w:noProof/>
              <w:lang w:val="en-US"/>
            </w:rPr>
            <w:t xml:space="preserve"> (1999)</w:t>
          </w:r>
          <w:r w:rsidR="00003D5B">
            <w:rPr>
              <w:lang w:val="en-US"/>
            </w:rPr>
            <w:fldChar w:fldCharType="end"/>
          </w:r>
        </w:sdtContent>
      </w:sdt>
      <w:r w:rsidR="00B64C28">
        <w:rPr>
          <w:lang w:val="en-US"/>
        </w:rPr>
        <w:t>,</w:t>
      </w:r>
      <w:r>
        <w:rPr>
          <w:lang w:val="en-US"/>
        </w:rPr>
        <w:t xml:space="preserve"> who used business undergraduates to perform their study and found no apparent differences in risk preferences between both genders. Powell and Ansic</w:t>
      </w:r>
      <w:sdt>
        <w:sdtPr>
          <w:rPr>
            <w:lang w:val="en-US"/>
          </w:rPr>
          <w:id w:val="-1635941229"/>
          <w:citation/>
        </w:sdtPr>
        <w:sdtEndPr/>
        <w:sdtContent>
          <w:r w:rsidR="001951C1">
            <w:rPr>
              <w:lang w:val="en-US"/>
            </w:rPr>
            <w:fldChar w:fldCharType="begin"/>
          </w:r>
          <w:r w:rsidR="001951C1">
            <w:rPr>
              <w:lang w:val="en-US"/>
            </w:rPr>
            <w:instrText xml:space="preserve">CITATION Pow97 \n  \t  \l 1033 </w:instrText>
          </w:r>
          <w:r w:rsidR="001951C1">
            <w:rPr>
              <w:lang w:val="en-US"/>
            </w:rPr>
            <w:fldChar w:fldCharType="separate"/>
          </w:r>
          <w:r w:rsidR="002C23B4">
            <w:rPr>
              <w:noProof/>
              <w:lang w:val="en-US"/>
            </w:rPr>
            <w:t xml:space="preserve"> (1997)</w:t>
          </w:r>
          <w:r w:rsidR="001951C1">
            <w:rPr>
              <w:lang w:val="en-US"/>
            </w:rPr>
            <w:fldChar w:fldCharType="end"/>
          </w:r>
        </w:sdtContent>
      </w:sdt>
      <w:r>
        <w:rPr>
          <w:lang w:val="en-US"/>
        </w:rPr>
        <w:t xml:space="preserve"> and Croson and Gneezy</w:t>
      </w:r>
      <w:sdt>
        <w:sdtPr>
          <w:rPr>
            <w:lang w:val="en-US"/>
          </w:rPr>
          <w:id w:val="631672099"/>
          <w:citation/>
        </w:sdtPr>
        <w:sdtEndPr/>
        <w:sdtContent>
          <w:r w:rsidR="001951C1">
            <w:rPr>
              <w:lang w:val="en-US"/>
            </w:rPr>
            <w:fldChar w:fldCharType="begin"/>
          </w:r>
          <w:r w:rsidR="001951C1">
            <w:rPr>
              <w:lang w:val="en-US"/>
            </w:rPr>
            <w:instrText xml:space="preserve">CITATION Cro09 \n  \t  \l 1033 </w:instrText>
          </w:r>
          <w:r w:rsidR="001951C1">
            <w:rPr>
              <w:lang w:val="en-US"/>
            </w:rPr>
            <w:fldChar w:fldCharType="separate"/>
          </w:r>
          <w:r w:rsidR="002C23B4">
            <w:rPr>
              <w:noProof/>
              <w:lang w:val="en-US"/>
            </w:rPr>
            <w:t xml:space="preserve"> (2009)</w:t>
          </w:r>
          <w:r w:rsidR="001951C1">
            <w:rPr>
              <w:lang w:val="en-US"/>
            </w:rPr>
            <w:fldChar w:fldCharType="end"/>
          </w:r>
        </w:sdtContent>
      </w:sdt>
      <w:r w:rsidR="001951C1">
        <w:rPr>
          <w:lang w:val="en-US"/>
        </w:rPr>
        <w:t xml:space="preserve"> </w:t>
      </w:r>
      <w:r w:rsidR="008F3D68">
        <w:rPr>
          <w:lang w:val="en-US"/>
        </w:rPr>
        <w:t>reached</w:t>
      </w:r>
      <w:r>
        <w:rPr>
          <w:lang w:val="en-US"/>
        </w:rPr>
        <w:t xml:space="preserve"> similar conclusions.</w:t>
      </w:r>
    </w:p>
    <w:p w:rsidR="004226BA" w:rsidRDefault="004226BA" w:rsidP="004226BA">
      <w:pPr>
        <w:spacing w:line="360" w:lineRule="auto"/>
        <w:jc w:val="both"/>
        <w:rPr>
          <w:lang w:val="en-US"/>
        </w:rPr>
      </w:pPr>
      <w:r>
        <w:rPr>
          <w:lang w:val="en-US"/>
        </w:rPr>
        <w:t>There are two possible explanations for this exception. First is that these women may have learned through education and experience to rationalize losses which leads to less risk aversion. The second explanation is that there is an apparent degree of self-selection which ensures that women with similar preferences to men work in financial management positions. Sapienza, Zingales and Maestripieri</w:t>
      </w:r>
      <w:sdt>
        <w:sdtPr>
          <w:rPr>
            <w:lang w:val="en-US"/>
          </w:rPr>
          <w:id w:val="-620218160"/>
          <w:citation/>
        </w:sdtPr>
        <w:sdtEndPr/>
        <w:sdtContent>
          <w:r w:rsidR="008F022E">
            <w:rPr>
              <w:lang w:val="en-US"/>
            </w:rPr>
            <w:fldChar w:fldCharType="begin"/>
          </w:r>
          <w:r w:rsidR="008F022E">
            <w:rPr>
              <w:lang w:val="en-US"/>
            </w:rPr>
            <w:instrText xml:space="preserve">CITATION Sap09 \n  \t  \l 1033 </w:instrText>
          </w:r>
          <w:r w:rsidR="008F022E">
            <w:rPr>
              <w:lang w:val="en-US"/>
            </w:rPr>
            <w:fldChar w:fldCharType="separate"/>
          </w:r>
          <w:r w:rsidR="002C23B4">
            <w:rPr>
              <w:noProof/>
              <w:lang w:val="en-US"/>
            </w:rPr>
            <w:t xml:space="preserve"> (2009)</w:t>
          </w:r>
          <w:r w:rsidR="008F022E">
            <w:rPr>
              <w:lang w:val="en-US"/>
            </w:rPr>
            <w:fldChar w:fldCharType="end"/>
          </w:r>
        </w:sdtContent>
      </w:sdt>
      <w:r w:rsidR="008F022E">
        <w:rPr>
          <w:lang w:val="en-US"/>
        </w:rPr>
        <w:t xml:space="preserve"> </w:t>
      </w:r>
      <w:r>
        <w:rPr>
          <w:lang w:val="en-US"/>
        </w:rPr>
        <w:t xml:space="preserve">state that of </w:t>
      </w:r>
      <w:r w:rsidR="00E6284C">
        <w:rPr>
          <w:lang w:val="en-US"/>
        </w:rPr>
        <w:t xml:space="preserve">out </w:t>
      </w:r>
      <w:r>
        <w:rPr>
          <w:lang w:val="en-US"/>
        </w:rPr>
        <w:t xml:space="preserve">female business majors </w:t>
      </w:r>
      <w:r w:rsidR="00E6284C">
        <w:rPr>
          <w:lang w:val="en-US"/>
        </w:rPr>
        <w:t xml:space="preserve">36% </w:t>
      </w:r>
      <w:r>
        <w:rPr>
          <w:lang w:val="en-US"/>
        </w:rPr>
        <w:t>chose risky careers while 57% of the men chose risky careers.</w:t>
      </w:r>
    </w:p>
    <w:p w:rsidR="004226BA" w:rsidRPr="004C4045" w:rsidRDefault="004226BA" w:rsidP="00EA7457">
      <w:pPr>
        <w:pStyle w:val="Heading3"/>
        <w:rPr>
          <w:rFonts w:asciiTheme="minorHAnsi" w:eastAsia="Times New Roman" w:hAnsiTheme="minorHAnsi" w:cstheme="minorHAnsi"/>
          <w:b/>
          <w:color w:val="000000" w:themeColor="text1"/>
          <w:lang w:val="en-US" w:eastAsia="nl-NL"/>
        </w:rPr>
      </w:pPr>
      <w:bookmarkStart w:id="12" w:name="_Toc422695281"/>
      <w:r w:rsidRPr="004C4045">
        <w:rPr>
          <w:rFonts w:asciiTheme="minorHAnsi" w:eastAsia="Times New Roman" w:hAnsiTheme="minorHAnsi" w:cstheme="minorHAnsi"/>
          <w:b/>
          <w:color w:val="000000" w:themeColor="text1"/>
          <w:lang w:val="en-US" w:eastAsia="nl-NL"/>
        </w:rPr>
        <w:t>1.3.5 Conclusion</w:t>
      </w:r>
      <w:bookmarkEnd w:id="12"/>
    </w:p>
    <w:p w:rsidR="004226BA" w:rsidRDefault="004226BA" w:rsidP="00EA7457">
      <w:pPr>
        <w:spacing w:before="240" w:line="360" w:lineRule="auto"/>
        <w:jc w:val="both"/>
        <w:rPr>
          <w:lang w:val="en-US"/>
        </w:rPr>
      </w:pPr>
      <w:r>
        <w:rPr>
          <w:lang w:val="en-US"/>
        </w:rPr>
        <w:t xml:space="preserve">After examination of the existing literature, it would seem that women are in general more risk averse than men. There are several factors that contribute to this difference in preferences. Firstly, men and women respond differently </w:t>
      </w:r>
      <w:r w:rsidR="00FA7F1B">
        <w:rPr>
          <w:lang w:val="en-US"/>
        </w:rPr>
        <w:t>to risky situations</w:t>
      </w:r>
      <w:r>
        <w:rPr>
          <w:lang w:val="en-US"/>
        </w:rPr>
        <w:t xml:space="preserve">. </w:t>
      </w:r>
      <w:r>
        <w:rPr>
          <w:lang w:val="en-US"/>
        </w:rPr>
        <w:lastRenderedPageBreak/>
        <w:t xml:space="preserve">Secondly, men are more confident in their relative performance than women, which causes them to overvalue their odds to win a bet. And thirdly, men and women experience different emotional reactions to losses and wins. </w:t>
      </w:r>
    </w:p>
    <w:p w:rsidR="004226BA" w:rsidRDefault="004226BA" w:rsidP="004226BA">
      <w:pPr>
        <w:spacing w:line="360" w:lineRule="auto"/>
        <w:jc w:val="both"/>
        <w:rPr>
          <w:lang w:val="en-US"/>
        </w:rPr>
      </w:pPr>
      <w:r>
        <w:rPr>
          <w:lang w:val="en-US"/>
        </w:rPr>
        <w:t xml:space="preserve">An important exception to the fact that women are more risk averse than men concerns business majors and financial managers. Since the discrepancy in preferences between the general population and financial managers has been recently discovered, it is possible that older studies on the general population were wrongly applied to financial managers. This could have led to the forming of stereotypical beliefs that women are less competent managers than men. </w:t>
      </w:r>
    </w:p>
    <w:p w:rsidR="007D661B" w:rsidRDefault="004226BA" w:rsidP="007D661B">
      <w:pPr>
        <w:spacing w:line="360" w:lineRule="auto"/>
        <w:jc w:val="both"/>
        <w:rPr>
          <w:lang w:val="en-US"/>
        </w:rPr>
      </w:pPr>
      <w:r>
        <w:rPr>
          <w:lang w:val="en-US"/>
        </w:rPr>
        <w:t>Although this exception is not particularly relevant for this study, since the sample is representative of the general population, it did warrant inclusion as a possible further research direction.</w:t>
      </w:r>
    </w:p>
    <w:p w:rsidR="00246AD5" w:rsidRPr="0065115A" w:rsidRDefault="00246AD5" w:rsidP="0065115A">
      <w:pPr>
        <w:pStyle w:val="Heading2"/>
        <w:rPr>
          <w:rFonts w:asciiTheme="minorHAnsi" w:hAnsiTheme="minorHAnsi" w:cstheme="minorHAnsi"/>
          <w:color w:val="000000" w:themeColor="text1"/>
          <w:sz w:val="28"/>
          <w:lang w:val="en-US"/>
        </w:rPr>
      </w:pPr>
      <w:bookmarkStart w:id="13" w:name="_Toc422695282"/>
      <w:r w:rsidRPr="0065115A">
        <w:rPr>
          <w:rFonts w:asciiTheme="minorHAnsi" w:hAnsiTheme="minorHAnsi" w:cstheme="minorHAnsi"/>
          <w:color w:val="000000" w:themeColor="text1"/>
          <w:sz w:val="28"/>
          <w:lang w:val="en-US"/>
        </w:rPr>
        <w:t>1.4 Gender Differences in Stock Market Participation</w:t>
      </w:r>
      <w:bookmarkEnd w:id="13"/>
    </w:p>
    <w:p w:rsidR="007D661B" w:rsidRPr="00A204C4" w:rsidRDefault="00246AD5" w:rsidP="00A204C4">
      <w:pPr>
        <w:spacing w:before="240" w:line="360" w:lineRule="auto"/>
        <w:jc w:val="both"/>
        <w:rPr>
          <w:rFonts w:cstheme="minorHAnsi"/>
          <w:lang w:val="en-US"/>
        </w:rPr>
      </w:pPr>
      <w:r w:rsidRPr="00A204C4">
        <w:rPr>
          <w:rFonts w:cstheme="minorHAnsi"/>
          <w:lang w:val="en-US"/>
        </w:rPr>
        <w:t xml:space="preserve">Van Rooij, Lusardi and Alessie </w:t>
      </w:r>
      <w:sdt>
        <w:sdtPr>
          <w:rPr>
            <w:rFonts w:cstheme="minorHAnsi"/>
            <w:lang w:val="en-US"/>
          </w:rPr>
          <w:id w:val="-1305146481"/>
          <w:citation/>
        </w:sdtPr>
        <w:sdtEndPr/>
        <w:sdtContent>
          <w:r w:rsidR="00155B3A">
            <w:rPr>
              <w:rFonts w:cstheme="minorHAnsi"/>
              <w:lang w:val="en-US"/>
            </w:rPr>
            <w:fldChar w:fldCharType="begin"/>
          </w:r>
          <w:r w:rsidR="00155B3A">
            <w:rPr>
              <w:rFonts w:cstheme="minorHAnsi"/>
              <w:lang w:val="en-US"/>
            </w:rPr>
            <w:instrText xml:space="preserve">CITATION van07 \n  \t  \l 1033 </w:instrText>
          </w:r>
          <w:r w:rsidR="00155B3A">
            <w:rPr>
              <w:rFonts w:cstheme="minorHAnsi"/>
              <w:lang w:val="en-US"/>
            </w:rPr>
            <w:fldChar w:fldCharType="separate"/>
          </w:r>
          <w:r w:rsidR="002C23B4" w:rsidRPr="002C23B4">
            <w:rPr>
              <w:rFonts w:cstheme="minorHAnsi"/>
              <w:noProof/>
              <w:lang w:val="en-US"/>
            </w:rPr>
            <w:t>(2007)</w:t>
          </w:r>
          <w:r w:rsidR="00155B3A">
            <w:rPr>
              <w:rFonts w:cstheme="minorHAnsi"/>
              <w:lang w:val="en-US"/>
            </w:rPr>
            <w:fldChar w:fldCharType="end"/>
          </w:r>
        </w:sdtContent>
      </w:sdt>
      <w:r w:rsidR="00687E31" w:rsidRPr="00A204C4">
        <w:rPr>
          <w:rFonts w:cstheme="minorHAnsi"/>
          <w:lang w:val="en-US"/>
        </w:rPr>
        <w:t xml:space="preserve"> </w:t>
      </w:r>
      <w:r w:rsidRPr="00A204C4">
        <w:rPr>
          <w:rFonts w:cstheme="minorHAnsi"/>
          <w:lang w:val="en-US"/>
        </w:rPr>
        <w:t xml:space="preserve">found that women participate significantly less in the stock market. </w:t>
      </w:r>
      <w:r w:rsidR="00B600CD">
        <w:rPr>
          <w:rFonts w:cstheme="minorHAnsi"/>
          <w:lang w:val="en-US"/>
        </w:rPr>
        <w:t>They suggest</w:t>
      </w:r>
      <w:r w:rsidR="00D2667A" w:rsidRPr="00A204C4">
        <w:rPr>
          <w:rFonts w:cstheme="minorHAnsi"/>
          <w:lang w:val="en-US"/>
        </w:rPr>
        <w:t xml:space="preserve"> </w:t>
      </w:r>
      <w:r w:rsidR="00CE4F1A" w:rsidRPr="00A204C4">
        <w:rPr>
          <w:rFonts w:cstheme="minorHAnsi"/>
          <w:lang w:val="en-US"/>
        </w:rPr>
        <w:t xml:space="preserve">lower female financial literacy </w:t>
      </w:r>
      <w:r w:rsidR="00CE4F1A">
        <w:rPr>
          <w:rFonts w:cstheme="minorHAnsi"/>
          <w:lang w:val="en-US"/>
        </w:rPr>
        <w:t>as a plausible</w:t>
      </w:r>
      <w:r w:rsidR="00D2667A" w:rsidRPr="00A204C4">
        <w:rPr>
          <w:rFonts w:cstheme="minorHAnsi"/>
          <w:lang w:val="en-US"/>
        </w:rPr>
        <w:t xml:space="preserve"> cause. </w:t>
      </w:r>
      <w:r w:rsidRPr="00A204C4">
        <w:rPr>
          <w:rFonts w:cstheme="minorHAnsi"/>
          <w:lang w:val="en-US"/>
        </w:rPr>
        <w:t>Almenberg and Dreber</w:t>
      </w:r>
      <w:r w:rsidR="00A204C4">
        <w:rPr>
          <w:rFonts w:cstheme="minorHAnsi"/>
          <w:lang w:val="en-US"/>
        </w:rPr>
        <w:t xml:space="preserve"> </w:t>
      </w:r>
      <w:sdt>
        <w:sdtPr>
          <w:rPr>
            <w:rFonts w:cstheme="minorHAnsi"/>
            <w:lang w:val="en-US"/>
          </w:rPr>
          <w:id w:val="515199606"/>
          <w:citation/>
        </w:sdtPr>
        <w:sdtEndPr/>
        <w:sdtContent>
          <w:r w:rsidR="00A204C4">
            <w:rPr>
              <w:rFonts w:cstheme="minorHAnsi"/>
              <w:lang w:val="en-US"/>
            </w:rPr>
            <w:fldChar w:fldCharType="begin"/>
          </w:r>
          <w:r w:rsidR="00A204C4">
            <w:rPr>
              <w:rFonts w:cstheme="minorHAnsi"/>
              <w:lang w:val="en-US"/>
            </w:rPr>
            <w:instrText xml:space="preserve">CITATION Alm12 \n  \t  \l 1033 </w:instrText>
          </w:r>
          <w:r w:rsidR="00A204C4">
            <w:rPr>
              <w:rFonts w:cstheme="minorHAnsi"/>
              <w:lang w:val="en-US"/>
            </w:rPr>
            <w:fldChar w:fldCharType="separate"/>
          </w:r>
          <w:r w:rsidR="002C23B4" w:rsidRPr="002C23B4">
            <w:rPr>
              <w:rFonts w:cstheme="minorHAnsi"/>
              <w:noProof/>
              <w:lang w:val="en-US"/>
            </w:rPr>
            <w:t>(2012)</w:t>
          </w:r>
          <w:r w:rsidR="00A204C4">
            <w:rPr>
              <w:rFonts w:cstheme="minorHAnsi"/>
              <w:lang w:val="en-US"/>
            </w:rPr>
            <w:fldChar w:fldCharType="end"/>
          </w:r>
        </w:sdtContent>
      </w:sdt>
      <w:r w:rsidRPr="00A204C4">
        <w:rPr>
          <w:rFonts w:cstheme="minorHAnsi"/>
          <w:lang w:val="en-US"/>
        </w:rPr>
        <w:t xml:space="preserve"> </w:t>
      </w:r>
      <w:r w:rsidR="00D2667A" w:rsidRPr="00A204C4">
        <w:rPr>
          <w:rFonts w:cstheme="minorHAnsi"/>
          <w:lang w:val="en-US"/>
        </w:rPr>
        <w:t xml:space="preserve">studied this hypothesis and came to the conclusion that the </w:t>
      </w:r>
      <w:r w:rsidR="00AC2790" w:rsidRPr="00A204C4">
        <w:rPr>
          <w:rFonts w:cstheme="minorHAnsi"/>
          <w:lang w:val="en-US"/>
        </w:rPr>
        <w:t>hypothesis</w:t>
      </w:r>
      <w:r w:rsidR="00D2667A" w:rsidRPr="00A204C4">
        <w:rPr>
          <w:rFonts w:cstheme="minorHAnsi"/>
          <w:lang w:val="en-US"/>
        </w:rPr>
        <w:t xml:space="preserve"> of Van Rooij et al. was correct. </w:t>
      </w:r>
      <w:r w:rsidR="00A204C4" w:rsidRPr="00A204C4">
        <w:rPr>
          <w:rFonts w:cstheme="minorHAnsi"/>
          <w:lang w:val="en-US"/>
        </w:rPr>
        <w:t>Almenberg and Dreber</w:t>
      </w:r>
      <w:r w:rsidR="00C55DFC">
        <w:rPr>
          <w:rFonts w:cstheme="minorHAnsi"/>
          <w:lang w:val="en-US"/>
        </w:rPr>
        <w:t xml:space="preserve"> </w:t>
      </w:r>
      <w:sdt>
        <w:sdtPr>
          <w:rPr>
            <w:rFonts w:cstheme="minorHAnsi"/>
            <w:lang w:val="en-US"/>
          </w:rPr>
          <w:id w:val="-2110649927"/>
          <w:citation/>
        </w:sdtPr>
        <w:sdtEndPr/>
        <w:sdtContent>
          <w:r w:rsidR="00C55DFC">
            <w:rPr>
              <w:rFonts w:cstheme="minorHAnsi"/>
              <w:lang w:val="en-US"/>
            </w:rPr>
            <w:fldChar w:fldCharType="begin"/>
          </w:r>
          <w:r w:rsidR="00C55DFC">
            <w:rPr>
              <w:rFonts w:cstheme="minorHAnsi"/>
              <w:lang w:val="en-US"/>
            </w:rPr>
            <w:instrText xml:space="preserve">CITATION Alm12 \n  \t  \l 1033 </w:instrText>
          </w:r>
          <w:r w:rsidR="00C55DFC">
            <w:rPr>
              <w:rFonts w:cstheme="minorHAnsi"/>
              <w:lang w:val="en-US"/>
            </w:rPr>
            <w:fldChar w:fldCharType="separate"/>
          </w:r>
          <w:r w:rsidR="002C23B4" w:rsidRPr="002C23B4">
            <w:rPr>
              <w:rFonts w:cstheme="minorHAnsi"/>
              <w:noProof/>
              <w:lang w:val="en-US"/>
            </w:rPr>
            <w:t>(2012)</w:t>
          </w:r>
          <w:r w:rsidR="00C55DFC">
            <w:rPr>
              <w:rFonts w:cstheme="minorHAnsi"/>
              <w:lang w:val="en-US"/>
            </w:rPr>
            <w:fldChar w:fldCharType="end"/>
          </w:r>
        </w:sdtContent>
      </w:sdt>
      <w:r w:rsidR="00A204C4" w:rsidRPr="00A204C4">
        <w:rPr>
          <w:rFonts w:cstheme="minorHAnsi"/>
          <w:lang w:val="en-US"/>
        </w:rPr>
        <w:t xml:space="preserve"> found that basic financial literacy can plausibly explain the gender </w:t>
      </w:r>
      <w:r w:rsidR="00DF5610" w:rsidRPr="00A204C4">
        <w:rPr>
          <w:rFonts w:cstheme="minorHAnsi"/>
          <w:lang w:val="en-US"/>
        </w:rPr>
        <w:t xml:space="preserve">difference </w:t>
      </w:r>
      <w:r w:rsidR="00A204C4" w:rsidRPr="00A204C4">
        <w:rPr>
          <w:rFonts w:cstheme="minorHAnsi"/>
          <w:lang w:val="en-US"/>
        </w:rPr>
        <w:t xml:space="preserve">in stock market participation. Particularly striking is that Van Rooij et al. based their research on a sample that is representative of the Dutch population, </w:t>
      </w:r>
      <w:r w:rsidR="00987AA6">
        <w:rPr>
          <w:rFonts w:cstheme="minorHAnsi"/>
          <w:lang w:val="en-US"/>
        </w:rPr>
        <w:t xml:space="preserve">just </w:t>
      </w:r>
      <w:r w:rsidR="00A204C4" w:rsidRPr="00A204C4">
        <w:rPr>
          <w:rFonts w:cstheme="minorHAnsi"/>
          <w:lang w:val="en-US"/>
        </w:rPr>
        <w:t>like Dimmock et al.</w:t>
      </w:r>
    </w:p>
    <w:p w:rsidR="00D641EB" w:rsidRDefault="00D641EB">
      <w:pPr>
        <w:spacing w:after="160" w:line="259" w:lineRule="auto"/>
        <w:rPr>
          <w:rFonts w:cstheme="minorHAnsi"/>
          <w:b/>
          <w:color w:val="000000" w:themeColor="text1"/>
          <w:sz w:val="36"/>
          <w:lang w:val="en-US"/>
        </w:rPr>
      </w:pPr>
      <w:r>
        <w:rPr>
          <w:rFonts w:cstheme="minorHAnsi"/>
          <w:b/>
          <w:color w:val="000000" w:themeColor="text1"/>
          <w:sz w:val="36"/>
          <w:lang w:val="en-US"/>
        </w:rPr>
        <w:lastRenderedPageBreak/>
        <w:br w:type="page"/>
      </w:r>
    </w:p>
    <w:p w:rsidR="004226BA" w:rsidRPr="007D661B" w:rsidRDefault="004C4045" w:rsidP="007D661B">
      <w:pPr>
        <w:spacing w:line="360" w:lineRule="auto"/>
        <w:jc w:val="both"/>
        <w:rPr>
          <w:lang w:val="en-US"/>
        </w:rPr>
      </w:pPr>
      <w:r w:rsidRPr="0099010F">
        <w:rPr>
          <w:rFonts w:cstheme="minorHAnsi"/>
          <w:b/>
          <w:color w:val="000000" w:themeColor="text1"/>
          <w:sz w:val="36"/>
          <w:lang w:val="en-US"/>
        </w:rPr>
        <w:lastRenderedPageBreak/>
        <w:t xml:space="preserve">2 </w:t>
      </w:r>
      <w:r w:rsidR="004226BA" w:rsidRPr="0099010F">
        <w:rPr>
          <w:rFonts w:cstheme="minorHAnsi"/>
          <w:b/>
          <w:color w:val="000000" w:themeColor="text1"/>
          <w:sz w:val="36"/>
          <w:lang w:val="en-US"/>
        </w:rPr>
        <w:t>Hypotheses</w:t>
      </w:r>
    </w:p>
    <w:p w:rsidR="009E5F22" w:rsidRDefault="004226BA" w:rsidP="009E5F22">
      <w:pPr>
        <w:tabs>
          <w:tab w:val="left" w:pos="6285"/>
        </w:tabs>
        <w:spacing w:line="360" w:lineRule="auto"/>
        <w:jc w:val="both"/>
        <w:rPr>
          <w:lang w:val="en-US"/>
        </w:rPr>
      </w:pPr>
      <w:r w:rsidRPr="004226BA">
        <w:rPr>
          <w:lang w:val="en-US"/>
        </w:rPr>
        <w:t>The sample used by Dimmock et al</w:t>
      </w:r>
      <w:r w:rsidR="00C94A34">
        <w:rPr>
          <w:lang w:val="en-US"/>
        </w:rPr>
        <w:t>. (2014)</w:t>
      </w:r>
      <w:r w:rsidRPr="004226BA">
        <w:rPr>
          <w:lang w:val="en-US"/>
        </w:rPr>
        <w:t xml:space="preserve"> is large and representative for a population, which makes it excellent for future research. Since a larger sample includes more variation within the demographic variables, it better reflects a population. This allows generalization of the empirical findings which means that the behavioral characteristics of a population can be studied. In short, the large sample used by Dimmock et al</w:t>
      </w:r>
      <w:r w:rsidR="002F7005">
        <w:rPr>
          <w:lang w:val="en-US"/>
        </w:rPr>
        <w:t>. (2014)</w:t>
      </w:r>
      <w:r w:rsidRPr="004226BA">
        <w:rPr>
          <w:lang w:val="en-US"/>
        </w:rPr>
        <w:t xml:space="preserve"> provides an excellent opportunity to investigate the</w:t>
      </w:r>
      <w:r w:rsidR="00DB3539">
        <w:rPr>
          <w:lang w:val="en-US"/>
        </w:rPr>
        <w:t xml:space="preserve"> Dutch</w:t>
      </w:r>
      <w:r w:rsidRPr="004226BA">
        <w:rPr>
          <w:lang w:val="en-US"/>
        </w:rPr>
        <w:t xml:space="preserve"> population.</w:t>
      </w:r>
    </w:p>
    <w:p w:rsidR="009E5F22" w:rsidRPr="009E5F22" w:rsidRDefault="004226BA" w:rsidP="009E5F22">
      <w:pPr>
        <w:tabs>
          <w:tab w:val="left" w:pos="6285"/>
        </w:tabs>
        <w:spacing w:line="360" w:lineRule="auto"/>
        <w:jc w:val="both"/>
        <w:rPr>
          <w:lang w:val="en-US"/>
        </w:rPr>
      </w:pPr>
      <w:r w:rsidRPr="009E5F22">
        <w:rPr>
          <w:lang w:val="en-US"/>
        </w:rPr>
        <w:t xml:space="preserve">Following from the extended literature, it is logical to suspect differences between genders. </w:t>
      </w:r>
      <w:r w:rsidR="00C34C5E" w:rsidRPr="00CD5E93">
        <w:rPr>
          <w:lang w:val="en-US"/>
        </w:rPr>
        <w:t xml:space="preserve">Most studies find that women are more risk averse and </w:t>
      </w:r>
      <w:r w:rsidR="002A5216">
        <w:rPr>
          <w:lang w:val="en-US"/>
        </w:rPr>
        <w:t xml:space="preserve">more ambiguity averse than men </w:t>
      </w:r>
      <w:sdt>
        <w:sdtPr>
          <w:rPr>
            <w:lang w:val="en-US"/>
          </w:rPr>
          <w:id w:val="-1078211187"/>
          <w:citation/>
        </w:sdtPr>
        <w:sdtEndPr/>
        <w:sdtContent>
          <w:r w:rsidR="002A5216">
            <w:rPr>
              <w:lang w:val="en-US"/>
            </w:rPr>
            <w:fldChar w:fldCharType="begin"/>
          </w:r>
          <w:r w:rsidR="002A5216">
            <w:rPr>
              <w:lang w:val="en-US"/>
            </w:rPr>
            <w:instrText xml:space="preserve"> CITATION Pow97 \l 1033 </w:instrText>
          </w:r>
          <w:r w:rsidR="002A5216">
            <w:rPr>
              <w:lang w:val="en-US"/>
            </w:rPr>
            <w:fldChar w:fldCharType="separate"/>
          </w:r>
          <w:r w:rsidR="002C23B4">
            <w:rPr>
              <w:noProof/>
              <w:lang w:val="en-US"/>
            </w:rPr>
            <w:t>(Powell &amp; Ansic, 1997)</w:t>
          </w:r>
          <w:r w:rsidR="002A5216">
            <w:rPr>
              <w:lang w:val="en-US"/>
            </w:rPr>
            <w:fldChar w:fldCharType="end"/>
          </w:r>
        </w:sdtContent>
      </w:sdt>
      <w:sdt>
        <w:sdtPr>
          <w:rPr>
            <w:lang w:val="en-US"/>
          </w:rPr>
          <w:id w:val="-1761134100"/>
          <w:citation/>
        </w:sdtPr>
        <w:sdtEndPr/>
        <w:sdtContent>
          <w:r w:rsidR="006705CD">
            <w:rPr>
              <w:lang w:val="en-US"/>
            </w:rPr>
            <w:fldChar w:fldCharType="begin"/>
          </w:r>
          <w:r w:rsidR="006705CD">
            <w:rPr>
              <w:lang w:val="en-US"/>
            </w:rPr>
            <w:instrText xml:space="preserve"> CITATION Cro09 \l 1033 </w:instrText>
          </w:r>
          <w:r w:rsidR="006705CD">
            <w:rPr>
              <w:lang w:val="en-US"/>
            </w:rPr>
            <w:fldChar w:fldCharType="separate"/>
          </w:r>
          <w:r w:rsidR="002C23B4">
            <w:rPr>
              <w:noProof/>
              <w:lang w:val="en-US"/>
            </w:rPr>
            <w:t xml:space="preserve"> (Croson &amp; Gneezy, 2009)</w:t>
          </w:r>
          <w:r w:rsidR="006705CD">
            <w:rPr>
              <w:lang w:val="en-US"/>
            </w:rPr>
            <w:fldChar w:fldCharType="end"/>
          </w:r>
        </w:sdtContent>
      </w:sdt>
      <w:r w:rsidR="00557C23" w:rsidRPr="00CD5E93">
        <w:rPr>
          <w:lang w:val="en-US"/>
        </w:rPr>
        <w:t xml:space="preserve">, some studies </w:t>
      </w:r>
      <w:r w:rsidR="00BC3E97" w:rsidRPr="00CD5E93">
        <w:rPr>
          <w:lang w:val="en-US"/>
        </w:rPr>
        <w:t>find</w:t>
      </w:r>
      <w:r w:rsidR="00557C23" w:rsidRPr="00CD5E93">
        <w:rPr>
          <w:lang w:val="en-US"/>
        </w:rPr>
        <w:t xml:space="preserve"> that women participat</w:t>
      </w:r>
      <w:r w:rsidR="00CD5E93" w:rsidRPr="00CD5E93">
        <w:rPr>
          <w:lang w:val="en-US"/>
        </w:rPr>
        <w:t>e less in the stock market</w:t>
      </w:r>
      <w:sdt>
        <w:sdtPr>
          <w:rPr>
            <w:lang w:val="en-US"/>
          </w:rPr>
          <w:id w:val="2099283832"/>
          <w:citation/>
        </w:sdtPr>
        <w:sdtEndPr/>
        <w:sdtContent>
          <w:r w:rsidR="006705CD">
            <w:rPr>
              <w:lang w:val="en-US"/>
            </w:rPr>
            <w:fldChar w:fldCharType="begin"/>
          </w:r>
          <w:r w:rsidR="006705CD">
            <w:rPr>
              <w:lang w:val="en-US"/>
            </w:rPr>
            <w:instrText xml:space="preserve"> CITATION Alm12 \l 1033 </w:instrText>
          </w:r>
          <w:r w:rsidR="006705CD">
            <w:rPr>
              <w:lang w:val="en-US"/>
            </w:rPr>
            <w:fldChar w:fldCharType="separate"/>
          </w:r>
          <w:r w:rsidR="002C23B4">
            <w:rPr>
              <w:noProof/>
              <w:lang w:val="en-US"/>
            </w:rPr>
            <w:t xml:space="preserve"> (Almenberg &amp; Dreber, 2012)</w:t>
          </w:r>
          <w:r w:rsidR="006705CD">
            <w:rPr>
              <w:lang w:val="en-US"/>
            </w:rPr>
            <w:fldChar w:fldCharType="end"/>
          </w:r>
        </w:sdtContent>
      </w:sdt>
      <w:sdt>
        <w:sdtPr>
          <w:rPr>
            <w:lang w:val="en-US"/>
          </w:rPr>
          <w:id w:val="-123847810"/>
          <w:citation/>
        </w:sdtPr>
        <w:sdtEndPr/>
        <w:sdtContent>
          <w:r w:rsidR="006705CD">
            <w:rPr>
              <w:lang w:val="en-US"/>
            </w:rPr>
            <w:fldChar w:fldCharType="begin"/>
          </w:r>
          <w:r w:rsidR="006705CD">
            <w:rPr>
              <w:lang w:val="en-US"/>
            </w:rPr>
            <w:instrText xml:space="preserve"> CITATION van07 \l 1033 </w:instrText>
          </w:r>
          <w:r w:rsidR="006705CD">
            <w:rPr>
              <w:lang w:val="en-US"/>
            </w:rPr>
            <w:fldChar w:fldCharType="separate"/>
          </w:r>
          <w:r w:rsidR="002C23B4">
            <w:rPr>
              <w:noProof/>
              <w:lang w:val="en-US"/>
            </w:rPr>
            <w:t xml:space="preserve"> (van Rooij, Lusardi, &amp; Alessie, 2007)</w:t>
          </w:r>
          <w:r w:rsidR="006705CD">
            <w:rPr>
              <w:lang w:val="en-US"/>
            </w:rPr>
            <w:fldChar w:fldCharType="end"/>
          </w:r>
        </w:sdtContent>
      </w:sdt>
      <w:r w:rsidR="006705CD">
        <w:rPr>
          <w:lang w:val="en-US"/>
        </w:rPr>
        <w:t>.</w:t>
      </w:r>
      <w:r w:rsidR="00CD5E93" w:rsidRPr="00CD5E93">
        <w:rPr>
          <w:lang w:val="en-US"/>
        </w:rPr>
        <w:t xml:space="preserve"> </w:t>
      </w:r>
      <w:r w:rsidR="00557C23" w:rsidRPr="009A28F8">
        <w:rPr>
          <w:lang w:val="en-US"/>
        </w:rPr>
        <w:t xml:space="preserve">This leads to the first hypothesis: ‘Women are more ambiguity averse, more risk averse and less likely to participate in the stock market.’ </w:t>
      </w:r>
      <w:r w:rsidR="00C16EE5" w:rsidRPr="009A28F8">
        <w:rPr>
          <w:lang w:val="en-US"/>
        </w:rPr>
        <w:t>Another presumption following from the literature is a negative relation between stock market participation and risk and ambigu</w:t>
      </w:r>
      <w:r w:rsidR="006705CD">
        <w:rPr>
          <w:lang w:val="en-US"/>
        </w:rPr>
        <w:t>ity aversion</w:t>
      </w:r>
      <w:sdt>
        <w:sdtPr>
          <w:rPr>
            <w:lang w:val="en-US"/>
          </w:rPr>
          <w:id w:val="-1513749774"/>
          <w:citation/>
        </w:sdtPr>
        <w:sdtEndPr/>
        <w:sdtContent>
          <w:r w:rsidR="006705CD">
            <w:rPr>
              <w:lang w:val="en-US"/>
            </w:rPr>
            <w:fldChar w:fldCharType="begin"/>
          </w:r>
          <w:r w:rsidR="006705CD">
            <w:rPr>
              <w:lang w:val="en-US"/>
            </w:rPr>
            <w:instrText xml:space="preserve"> CITATION Dow92 \l 1033 </w:instrText>
          </w:r>
          <w:r w:rsidR="006705CD">
            <w:rPr>
              <w:lang w:val="en-US"/>
            </w:rPr>
            <w:fldChar w:fldCharType="separate"/>
          </w:r>
          <w:r w:rsidR="002C23B4">
            <w:rPr>
              <w:noProof/>
              <w:lang w:val="en-US"/>
            </w:rPr>
            <w:t xml:space="preserve"> (Dow &amp; Werlang, 1992)</w:t>
          </w:r>
          <w:r w:rsidR="006705CD">
            <w:rPr>
              <w:lang w:val="en-US"/>
            </w:rPr>
            <w:fldChar w:fldCharType="end"/>
          </w:r>
        </w:sdtContent>
      </w:sdt>
      <w:r w:rsidR="00C16EE5" w:rsidRPr="009A28F8">
        <w:rPr>
          <w:lang w:val="en-US"/>
        </w:rPr>
        <w:t xml:space="preserve">. </w:t>
      </w:r>
      <w:r w:rsidR="0047365A" w:rsidRPr="009A28F8">
        <w:rPr>
          <w:lang w:val="en-US"/>
        </w:rPr>
        <w:t>In order to investigate this relation, a second hypothesis is proposed: ‘Risk aversion and ambiguity aversion are significant predictors for stock market participation.</w:t>
      </w:r>
      <w:r w:rsidR="001F7D8B" w:rsidRPr="009A28F8">
        <w:rPr>
          <w:lang w:val="en-US"/>
        </w:rPr>
        <w:t xml:space="preserve">’ </w:t>
      </w:r>
      <w:r w:rsidR="00BC3E97" w:rsidRPr="009A28F8">
        <w:rPr>
          <w:lang w:val="en-US"/>
        </w:rPr>
        <w:t>When the previous</w:t>
      </w:r>
      <w:r w:rsidR="001F7D8B" w:rsidRPr="009A28F8">
        <w:rPr>
          <w:lang w:val="en-US"/>
        </w:rPr>
        <w:t xml:space="preserve"> hypotheses</w:t>
      </w:r>
      <w:r w:rsidR="00BC3E97" w:rsidRPr="009A28F8">
        <w:rPr>
          <w:lang w:val="en-US"/>
        </w:rPr>
        <w:t xml:space="preserve"> are examined closely</w:t>
      </w:r>
      <w:r w:rsidR="001F7D8B" w:rsidRPr="009A28F8">
        <w:rPr>
          <w:lang w:val="en-US"/>
        </w:rPr>
        <w:t xml:space="preserve">, an interesting new research avenue presents itself. If ambiguity aversion and risk aversion have a significant influence on the decision to </w:t>
      </w:r>
      <w:r w:rsidR="00964214">
        <w:rPr>
          <w:lang w:val="en-US"/>
        </w:rPr>
        <w:t>participate</w:t>
      </w:r>
      <w:r w:rsidR="001F7D8B" w:rsidRPr="009A28F8">
        <w:rPr>
          <w:lang w:val="en-US"/>
        </w:rPr>
        <w:t xml:space="preserve"> in the stock market, and ambiguity </w:t>
      </w:r>
      <w:r w:rsidR="00BC3E97" w:rsidRPr="009A28F8">
        <w:rPr>
          <w:lang w:val="en-US"/>
        </w:rPr>
        <w:t xml:space="preserve">aversion </w:t>
      </w:r>
      <w:r w:rsidR="001F7D8B" w:rsidRPr="009A28F8">
        <w:rPr>
          <w:lang w:val="en-US"/>
        </w:rPr>
        <w:t>and risk aversion are higher among women, could i</w:t>
      </w:r>
      <w:r w:rsidR="00BC3E97" w:rsidRPr="009A28F8">
        <w:rPr>
          <w:lang w:val="en-US"/>
        </w:rPr>
        <w:t xml:space="preserve">t </w:t>
      </w:r>
      <w:r w:rsidR="00BC3E97" w:rsidRPr="009A28F8">
        <w:rPr>
          <w:lang w:val="en-US"/>
        </w:rPr>
        <w:lastRenderedPageBreak/>
        <w:t>be possible that women are more affected by risk and ambiguity in their decision to participate in the stock market?</w:t>
      </w:r>
      <w:r w:rsidR="009E5F22" w:rsidRPr="009A28F8">
        <w:rPr>
          <w:lang w:val="en-US"/>
        </w:rPr>
        <w:t xml:space="preserve"> This leads to the third hypothesis: ‘The impact of risk and ambiguity in stock market participation is more pronounced on women than men, i.e. women are affected more by risk and ambiguity in decision of stock market participation.</w:t>
      </w:r>
    </w:p>
    <w:p w:rsidR="004226BA" w:rsidRPr="004226BA" w:rsidRDefault="004226BA" w:rsidP="00273011">
      <w:pPr>
        <w:tabs>
          <w:tab w:val="left" w:pos="6285"/>
        </w:tabs>
        <w:spacing w:line="360" w:lineRule="auto"/>
        <w:jc w:val="both"/>
        <w:rPr>
          <w:lang w:val="en-US"/>
        </w:rPr>
      </w:pPr>
      <w:r w:rsidRPr="004226BA">
        <w:rPr>
          <w:lang w:val="en-US"/>
        </w:rPr>
        <w:t>To summarize, the following hypotheses are proposed:</w:t>
      </w:r>
    </w:p>
    <w:p w:rsidR="004226BA" w:rsidRPr="00F408AC" w:rsidRDefault="00F95945" w:rsidP="00273011">
      <w:pPr>
        <w:pStyle w:val="ListParagraph"/>
        <w:numPr>
          <w:ilvl w:val="0"/>
          <w:numId w:val="1"/>
        </w:numPr>
        <w:tabs>
          <w:tab w:val="left" w:pos="6285"/>
        </w:tabs>
        <w:spacing w:line="360" w:lineRule="auto"/>
        <w:jc w:val="both"/>
        <w:rPr>
          <w:i/>
        </w:rPr>
      </w:pPr>
      <w:r>
        <w:rPr>
          <w:i/>
        </w:rPr>
        <w:t>Women are more ambiguity averse, more risk averse and less likely to participate in the stock market.</w:t>
      </w:r>
    </w:p>
    <w:p w:rsidR="004226BA" w:rsidRDefault="004226BA" w:rsidP="00273011">
      <w:pPr>
        <w:pStyle w:val="ListParagraph"/>
        <w:numPr>
          <w:ilvl w:val="0"/>
          <w:numId w:val="1"/>
        </w:numPr>
        <w:tabs>
          <w:tab w:val="left" w:pos="6285"/>
        </w:tabs>
        <w:spacing w:line="360" w:lineRule="auto"/>
        <w:jc w:val="both"/>
        <w:rPr>
          <w:i/>
        </w:rPr>
      </w:pPr>
      <w:r w:rsidRPr="00F408AC">
        <w:rPr>
          <w:i/>
        </w:rPr>
        <w:t>R</w:t>
      </w:r>
      <w:r>
        <w:rPr>
          <w:i/>
        </w:rPr>
        <w:t>isk aversion</w:t>
      </w:r>
      <w:r w:rsidR="00617A99">
        <w:rPr>
          <w:i/>
        </w:rPr>
        <w:t xml:space="preserve"> and ambiguity aversion</w:t>
      </w:r>
      <w:r>
        <w:rPr>
          <w:i/>
        </w:rPr>
        <w:t xml:space="preserve"> are </w:t>
      </w:r>
      <w:r w:rsidRPr="00F408AC">
        <w:rPr>
          <w:i/>
        </w:rPr>
        <w:t xml:space="preserve">significant predictors for stock market </w:t>
      </w:r>
      <w:r>
        <w:rPr>
          <w:i/>
        </w:rPr>
        <w:t>participation.</w:t>
      </w:r>
    </w:p>
    <w:p w:rsidR="00112F7F" w:rsidRDefault="00112F7F" w:rsidP="00273011">
      <w:pPr>
        <w:pStyle w:val="ListParagraph"/>
        <w:numPr>
          <w:ilvl w:val="0"/>
          <w:numId w:val="1"/>
        </w:numPr>
        <w:tabs>
          <w:tab w:val="left" w:pos="6285"/>
        </w:tabs>
        <w:spacing w:line="360" w:lineRule="auto"/>
        <w:jc w:val="both"/>
        <w:rPr>
          <w:i/>
        </w:rPr>
      </w:pPr>
      <w:r>
        <w:rPr>
          <w:i/>
        </w:rPr>
        <w:t>The impact of risk and ambiguity in stock market participation is more pronounce</w:t>
      </w:r>
      <w:r w:rsidR="0099325C">
        <w:rPr>
          <w:i/>
        </w:rPr>
        <w:t>d</w:t>
      </w:r>
      <w:r>
        <w:rPr>
          <w:i/>
        </w:rPr>
        <w:t xml:space="preserve"> on women than men, i.e. women are affected more by risk and ambiguity in decision of stock market participation.</w:t>
      </w:r>
    </w:p>
    <w:p w:rsidR="004226BA" w:rsidRDefault="004226BA" w:rsidP="00273011">
      <w:pPr>
        <w:tabs>
          <w:tab w:val="left" w:pos="6285"/>
        </w:tabs>
        <w:spacing w:line="360" w:lineRule="auto"/>
        <w:jc w:val="both"/>
        <w:rPr>
          <w:lang w:val="en-US"/>
        </w:rPr>
      </w:pPr>
      <w:r w:rsidRPr="004226BA">
        <w:rPr>
          <w:lang w:val="en-US"/>
        </w:rPr>
        <w:t>These hypotheses lead to the following research question</w:t>
      </w:r>
      <w:r w:rsidR="00A93EE7">
        <w:rPr>
          <w:lang w:val="en-US"/>
        </w:rPr>
        <w:t>s</w:t>
      </w:r>
      <w:r w:rsidRPr="004226BA">
        <w:rPr>
          <w:lang w:val="en-US"/>
        </w:rPr>
        <w:t xml:space="preserve"> of this </w:t>
      </w:r>
      <w:r w:rsidR="00A93EE7">
        <w:rPr>
          <w:lang w:val="en-US"/>
        </w:rPr>
        <w:t>paper</w:t>
      </w:r>
      <w:r w:rsidRPr="004226BA">
        <w:rPr>
          <w:lang w:val="en-US"/>
        </w:rPr>
        <w:t>:</w:t>
      </w:r>
    </w:p>
    <w:p w:rsidR="002348F8" w:rsidRPr="009A28F8" w:rsidRDefault="0042089B" w:rsidP="00DF3C82">
      <w:pPr>
        <w:tabs>
          <w:tab w:val="left" w:pos="6285"/>
        </w:tabs>
        <w:spacing w:line="360" w:lineRule="auto"/>
        <w:jc w:val="both"/>
        <w:rPr>
          <w:b/>
          <w:lang w:val="en-US"/>
        </w:rPr>
      </w:pPr>
      <w:r w:rsidRPr="0042089B">
        <w:rPr>
          <w:b/>
          <w:lang w:val="en-US"/>
        </w:rPr>
        <w:t>“</w:t>
      </w:r>
      <w:r w:rsidR="00DF3C82">
        <w:rPr>
          <w:b/>
          <w:lang w:val="en-US"/>
        </w:rPr>
        <w:t xml:space="preserve">Are risk aversion and ambiguity aversion different for men and women? How do these attitudes affect stock market participation? If ambiguity and risk attitudes are different between genders, is it possible that risk attitudes and ambiguity attitudes affect </w:t>
      </w:r>
      <w:r w:rsidR="0068088C">
        <w:rPr>
          <w:b/>
          <w:lang w:val="en-US"/>
        </w:rPr>
        <w:t xml:space="preserve">genders differently in </w:t>
      </w:r>
      <w:r w:rsidR="00DF3C82">
        <w:rPr>
          <w:b/>
          <w:lang w:val="en-US"/>
        </w:rPr>
        <w:t xml:space="preserve">the decision to </w:t>
      </w:r>
      <w:r w:rsidR="0068088C">
        <w:rPr>
          <w:b/>
          <w:lang w:val="en-US"/>
        </w:rPr>
        <w:t>participate</w:t>
      </w:r>
      <w:r w:rsidR="00DF3C82">
        <w:rPr>
          <w:b/>
          <w:lang w:val="en-US"/>
        </w:rPr>
        <w:t xml:space="preserve"> in the stock market?”</w:t>
      </w:r>
    </w:p>
    <w:p w:rsidR="006E5B4E" w:rsidRDefault="006E5B4E">
      <w:pPr>
        <w:spacing w:after="160" w:line="259" w:lineRule="auto"/>
        <w:rPr>
          <w:rFonts w:eastAsiaTheme="majorEastAsia" w:cstheme="minorHAnsi"/>
          <w:b/>
          <w:color w:val="000000" w:themeColor="text1"/>
          <w:sz w:val="36"/>
          <w:szCs w:val="32"/>
          <w:lang w:val="en-US"/>
        </w:rPr>
      </w:pPr>
      <w:r w:rsidRPr="00B3799F">
        <w:rPr>
          <w:rFonts w:cstheme="minorHAnsi"/>
          <w:b/>
          <w:color w:val="000000" w:themeColor="text1"/>
          <w:sz w:val="36"/>
          <w:lang w:val="en-US"/>
        </w:rPr>
        <w:br w:type="page"/>
      </w:r>
    </w:p>
    <w:p w:rsidR="00073887" w:rsidRPr="00DF777D" w:rsidRDefault="004C4045" w:rsidP="00DF777D">
      <w:pPr>
        <w:pStyle w:val="Heading1"/>
        <w:spacing w:after="240"/>
        <w:rPr>
          <w:rFonts w:asciiTheme="minorHAnsi" w:hAnsiTheme="minorHAnsi" w:cstheme="minorHAnsi"/>
          <w:b/>
          <w:color w:val="000000" w:themeColor="text1"/>
          <w:sz w:val="36"/>
        </w:rPr>
      </w:pPr>
      <w:bookmarkStart w:id="14" w:name="_Toc422695283"/>
      <w:r>
        <w:rPr>
          <w:rFonts w:asciiTheme="minorHAnsi" w:hAnsiTheme="minorHAnsi" w:cstheme="minorHAnsi"/>
          <w:b/>
          <w:color w:val="000000" w:themeColor="text1"/>
          <w:sz w:val="36"/>
        </w:rPr>
        <w:lastRenderedPageBreak/>
        <w:t xml:space="preserve">3 </w:t>
      </w:r>
      <w:r w:rsidR="00073887" w:rsidRPr="00DF777D">
        <w:rPr>
          <w:rFonts w:asciiTheme="minorHAnsi" w:hAnsiTheme="minorHAnsi" w:cstheme="minorHAnsi"/>
          <w:b/>
          <w:color w:val="000000" w:themeColor="text1"/>
          <w:sz w:val="36"/>
        </w:rPr>
        <w:t>Data Description</w:t>
      </w:r>
      <w:bookmarkEnd w:id="14"/>
    </w:p>
    <w:p w:rsidR="00073887" w:rsidRPr="00DF777D" w:rsidRDefault="00073887" w:rsidP="00DF777D">
      <w:pPr>
        <w:pStyle w:val="Heading2"/>
        <w:rPr>
          <w:rFonts w:asciiTheme="minorHAnsi" w:eastAsia="Times New Roman" w:hAnsiTheme="minorHAnsi" w:cstheme="minorHAnsi"/>
          <w:color w:val="000000" w:themeColor="text1"/>
          <w:sz w:val="28"/>
          <w:szCs w:val="28"/>
          <w:lang w:val="en-US" w:eastAsia="nl-NL"/>
        </w:rPr>
      </w:pPr>
      <w:bookmarkStart w:id="15" w:name="_Toc422695284"/>
      <w:r w:rsidRPr="00DF777D">
        <w:rPr>
          <w:rFonts w:asciiTheme="minorHAnsi" w:eastAsia="Times New Roman" w:hAnsiTheme="minorHAnsi" w:cstheme="minorHAnsi"/>
          <w:color w:val="000000" w:themeColor="text1"/>
          <w:sz w:val="28"/>
          <w:szCs w:val="28"/>
          <w:lang w:val="en-US" w:eastAsia="nl-NL"/>
        </w:rPr>
        <w:t>3.1 Data Origin</w:t>
      </w:r>
      <w:bookmarkEnd w:id="15"/>
    </w:p>
    <w:p w:rsidR="00073887" w:rsidRDefault="00073887" w:rsidP="003C4867">
      <w:pPr>
        <w:spacing w:before="240" w:line="360" w:lineRule="auto"/>
        <w:jc w:val="both"/>
        <w:rPr>
          <w:rFonts w:ascii="Calibri" w:eastAsia="Times New Roman" w:hAnsi="Calibri" w:cs="Calibri"/>
          <w:lang w:val="en-US" w:eastAsia="nl-NL"/>
        </w:rPr>
      </w:pPr>
      <w:r w:rsidRPr="00473C06">
        <w:rPr>
          <w:rFonts w:ascii="Calibri" w:eastAsia="Times New Roman" w:hAnsi="Calibri" w:cs="Calibri"/>
          <w:lang w:val="en-US" w:eastAsia="nl-NL"/>
        </w:rPr>
        <w:t xml:space="preserve">The dataset used in this study originates from the Longitudinal Internet Studies for the Social sciences (LISS). </w:t>
      </w:r>
      <w:r>
        <w:rPr>
          <w:rFonts w:ascii="Calibri" w:eastAsia="Times New Roman" w:hAnsi="Calibri" w:cs="Calibri"/>
          <w:lang w:val="en-US" w:eastAsia="nl-NL"/>
        </w:rPr>
        <w:t>The LISS datasets are maintained by CentERdata, a research institute based in Tilburg, the Netherlands. CentERdata has selected 8000 individual</w:t>
      </w:r>
      <w:r w:rsidR="009D7C75">
        <w:rPr>
          <w:rFonts w:ascii="Calibri" w:eastAsia="Times New Roman" w:hAnsi="Calibri" w:cs="Calibri"/>
          <w:lang w:val="en-US" w:eastAsia="nl-NL"/>
        </w:rPr>
        <w:t>s</w:t>
      </w:r>
      <w:r>
        <w:rPr>
          <w:rFonts w:ascii="Calibri" w:eastAsia="Times New Roman" w:hAnsi="Calibri" w:cs="Calibri"/>
          <w:lang w:val="en-US" w:eastAsia="nl-NL"/>
        </w:rPr>
        <w:t xml:space="preserve"> based on a true probability sample which was estimated to be a general representation of the Dutch population. The panel is composed of approximately 5000 households who are asked to </w:t>
      </w:r>
      <w:r w:rsidR="00EC36EA">
        <w:rPr>
          <w:rFonts w:ascii="Calibri" w:eastAsia="Times New Roman" w:hAnsi="Calibri" w:cs="Calibri"/>
          <w:lang w:val="en-US" w:eastAsia="nl-NL"/>
        </w:rPr>
        <w:t>participate</w:t>
      </w:r>
      <w:r>
        <w:rPr>
          <w:rFonts w:ascii="Calibri" w:eastAsia="Times New Roman" w:hAnsi="Calibri" w:cs="Calibri"/>
          <w:lang w:val="en-US" w:eastAsia="nl-NL"/>
        </w:rPr>
        <w:t xml:space="preserve"> in an online questionnaire every month. The reliability and large pool of subjects make the panel ideal for conducting research.</w:t>
      </w:r>
    </w:p>
    <w:p w:rsidR="00073887" w:rsidRPr="00473C06" w:rsidRDefault="00073887" w:rsidP="003C4867">
      <w:pPr>
        <w:spacing w:before="240" w:line="360" w:lineRule="auto"/>
        <w:jc w:val="both"/>
        <w:rPr>
          <w:rFonts w:ascii="Calibri" w:eastAsia="Times New Roman" w:hAnsi="Calibri" w:cs="Calibri"/>
          <w:lang w:val="en-US" w:eastAsia="nl-NL"/>
        </w:rPr>
      </w:pPr>
      <w:r>
        <w:rPr>
          <w:rFonts w:ascii="Calibri" w:eastAsia="Times New Roman" w:hAnsi="Calibri" w:cs="Calibri"/>
          <w:lang w:val="en-US" w:eastAsia="nl-NL"/>
        </w:rPr>
        <w:t>Dimmock et al</w:t>
      </w:r>
      <w:r w:rsidR="00AF4DE4">
        <w:rPr>
          <w:rFonts w:ascii="Calibri" w:eastAsia="Times New Roman" w:hAnsi="Calibri" w:cs="Calibri"/>
          <w:lang w:val="en-US" w:eastAsia="nl-NL"/>
        </w:rPr>
        <w:t>.</w:t>
      </w:r>
      <w:r>
        <w:rPr>
          <w:rFonts w:ascii="Calibri" w:eastAsia="Times New Roman" w:hAnsi="Calibri" w:cs="Calibri"/>
          <w:lang w:val="en-US" w:eastAsia="nl-NL"/>
        </w:rPr>
        <w:t xml:space="preserve"> </w:t>
      </w:r>
      <w:sdt>
        <w:sdtPr>
          <w:rPr>
            <w:rFonts w:ascii="Calibri" w:eastAsia="Times New Roman" w:hAnsi="Calibri" w:cs="Calibri"/>
            <w:lang w:val="en-US" w:eastAsia="nl-NL"/>
          </w:rPr>
          <w:id w:val="-1187064932"/>
          <w:citation/>
        </w:sdtPr>
        <w:sdtEndPr/>
        <w:sdtContent>
          <w:r w:rsidR="009D7C75">
            <w:rPr>
              <w:rFonts w:ascii="Calibri" w:eastAsia="Times New Roman" w:hAnsi="Calibri" w:cs="Calibri"/>
              <w:lang w:val="en-US" w:eastAsia="nl-NL"/>
            </w:rPr>
            <w:fldChar w:fldCharType="begin"/>
          </w:r>
          <w:r w:rsidR="009D7C75">
            <w:rPr>
              <w:rFonts w:ascii="Calibri" w:eastAsia="Times New Roman" w:hAnsi="Calibri" w:cs="Calibri"/>
              <w:lang w:val="en-US" w:eastAsia="nl-NL"/>
            </w:rPr>
            <w:instrText xml:space="preserve">CITATION Dim14 \n  \t  \l 1033 </w:instrText>
          </w:r>
          <w:r w:rsidR="009D7C75">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(2014)</w:t>
          </w:r>
          <w:r w:rsidR="009D7C75">
            <w:rPr>
              <w:rFonts w:ascii="Calibri" w:eastAsia="Times New Roman" w:hAnsi="Calibri" w:cs="Calibri"/>
              <w:lang w:val="en-US" w:eastAsia="nl-NL"/>
            </w:rPr>
            <w:fldChar w:fldCharType="end"/>
          </w:r>
        </w:sdtContent>
      </w:sdt>
      <w:r w:rsidR="009D7C75">
        <w:rPr>
          <w:rFonts w:ascii="Calibri" w:eastAsia="Times New Roman" w:hAnsi="Calibri" w:cs="Calibri"/>
          <w:lang w:val="en-US" w:eastAsia="nl-NL"/>
        </w:rPr>
        <w:t xml:space="preserve"> </w:t>
      </w:r>
      <w:r>
        <w:rPr>
          <w:rFonts w:ascii="Calibri" w:eastAsia="Times New Roman" w:hAnsi="Calibri" w:cs="Calibri"/>
          <w:lang w:val="en-US" w:eastAsia="nl-NL"/>
        </w:rPr>
        <w:t>chose the LISS panel particularly for these two properties. In January 2010, they send 2491 subjects a questionnaire to which 1935 subjects responded. For this study, t</w:t>
      </w:r>
      <w:r w:rsidRPr="00473C06">
        <w:rPr>
          <w:rFonts w:ascii="Calibri" w:eastAsia="Times New Roman" w:hAnsi="Calibri" w:cs="Calibri"/>
          <w:lang w:val="en-US" w:eastAsia="nl-NL"/>
        </w:rPr>
        <w:t xml:space="preserve">he background variables and financial information from core LISS datasets were added </w:t>
      </w:r>
      <w:r>
        <w:rPr>
          <w:rFonts w:ascii="Calibri" w:eastAsia="Times New Roman" w:hAnsi="Calibri" w:cs="Calibri"/>
          <w:lang w:val="en-US" w:eastAsia="nl-NL"/>
        </w:rPr>
        <w:t xml:space="preserve">to the </w:t>
      </w:r>
      <w:r w:rsidR="005538DD">
        <w:rPr>
          <w:rFonts w:ascii="Calibri" w:eastAsia="Times New Roman" w:hAnsi="Calibri" w:cs="Calibri"/>
          <w:lang w:val="en-US" w:eastAsia="nl-NL"/>
        </w:rPr>
        <w:t>responses</w:t>
      </w:r>
      <w:r>
        <w:rPr>
          <w:rFonts w:ascii="Calibri" w:eastAsia="Times New Roman" w:hAnsi="Calibri" w:cs="Calibri"/>
          <w:lang w:val="en-US" w:eastAsia="nl-NL"/>
        </w:rPr>
        <w:t xml:space="preserve"> Dimmock et al</w:t>
      </w:r>
      <w:r w:rsidR="003C2DE3">
        <w:rPr>
          <w:rFonts w:ascii="Calibri" w:eastAsia="Times New Roman" w:hAnsi="Calibri" w:cs="Calibri"/>
          <w:lang w:val="en-US" w:eastAsia="nl-NL"/>
        </w:rPr>
        <w:t>.</w:t>
      </w:r>
      <w:r>
        <w:rPr>
          <w:rFonts w:ascii="Calibri" w:eastAsia="Times New Roman" w:hAnsi="Calibri" w:cs="Calibri"/>
          <w:lang w:val="en-US" w:eastAsia="nl-NL"/>
        </w:rPr>
        <w:t xml:space="preserve"> </w:t>
      </w:r>
      <w:r w:rsidR="00C067EA">
        <w:rPr>
          <w:rFonts w:ascii="Calibri" w:eastAsia="Times New Roman" w:hAnsi="Calibri" w:cs="Calibri"/>
          <w:lang w:val="en-US" w:eastAsia="nl-NL"/>
        </w:rPr>
        <w:t>received. This was done</w:t>
      </w:r>
      <w:r w:rsidRPr="00473C06">
        <w:rPr>
          <w:rFonts w:ascii="Calibri" w:eastAsia="Times New Roman" w:hAnsi="Calibri" w:cs="Calibri"/>
          <w:lang w:val="en-US" w:eastAsia="nl-NL"/>
        </w:rPr>
        <w:t xml:space="preserve"> to control for </w:t>
      </w:r>
      <w:r>
        <w:rPr>
          <w:rFonts w:ascii="Calibri" w:eastAsia="Times New Roman" w:hAnsi="Calibri" w:cs="Calibri"/>
          <w:lang w:val="en-US" w:eastAsia="nl-NL"/>
        </w:rPr>
        <w:t>demographic</w:t>
      </w:r>
      <w:r w:rsidRPr="00473C06">
        <w:rPr>
          <w:rFonts w:ascii="Calibri" w:eastAsia="Times New Roman" w:hAnsi="Calibri" w:cs="Calibri"/>
          <w:lang w:val="en-US" w:eastAsia="nl-NL"/>
        </w:rPr>
        <w:t xml:space="preserve"> variables. Th</w:t>
      </w:r>
      <w:r>
        <w:rPr>
          <w:rFonts w:ascii="Calibri" w:eastAsia="Times New Roman" w:hAnsi="Calibri" w:cs="Calibri"/>
          <w:lang w:val="en-US" w:eastAsia="nl-NL"/>
        </w:rPr>
        <w:t>e</w:t>
      </w:r>
      <w:r w:rsidRPr="00473C06">
        <w:rPr>
          <w:rFonts w:ascii="Calibri" w:eastAsia="Times New Roman" w:hAnsi="Calibri" w:cs="Calibri"/>
          <w:lang w:val="en-US" w:eastAsia="nl-NL"/>
        </w:rPr>
        <w:t xml:space="preserve"> background data originates from February 2015, the financial information used originate</w:t>
      </w:r>
      <w:r>
        <w:rPr>
          <w:rFonts w:ascii="Calibri" w:eastAsia="Times New Roman" w:hAnsi="Calibri" w:cs="Calibri"/>
          <w:lang w:val="en-US" w:eastAsia="nl-NL"/>
        </w:rPr>
        <w:t>s</w:t>
      </w:r>
      <w:r w:rsidRPr="00473C06">
        <w:rPr>
          <w:rFonts w:ascii="Calibri" w:eastAsia="Times New Roman" w:hAnsi="Calibri" w:cs="Calibri"/>
          <w:lang w:val="en-US" w:eastAsia="nl-NL"/>
        </w:rPr>
        <w:t xml:space="preserve"> from wave 2, 2010.</w:t>
      </w:r>
    </w:p>
    <w:p w:rsidR="00073887" w:rsidRPr="00473C06" w:rsidRDefault="00073887" w:rsidP="003C4867">
      <w:pPr>
        <w:spacing w:before="240" w:line="360" w:lineRule="auto"/>
        <w:jc w:val="both"/>
        <w:rPr>
          <w:rFonts w:ascii="Calibri" w:eastAsia="Times New Roman" w:hAnsi="Calibri" w:cs="Calibri"/>
          <w:lang w:val="en-US" w:eastAsia="nl-NL"/>
        </w:rPr>
      </w:pPr>
      <w:r w:rsidRPr="00473C06">
        <w:rPr>
          <w:rFonts w:ascii="Calibri" w:eastAsia="Times New Roman" w:hAnsi="Calibri" w:cs="Calibri"/>
          <w:lang w:val="en-US" w:eastAsia="nl-NL"/>
        </w:rPr>
        <w:t>Of the original 1935 subjects, 939 were paid real incentives (€7650 total). In order to keep the study as close to real life decisions as possible, the subjects that did not receive real incentives were omitted. Of the remaining subjects, 144 were omitted because of missing financial information. This resulted in a sample pool of 795 subjects.</w:t>
      </w:r>
    </w:p>
    <w:p w:rsidR="00073887" w:rsidRPr="00DF777D" w:rsidRDefault="00073887" w:rsidP="00DF777D">
      <w:pPr>
        <w:pStyle w:val="Heading2"/>
        <w:spacing w:after="240"/>
        <w:rPr>
          <w:rFonts w:asciiTheme="minorHAnsi" w:eastAsia="Times New Roman" w:hAnsiTheme="minorHAnsi" w:cstheme="minorHAnsi"/>
          <w:color w:val="000000" w:themeColor="text1"/>
          <w:sz w:val="28"/>
          <w:szCs w:val="28"/>
          <w:lang w:val="en-US" w:eastAsia="nl-NL"/>
        </w:rPr>
      </w:pPr>
      <w:bookmarkStart w:id="16" w:name="_Toc422695285"/>
      <w:r w:rsidRPr="00DF777D">
        <w:rPr>
          <w:rFonts w:asciiTheme="minorHAnsi" w:eastAsia="Times New Roman" w:hAnsiTheme="minorHAnsi" w:cstheme="minorHAnsi"/>
          <w:color w:val="000000" w:themeColor="text1"/>
          <w:sz w:val="28"/>
          <w:szCs w:val="28"/>
          <w:lang w:val="en-US" w:eastAsia="nl-NL"/>
        </w:rPr>
        <w:lastRenderedPageBreak/>
        <w:t>3.2 Variables</w:t>
      </w:r>
      <w:bookmarkEnd w:id="16"/>
    </w:p>
    <w:p w:rsidR="00073887" w:rsidRPr="00DF777D" w:rsidRDefault="00073887" w:rsidP="00DF777D">
      <w:pPr>
        <w:pStyle w:val="Heading3"/>
        <w:rPr>
          <w:rFonts w:asciiTheme="minorHAnsi" w:eastAsia="Times New Roman" w:hAnsiTheme="minorHAnsi" w:cstheme="minorHAnsi"/>
          <w:b/>
          <w:color w:val="000000" w:themeColor="text1"/>
          <w:lang w:val="en-US" w:eastAsia="nl-NL"/>
        </w:rPr>
      </w:pPr>
      <w:bookmarkStart w:id="17" w:name="_Toc422695286"/>
      <w:r w:rsidRPr="00DF777D">
        <w:rPr>
          <w:rFonts w:asciiTheme="minorHAnsi" w:eastAsia="Times New Roman" w:hAnsiTheme="minorHAnsi" w:cstheme="minorHAnsi"/>
          <w:b/>
          <w:color w:val="000000" w:themeColor="text1"/>
          <w:lang w:val="en-US" w:eastAsia="nl-NL"/>
        </w:rPr>
        <w:t>3.2.1 Demographic variables</w:t>
      </w:r>
      <w:bookmarkEnd w:id="17"/>
    </w:p>
    <w:p w:rsidR="00073887" w:rsidRPr="00473C06" w:rsidRDefault="00073887" w:rsidP="003C4867">
      <w:pPr>
        <w:spacing w:before="240" w:line="360" w:lineRule="auto"/>
        <w:jc w:val="both"/>
        <w:rPr>
          <w:rFonts w:ascii="Calibri" w:eastAsia="Times New Roman" w:hAnsi="Calibri" w:cs="Calibri"/>
          <w:lang w:val="en-US" w:eastAsia="nl-NL"/>
        </w:rPr>
      </w:pPr>
      <w:r w:rsidRPr="00473C06">
        <w:rPr>
          <w:rFonts w:ascii="Calibri" w:eastAsia="Times New Roman" w:hAnsi="Calibri" w:cs="Calibri"/>
          <w:lang w:val="en-US" w:eastAsia="nl-NL"/>
        </w:rPr>
        <w:t xml:space="preserve">The control variables provided by the LISS </w:t>
      </w:r>
      <w:r>
        <w:rPr>
          <w:rFonts w:ascii="Calibri" w:eastAsia="Times New Roman" w:hAnsi="Calibri" w:cs="Calibri"/>
          <w:lang w:val="en-US" w:eastAsia="nl-NL"/>
        </w:rPr>
        <w:t xml:space="preserve">background variables </w:t>
      </w:r>
      <w:r w:rsidRPr="00473C06">
        <w:rPr>
          <w:rFonts w:ascii="Calibri" w:eastAsia="Times New Roman" w:hAnsi="Calibri" w:cs="Calibri"/>
          <w:lang w:val="en-US" w:eastAsia="nl-NL"/>
        </w:rPr>
        <w:t xml:space="preserve">dataset are extensive. Information is available ranging from age, gender and marital status to household income, education and household size. </w:t>
      </w:r>
      <w:r>
        <w:rPr>
          <w:rFonts w:ascii="Calibri" w:eastAsia="Times New Roman" w:hAnsi="Calibri" w:cs="Calibri"/>
          <w:lang w:val="en-US" w:eastAsia="nl-NL"/>
        </w:rPr>
        <w:t>The financial information provided by LISS was thoroughly constructed, although the many missing entries made the dataset less useful. The dataset created by Dimmock et al</w:t>
      </w:r>
      <w:r w:rsidR="00AF4DE4">
        <w:rPr>
          <w:rFonts w:ascii="Calibri" w:eastAsia="Times New Roman" w:hAnsi="Calibri" w:cs="Calibri"/>
          <w:lang w:val="en-US" w:eastAsia="nl-NL"/>
        </w:rPr>
        <w:t>.</w:t>
      </w:r>
      <w:r>
        <w:rPr>
          <w:rFonts w:ascii="Calibri" w:eastAsia="Times New Roman" w:hAnsi="Calibri" w:cs="Calibri"/>
          <w:lang w:val="en-US" w:eastAsia="nl-NL"/>
        </w:rPr>
        <w:t xml:space="preserve"> </w:t>
      </w:r>
      <w:sdt>
        <w:sdtPr>
          <w:rPr>
            <w:rFonts w:ascii="Calibri" w:eastAsia="Times New Roman" w:hAnsi="Calibri" w:cs="Calibri"/>
            <w:lang w:val="en-US" w:eastAsia="nl-NL"/>
          </w:rPr>
          <w:id w:val="920442812"/>
          <w:citation/>
        </w:sdtPr>
        <w:sdtEndPr/>
        <w:sdtContent>
          <w:r w:rsidR="009D7C75">
            <w:rPr>
              <w:rFonts w:ascii="Calibri" w:eastAsia="Times New Roman" w:hAnsi="Calibri" w:cs="Calibri"/>
              <w:lang w:val="en-US" w:eastAsia="nl-NL"/>
            </w:rPr>
            <w:fldChar w:fldCharType="begin"/>
          </w:r>
          <w:r w:rsidR="009D7C75">
            <w:rPr>
              <w:rFonts w:ascii="Calibri" w:eastAsia="Times New Roman" w:hAnsi="Calibri" w:cs="Calibri"/>
              <w:lang w:val="en-US" w:eastAsia="nl-NL"/>
            </w:rPr>
            <w:instrText xml:space="preserve">CITATION Dim14 \n  \t  \l 1033 </w:instrText>
          </w:r>
          <w:r w:rsidR="009D7C75">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(2014)</w:t>
          </w:r>
          <w:r w:rsidR="009D7C75">
            <w:rPr>
              <w:rFonts w:ascii="Calibri" w:eastAsia="Times New Roman" w:hAnsi="Calibri" w:cs="Calibri"/>
              <w:lang w:val="en-US" w:eastAsia="nl-NL"/>
            </w:rPr>
            <w:fldChar w:fldCharType="end"/>
          </w:r>
        </w:sdtContent>
      </w:sdt>
      <w:r w:rsidR="009D7C75">
        <w:rPr>
          <w:rFonts w:ascii="Calibri" w:eastAsia="Times New Roman" w:hAnsi="Calibri" w:cs="Calibri"/>
          <w:lang w:val="en-US" w:eastAsia="nl-NL"/>
        </w:rPr>
        <w:t xml:space="preserve"> </w:t>
      </w:r>
      <w:r>
        <w:rPr>
          <w:rFonts w:ascii="Calibri" w:eastAsia="Times New Roman" w:hAnsi="Calibri" w:cs="Calibri"/>
          <w:lang w:val="en-US" w:eastAsia="nl-NL"/>
        </w:rPr>
        <w:t>contained the coded answers to the questions posed during their research. These answers were code</w:t>
      </w:r>
      <w:r w:rsidR="0032206A">
        <w:rPr>
          <w:rFonts w:ascii="Calibri" w:eastAsia="Times New Roman" w:hAnsi="Calibri" w:cs="Calibri"/>
          <w:lang w:val="en-US" w:eastAsia="nl-NL"/>
        </w:rPr>
        <w:t>d into usable variables which are</w:t>
      </w:r>
      <w:r>
        <w:rPr>
          <w:rFonts w:ascii="Calibri" w:eastAsia="Times New Roman" w:hAnsi="Calibri" w:cs="Calibri"/>
          <w:lang w:val="en-US" w:eastAsia="nl-NL"/>
        </w:rPr>
        <w:t xml:space="preserve"> described in section 3.2.2</w:t>
      </w:r>
      <w:r w:rsidR="005538DD">
        <w:rPr>
          <w:rFonts w:ascii="Calibri" w:eastAsia="Times New Roman" w:hAnsi="Calibri" w:cs="Calibri"/>
          <w:lang w:val="en-US" w:eastAsia="nl-NL"/>
        </w:rPr>
        <w:t>.</w:t>
      </w:r>
      <w:r>
        <w:rPr>
          <w:rFonts w:ascii="Calibri" w:eastAsia="Times New Roman" w:hAnsi="Calibri" w:cs="Calibri"/>
          <w:lang w:val="en-US" w:eastAsia="nl-NL"/>
        </w:rPr>
        <w:t xml:space="preserve"> </w:t>
      </w:r>
      <w:r w:rsidRPr="00473C06">
        <w:rPr>
          <w:rFonts w:ascii="Calibri" w:eastAsia="Times New Roman" w:hAnsi="Calibri" w:cs="Calibri"/>
          <w:lang w:val="en-US" w:eastAsia="nl-NL"/>
        </w:rPr>
        <w:t>Unfortunately</w:t>
      </w:r>
      <w:r w:rsidR="005538DD">
        <w:rPr>
          <w:rFonts w:ascii="Calibri" w:eastAsia="Times New Roman" w:hAnsi="Calibri" w:cs="Calibri"/>
          <w:lang w:val="en-US" w:eastAsia="nl-NL"/>
        </w:rPr>
        <w:t xml:space="preserve"> </w:t>
      </w:r>
      <w:r w:rsidRPr="00473C06">
        <w:rPr>
          <w:rFonts w:ascii="Calibri" w:eastAsia="Times New Roman" w:hAnsi="Calibri" w:cs="Calibri"/>
          <w:lang w:val="en-US" w:eastAsia="nl-NL"/>
        </w:rPr>
        <w:t>there was no information available on the profession of the subjects. A complete list with the coding of each used varia</w:t>
      </w:r>
      <w:r>
        <w:rPr>
          <w:rFonts w:ascii="Calibri" w:eastAsia="Times New Roman" w:hAnsi="Calibri" w:cs="Calibri"/>
          <w:lang w:val="en-US" w:eastAsia="nl-NL"/>
        </w:rPr>
        <w:t>ble can be found in Appendix 1.</w:t>
      </w:r>
    </w:p>
    <w:p w:rsidR="003C4867" w:rsidRDefault="003C4867" w:rsidP="00073887">
      <w:pPr>
        <w:spacing w:line="360" w:lineRule="auto"/>
        <w:rPr>
          <w:rFonts w:ascii="Calibri" w:eastAsia="Times New Roman" w:hAnsi="Calibri" w:cs="Calibri"/>
          <w:b/>
          <w:sz w:val="24"/>
          <w:lang w:val="en-US" w:eastAsia="nl-NL"/>
        </w:rPr>
      </w:pPr>
    </w:p>
    <w:p w:rsidR="003C4867" w:rsidRDefault="003C4867" w:rsidP="00073887">
      <w:pPr>
        <w:spacing w:line="360" w:lineRule="auto"/>
        <w:rPr>
          <w:rFonts w:ascii="Calibri" w:eastAsia="Times New Roman" w:hAnsi="Calibri" w:cs="Calibri"/>
          <w:b/>
          <w:sz w:val="24"/>
          <w:lang w:val="en-US" w:eastAsia="nl-NL"/>
        </w:rPr>
      </w:pPr>
    </w:p>
    <w:p w:rsidR="00073887" w:rsidRPr="00A102DE" w:rsidRDefault="00073887" w:rsidP="00073887">
      <w:pPr>
        <w:spacing w:line="360" w:lineRule="auto"/>
        <w:rPr>
          <w:rFonts w:ascii="Calibri" w:eastAsia="Times New Roman" w:hAnsi="Calibri" w:cs="Calibri"/>
          <w:b/>
          <w:sz w:val="24"/>
          <w:lang w:val="en-US" w:eastAsia="nl-NL"/>
        </w:rPr>
      </w:pPr>
      <w:r w:rsidRPr="00A102DE">
        <w:rPr>
          <w:rFonts w:ascii="Calibri" w:eastAsia="Times New Roman" w:hAnsi="Calibri" w:cs="Calibri"/>
          <w:b/>
          <w:sz w:val="24"/>
          <w:lang w:val="en-US" w:eastAsia="nl-NL"/>
        </w:rPr>
        <w:t xml:space="preserve">Table </w:t>
      </w:r>
      <w:r w:rsidR="009A28F8">
        <w:rPr>
          <w:rFonts w:ascii="Calibri" w:eastAsia="Times New Roman" w:hAnsi="Calibri" w:cs="Calibri"/>
          <w:b/>
          <w:sz w:val="24"/>
          <w:lang w:val="en-US" w:eastAsia="nl-NL"/>
        </w:rPr>
        <w:t>1</w:t>
      </w:r>
      <w:r w:rsidRPr="00A102DE">
        <w:rPr>
          <w:rFonts w:ascii="Calibri" w:eastAsia="Times New Roman" w:hAnsi="Calibri" w:cs="Calibri"/>
          <w:b/>
          <w:sz w:val="24"/>
          <w:lang w:val="en-US" w:eastAsia="nl-NL"/>
        </w:rPr>
        <w:t>.1 Summary Demographic Variables</w:t>
      </w:r>
    </w:p>
    <w:p w:rsidR="003C4867" w:rsidRDefault="003C4867" w:rsidP="00073887">
      <w:pPr>
        <w:spacing w:before="240" w:line="360" w:lineRule="auto"/>
        <w:rPr>
          <w:rFonts w:ascii="Calibri" w:eastAsia="Times New Roman" w:hAnsi="Calibri" w:cs="Calibri"/>
          <w:lang w:val="en-US" w:eastAsia="nl-NL"/>
        </w:rPr>
      </w:pPr>
    </w:p>
    <w:p w:rsidR="009D7C75" w:rsidRPr="004B3AB1" w:rsidRDefault="00073887" w:rsidP="009D7C75">
      <w:pPr>
        <w:spacing w:line="360" w:lineRule="auto"/>
        <w:jc w:val="both"/>
        <w:rPr>
          <w:rFonts w:ascii="Calibri" w:eastAsia="Times New Roman" w:hAnsi="Calibri" w:cs="Calibri"/>
          <w:lang w:val="en-US" w:eastAsia="nl-NL"/>
        </w:rPr>
      </w:pPr>
      <w:r w:rsidRPr="00473C06">
        <w:rPr>
          <w:rFonts w:ascii="Calibri" w:eastAsia="Times New Roman" w:hAnsi="Calibri" w:cs="Calibri"/>
          <w:lang w:val="en-US" w:eastAsia="nl-NL"/>
        </w:rPr>
        <w:lastRenderedPageBreak/>
        <w:t xml:space="preserve">The presented </w:t>
      </w:r>
      <w:r>
        <w:rPr>
          <w:rFonts w:ascii="Calibri" w:eastAsia="Times New Roman" w:hAnsi="Calibri" w:cs="Calibri"/>
          <w:lang w:val="en-US" w:eastAsia="nl-NL"/>
        </w:rPr>
        <w:t>numbers</w:t>
      </w:r>
      <w:r w:rsidRPr="00473C06">
        <w:rPr>
          <w:rFonts w:ascii="Calibri" w:eastAsia="Times New Roman" w:hAnsi="Calibri" w:cs="Calibri"/>
          <w:lang w:val="en-US" w:eastAsia="nl-NL"/>
        </w:rPr>
        <w:t xml:space="preserve"> </w:t>
      </w:r>
      <w:r>
        <w:rPr>
          <w:rFonts w:ascii="Calibri" w:eastAsia="Times New Roman" w:hAnsi="Calibri" w:cs="Calibri"/>
          <w:lang w:val="en-US" w:eastAsia="nl-NL"/>
        </w:rPr>
        <w:t>in table</w:t>
      </w:r>
      <w:r w:rsidR="0012469A">
        <w:rPr>
          <w:rFonts w:ascii="Calibri" w:eastAsia="Times New Roman" w:hAnsi="Calibri" w:cs="Calibri"/>
          <w:lang w:val="en-US" w:eastAsia="nl-NL"/>
        </w:rPr>
        <w:t xml:space="preserve"> 1.1</w:t>
      </w:r>
      <w:r>
        <w:rPr>
          <w:rFonts w:ascii="Calibri" w:eastAsia="Times New Roman" w:hAnsi="Calibri" w:cs="Calibri"/>
          <w:lang w:val="en-US" w:eastAsia="nl-NL"/>
        </w:rPr>
        <w:t xml:space="preserve"> </w:t>
      </w:r>
      <w:r w:rsidRPr="00473C06">
        <w:rPr>
          <w:rFonts w:ascii="Calibri" w:eastAsia="Times New Roman" w:hAnsi="Calibri" w:cs="Calibri"/>
          <w:lang w:val="en-US" w:eastAsia="nl-NL"/>
        </w:rPr>
        <w:t xml:space="preserve">are means, either of the entire sample, only </w:t>
      </w:r>
      <w:r w:rsidR="001B7B49">
        <w:rPr>
          <w:rFonts w:ascii="Calibri" w:eastAsia="Times New Roman" w:hAnsi="Calibri" w:cs="Calibri"/>
          <w:lang w:val="en-US" w:eastAsia="nl-NL"/>
        </w:rPr>
        <w:t xml:space="preserve">of </w:t>
      </w:r>
      <w:r w:rsidRPr="00473C06">
        <w:rPr>
          <w:rFonts w:ascii="Calibri" w:eastAsia="Times New Roman" w:hAnsi="Calibri" w:cs="Calibri"/>
          <w:lang w:val="en-US" w:eastAsia="nl-NL"/>
        </w:rPr>
        <w:t xml:space="preserve">the stock market participants or only of the stock market non-participants. </w:t>
      </w:r>
      <w:r>
        <w:rPr>
          <w:rFonts w:ascii="Calibri" w:eastAsia="Times New Roman" w:hAnsi="Calibri" w:cs="Calibri"/>
          <w:lang w:val="en-US" w:eastAsia="nl-NL"/>
        </w:rPr>
        <w:t>For example, the mean age of stock market participants was 54.71 years. Stock market participation</w:t>
      </w:r>
      <w:r w:rsidRPr="00473C06">
        <w:rPr>
          <w:rFonts w:ascii="Calibri" w:eastAsia="Times New Roman" w:hAnsi="Calibri" w:cs="Calibri"/>
          <w:lang w:val="en-US" w:eastAsia="nl-NL"/>
        </w:rPr>
        <w:t xml:space="preserve"> is a dummy variable, </w:t>
      </w:r>
      <w:r>
        <w:rPr>
          <w:rFonts w:ascii="Calibri" w:eastAsia="Times New Roman" w:hAnsi="Calibri" w:cs="Calibri"/>
          <w:lang w:val="en-US" w:eastAsia="nl-NL"/>
        </w:rPr>
        <w:t xml:space="preserve">since a subject either </w:t>
      </w:r>
      <w:r w:rsidRPr="00473C06">
        <w:rPr>
          <w:rFonts w:ascii="Calibri" w:eastAsia="Times New Roman" w:hAnsi="Calibri" w:cs="Calibri"/>
          <w:lang w:val="en-US" w:eastAsia="nl-NL"/>
        </w:rPr>
        <w:t xml:space="preserve">owns stocks or </w:t>
      </w:r>
      <w:r>
        <w:rPr>
          <w:rFonts w:ascii="Calibri" w:eastAsia="Times New Roman" w:hAnsi="Calibri" w:cs="Calibri"/>
          <w:lang w:val="en-US" w:eastAsia="nl-NL"/>
        </w:rPr>
        <w:t xml:space="preserve">a subject </w:t>
      </w:r>
      <w:r w:rsidRPr="00473C06">
        <w:rPr>
          <w:rFonts w:ascii="Calibri" w:eastAsia="Times New Roman" w:hAnsi="Calibri" w:cs="Calibri"/>
          <w:lang w:val="en-US" w:eastAsia="nl-NL"/>
        </w:rPr>
        <w:t>doesn’t</w:t>
      </w:r>
      <w:r>
        <w:rPr>
          <w:rFonts w:ascii="Calibri" w:eastAsia="Times New Roman" w:hAnsi="Calibri" w:cs="Calibri"/>
          <w:lang w:val="en-US" w:eastAsia="nl-NL"/>
        </w:rPr>
        <w:t xml:space="preserve"> own stocks</w:t>
      </w:r>
      <w:r w:rsidRPr="00473C06">
        <w:rPr>
          <w:rFonts w:ascii="Calibri" w:eastAsia="Times New Roman" w:hAnsi="Calibri" w:cs="Calibri"/>
          <w:lang w:val="en-US" w:eastAsia="nl-NL"/>
        </w:rPr>
        <w:t xml:space="preserve">. Female </w:t>
      </w:r>
      <w:r>
        <w:rPr>
          <w:rFonts w:ascii="Calibri" w:eastAsia="Times New Roman" w:hAnsi="Calibri" w:cs="Calibri"/>
          <w:lang w:val="en-US" w:eastAsia="nl-NL"/>
        </w:rPr>
        <w:t xml:space="preserve">(gender) </w:t>
      </w:r>
      <w:r w:rsidRPr="00473C06">
        <w:rPr>
          <w:rFonts w:ascii="Calibri" w:eastAsia="Times New Roman" w:hAnsi="Calibri" w:cs="Calibri"/>
          <w:lang w:val="en-US" w:eastAsia="nl-NL"/>
        </w:rPr>
        <w:t xml:space="preserve">and ‘living with a partner’ are also dummy variables. The income presented is the monthly </w:t>
      </w:r>
      <w:r>
        <w:rPr>
          <w:rFonts w:ascii="Calibri" w:eastAsia="Times New Roman" w:hAnsi="Calibri" w:cs="Calibri"/>
          <w:lang w:val="en-US" w:eastAsia="nl-NL"/>
        </w:rPr>
        <w:t xml:space="preserve">mean </w:t>
      </w:r>
      <w:r w:rsidRPr="00473C06">
        <w:rPr>
          <w:rFonts w:ascii="Calibri" w:eastAsia="Times New Roman" w:hAnsi="Calibri" w:cs="Calibri"/>
          <w:lang w:val="en-US" w:eastAsia="nl-NL"/>
        </w:rPr>
        <w:t>gros</w:t>
      </w:r>
      <w:r>
        <w:rPr>
          <w:rFonts w:ascii="Calibri" w:eastAsia="Times New Roman" w:hAnsi="Calibri" w:cs="Calibri"/>
          <w:lang w:val="en-US" w:eastAsia="nl-NL"/>
        </w:rPr>
        <w:t>s income on the household level in euros. Education is an ordinal variable with 6 categories, ranging from primary school to a university degree. The bracketed abbreviations indicate the equivalent counterpart within the Dutch educational system.</w:t>
      </w:r>
    </w:p>
    <w:tbl>
      <w:tblPr>
        <w:tblpPr w:leftFromText="141" w:rightFromText="141" w:vertAnchor="page" w:horzAnchor="margin" w:tblpXSpec="center" w:tblpY="2271"/>
        <w:tblW w:w="10452" w:type="dxa"/>
        <w:tblCellMar>
          <w:left w:w="70" w:type="dxa"/>
          <w:right w:w="70" w:type="dxa"/>
        </w:tblCellMar>
        <w:tblLook w:val="04A0" w:firstRow="1" w:lastRow="0" w:firstColumn="1" w:lastColumn="0" w:noHBand="0" w:noVBand="1"/>
      </w:tblPr>
      <w:tblGrid>
        <w:gridCol w:w="3652"/>
        <w:gridCol w:w="1320"/>
        <w:gridCol w:w="2500"/>
        <w:gridCol w:w="2980"/>
      </w:tblGrid>
      <w:tr w:rsidR="00073887" w:rsidRPr="006A218C" w:rsidTr="003C4867">
        <w:trPr>
          <w:trHeight w:val="300"/>
        </w:trPr>
        <w:tc>
          <w:tcPr>
            <w:tcW w:w="3652" w:type="dxa"/>
            <w:tcBorders>
              <w:top w:val="single" w:sz="4" w:space="0" w:color="auto"/>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b/>
                <w:bCs/>
                <w:color w:val="000000"/>
                <w:lang w:eastAsia="nl-NL"/>
              </w:rPr>
            </w:pPr>
            <w:r w:rsidRPr="006A218C">
              <w:rPr>
                <w:rFonts w:ascii="Calibri" w:eastAsia="Times New Roman" w:hAnsi="Calibri" w:cs="Calibri"/>
                <w:b/>
                <w:bCs/>
                <w:color w:val="000000"/>
                <w:lang w:eastAsia="nl-NL"/>
              </w:rPr>
              <w:lastRenderedPageBreak/>
              <w:t>Variable</w:t>
            </w:r>
          </w:p>
        </w:tc>
        <w:tc>
          <w:tcPr>
            <w:tcW w:w="1320" w:type="dxa"/>
            <w:tcBorders>
              <w:top w:val="single" w:sz="4" w:space="0" w:color="auto"/>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b/>
                <w:bCs/>
                <w:color w:val="000000"/>
                <w:lang w:eastAsia="nl-NL"/>
              </w:rPr>
            </w:pPr>
            <w:r w:rsidRPr="006A218C">
              <w:rPr>
                <w:rFonts w:ascii="Calibri" w:eastAsia="Times New Roman" w:hAnsi="Calibri" w:cs="Calibri"/>
                <w:b/>
                <w:bCs/>
                <w:color w:val="000000"/>
                <w:lang w:eastAsia="nl-NL"/>
              </w:rPr>
              <w:t>All</w:t>
            </w:r>
          </w:p>
        </w:tc>
        <w:tc>
          <w:tcPr>
            <w:tcW w:w="2500" w:type="dxa"/>
            <w:tcBorders>
              <w:top w:val="single" w:sz="4" w:space="0" w:color="auto"/>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b/>
                <w:bCs/>
                <w:color w:val="000000"/>
                <w:lang w:eastAsia="nl-NL"/>
              </w:rPr>
            </w:pPr>
            <w:r w:rsidRPr="006A218C">
              <w:rPr>
                <w:rFonts w:ascii="Calibri" w:eastAsia="Times New Roman" w:hAnsi="Calibri" w:cs="Calibri"/>
                <w:b/>
                <w:bCs/>
                <w:color w:val="000000"/>
                <w:lang w:eastAsia="nl-NL"/>
              </w:rPr>
              <w:t>Stock Market Participants</w:t>
            </w:r>
          </w:p>
        </w:tc>
        <w:tc>
          <w:tcPr>
            <w:tcW w:w="2980" w:type="dxa"/>
            <w:tcBorders>
              <w:top w:val="single" w:sz="4" w:space="0" w:color="auto"/>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b/>
                <w:bCs/>
                <w:color w:val="000000"/>
                <w:lang w:eastAsia="nl-NL"/>
              </w:rPr>
            </w:pPr>
            <w:r w:rsidRPr="006A218C">
              <w:rPr>
                <w:rFonts w:ascii="Calibri" w:eastAsia="Times New Roman" w:hAnsi="Calibri" w:cs="Calibri"/>
                <w:b/>
                <w:bCs/>
                <w:color w:val="000000"/>
                <w:lang w:eastAsia="nl-NL"/>
              </w:rPr>
              <w:t>Stock Market Non-Participants</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Stock Market Participant</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18,87%</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100%</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0</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Gross Household Income</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€ 3.810,66</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€ 4.766,56</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€ 3.588,84</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Age</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50,11 years</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54,71 years</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49,04 years</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Female</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53%</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35%</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57%</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Household Size</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2,47</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2,31</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2,51</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Living with a Partner</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73%</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76%</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72%</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r w:rsidRPr="006A218C">
              <w:rPr>
                <w:rFonts w:ascii="Calibri" w:eastAsia="Times New Roman" w:hAnsi="Calibri" w:cs="Calibri"/>
                <w:color w:val="000000"/>
                <w:lang w:eastAsia="nl-NL"/>
              </w:rPr>
              <w:t>Education</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Calibri" w:eastAsia="Times New Roman" w:hAnsi="Calibri" w:cs="Calibri"/>
                <w:color w:val="000000"/>
                <w:lang w:eastAsia="nl-NL"/>
              </w:rPr>
            </w:pP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Times New Roman" w:eastAsia="Times New Roman" w:hAnsi="Times New Roman" w:cs="Times New Roman"/>
                <w:lang w:eastAsia="nl-NL"/>
              </w:rPr>
            </w:pP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rPr>
                <w:rFonts w:ascii="Times New Roman" w:eastAsia="Times New Roman" w:hAnsi="Times New Roman" w:cs="Times New Roman"/>
                <w:lang w:eastAsia="nl-NL"/>
              </w:rPr>
            </w:pP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Low (Primary school)</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4,8%</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1,3%</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5,6%</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Low / Intermediate (VMBO)</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28,6%</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18,0%</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31,0%</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High / Intermediate (havo/VWO)</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10,6%</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8,7%</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11,0%</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Vocational 1 (MBO)</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20,5%</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20,0%</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20,6%</w:t>
            </w:r>
          </w:p>
        </w:tc>
      </w:tr>
      <w:tr w:rsidR="00073887" w:rsidRPr="006A218C" w:rsidTr="003C4867">
        <w:trPr>
          <w:trHeight w:val="300"/>
        </w:trPr>
        <w:tc>
          <w:tcPr>
            <w:tcW w:w="3652"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Vocational 2 (HBO)</w:t>
            </w:r>
          </w:p>
        </w:tc>
        <w:tc>
          <w:tcPr>
            <w:tcW w:w="132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21,4%</w:t>
            </w:r>
          </w:p>
        </w:tc>
        <w:tc>
          <w:tcPr>
            <w:tcW w:w="250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29,3%</w:t>
            </w:r>
          </w:p>
        </w:tc>
        <w:tc>
          <w:tcPr>
            <w:tcW w:w="2980" w:type="dxa"/>
            <w:tcBorders>
              <w:top w:val="nil"/>
              <w:left w:val="nil"/>
              <w:bottom w:val="nil"/>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19,5%</w:t>
            </w:r>
          </w:p>
        </w:tc>
      </w:tr>
      <w:tr w:rsidR="00073887" w:rsidRPr="006A218C" w:rsidTr="003C4867">
        <w:trPr>
          <w:trHeight w:val="300"/>
        </w:trPr>
        <w:tc>
          <w:tcPr>
            <w:tcW w:w="3652" w:type="dxa"/>
            <w:tcBorders>
              <w:top w:val="nil"/>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ind w:firstLineChars="200" w:firstLine="440"/>
              <w:rPr>
                <w:rFonts w:ascii="Calibri" w:eastAsia="Times New Roman" w:hAnsi="Calibri" w:cs="Calibri"/>
                <w:i/>
                <w:iCs/>
                <w:color w:val="000000"/>
                <w:lang w:eastAsia="nl-NL"/>
              </w:rPr>
            </w:pPr>
            <w:r w:rsidRPr="006A218C">
              <w:rPr>
                <w:rFonts w:ascii="Calibri" w:eastAsia="Times New Roman" w:hAnsi="Calibri" w:cs="Calibri"/>
                <w:i/>
                <w:iCs/>
                <w:color w:val="000000"/>
                <w:lang w:eastAsia="nl-NL"/>
              </w:rPr>
              <w:t>University</w:t>
            </w:r>
          </w:p>
        </w:tc>
        <w:tc>
          <w:tcPr>
            <w:tcW w:w="1320" w:type="dxa"/>
            <w:tcBorders>
              <w:top w:val="nil"/>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8,8%</w:t>
            </w:r>
          </w:p>
        </w:tc>
        <w:tc>
          <w:tcPr>
            <w:tcW w:w="2500" w:type="dxa"/>
            <w:tcBorders>
              <w:top w:val="nil"/>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19,3%</w:t>
            </w:r>
          </w:p>
        </w:tc>
        <w:tc>
          <w:tcPr>
            <w:tcW w:w="2980" w:type="dxa"/>
            <w:tcBorders>
              <w:top w:val="nil"/>
              <w:left w:val="nil"/>
              <w:bottom w:val="single" w:sz="4" w:space="0" w:color="auto"/>
              <w:right w:val="nil"/>
            </w:tcBorders>
            <w:shd w:val="clear" w:color="auto" w:fill="auto"/>
            <w:noWrap/>
            <w:vAlign w:val="bottom"/>
            <w:hideMark/>
          </w:tcPr>
          <w:p w:rsidR="00073887" w:rsidRPr="006A218C" w:rsidRDefault="00073887" w:rsidP="003C4867">
            <w:pPr>
              <w:spacing w:after="0" w:line="360" w:lineRule="auto"/>
              <w:jc w:val="right"/>
              <w:rPr>
                <w:rFonts w:ascii="Calibri" w:eastAsia="Times New Roman" w:hAnsi="Calibri" w:cs="Calibri"/>
                <w:color w:val="000000"/>
                <w:lang w:eastAsia="nl-NL"/>
              </w:rPr>
            </w:pPr>
            <w:r w:rsidRPr="006A218C">
              <w:rPr>
                <w:rFonts w:ascii="Calibri" w:eastAsia="Times New Roman" w:hAnsi="Calibri" w:cs="Calibri"/>
                <w:color w:val="000000"/>
                <w:lang w:eastAsia="nl-NL"/>
              </w:rPr>
              <w:t>6,4%</w:t>
            </w:r>
          </w:p>
        </w:tc>
      </w:tr>
    </w:tbl>
    <w:p w:rsidR="00073887" w:rsidRPr="006A218C" w:rsidRDefault="00073887" w:rsidP="009D7C75">
      <w:pPr>
        <w:spacing w:line="360" w:lineRule="auto"/>
        <w:jc w:val="both"/>
        <w:rPr>
          <w:rFonts w:ascii="Calibri" w:eastAsia="Times New Roman" w:hAnsi="Calibri" w:cs="Calibri"/>
          <w:b/>
          <w:lang w:val="en-US" w:eastAsia="nl-NL"/>
        </w:rPr>
      </w:pPr>
      <w:r>
        <w:rPr>
          <w:rFonts w:ascii="Calibri" w:eastAsia="Times New Roman" w:hAnsi="Calibri" w:cs="Calibri"/>
          <w:lang w:val="en-US" w:eastAsia="nl-NL"/>
        </w:rPr>
        <w:t>As a first impression, gross m</w:t>
      </w:r>
      <w:r w:rsidRPr="006A218C">
        <w:rPr>
          <w:rFonts w:ascii="Calibri" w:eastAsia="Times New Roman" w:hAnsi="Calibri" w:cs="Calibri"/>
          <w:lang w:val="en-US" w:eastAsia="nl-NL"/>
        </w:rPr>
        <w:t xml:space="preserve">onthly income </w:t>
      </w:r>
      <w:r>
        <w:rPr>
          <w:rFonts w:ascii="Calibri" w:eastAsia="Times New Roman" w:hAnsi="Calibri" w:cs="Calibri"/>
          <w:lang w:val="en-US" w:eastAsia="nl-NL"/>
        </w:rPr>
        <w:t xml:space="preserve">appears to be </w:t>
      </w:r>
      <w:r w:rsidRPr="006A218C">
        <w:rPr>
          <w:rFonts w:ascii="Calibri" w:eastAsia="Times New Roman" w:hAnsi="Calibri" w:cs="Calibri"/>
          <w:lang w:val="en-US" w:eastAsia="nl-NL"/>
        </w:rPr>
        <w:t xml:space="preserve">higher </w:t>
      </w:r>
      <w:r w:rsidR="008324FE">
        <w:rPr>
          <w:rFonts w:ascii="Calibri" w:eastAsia="Times New Roman" w:hAnsi="Calibri" w:cs="Calibri"/>
          <w:lang w:val="en-US" w:eastAsia="nl-NL"/>
        </w:rPr>
        <w:t>among</w:t>
      </w:r>
      <w:r w:rsidRPr="006A218C">
        <w:rPr>
          <w:rFonts w:ascii="Calibri" w:eastAsia="Times New Roman" w:hAnsi="Calibri" w:cs="Calibri"/>
          <w:lang w:val="en-US" w:eastAsia="nl-NL"/>
        </w:rPr>
        <w:t xml:space="preserve"> stock market participants. </w:t>
      </w:r>
      <w:r>
        <w:rPr>
          <w:rFonts w:ascii="Calibri" w:eastAsia="Times New Roman" w:hAnsi="Calibri" w:cs="Calibri"/>
          <w:lang w:val="en-US" w:eastAsia="nl-NL"/>
        </w:rPr>
        <w:t>The male/female proportion seems to be distorted among stock market participants. Stock market participants</w:t>
      </w:r>
      <w:r w:rsidRPr="006A218C">
        <w:rPr>
          <w:rFonts w:ascii="Calibri" w:eastAsia="Times New Roman" w:hAnsi="Calibri" w:cs="Calibri"/>
          <w:lang w:val="en-US" w:eastAsia="nl-NL"/>
        </w:rPr>
        <w:t xml:space="preserve"> </w:t>
      </w:r>
      <w:r>
        <w:rPr>
          <w:rFonts w:ascii="Calibri" w:eastAsia="Times New Roman" w:hAnsi="Calibri" w:cs="Calibri"/>
          <w:lang w:val="en-US" w:eastAsia="nl-NL"/>
        </w:rPr>
        <w:t>appear to have completed higher levels of education. Stock market participants appear to be older, although this difference is unlikely to be significant.</w:t>
      </w:r>
    </w:p>
    <w:p w:rsidR="00073887" w:rsidRPr="00DF777D" w:rsidRDefault="00073887" w:rsidP="00BF673D">
      <w:pPr>
        <w:pStyle w:val="Heading3"/>
        <w:jc w:val="both"/>
        <w:rPr>
          <w:rFonts w:asciiTheme="minorHAnsi" w:eastAsia="Times New Roman" w:hAnsiTheme="minorHAnsi" w:cstheme="minorHAnsi"/>
          <w:b/>
          <w:color w:val="000000" w:themeColor="text1"/>
          <w:lang w:val="en-US" w:eastAsia="nl-NL"/>
        </w:rPr>
      </w:pPr>
      <w:bookmarkStart w:id="18" w:name="_Toc422695287"/>
      <w:r w:rsidRPr="00DF777D">
        <w:rPr>
          <w:rFonts w:asciiTheme="minorHAnsi" w:eastAsia="Times New Roman" w:hAnsiTheme="minorHAnsi" w:cstheme="minorHAnsi"/>
          <w:b/>
          <w:color w:val="000000" w:themeColor="text1"/>
          <w:lang w:val="en-US" w:eastAsia="nl-NL"/>
        </w:rPr>
        <w:t>3.2.2 Ambiguity and Risk Attitudes</w:t>
      </w:r>
      <w:bookmarkEnd w:id="18"/>
    </w:p>
    <w:p w:rsidR="00073887" w:rsidRDefault="00073887" w:rsidP="00BF673D">
      <w:pPr>
        <w:spacing w:before="240" w:line="360" w:lineRule="auto"/>
        <w:jc w:val="both"/>
        <w:rPr>
          <w:rFonts w:ascii="Calibri" w:eastAsia="Times New Roman" w:hAnsi="Calibri" w:cs="Calibri"/>
          <w:lang w:val="en-US" w:eastAsia="nl-NL"/>
        </w:rPr>
      </w:pPr>
      <w:r>
        <w:rPr>
          <w:rFonts w:ascii="Calibri" w:eastAsia="Times New Roman" w:hAnsi="Calibri" w:cs="Calibri"/>
          <w:lang w:val="en-US" w:eastAsia="nl-NL"/>
        </w:rPr>
        <w:t xml:space="preserve">The ambiguity and risk attitudes were derived from several questions posed by Dimmock et al. </w:t>
      </w:r>
      <w:sdt>
        <w:sdtPr>
          <w:rPr>
            <w:rFonts w:ascii="Calibri" w:eastAsia="Times New Roman" w:hAnsi="Calibri" w:cs="Calibri"/>
            <w:lang w:val="en-US" w:eastAsia="nl-NL"/>
          </w:rPr>
          <w:id w:val="-952785123"/>
          <w:citation/>
        </w:sdtPr>
        <w:sdtEndPr/>
        <w:sdtContent>
          <w:r w:rsidR="002C21C9">
            <w:rPr>
              <w:rFonts w:ascii="Calibri" w:eastAsia="Times New Roman" w:hAnsi="Calibri" w:cs="Calibri"/>
              <w:lang w:val="en-US" w:eastAsia="nl-NL"/>
            </w:rPr>
            <w:fldChar w:fldCharType="begin"/>
          </w:r>
          <w:r w:rsidR="002C21C9">
            <w:rPr>
              <w:rFonts w:ascii="Calibri" w:eastAsia="Times New Roman" w:hAnsi="Calibri" w:cs="Calibri"/>
              <w:lang w:val="en-US" w:eastAsia="nl-NL"/>
            </w:rPr>
            <w:instrText xml:space="preserve">CITATION Dim14 \n  \t  \l 1033 </w:instrText>
          </w:r>
          <w:r w:rsidR="002C21C9">
            <w:rPr>
              <w:rFonts w:ascii="Calibri" w:eastAsia="Times New Roman" w:hAnsi="Calibri" w:cs="Calibri"/>
              <w:lang w:val="en-US" w:eastAsia="nl-NL"/>
            </w:rPr>
            <w:fldChar w:fldCharType="separate"/>
          </w:r>
          <w:r w:rsidR="002C23B4" w:rsidRPr="002C23B4">
            <w:rPr>
              <w:rFonts w:ascii="Calibri" w:eastAsia="Times New Roman" w:hAnsi="Calibri" w:cs="Calibri"/>
              <w:noProof/>
              <w:lang w:val="en-US" w:eastAsia="nl-NL"/>
            </w:rPr>
            <w:t>(2014)</w:t>
          </w:r>
          <w:r w:rsidR="002C21C9">
            <w:rPr>
              <w:rFonts w:ascii="Calibri" w:eastAsia="Times New Roman" w:hAnsi="Calibri" w:cs="Calibri"/>
              <w:lang w:val="en-US" w:eastAsia="nl-NL"/>
            </w:rPr>
            <w:fldChar w:fldCharType="end"/>
          </w:r>
        </w:sdtContent>
      </w:sdt>
      <w:r w:rsidR="002C21C9">
        <w:rPr>
          <w:rFonts w:ascii="Calibri" w:eastAsia="Times New Roman" w:hAnsi="Calibri" w:cs="Calibri"/>
          <w:lang w:val="en-US" w:eastAsia="nl-NL"/>
        </w:rPr>
        <w:t xml:space="preserve"> </w:t>
      </w:r>
      <w:r>
        <w:rPr>
          <w:rFonts w:ascii="Calibri" w:eastAsia="Times New Roman" w:hAnsi="Calibri" w:cs="Calibri"/>
          <w:lang w:val="en-US" w:eastAsia="nl-NL"/>
        </w:rPr>
        <w:t xml:space="preserve">Ambiguity aversion 0.5 for example was derived from a question inspired by the Ellsberg paradox. Two urns are presented, one urn contains 50 red balls and 50 blue balls and the second urn contains red and </w:t>
      </w:r>
      <w:r>
        <w:rPr>
          <w:rFonts w:ascii="Calibri" w:eastAsia="Times New Roman" w:hAnsi="Calibri" w:cs="Calibri"/>
          <w:lang w:val="en-US" w:eastAsia="nl-NL"/>
        </w:rPr>
        <w:lastRenderedPageBreak/>
        <w:t>blue balls in an unknown proportion. The subject is to select a color and is promised a payout if a ball of that color is drawn from an urn. The subject is then to select an urn</w:t>
      </w:r>
      <w:r w:rsidR="007051B4">
        <w:rPr>
          <w:rFonts w:ascii="Calibri" w:eastAsia="Times New Roman" w:hAnsi="Calibri" w:cs="Calibri"/>
          <w:lang w:val="en-US" w:eastAsia="nl-NL"/>
        </w:rPr>
        <w:t xml:space="preserve"> to draw a ball from</w:t>
      </w:r>
      <w:r>
        <w:rPr>
          <w:rFonts w:ascii="Calibri" w:eastAsia="Times New Roman" w:hAnsi="Calibri" w:cs="Calibri"/>
          <w:lang w:val="en-US" w:eastAsia="nl-NL"/>
        </w:rPr>
        <w:t xml:space="preserve">. If the subject selects the known urn, the subject is coded as ambiguity averse, since </w:t>
      </w:r>
      <w:r w:rsidR="00342BB1">
        <w:rPr>
          <w:rFonts w:ascii="Calibri" w:eastAsia="Times New Roman" w:hAnsi="Calibri" w:cs="Calibri"/>
          <w:lang w:val="en-US" w:eastAsia="nl-NL"/>
        </w:rPr>
        <w:t xml:space="preserve">he or </w:t>
      </w:r>
      <w:r>
        <w:rPr>
          <w:rFonts w:ascii="Calibri" w:eastAsia="Times New Roman" w:hAnsi="Calibri" w:cs="Calibri"/>
          <w:lang w:val="en-US" w:eastAsia="nl-NL"/>
        </w:rPr>
        <w:t>she avoided the ambiguous urn. If the subject chose the ambiguous urn, the subject is coded ambiguity seeking.</w:t>
      </w:r>
      <w:r w:rsidR="00110D6D">
        <w:rPr>
          <w:rFonts w:ascii="Calibri" w:eastAsia="Times New Roman" w:hAnsi="Calibri" w:cs="Calibri"/>
          <w:lang w:val="en-US" w:eastAsia="nl-NL"/>
        </w:rPr>
        <w:t xml:space="preserve"> Indifference between</w:t>
      </w:r>
      <w:r w:rsidR="003946EA">
        <w:rPr>
          <w:rFonts w:ascii="Calibri" w:eastAsia="Times New Roman" w:hAnsi="Calibri" w:cs="Calibri"/>
          <w:lang w:val="en-US" w:eastAsia="nl-NL"/>
        </w:rPr>
        <w:t xml:space="preserve"> the</w:t>
      </w:r>
      <w:r w:rsidR="00110D6D">
        <w:rPr>
          <w:rFonts w:ascii="Calibri" w:eastAsia="Times New Roman" w:hAnsi="Calibri" w:cs="Calibri"/>
          <w:lang w:val="en-US" w:eastAsia="nl-NL"/>
        </w:rPr>
        <w:t xml:space="preserve"> urns was pooled with ambiguity seeking.</w:t>
      </w:r>
    </w:p>
    <w:p w:rsidR="00073887" w:rsidRDefault="00073887" w:rsidP="00BF673D">
      <w:pPr>
        <w:spacing w:before="240" w:line="360" w:lineRule="auto"/>
        <w:jc w:val="both"/>
        <w:rPr>
          <w:rFonts w:ascii="Calibri" w:eastAsia="Times New Roman" w:hAnsi="Calibri" w:cs="Calibri"/>
          <w:lang w:val="en-US" w:eastAsia="nl-NL"/>
        </w:rPr>
      </w:pPr>
      <w:r>
        <w:rPr>
          <w:rFonts w:ascii="Calibri" w:eastAsia="Times New Roman" w:hAnsi="Calibri" w:cs="Calibri"/>
          <w:lang w:val="en-US" w:eastAsia="nl-NL"/>
        </w:rPr>
        <w:t xml:space="preserve">A similar question was used to derive ambiguity aversion 0.1, only the known urn contained 10 balls of 10 different colors. </w:t>
      </w:r>
      <w:r w:rsidR="008630CE">
        <w:rPr>
          <w:rFonts w:ascii="Calibri" w:eastAsia="Times New Roman" w:hAnsi="Calibri" w:cs="Calibri"/>
          <w:lang w:val="en-US" w:eastAsia="nl-NL"/>
        </w:rPr>
        <w:t xml:space="preserve">The unknown urn contained 100 balls of 10 colors in </w:t>
      </w:r>
      <w:r w:rsidR="00760342">
        <w:rPr>
          <w:rFonts w:ascii="Calibri" w:eastAsia="Times New Roman" w:hAnsi="Calibri" w:cs="Calibri"/>
          <w:lang w:val="en-US" w:eastAsia="nl-NL"/>
        </w:rPr>
        <w:t xml:space="preserve">an </w:t>
      </w:r>
      <w:r w:rsidR="008630CE">
        <w:rPr>
          <w:rFonts w:ascii="Calibri" w:eastAsia="Times New Roman" w:hAnsi="Calibri" w:cs="Calibri"/>
          <w:lang w:val="en-US" w:eastAsia="nl-NL"/>
        </w:rPr>
        <w:t xml:space="preserve">unknown proportion. </w:t>
      </w:r>
      <w:r>
        <w:rPr>
          <w:rFonts w:ascii="Calibri" w:eastAsia="Times New Roman" w:hAnsi="Calibri" w:cs="Calibri"/>
          <w:lang w:val="en-US" w:eastAsia="nl-NL"/>
        </w:rPr>
        <w:t xml:space="preserve">The subject was rewarded when a ball with his color of choice was drawn. An identical setup was proposed in the question that was used to derive ambiguity aversion 0.9, only now the subject was rewarded when a ball with his color of choice was </w:t>
      </w:r>
      <w:r w:rsidRPr="008F4827">
        <w:rPr>
          <w:rFonts w:ascii="Calibri" w:eastAsia="Times New Roman" w:hAnsi="Calibri" w:cs="Calibri"/>
          <w:i/>
          <w:lang w:val="en-US" w:eastAsia="nl-NL"/>
        </w:rPr>
        <w:t>not</w:t>
      </w:r>
      <w:r>
        <w:rPr>
          <w:rFonts w:ascii="Calibri" w:eastAsia="Times New Roman" w:hAnsi="Calibri" w:cs="Calibri"/>
          <w:lang w:val="en-US" w:eastAsia="nl-NL"/>
        </w:rPr>
        <w:t xml:space="preserve"> drawn.</w:t>
      </w:r>
    </w:p>
    <w:p w:rsidR="00D36FD9" w:rsidRDefault="00D36FD9" w:rsidP="00BF673D">
      <w:pPr>
        <w:spacing w:before="240" w:line="360" w:lineRule="auto"/>
        <w:jc w:val="both"/>
        <w:rPr>
          <w:rFonts w:ascii="Calibri" w:eastAsia="Times New Roman" w:hAnsi="Calibri" w:cs="Calibri"/>
          <w:lang w:val="en-US" w:eastAsia="nl-NL"/>
        </w:rPr>
      </w:pPr>
      <w:r>
        <w:rPr>
          <w:rFonts w:ascii="Calibri" w:eastAsia="Times New Roman" w:hAnsi="Calibri" w:cs="Calibri"/>
          <w:lang w:val="en-US" w:eastAsia="nl-NL"/>
        </w:rPr>
        <w:t>Risk aversion was derived from a seemingly similar, but fundamentally different question. Two urns were presented to the subject, one urn containing 100 blue balls and one urn containing 50 blue and 50 red balls. The subject is promised a payout whenever a blue ball is drawn, but the payouts differ between urns. The subject is</w:t>
      </w:r>
      <w:r w:rsidR="00E2343D">
        <w:rPr>
          <w:rFonts w:ascii="Calibri" w:eastAsia="Times New Roman" w:hAnsi="Calibri" w:cs="Calibri"/>
          <w:lang w:val="en-US" w:eastAsia="nl-NL"/>
        </w:rPr>
        <w:t xml:space="preserve"> promised 500</w:t>
      </w:r>
      <w:r>
        <w:rPr>
          <w:rFonts w:ascii="Calibri" w:eastAsia="Times New Roman" w:hAnsi="Calibri" w:cs="Calibri"/>
          <w:lang w:val="en-US" w:eastAsia="nl-NL"/>
        </w:rPr>
        <w:t xml:space="preserve"> euros when a blue ball is drawn from the all blue</w:t>
      </w:r>
      <w:r w:rsidR="00E2343D">
        <w:rPr>
          <w:rFonts w:ascii="Calibri" w:eastAsia="Times New Roman" w:hAnsi="Calibri" w:cs="Calibri"/>
          <w:lang w:val="en-US" w:eastAsia="nl-NL"/>
        </w:rPr>
        <w:t xml:space="preserve"> ball urn, but 100</w:t>
      </w:r>
      <w:r>
        <w:rPr>
          <w:rFonts w:ascii="Calibri" w:eastAsia="Times New Roman" w:hAnsi="Calibri" w:cs="Calibri"/>
          <w:lang w:val="en-US" w:eastAsia="nl-NL"/>
        </w:rPr>
        <w:t xml:space="preserve">0 euros </w:t>
      </w:r>
      <w:r w:rsidR="00E2343D">
        <w:rPr>
          <w:rFonts w:ascii="Calibri" w:eastAsia="Times New Roman" w:hAnsi="Calibri" w:cs="Calibri"/>
          <w:lang w:val="en-US" w:eastAsia="nl-NL"/>
        </w:rPr>
        <w:t>when a blue ball is drawn from the fifty-fifty urn.</w:t>
      </w:r>
      <w:r w:rsidR="0057397E">
        <w:rPr>
          <w:rFonts w:ascii="Calibri" w:eastAsia="Times New Roman" w:hAnsi="Calibri" w:cs="Calibri"/>
          <w:lang w:val="en-US" w:eastAsia="nl-NL"/>
        </w:rPr>
        <w:t xml:space="preserve"> If the subject chose the all blue ball urn, the subject is coded risk averse. If the subject chose the fifty-fifty urn, the subject is coded risk seeking. </w:t>
      </w:r>
      <w:r w:rsidR="006F2092">
        <w:rPr>
          <w:rFonts w:ascii="Calibri" w:eastAsia="Times New Roman" w:hAnsi="Calibri" w:cs="Calibri"/>
          <w:lang w:val="en-US" w:eastAsia="nl-NL"/>
        </w:rPr>
        <w:t>Indifference between the urns was pooled with risk seeking.</w:t>
      </w:r>
    </w:p>
    <w:p w:rsidR="00073887" w:rsidRDefault="00073887" w:rsidP="00BF673D">
      <w:pPr>
        <w:spacing w:before="240" w:line="360" w:lineRule="auto"/>
        <w:jc w:val="both"/>
        <w:rPr>
          <w:rFonts w:ascii="Calibri" w:eastAsia="Times New Roman" w:hAnsi="Calibri" w:cs="Calibri"/>
          <w:b/>
          <w:sz w:val="24"/>
          <w:lang w:val="en-US" w:eastAsia="nl-NL"/>
        </w:rPr>
      </w:pPr>
      <w:r>
        <w:rPr>
          <w:rFonts w:ascii="Calibri" w:eastAsia="Times New Roman" w:hAnsi="Calibri" w:cs="Calibri"/>
          <w:b/>
          <w:sz w:val="24"/>
          <w:lang w:val="en-US" w:eastAsia="nl-NL"/>
        </w:rPr>
        <w:lastRenderedPageBreak/>
        <w:t xml:space="preserve">Table </w:t>
      </w:r>
      <w:r w:rsidR="009A28F8">
        <w:rPr>
          <w:rFonts w:ascii="Calibri" w:eastAsia="Times New Roman" w:hAnsi="Calibri" w:cs="Calibri"/>
          <w:b/>
          <w:sz w:val="24"/>
          <w:lang w:val="en-US" w:eastAsia="nl-NL"/>
        </w:rPr>
        <w:t>1</w:t>
      </w:r>
      <w:r>
        <w:rPr>
          <w:rFonts w:ascii="Calibri" w:eastAsia="Times New Roman" w:hAnsi="Calibri" w:cs="Calibri"/>
          <w:b/>
          <w:sz w:val="24"/>
          <w:lang w:val="en-US" w:eastAsia="nl-NL"/>
        </w:rPr>
        <w:t>.2 Ambiguity and Risk Aversion Attitudes</w:t>
      </w:r>
    </w:p>
    <w:tbl>
      <w:tblPr>
        <w:tblpPr w:leftFromText="141" w:rightFromText="141" w:vertAnchor="text" w:horzAnchor="margin" w:tblpXSpec="center" w:tblpY="-60"/>
        <w:tblW w:w="10320" w:type="dxa"/>
        <w:tblCellMar>
          <w:left w:w="70" w:type="dxa"/>
          <w:right w:w="70" w:type="dxa"/>
        </w:tblCellMar>
        <w:tblLook w:val="04A0" w:firstRow="1" w:lastRow="0" w:firstColumn="1" w:lastColumn="0" w:noHBand="0" w:noVBand="1"/>
      </w:tblPr>
      <w:tblGrid>
        <w:gridCol w:w="3520"/>
        <w:gridCol w:w="1320"/>
        <w:gridCol w:w="2500"/>
        <w:gridCol w:w="2980"/>
      </w:tblGrid>
      <w:tr w:rsidR="00BF673D" w:rsidRPr="00A102DE" w:rsidTr="00BF673D">
        <w:trPr>
          <w:trHeight w:val="300"/>
        </w:trPr>
        <w:tc>
          <w:tcPr>
            <w:tcW w:w="3520" w:type="dxa"/>
            <w:tcBorders>
              <w:top w:val="single" w:sz="4" w:space="0" w:color="auto"/>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rPr>
                <w:rFonts w:ascii="Calibri" w:eastAsia="Times New Roman" w:hAnsi="Calibri" w:cs="Calibri"/>
                <w:b/>
                <w:bCs/>
                <w:color w:val="000000"/>
                <w:lang w:val="en-US" w:eastAsia="nl-NL"/>
              </w:rPr>
            </w:pPr>
            <w:r w:rsidRPr="00A102DE">
              <w:rPr>
                <w:rFonts w:ascii="Calibri" w:eastAsia="Times New Roman" w:hAnsi="Calibri" w:cs="Calibri"/>
                <w:b/>
                <w:bCs/>
                <w:color w:val="000000"/>
                <w:lang w:val="en-US" w:eastAsia="nl-NL"/>
              </w:rPr>
              <w:t>Variable</w:t>
            </w:r>
          </w:p>
        </w:tc>
        <w:tc>
          <w:tcPr>
            <w:tcW w:w="1320" w:type="dxa"/>
            <w:tcBorders>
              <w:top w:val="single" w:sz="4" w:space="0" w:color="auto"/>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b/>
                <w:bCs/>
                <w:color w:val="000000"/>
                <w:lang w:val="en-US" w:eastAsia="nl-NL"/>
              </w:rPr>
            </w:pPr>
            <w:r w:rsidRPr="00A102DE">
              <w:rPr>
                <w:rFonts w:ascii="Calibri" w:eastAsia="Times New Roman" w:hAnsi="Calibri" w:cs="Calibri"/>
                <w:b/>
                <w:bCs/>
                <w:color w:val="000000"/>
                <w:lang w:val="en-US" w:eastAsia="nl-NL"/>
              </w:rPr>
              <w:t>All</w:t>
            </w:r>
          </w:p>
        </w:tc>
        <w:tc>
          <w:tcPr>
            <w:tcW w:w="2500" w:type="dxa"/>
            <w:tcBorders>
              <w:top w:val="single" w:sz="4" w:space="0" w:color="auto"/>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b/>
                <w:bCs/>
                <w:color w:val="000000"/>
                <w:lang w:val="en-US" w:eastAsia="nl-NL"/>
              </w:rPr>
            </w:pPr>
            <w:r w:rsidRPr="00A102DE">
              <w:rPr>
                <w:rFonts w:ascii="Calibri" w:eastAsia="Times New Roman" w:hAnsi="Calibri" w:cs="Calibri"/>
                <w:b/>
                <w:bCs/>
                <w:color w:val="000000"/>
                <w:lang w:val="en-US" w:eastAsia="nl-NL"/>
              </w:rPr>
              <w:t>Stock Market Participants</w:t>
            </w:r>
          </w:p>
        </w:tc>
        <w:tc>
          <w:tcPr>
            <w:tcW w:w="2980" w:type="dxa"/>
            <w:tcBorders>
              <w:top w:val="single" w:sz="4" w:space="0" w:color="auto"/>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b/>
                <w:bCs/>
                <w:color w:val="000000"/>
                <w:lang w:val="en-US" w:eastAsia="nl-NL"/>
              </w:rPr>
            </w:pPr>
            <w:r w:rsidRPr="00A102DE">
              <w:rPr>
                <w:rFonts w:ascii="Calibri" w:eastAsia="Times New Roman" w:hAnsi="Calibri" w:cs="Calibri"/>
                <w:b/>
                <w:bCs/>
                <w:color w:val="000000"/>
                <w:lang w:val="en-US" w:eastAsia="nl-NL"/>
              </w:rPr>
              <w:t>Stock Market Non-Participants</w:t>
            </w:r>
          </w:p>
        </w:tc>
      </w:tr>
      <w:tr w:rsidR="00BF673D" w:rsidRPr="00A102DE" w:rsidTr="00BF673D">
        <w:trPr>
          <w:trHeight w:val="300"/>
        </w:trPr>
        <w:tc>
          <w:tcPr>
            <w:tcW w:w="35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rPr>
                <w:rFonts w:ascii="Calibri" w:eastAsia="Times New Roman" w:hAnsi="Calibri" w:cs="Calibri"/>
                <w:color w:val="000000"/>
                <w:lang w:val="en-US" w:eastAsia="nl-NL"/>
              </w:rPr>
            </w:pPr>
            <w:r w:rsidRPr="00A102DE">
              <w:rPr>
                <w:rFonts w:ascii="Calibri" w:eastAsia="Times New Roman" w:hAnsi="Calibri" w:cs="Calibri"/>
                <w:color w:val="000000"/>
                <w:lang w:val="en-US" w:eastAsia="nl-NL"/>
              </w:rPr>
              <w:t>Ambiguity Averse 0,1</w:t>
            </w:r>
          </w:p>
        </w:tc>
        <w:tc>
          <w:tcPr>
            <w:tcW w:w="13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val="en-US" w:eastAsia="nl-NL"/>
              </w:rPr>
            </w:pPr>
            <w:r w:rsidRPr="00A102DE">
              <w:rPr>
                <w:rFonts w:ascii="Calibri" w:eastAsia="Times New Roman" w:hAnsi="Calibri" w:cs="Calibri"/>
                <w:color w:val="000000"/>
                <w:lang w:val="en-US" w:eastAsia="nl-NL"/>
              </w:rPr>
              <w:t>31,57%</w:t>
            </w:r>
          </w:p>
        </w:tc>
        <w:tc>
          <w:tcPr>
            <w:tcW w:w="250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val="en-US" w:eastAsia="nl-NL"/>
              </w:rPr>
            </w:pPr>
            <w:r w:rsidRPr="00A102DE">
              <w:rPr>
                <w:rFonts w:ascii="Calibri" w:eastAsia="Times New Roman" w:hAnsi="Calibri" w:cs="Calibri"/>
                <w:color w:val="000000"/>
                <w:lang w:val="en-US" w:eastAsia="nl-NL"/>
              </w:rPr>
              <w:t>34,00%</w:t>
            </w:r>
          </w:p>
        </w:tc>
        <w:tc>
          <w:tcPr>
            <w:tcW w:w="298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val="en-US" w:eastAsia="nl-NL"/>
              </w:rPr>
              <w:t>31,01</w:t>
            </w:r>
            <w:r w:rsidRPr="00A102DE">
              <w:rPr>
                <w:rFonts w:ascii="Calibri" w:eastAsia="Times New Roman" w:hAnsi="Calibri" w:cs="Calibri"/>
                <w:color w:val="000000"/>
                <w:lang w:eastAsia="nl-NL"/>
              </w:rPr>
              <w:t>%</w:t>
            </w:r>
          </w:p>
        </w:tc>
      </w:tr>
      <w:tr w:rsidR="00BF673D" w:rsidRPr="00A102DE" w:rsidTr="00BF673D">
        <w:trPr>
          <w:trHeight w:val="300"/>
        </w:trPr>
        <w:tc>
          <w:tcPr>
            <w:tcW w:w="35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rPr>
                <w:rFonts w:ascii="Calibri" w:eastAsia="Times New Roman" w:hAnsi="Calibri" w:cs="Calibri"/>
                <w:color w:val="000000"/>
                <w:lang w:eastAsia="nl-NL"/>
              </w:rPr>
            </w:pPr>
            <w:r w:rsidRPr="00A102DE">
              <w:rPr>
                <w:rFonts w:ascii="Calibri" w:eastAsia="Times New Roman" w:hAnsi="Calibri" w:cs="Calibri"/>
                <w:color w:val="000000"/>
                <w:lang w:eastAsia="nl-NL"/>
              </w:rPr>
              <w:t>Ambiguity Averse 0,5</w:t>
            </w:r>
          </w:p>
        </w:tc>
        <w:tc>
          <w:tcPr>
            <w:tcW w:w="13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62,14%</w:t>
            </w:r>
          </w:p>
        </w:tc>
        <w:tc>
          <w:tcPr>
            <w:tcW w:w="250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64,67%</w:t>
            </w:r>
          </w:p>
        </w:tc>
        <w:tc>
          <w:tcPr>
            <w:tcW w:w="298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61,55%</w:t>
            </w:r>
          </w:p>
        </w:tc>
      </w:tr>
      <w:tr w:rsidR="00BF673D" w:rsidRPr="00A102DE" w:rsidTr="00BF673D">
        <w:trPr>
          <w:trHeight w:val="300"/>
        </w:trPr>
        <w:tc>
          <w:tcPr>
            <w:tcW w:w="35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rPr>
                <w:rFonts w:ascii="Calibri" w:eastAsia="Times New Roman" w:hAnsi="Calibri" w:cs="Calibri"/>
                <w:color w:val="000000"/>
                <w:lang w:eastAsia="nl-NL"/>
              </w:rPr>
            </w:pPr>
            <w:r w:rsidRPr="00A102DE">
              <w:rPr>
                <w:rFonts w:ascii="Calibri" w:eastAsia="Times New Roman" w:hAnsi="Calibri" w:cs="Calibri"/>
                <w:color w:val="000000"/>
                <w:lang w:eastAsia="nl-NL"/>
              </w:rPr>
              <w:t>Ambiguity Averse 0,9</w:t>
            </w:r>
          </w:p>
        </w:tc>
        <w:tc>
          <w:tcPr>
            <w:tcW w:w="132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46,92%</w:t>
            </w:r>
          </w:p>
        </w:tc>
        <w:tc>
          <w:tcPr>
            <w:tcW w:w="250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52,67%</w:t>
            </w:r>
          </w:p>
        </w:tc>
        <w:tc>
          <w:tcPr>
            <w:tcW w:w="2980" w:type="dxa"/>
            <w:tcBorders>
              <w:top w:val="nil"/>
              <w:left w:val="nil"/>
              <w:bottom w:val="nil"/>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45,58%</w:t>
            </w:r>
          </w:p>
        </w:tc>
      </w:tr>
      <w:tr w:rsidR="00BF673D" w:rsidRPr="00A102DE" w:rsidTr="00BF673D">
        <w:trPr>
          <w:trHeight w:val="300"/>
        </w:trPr>
        <w:tc>
          <w:tcPr>
            <w:tcW w:w="3520" w:type="dxa"/>
            <w:tcBorders>
              <w:top w:val="nil"/>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rPr>
                <w:rFonts w:ascii="Calibri" w:eastAsia="Times New Roman" w:hAnsi="Calibri" w:cs="Calibri"/>
                <w:color w:val="000000"/>
                <w:lang w:eastAsia="nl-NL"/>
              </w:rPr>
            </w:pPr>
            <w:r w:rsidRPr="00A102DE">
              <w:rPr>
                <w:rFonts w:ascii="Calibri" w:eastAsia="Times New Roman" w:hAnsi="Calibri" w:cs="Calibri"/>
                <w:color w:val="000000"/>
                <w:lang w:eastAsia="nl-NL"/>
              </w:rPr>
              <w:t>Risk Averse</w:t>
            </w:r>
          </w:p>
        </w:tc>
        <w:tc>
          <w:tcPr>
            <w:tcW w:w="1320" w:type="dxa"/>
            <w:tcBorders>
              <w:top w:val="nil"/>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57,86%</w:t>
            </w:r>
          </w:p>
        </w:tc>
        <w:tc>
          <w:tcPr>
            <w:tcW w:w="2500" w:type="dxa"/>
            <w:tcBorders>
              <w:top w:val="nil"/>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65,3%</w:t>
            </w:r>
          </w:p>
        </w:tc>
        <w:tc>
          <w:tcPr>
            <w:tcW w:w="2980" w:type="dxa"/>
            <w:tcBorders>
              <w:top w:val="nil"/>
              <w:left w:val="nil"/>
              <w:bottom w:val="single" w:sz="4" w:space="0" w:color="auto"/>
              <w:right w:val="nil"/>
            </w:tcBorders>
            <w:shd w:val="clear" w:color="auto" w:fill="auto"/>
            <w:noWrap/>
            <w:vAlign w:val="bottom"/>
            <w:hideMark/>
          </w:tcPr>
          <w:p w:rsidR="00BF673D" w:rsidRPr="00A102DE" w:rsidRDefault="00BF673D" w:rsidP="00BF673D">
            <w:pPr>
              <w:spacing w:after="0" w:line="360" w:lineRule="auto"/>
              <w:jc w:val="right"/>
              <w:rPr>
                <w:rFonts w:ascii="Calibri" w:eastAsia="Times New Roman" w:hAnsi="Calibri" w:cs="Calibri"/>
                <w:color w:val="000000"/>
                <w:lang w:eastAsia="nl-NL"/>
              </w:rPr>
            </w:pPr>
            <w:r w:rsidRPr="00A102DE">
              <w:rPr>
                <w:rFonts w:ascii="Calibri" w:eastAsia="Times New Roman" w:hAnsi="Calibri" w:cs="Calibri"/>
                <w:color w:val="000000"/>
                <w:lang w:eastAsia="nl-NL"/>
              </w:rPr>
              <w:t>56,1%</w:t>
            </w:r>
          </w:p>
        </w:tc>
      </w:tr>
    </w:tbl>
    <w:p w:rsidR="00CD3D72" w:rsidRDefault="00073887" w:rsidP="00BF673D">
      <w:pPr>
        <w:spacing w:before="240" w:line="360" w:lineRule="auto"/>
        <w:jc w:val="both"/>
        <w:rPr>
          <w:rFonts w:ascii="Calibri" w:eastAsia="Times New Roman" w:hAnsi="Calibri" w:cs="Calibri"/>
          <w:lang w:val="en-US" w:eastAsia="nl-NL"/>
        </w:rPr>
      </w:pPr>
      <w:r w:rsidRPr="00A102DE">
        <w:rPr>
          <w:rFonts w:ascii="Calibri" w:eastAsia="Times New Roman" w:hAnsi="Calibri" w:cs="Calibri"/>
          <w:lang w:val="en-US" w:eastAsia="nl-NL"/>
        </w:rPr>
        <w:t xml:space="preserve">The ambiguity aversion variables presented </w:t>
      </w:r>
      <w:r w:rsidR="0012469A">
        <w:rPr>
          <w:rFonts w:ascii="Calibri" w:eastAsia="Times New Roman" w:hAnsi="Calibri" w:cs="Calibri"/>
          <w:lang w:val="en-US" w:eastAsia="nl-NL"/>
        </w:rPr>
        <w:t>in table 1.2</w:t>
      </w:r>
      <w:r w:rsidRPr="00A102DE">
        <w:rPr>
          <w:rFonts w:ascii="Calibri" w:eastAsia="Times New Roman" w:hAnsi="Calibri" w:cs="Calibri"/>
          <w:lang w:val="en-US" w:eastAsia="nl-NL"/>
        </w:rPr>
        <w:t xml:space="preserve"> are derived from the previously discussed questions posed in the questionnaire Dimmock et al</w:t>
      </w:r>
      <w:r w:rsidR="00AF4DE4">
        <w:rPr>
          <w:rFonts w:ascii="Calibri" w:eastAsia="Times New Roman" w:hAnsi="Calibri" w:cs="Calibri"/>
          <w:lang w:val="en-US" w:eastAsia="nl-NL"/>
        </w:rPr>
        <w:t>.</w:t>
      </w:r>
      <w:r w:rsidRPr="00A102DE">
        <w:rPr>
          <w:rFonts w:ascii="Calibri" w:eastAsia="Times New Roman" w:hAnsi="Calibri" w:cs="Calibri"/>
          <w:lang w:val="en-US" w:eastAsia="nl-NL"/>
        </w:rPr>
        <w:t xml:space="preserve"> </w:t>
      </w:r>
      <w:r w:rsidR="00DE2C11">
        <w:rPr>
          <w:rFonts w:ascii="Calibri" w:eastAsia="Times New Roman" w:hAnsi="Calibri" w:cs="Calibri"/>
          <w:lang w:val="en-US" w:eastAsia="nl-NL"/>
        </w:rPr>
        <w:t>created</w:t>
      </w:r>
      <w:r w:rsidRPr="00A102DE">
        <w:rPr>
          <w:rFonts w:ascii="Calibri" w:eastAsia="Times New Roman" w:hAnsi="Calibri" w:cs="Calibri"/>
          <w:lang w:val="en-US" w:eastAsia="nl-NL"/>
        </w:rPr>
        <w:t>. All of the 4 variables are dummy variables, with 1 meaning that a person exhibited ambiguity aversion and 0 meaning either indifference or ambiguity</w:t>
      </w:r>
      <w:r w:rsidR="007E1109">
        <w:rPr>
          <w:rFonts w:ascii="Calibri" w:eastAsia="Times New Roman" w:hAnsi="Calibri" w:cs="Calibri"/>
          <w:lang w:val="en-US" w:eastAsia="nl-NL"/>
        </w:rPr>
        <w:t>/risk</w:t>
      </w:r>
      <w:r w:rsidRPr="00A102DE">
        <w:rPr>
          <w:rFonts w:ascii="Calibri" w:eastAsia="Times New Roman" w:hAnsi="Calibri" w:cs="Calibri"/>
          <w:lang w:val="en-US" w:eastAsia="nl-NL"/>
        </w:rPr>
        <w:t xml:space="preserve"> seeking behavior.</w:t>
      </w:r>
      <w:r w:rsidR="00BF673D">
        <w:rPr>
          <w:rFonts w:ascii="Calibri" w:eastAsia="Times New Roman" w:hAnsi="Calibri" w:cs="Calibri"/>
          <w:lang w:val="en-US" w:eastAsia="nl-NL"/>
        </w:rPr>
        <w:t xml:space="preserve"> </w:t>
      </w:r>
      <w:r>
        <w:rPr>
          <w:rFonts w:ascii="Calibri" w:eastAsia="Times New Roman" w:hAnsi="Calibri" w:cs="Calibri"/>
          <w:lang w:val="en-US" w:eastAsia="nl-NL"/>
        </w:rPr>
        <w:t>As a first impression, r</w:t>
      </w:r>
      <w:r w:rsidRPr="00A102DE">
        <w:rPr>
          <w:rFonts w:ascii="Calibri" w:eastAsia="Times New Roman" w:hAnsi="Calibri" w:cs="Calibri"/>
          <w:lang w:val="en-US" w:eastAsia="nl-NL"/>
        </w:rPr>
        <w:t xml:space="preserve">isk aversion </w:t>
      </w:r>
      <w:r>
        <w:rPr>
          <w:rFonts w:ascii="Calibri" w:eastAsia="Times New Roman" w:hAnsi="Calibri" w:cs="Calibri"/>
          <w:lang w:val="en-US" w:eastAsia="nl-NL"/>
        </w:rPr>
        <w:t>seems to be</w:t>
      </w:r>
      <w:r w:rsidRPr="00A102DE">
        <w:rPr>
          <w:rFonts w:ascii="Calibri" w:eastAsia="Times New Roman" w:hAnsi="Calibri" w:cs="Calibri"/>
          <w:lang w:val="en-US" w:eastAsia="nl-NL"/>
        </w:rPr>
        <w:t xml:space="preserve"> higher among stock market participants</w:t>
      </w:r>
      <w:r>
        <w:rPr>
          <w:rFonts w:ascii="Calibri" w:eastAsia="Times New Roman" w:hAnsi="Calibri" w:cs="Calibri"/>
          <w:lang w:val="en-US" w:eastAsia="nl-NL"/>
        </w:rPr>
        <w:t>.</w:t>
      </w:r>
    </w:p>
    <w:p w:rsidR="00CD3D72" w:rsidRDefault="00CD3D72">
      <w:pPr>
        <w:spacing w:after="160" w:line="259" w:lineRule="auto"/>
        <w:rPr>
          <w:rFonts w:ascii="Calibri" w:eastAsia="Times New Roman" w:hAnsi="Calibri" w:cs="Calibri"/>
          <w:lang w:val="en-US" w:eastAsia="nl-NL"/>
        </w:rPr>
      </w:pPr>
      <w:r>
        <w:rPr>
          <w:rFonts w:ascii="Calibri" w:eastAsia="Times New Roman" w:hAnsi="Calibri" w:cs="Calibri"/>
          <w:lang w:val="en-US" w:eastAsia="nl-NL"/>
        </w:rPr>
        <w:br w:type="page"/>
      </w:r>
    </w:p>
    <w:p w:rsidR="00CD3D72" w:rsidRPr="00CD3D72" w:rsidRDefault="00736178" w:rsidP="00CD3D72">
      <w:pPr>
        <w:pStyle w:val="Heading1"/>
        <w:spacing w:after="240"/>
        <w:rPr>
          <w:rFonts w:asciiTheme="minorHAnsi" w:hAnsiTheme="minorHAnsi" w:cstheme="minorHAnsi"/>
          <w:b/>
          <w:color w:val="000000" w:themeColor="text1"/>
          <w:sz w:val="36"/>
        </w:rPr>
      </w:pPr>
      <w:bookmarkStart w:id="19" w:name="_Toc422695288"/>
      <w:r>
        <w:rPr>
          <w:rFonts w:asciiTheme="minorHAnsi" w:hAnsiTheme="minorHAnsi" w:cstheme="minorHAnsi"/>
          <w:b/>
          <w:color w:val="000000" w:themeColor="text1"/>
          <w:sz w:val="36"/>
        </w:rPr>
        <w:lastRenderedPageBreak/>
        <w:t xml:space="preserve">4 </w:t>
      </w:r>
      <w:r w:rsidR="00CD3D72" w:rsidRPr="00CD3D72">
        <w:rPr>
          <w:rFonts w:asciiTheme="minorHAnsi" w:hAnsiTheme="minorHAnsi" w:cstheme="minorHAnsi"/>
          <w:b/>
          <w:color w:val="000000" w:themeColor="text1"/>
          <w:sz w:val="36"/>
        </w:rPr>
        <w:t>Results</w:t>
      </w:r>
      <w:bookmarkEnd w:id="19"/>
    </w:p>
    <w:p w:rsidR="00CD3D72" w:rsidRPr="00CD3D72" w:rsidRDefault="004C4045" w:rsidP="00CD3D72">
      <w:pPr>
        <w:pStyle w:val="Heading2"/>
        <w:rPr>
          <w:rFonts w:asciiTheme="minorHAnsi" w:hAnsiTheme="minorHAnsi" w:cstheme="minorHAnsi"/>
          <w:color w:val="000000" w:themeColor="text1"/>
          <w:sz w:val="28"/>
          <w:lang w:val="en-US"/>
        </w:rPr>
      </w:pPr>
      <w:bookmarkStart w:id="20" w:name="_Toc422695289"/>
      <w:r>
        <w:rPr>
          <w:rFonts w:asciiTheme="minorHAnsi" w:hAnsiTheme="minorHAnsi" w:cstheme="minorHAnsi"/>
          <w:color w:val="000000" w:themeColor="text1"/>
          <w:sz w:val="28"/>
          <w:lang w:val="en-US"/>
        </w:rPr>
        <w:t>4</w:t>
      </w:r>
      <w:r w:rsidR="00CD3D72" w:rsidRPr="00CD3D72">
        <w:rPr>
          <w:rFonts w:asciiTheme="minorHAnsi" w:hAnsiTheme="minorHAnsi" w:cstheme="minorHAnsi"/>
          <w:color w:val="000000" w:themeColor="text1"/>
          <w:sz w:val="28"/>
          <w:lang w:val="en-US"/>
        </w:rPr>
        <w:t>.1 Descriptive Statistics</w:t>
      </w:r>
      <w:bookmarkEnd w:id="20"/>
    </w:p>
    <w:p w:rsidR="00CD3D72" w:rsidRDefault="00CD3D72" w:rsidP="000A672E">
      <w:pPr>
        <w:spacing w:before="240" w:line="360" w:lineRule="auto"/>
        <w:jc w:val="both"/>
        <w:rPr>
          <w:lang w:val="en-US"/>
        </w:rPr>
      </w:pPr>
      <w:r>
        <w:rPr>
          <w:lang w:val="en-US"/>
        </w:rPr>
        <w:t>The result of the chi-square comparison test</w:t>
      </w:r>
      <w:r w:rsidR="00F57FB4">
        <w:rPr>
          <w:lang w:val="en-US"/>
        </w:rPr>
        <w:t>s (see tables 2.1 - 2.5)</w:t>
      </w:r>
      <w:r>
        <w:rPr>
          <w:lang w:val="en-US"/>
        </w:rPr>
        <w:t xml:space="preserve"> can be interpreted as follows. Women </w:t>
      </w:r>
      <w:r w:rsidR="00351C09">
        <w:rPr>
          <w:lang w:val="en-US"/>
        </w:rPr>
        <w:t>exhibit</w:t>
      </w:r>
      <w:r>
        <w:rPr>
          <w:lang w:val="en-US"/>
        </w:rPr>
        <w:t xml:space="preserve"> lower stock market participation compared to men. This findi</w:t>
      </w:r>
      <w:r w:rsidR="0057397E">
        <w:rPr>
          <w:lang w:val="en-US"/>
        </w:rPr>
        <w:t>ng is significant even on the 1</w:t>
      </w:r>
      <w:r>
        <w:rPr>
          <w:lang w:val="en-US"/>
        </w:rPr>
        <w:t>% level. Women are also more risk averse than men. Although this finding is in correspondence with the existing literature, the res</w:t>
      </w:r>
      <w:r w:rsidR="0057397E">
        <w:rPr>
          <w:lang w:val="en-US"/>
        </w:rPr>
        <w:t>ult is only significant at the 1</w:t>
      </w:r>
      <w:r>
        <w:rPr>
          <w:lang w:val="en-US"/>
        </w:rPr>
        <w:t>0% level, which weakens the power of this conclusion. As for the three ambiguity attitudes, there was no significant difference found between men and women.</w:t>
      </w:r>
    </w:p>
    <w:p w:rsidR="00CD3D72" w:rsidRPr="00AD6EA7" w:rsidRDefault="005B140B" w:rsidP="000A672E">
      <w:pPr>
        <w:spacing w:line="360" w:lineRule="auto"/>
        <w:jc w:val="both"/>
        <w:rPr>
          <w:lang w:val="en-US"/>
        </w:rPr>
      </w:pPr>
      <w:r>
        <w:rPr>
          <w:lang w:val="en-US"/>
        </w:rPr>
        <w:t>The hypotheses that women are more risk averse and less likely to participate in the stock market cannot be rejected. The hypothesis that ambiguity aversion is higher among women compared to men must be rejected.</w:t>
      </w:r>
    </w:p>
    <w:p w:rsidR="00CD3D72" w:rsidRPr="00CD3D72" w:rsidRDefault="004C4045" w:rsidP="000A672E">
      <w:pPr>
        <w:pStyle w:val="Heading2"/>
        <w:spacing w:after="240"/>
        <w:jc w:val="both"/>
        <w:rPr>
          <w:rFonts w:asciiTheme="minorHAnsi" w:hAnsiTheme="minorHAnsi" w:cstheme="minorHAnsi"/>
          <w:color w:val="000000" w:themeColor="text1"/>
          <w:sz w:val="28"/>
          <w:lang w:val="en-US"/>
        </w:rPr>
      </w:pPr>
      <w:bookmarkStart w:id="21" w:name="_Toc422695290"/>
      <w:r>
        <w:rPr>
          <w:rFonts w:asciiTheme="minorHAnsi" w:hAnsiTheme="minorHAnsi" w:cstheme="minorHAnsi"/>
          <w:color w:val="000000" w:themeColor="text1"/>
          <w:sz w:val="28"/>
          <w:lang w:val="en-US"/>
        </w:rPr>
        <w:t>4</w:t>
      </w:r>
      <w:r w:rsidR="00CD3D72" w:rsidRPr="00CD3D72">
        <w:rPr>
          <w:rFonts w:asciiTheme="minorHAnsi" w:hAnsiTheme="minorHAnsi" w:cstheme="minorHAnsi"/>
          <w:color w:val="000000" w:themeColor="text1"/>
          <w:sz w:val="28"/>
          <w:lang w:val="en-US"/>
        </w:rPr>
        <w:t>.2 Econometric Analysis</w:t>
      </w:r>
      <w:bookmarkEnd w:id="21"/>
    </w:p>
    <w:p w:rsidR="00CD3D72" w:rsidRPr="00CD3D72" w:rsidRDefault="004C4045" w:rsidP="000A672E">
      <w:pPr>
        <w:pStyle w:val="Heading3"/>
        <w:spacing w:after="240"/>
        <w:jc w:val="both"/>
        <w:rPr>
          <w:rFonts w:asciiTheme="minorHAnsi" w:hAnsiTheme="minorHAnsi" w:cstheme="minorHAnsi"/>
          <w:b/>
          <w:color w:val="000000" w:themeColor="text1"/>
          <w:lang w:val="en-US"/>
        </w:rPr>
      </w:pPr>
      <w:bookmarkStart w:id="22" w:name="_Toc422695291"/>
      <w:r>
        <w:rPr>
          <w:rFonts w:asciiTheme="minorHAnsi" w:hAnsiTheme="minorHAnsi" w:cstheme="minorHAnsi"/>
          <w:b/>
          <w:color w:val="000000" w:themeColor="text1"/>
          <w:lang w:val="en-US"/>
        </w:rPr>
        <w:t>4</w:t>
      </w:r>
      <w:r w:rsidR="00CD3D72" w:rsidRPr="00CD3D72">
        <w:rPr>
          <w:rFonts w:asciiTheme="minorHAnsi" w:hAnsiTheme="minorHAnsi" w:cstheme="minorHAnsi"/>
          <w:b/>
          <w:color w:val="000000" w:themeColor="text1"/>
          <w:lang w:val="en-US"/>
        </w:rPr>
        <w:t>.2.1 Demographic Predictors for Stock Market Participation</w:t>
      </w:r>
      <w:bookmarkEnd w:id="22"/>
    </w:p>
    <w:p w:rsidR="00CD3D72" w:rsidRDefault="00CD3D72" w:rsidP="000A672E">
      <w:pPr>
        <w:spacing w:line="360" w:lineRule="auto"/>
        <w:jc w:val="both"/>
        <w:rPr>
          <w:lang w:val="en-US"/>
        </w:rPr>
      </w:pPr>
      <w:r w:rsidRPr="003627C9">
        <w:rPr>
          <w:lang w:val="en-US"/>
        </w:rPr>
        <w:t xml:space="preserve">The binary logistic regressions </w:t>
      </w:r>
      <w:r>
        <w:rPr>
          <w:lang w:val="en-US"/>
        </w:rPr>
        <w:t xml:space="preserve">with stock market participation as the dependent variable </w:t>
      </w:r>
      <w:r w:rsidRPr="003627C9">
        <w:rPr>
          <w:lang w:val="en-US"/>
        </w:rPr>
        <w:t>yield interesting results</w:t>
      </w:r>
      <w:r w:rsidR="0043381F">
        <w:rPr>
          <w:lang w:val="en-US"/>
        </w:rPr>
        <w:t xml:space="preserve"> (see </w:t>
      </w:r>
      <w:r w:rsidR="003837B3">
        <w:rPr>
          <w:lang w:val="en-US"/>
        </w:rPr>
        <w:t>table 3.1</w:t>
      </w:r>
      <w:r w:rsidR="0043381F">
        <w:rPr>
          <w:lang w:val="en-US"/>
        </w:rPr>
        <w:t>)</w:t>
      </w:r>
      <w:r w:rsidRPr="003627C9">
        <w:rPr>
          <w:lang w:val="en-US"/>
        </w:rPr>
        <w:t>. Gross household income is highly significant across all regressions. Although the coefficient might seem insignificant</w:t>
      </w:r>
      <w:r>
        <w:rPr>
          <w:lang w:val="en-US"/>
        </w:rPr>
        <w:t xml:space="preserve"> at </w:t>
      </w:r>
      <w:r>
        <w:rPr>
          <w:lang w:val="en-US"/>
        </w:rPr>
        <w:lastRenderedPageBreak/>
        <w:t>0.001</w:t>
      </w:r>
      <w:r w:rsidRPr="003627C9">
        <w:rPr>
          <w:lang w:val="en-US"/>
        </w:rPr>
        <w:t xml:space="preserve">, keep in mind that it will be multiplied by the gross household </w:t>
      </w:r>
      <w:r>
        <w:rPr>
          <w:lang w:val="en-US"/>
        </w:rPr>
        <w:t>monthly</w:t>
      </w:r>
      <w:r w:rsidRPr="003627C9">
        <w:rPr>
          <w:lang w:val="en-US"/>
        </w:rPr>
        <w:t xml:space="preserve"> income. The gross household income squared is less interesting as the coefficient is even smaller </w:t>
      </w:r>
      <w:r>
        <w:rPr>
          <w:lang w:val="en-US"/>
        </w:rPr>
        <w:t xml:space="preserve">at 0.000 </w:t>
      </w:r>
      <w:r w:rsidR="0057397E">
        <w:rPr>
          <w:lang w:val="en-US"/>
        </w:rPr>
        <w:t>and only significant at the 1</w:t>
      </w:r>
      <w:r w:rsidRPr="003627C9">
        <w:rPr>
          <w:lang w:val="en-US"/>
        </w:rPr>
        <w:t>0% level.</w:t>
      </w:r>
      <w:r>
        <w:rPr>
          <w:lang w:val="en-US"/>
        </w:rPr>
        <w:t xml:space="preserve"> </w:t>
      </w:r>
    </w:p>
    <w:p w:rsidR="00CD3D72" w:rsidRPr="003627C9" w:rsidRDefault="00CD3D72" w:rsidP="000A672E">
      <w:pPr>
        <w:spacing w:line="360" w:lineRule="auto"/>
        <w:jc w:val="both"/>
        <w:rPr>
          <w:lang w:val="en-US"/>
        </w:rPr>
      </w:pPr>
      <w:r w:rsidRPr="003627C9">
        <w:rPr>
          <w:lang w:val="en-US"/>
        </w:rPr>
        <w:t xml:space="preserve">Gender is highly significant across all regressions. The dummy variable was coded 0 for males and 1 for female, which means that the outcome for males is not influenced by the coefficient. The negative sign indicates that females have lower stock market participation. This finding confirms </w:t>
      </w:r>
      <w:r>
        <w:rPr>
          <w:lang w:val="en-US"/>
        </w:rPr>
        <w:t xml:space="preserve">and augments </w:t>
      </w:r>
      <w:r w:rsidRPr="003627C9">
        <w:rPr>
          <w:lang w:val="en-US"/>
        </w:rPr>
        <w:t xml:space="preserve">the </w:t>
      </w:r>
      <w:r>
        <w:rPr>
          <w:lang w:val="en-US"/>
        </w:rPr>
        <w:t xml:space="preserve">conclusion of the </w:t>
      </w:r>
      <w:r w:rsidRPr="003627C9">
        <w:rPr>
          <w:lang w:val="en-US"/>
        </w:rPr>
        <w:t>chi-square test.</w:t>
      </w:r>
    </w:p>
    <w:p w:rsidR="00CD3D72" w:rsidRPr="003627C9" w:rsidRDefault="00CD3D72" w:rsidP="000A672E">
      <w:pPr>
        <w:spacing w:line="360" w:lineRule="auto"/>
        <w:jc w:val="both"/>
        <w:rPr>
          <w:lang w:val="en-US"/>
        </w:rPr>
      </w:pPr>
      <w:r w:rsidRPr="003627C9">
        <w:rPr>
          <w:lang w:val="en-US"/>
        </w:rPr>
        <w:t xml:space="preserve">Household size is significant across all regressions, but only on the </w:t>
      </w:r>
      <w:r w:rsidR="0057397E">
        <w:rPr>
          <w:lang w:val="en-US"/>
        </w:rPr>
        <w:t>1</w:t>
      </w:r>
      <w:r w:rsidRPr="003627C9">
        <w:rPr>
          <w:lang w:val="en-US"/>
        </w:rPr>
        <w:t xml:space="preserve">0% level. The coefficient is negative for all regressions which means that stock market participation </w:t>
      </w:r>
      <w:r>
        <w:rPr>
          <w:lang w:val="en-US"/>
        </w:rPr>
        <w:t>decreases</w:t>
      </w:r>
      <w:r w:rsidRPr="003627C9">
        <w:rPr>
          <w:lang w:val="en-US"/>
        </w:rPr>
        <w:t xml:space="preserve"> as household size increases. This is a categorical variable which means that as the household size increases, the effect becomes stronger.</w:t>
      </w:r>
    </w:p>
    <w:p w:rsidR="00CD3D72" w:rsidRPr="003627C9" w:rsidRDefault="00CD3D72" w:rsidP="000A672E">
      <w:pPr>
        <w:spacing w:line="360" w:lineRule="auto"/>
        <w:jc w:val="both"/>
        <w:rPr>
          <w:lang w:val="en-US"/>
        </w:rPr>
      </w:pPr>
      <w:r w:rsidRPr="003627C9">
        <w:rPr>
          <w:lang w:val="en-US"/>
        </w:rPr>
        <w:t xml:space="preserve">Education is highly significant across all regressions. </w:t>
      </w:r>
      <w:r w:rsidR="0043381F">
        <w:rPr>
          <w:lang w:val="en-US"/>
        </w:rPr>
        <w:t>As mentioned, this is an ordinal</w:t>
      </w:r>
      <w:r w:rsidRPr="003627C9">
        <w:rPr>
          <w:lang w:val="en-US"/>
        </w:rPr>
        <w:t xml:space="preserve"> variable, with 1 </w:t>
      </w:r>
      <w:r w:rsidR="0043381F">
        <w:rPr>
          <w:lang w:val="en-US"/>
        </w:rPr>
        <w:t>indicating</w:t>
      </w:r>
      <w:r w:rsidRPr="003627C9">
        <w:rPr>
          <w:lang w:val="en-US"/>
        </w:rPr>
        <w:t xml:space="preserve"> </w:t>
      </w:r>
      <w:r w:rsidR="0071592C">
        <w:rPr>
          <w:lang w:val="en-US"/>
        </w:rPr>
        <w:t>that a subject</w:t>
      </w:r>
      <w:r>
        <w:rPr>
          <w:lang w:val="en-US"/>
        </w:rPr>
        <w:t xml:space="preserve"> completed </w:t>
      </w:r>
      <w:r w:rsidRPr="003627C9">
        <w:rPr>
          <w:lang w:val="en-US"/>
        </w:rPr>
        <w:t>primary school</w:t>
      </w:r>
      <w:r>
        <w:rPr>
          <w:lang w:val="en-US"/>
        </w:rPr>
        <w:t xml:space="preserve"> and 6 </w:t>
      </w:r>
      <w:r w:rsidR="00DB2D47">
        <w:rPr>
          <w:lang w:val="en-US"/>
        </w:rPr>
        <w:t>indicating</w:t>
      </w:r>
      <w:r>
        <w:rPr>
          <w:lang w:val="en-US"/>
        </w:rPr>
        <w:t xml:space="preserve"> that a subject completed university</w:t>
      </w:r>
      <w:r w:rsidRPr="003627C9">
        <w:rPr>
          <w:lang w:val="en-US"/>
        </w:rPr>
        <w:t xml:space="preserve">. This result indicates that </w:t>
      </w:r>
      <w:r>
        <w:rPr>
          <w:lang w:val="en-US"/>
        </w:rPr>
        <w:t>better education</w:t>
      </w:r>
      <w:r w:rsidRPr="003627C9">
        <w:rPr>
          <w:lang w:val="en-US"/>
        </w:rPr>
        <w:t xml:space="preserve"> increases stock market participation.</w:t>
      </w:r>
      <w:r>
        <w:rPr>
          <w:lang w:val="en-US"/>
        </w:rPr>
        <w:t xml:space="preserve"> This finding confirms the presumption raised in the data description.</w:t>
      </w:r>
    </w:p>
    <w:p w:rsidR="00CD3D72" w:rsidRPr="003627C9" w:rsidRDefault="00CD3D72" w:rsidP="000A672E">
      <w:pPr>
        <w:spacing w:line="360" w:lineRule="auto"/>
        <w:jc w:val="both"/>
        <w:rPr>
          <w:lang w:val="en-US"/>
        </w:rPr>
      </w:pPr>
      <w:r w:rsidRPr="003627C9">
        <w:rPr>
          <w:lang w:val="en-US"/>
        </w:rPr>
        <w:t>Risk aversion is highly significant in both regressions, although the interaction term is not significant and provides no additional explanatory value. The risk aversion coefficients are positive which strangely indicates that it is more like</w:t>
      </w:r>
      <w:r w:rsidR="006676A1">
        <w:rPr>
          <w:lang w:val="en-US"/>
        </w:rPr>
        <w:t>ly</w:t>
      </w:r>
      <w:r w:rsidRPr="003627C9">
        <w:rPr>
          <w:lang w:val="en-US"/>
        </w:rPr>
        <w:t xml:space="preserve"> for a person to </w:t>
      </w:r>
      <w:r w:rsidRPr="003627C9">
        <w:rPr>
          <w:lang w:val="en-US"/>
        </w:rPr>
        <w:lastRenderedPageBreak/>
        <w:t xml:space="preserve">participate </w:t>
      </w:r>
      <w:r w:rsidR="00EE1165">
        <w:rPr>
          <w:lang w:val="en-US"/>
        </w:rPr>
        <w:t>in</w:t>
      </w:r>
      <w:r w:rsidRPr="003627C9">
        <w:rPr>
          <w:lang w:val="en-US"/>
        </w:rPr>
        <w:t xml:space="preserve"> the stock market when they are risk averse. </w:t>
      </w:r>
      <w:r>
        <w:rPr>
          <w:lang w:val="en-US"/>
        </w:rPr>
        <w:t>Although strange, this conclusion confirms the presumption raised in the data description</w:t>
      </w:r>
      <w:r w:rsidR="00664717">
        <w:rPr>
          <w:lang w:val="en-US"/>
        </w:rPr>
        <w:t xml:space="preserve"> that stock market participants exhibit higher risk aversion</w:t>
      </w:r>
      <w:r>
        <w:rPr>
          <w:lang w:val="en-US"/>
        </w:rPr>
        <w:t>.</w:t>
      </w:r>
    </w:p>
    <w:p w:rsidR="00CD3D72" w:rsidRDefault="00CD3D72" w:rsidP="000A672E">
      <w:pPr>
        <w:spacing w:line="360" w:lineRule="auto"/>
        <w:jc w:val="both"/>
        <w:rPr>
          <w:lang w:val="en-US"/>
        </w:rPr>
      </w:pPr>
      <w:r w:rsidRPr="003627C9">
        <w:rPr>
          <w:lang w:val="en-US"/>
        </w:rPr>
        <w:t xml:space="preserve">There </w:t>
      </w:r>
      <w:r w:rsidR="00D6764A">
        <w:rPr>
          <w:lang w:val="en-US"/>
        </w:rPr>
        <w:t>was a slight</w:t>
      </w:r>
      <w:r w:rsidRPr="003627C9">
        <w:rPr>
          <w:lang w:val="en-US"/>
        </w:rPr>
        <w:t xml:space="preserve"> significant relation </w:t>
      </w:r>
      <w:r>
        <w:rPr>
          <w:lang w:val="en-US"/>
        </w:rPr>
        <w:t xml:space="preserve">found </w:t>
      </w:r>
      <w:r w:rsidRPr="003627C9">
        <w:rPr>
          <w:lang w:val="en-US"/>
        </w:rPr>
        <w:t>between stock market participation and ambiguity attitudes</w:t>
      </w:r>
      <w:r w:rsidR="00D6764A">
        <w:rPr>
          <w:lang w:val="en-US"/>
        </w:rPr>
        <w:t xml:space="preserve">, but </w:t>
      </w:r>
      <w:r w:rsidR="00135BA4">
        <w:rPr>
          <w:lang w:val="en-US"/>
        </w:rPr>
        <w:t>this is not</w:t>
      </w:r>
      <w:r w:rsidR="00D6764A">
        <w:rPr>
          <w:lang w:val="en-US"/>
        </w:rPr>
        <w:t xml:space="preserve"> sufficient to draw a robust conclusion.</w:t>
      </w:r>
      <w:r w:rsidRPr="003627C9">
        <w:rPr>
          <w:lang w:val="en-US"/>
        </w:rPr>
        <w:t xml:space="preserve"> The addition of interaction terms between gender and ambiguity attitudes did not </w:t>
      </w:r>
      <w:r>
        <w:rPr>
          <w:lang w:val="en-US"/>
        </w:rPr>
        <w:t>add significant explanatory value.</w:t>
      </w:r>
    </w:p>
    <w:p w:rsidR="00CD3D72" w:rsidRPr="008108DC" w:rsidRDefault="00D96A49" w:rsidP="000A672E">
      <w:pPr>
        <w:spacing w:line="360" w:lineRule="auto"/>
        <w:jc w:val="both"/>
        <w:rPr>
          <w:lang w:val="en-US"/>
        </w:rPr>
      </w:pPr>
      <w:r>
        <w:rPr>
          <w:lang w:val="en-US"/>
        </w:rPr>
        <w:t>The hypothesis that risk aversion is a significant predictor variable for stock market participation cannot be rejected. The hypothesis that ambiguity aversion is a significant predictor variable for stock market participation must be rejected.</w:t>
      </w:r>
      <w:r w:rsidR="00E072FC">
        <w:rPr>
          <w:lang w:val="en-US"/>
        </w:rPr>
        <w:t xml:space="preserve"> The hypothesis that risk aversion and ambiguity aversion affect women more in decision of stock market participation must be rejected.</w:t>
      </w:r>
    </w:p>
    <w:p w:rsidR="00CD3D72" w:rsidRPr="00DF777D" w:rsidRDefault="004C4045" w:rsidP="000A672E">
      <w:pPr>
        <w:pStyle w:val="Heading3"/>
        <w:spacing w:after="240"/>
        <w:jc w:val="both"/>
        <w:rPr>
          <w:rFonts w:asciiTheme="minorHAnsi" w:hAnsiTheme="minorHAnsi" w:cstheme="minorHAnsi"/>
          <w:b/>
          <w:color w:val="000000" w:themeColor="text1"/>
          <w:lang w:val="en-US"/>
        </w:rPr>
      </w:pPr>
      <w:bookmarkStart w:id="23" w:name="_Toc422695292"/>
      <w:r>
        <w:rPr>
          <w:rFonts w:asciiTheme="minorHAnsi" w:hAnsiTheme="minorHAnsi" w:cstheme="minorHAnsi"/>
          <w:b/>
          <w:color w:val="000000" w:themeColor="text1"/>
          <w:lang w:val="en-US"/>
        </w:rPr>
        <w:t>4</w:t>
      </w:r>
      <w:r w:rsidR="00CD3D72" w:rsidRPr="00DF777D">
        <w:rPr>
          <w:rFonts w:asciiTheme="minorHAnsi" w:hAnsiTheme="minorHAnsi" w:cstheme="minorHAnsi"/>
          <w:b/>
          <w:color w:val="000000" w:themeColor="text1"/>
          <w:lang w:val="en-US"/>
        </w:rPr>
        <w:t>.2.2 Demographic Predictors for Ambiguity Attitudes</w:t>
      </w:r>
      <w:bookmarkEnd w:id="23"/>
    </w:p>
    <w:p w:rsidR="00CD3D72" w:rsidRDefault="00CD3D72" w:rsidP="000A672E">
      <w:pPr>
        <w:spacing w:line="360" w:lineRule="auto"/>
        <w:jc w:val="both"/>
        <w:rPr>
          <w:lang w:val="en-US"/>
        </w:rPr>
      </w:pPr>
      <w:r>
        <w:rPr>
          <w:lang w:val="en-US"/>
        </w:rPr>
        <w:t xml:space="preserve">The results of the binary logistic regressions with ambiguity attitudes as the dependent variable </w:t>
      </w:r>
      <w:r w:rsidR="00D96A49">
        <w:rPr>
          <w:lang w:val="en-US"/>
        </w:rPr>
        <w:t xml:space="preserve">(see table 3.2) </w:t>
      </w:r>
      <w:r>
        <w:rPr>
          <w:lang w:val="en-US"/>
        </w:rPr>
        <w:t>are less straightforward to interpret</w:t>
      </w:r>
      <w:r w:rsidR="003837B3">
        <w:rPr>
          <w:lang w:val="en-US"/>
        </w:rPr>
        <w:t xml:space="preserve">. </w:t>
      </w:r>
      <w:r>
        <w:rPr>
          <w:lang w:val="en-US"/>
        </w:rPr>
        <w:t xml:space="preserve">Risk aversion for example is highly significant as a predictor for ambiguity attitude 0.5 and ambiguity attitude 0.9 but holds no explanatory value over ambiguity attitude 0.1. </w:t>
      </w:r>
    </w:p>
    <w:p w:rsidR="00CD3D72" w:rsidRDefault="00CD3D72" w:rsidP="000A672E">
      <w:pPr>
        <w:spacing w:line="360" w:lineRule="auto"/>
        <w:jc w:val="both"/>
        <w:rPr>
          <w:lang w:val="en-US"/>
        </w:rPr>
      </w:pPr>
      <w:r>
        <w:rPr>
          <w:lang w:val="en-US"/>
        </w:rPr>
        <w:lastRenderedPageBreak/>
        <w:t xml:space="preserve">Gross household income on the contrary is highly significant as a predictor for ambiguity attitude 0.1, but holds no explanatory value over ambiguity attitudes 0.5 and 0.9. Household size is even less consistent as a predictor, being highly significant for AA 0.1, not significant at all for AA 0.5 and </w:t>
      </w:r>
      <w:r w:rsidR="00F31FD7">
        <w:rPr>
          <w:lang w:val="en-US"/>
        </w:rPr>
        <w:t>slightly</w:t>
      </w:r>
      <w:r>
        <w:rPr>
          <w:lang w:val="en-US"/>
        </w:rPr>
        <w:t xml:space="preserve"> significant for AA 0.9. </w:t>
      </w:r>
    </w:p>
    <w:p w:rsidR="00CD3D72" w:rsidRDefault="00CD3D72" w:rsidP="000A672E">
      <w:pPr>
        <w:spacing w:line="360" w:lineRule="auto"/>
        <w:jc w:val="both"/>
        <w:rPr>
          <w:lang w:val="en-US"/>
        </w:rPr>
      </w:pPr>
      <w:r>
        <w:rPr>
          <w:lang w:val="en-US"/>
        </w:rPr>
        <w:t>There is no significant relation between ambiguity attitudes and age, gender, education or whether or not the subject lived with a partner. The addition of interaction terms between gender and risk aversion did not have an effect.</w:t>
      </w:r>
    </w:p>
    <w:p w:rsidR="00073887" w:rsidRPr="00CD3D72" w:rsidRDefault="00CD3D72" w:rsidP="000A672E">
      <w:pPr>
        <w:spacing w:line="360" w:lineRule="auto"/>
        <w:jc w:val="both"/>
        <w:rPr>
          <w:lang w:val="en-US"/>
        </w:rPr>
      </w:pPr>
      <w:r>
        <w:rPr>
          <w:lang w:val="en-US"/>
        </w:rPr>
        <w:t>These findings confirm and augment the results of Sutter et al</w:t>
      </w:r>
      <w:r w:rsidR="00AF4DE4">
        <w:rPr>
          <w:lang w:val="en-US"/>
        </w:rPr>
        <w:t>.</w:t>
      </w:r>
      <w:r w:rsidR="000A672E">
        <w:rPr>
          <w:lang w:val="en-US"/>
        </w:rPr>
        <w:t xml:space="preserve"> </w:t>
      </w:r>
      <w:sdt>
        <w:sdtPr>
          <w:rPr>
            <w:lang w:val="en-US"/>
          </w:rPr>
          <w:id w:val="-1661082130"/>
          <w:citation/>
        </w:sdtPr>
        <w:sdtEndPr/>
        <w:sdtContent>
          <w:r w:rsidR="000A672E">
            <w:rPr>
              <w:lang w:val="en-US"/>
            </w:rPr>
            <w:fldChar w:fldCharType="begin"/>
          </w:r>
          <w:r w:rsidR="000A672E">
            <w:rPr>
              <w:lang w:val="en-US"/>
            </w:rPr>
            <w:instrText xml:space="preserve">CITATION Sut13 \n  \t  \l 1033 </w:instrText>
          </w:r>
          <w:r w:rsidR="000A672E">
            <w:rPr>
              <w:lang w:val="en-US"/>
            </w:rPr>
            <w:fldChar w:fldCharType="separate"/>
          </w:r>
          <w:r w:rsidR="002C23B4">
            <w:rPr>
              <w:noProof/>
              <w:lang w:val="en-US"/>
            </w:rPr>
            <w:t>(2013)</w:t>
          </w:r>
          <w:r w:rsidR="000A672E">
            <w:rPr>
              <w:lang w:val="en-US"/>
            </w:rPr>
            <w:fldChar w:fldCharType="end"/>
          </w:r>
        </w:sdtContent>
      </w:sdt>
      <w:r>
        <w:rPr>
          <w:lang w:val="en-US"/>
        </w:rPr>
        <w:t>, who found no relation between ambiguity aversion and demographic variables.</w:t>
      </w:r>
    </w:p>
    <w:p w:rsidR="00CD3D72" w:rsidRDefault="00CD3D72">
      <w:pPr>
        <w:spacing w:after="160" w:line="259" w:lineRule="auto"/>
        <w:rPr>
          <w:b/>
          <w:lang w:val="en-US"/>
        </w:rPr>
      </w:pPr>
      <w:r>
        <w:rPr>
          <w:b/>
          <w:lang w:val="en-US"/>
        </w:rPr>
        <w:br w:type="page"/>
      </w:r>
    </w:p>
    <w:p w:rsidR="00CD3D72" w:rsidRPr="00D82790" w:rsidRDefault="00CD3D72" w:rsidP="00CD3D72">
      <w:pPr>
        <w:spacing w:line="360" w:lineRule="auto"/>
        <w:rPr>
          <w:sz w:val="32"/>
          <w:lang w:val="en-US"/>
        </w:rPr>
      </w:pPr>
      <w:r w:rsidRPr="00D82790">
        <w:rPr>
          <w:sz w:val="32"/>
          <w:lang w:val="en-US"/>
        </w:rPr>
        <w:lastRenderedPageBreak/>
        <w:t>Descriptive statistics tables:</w:t>
      </w:r>
    </w:p>
    <w:p w:rsidR="00CD3D72" w:rsidRPr="006C5306" w:rsidRDefault="00CD3D72" w:rsidP="00CD3D72">
      <w:pPr>
        <w:spacing w:line="360" w:lineRule="auto"/>
        <w:rPr>
          <w:b/>
          <w:sz w:val="24"/>
          <w:lang w:val="en-US"/>
        </w:rPr>
      </w:pPr>
      <w:r w:rsidRPr="006C5306">
        <w:rPr>
          <w:b/>
          <w:sz w:val="24"/>
          <w:lang w:val="en-US"/>
        </w:rPr>
        <w:t xml:space="preserve">Table </w:t>
      </w:r>
      <w:r w:rsidR="009A28F8">
        <w:rPr>
          <w:b/>
          <w:sz w:val="24"/>
          <w:lang w:val="en-US"/>
        </w:rPr>
        <w:t>2</w:t>
      </w:r>
      <w:r w:rsidRPr="006C5306">
        <w:rPr>
          <w:b/>
          <w:sz w:val="24"/>
          <w:lang w:val="en-US"/>
        </w:rPr>
        <w:t>.1: Risk Aversion and Gender</w:t>
      </w:r>
    </w:p>
    <w:p w:rsidR="00CD3D72" w:rsidRPr="004C4045" w:rsidRDefault="00CD3D72" w:rsidP="00CD3D72">
      <w:pPr>
        <w:spacing w:line="360" w:lineRule="auto"/>
        <w:rPr>
          <w:lang w:val="en-US"/>
        </w:rPr>
      </w:pPr>
      <w:r w:rsidRPr="002E103A">
        <w:rPr>
          <w:lang w:val="en-US"/>
        </w:rPr>
        <w:t>Below the chi-square statistics for Risk Aversion*Gender</w:t>
      </w:r>
      <w:r>
        <w:rPr>
          <w:lang w:val="en-US"/>
        </w:rPr>
        <w:t xml:space="preserve">. </w:t>
      </w:r>
      <w:r>
        <w:rPr>
          <w:noProof/>
          <w:lang w:val="en-GB" w:eastAsia="en-GB"/>
        </w:rPr>
        <w:drawing>
          <wp:inline distT="0" distB="0" distL="0" distR="0" wp14:anchorId="6BE08A5D" wp14:editId="2028F824">
            <wp:extent cx="5760720" cy="20135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2013585"/>
                    </a:xfrm>
                    <a:prstGeom prst="rect">
                      <a:avLst/>
                    </a:prstGeom>
                  </pic:spPr>
                </pic:pic>
              </a:graphicData>
            </a:graphic>
          </wp:inline>
        </w:drawing>
      </w:r>
    </w:p>
    <w:p w:rsidR="00CD3D72" w:rsidRPr="006C5306" w:rsidRDefault="009A28F8" w:rsidP="00CD3D72">
      <w:pPr>
        <w:spacing w:line="360" w:lineRule="auto"/>
        <w:rPr>
          <w:b/>
          <w:sz w:val="24"/>
          <w:lang w:val="en-US"/>
        </w:rPr>
      </w:pPr>
      <w:r>
        <w:rPr>
          <w:b/>
          <w:sz w:val="24"/>
          <w:lang w:val="en-US"/>
        </w:rPr>
        <w:t>Table 2</w:t>
      </w:r>
      <w:r w:rsidR="00CD3D72" w:rsidRPr="006C5306">
        <w:rPr>
          <w:b/>
          <w:sz w:val="24"/>
          <w:lang w:val="en-US"/>
        </w:rPr>
        <w:t>.2: Stock Market Participation and Gender</w:t>
      </w:r>
    </w:p>
    <w:p w:rsidR="00CD3D72" w:rsidRDefault="00CD3D72" w:rsidP="00CD3D72">
      <w:pPr>
        <w:spacing w:line="360" w:lineRule="auto"/>
        <w:rPr>
          <w:lang w:val="en-US"/>
        </w:rPr>
      </w:pPr>
      <w:r>
        <w:rPr>
          <w:lang w:val="en-US"/>
        </w:rPr>
        <w:lastRenderedPageBreak/>
        <w:t xml:space="preserve">Below the chi-square statistics for Stock Market Participation*Gender. </w:t>
      </w:r>
      <w:r>
        <w:rPr>
          <w:noProof/>
          <w:lang w:val="en-GB" w:eastAsia="en-GB"/>
        </w:rPr>
        <w:drawing>
          <wp:inline distT="0" distB="0" distL="0" distR="0" wp14:anchorId="5EC43559" wp14:editId="283F80FC">
            <wp:extent cx="5760720" cy="20243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024380"/>
                    </a:xfrm>
                    <a:prstGeom prst="rect">
                      <a:avLst/>
                    </a:prstGeom>
                  </pic:spPr>
                </pic:pic>
              </a:graphicData>
            </a:graphic>
          </wp:inline>
        </w:drawing>
      </w:r>
    </w:p>
    <w:p w:rsidR="00DC459B" w:rsidRDefault="00DC459B" w:rsidP="00CD3D72">
      <w:pPr>
        <w:spacing w:line="360" w:lineRule="auto"/>
        <w:rPr>
          <w:b/>
          <w:sz w:val="24"/>
          <w:lang w:val="en-US"/>
        </w:rPr>
      </w:pPr>
    </w:p>
    <w:p w:rsidR="00DC459B" w:rsidRDefault="00DC459B" w:rsidP="00CD3D72">
      <w:pPr>
        <w:spacing w:line="360" w:lineRule="auto"/>
        <w:rPr>
          <w:b/>
          <w:sz w:val="24"/>
          <w:lang w:val="en-US"/>
        </w:rPr>
      </w:pPr>
    </w:p>
    <w:p w:rsidR="00DC459B" w:rsidRDefault="00DC459B" w:rsidP="00CD3D72">
      <w:pPr>
        <w:spacing w:line="360" w:lineRule="auto"/>
        <w:rPr>
          <w:b/>
          <w:sz w:val="24"/>
          <w:lang w:val="en-US"/>
        </w:rPr>
      </w:pPr>
    </w:p>
    <w:p w:rsidR="00DC459B" w:rsidRDefault="00DC459B" w:rsidP="00CD3D72">
      <w:pPr>
        <w:spacing w:line="360" w:lineRule="auto"/>
        <w:rPr>
          <w:b/>
          <w:sz w:val="24"/>
          <w:lang w:val="en-US"/>
        </w:rPr>
      </w:pPr>
    </w:p>
    <w:p w:rsidR="00DC459B" w:rsidRDefault="00DC459B" w:rsidP="00CD3D72">
      <w:pPr>
        <w:spacing w:line="360" w:lineRule="auto"/>
        <w:rPr>
          <w:b/>
          <w:sz w:val="24"/>
          <w:lang w:val="en-US"/>
        </w:rPr>
      </w:pPr>
    </w:p>
    <w:p w:rsidR="00C43BD0" w:rsidRDefault="00C43BD0" w:rsidP="00CD3D72">
      <w:pPr>
        <w:spacing w:line="360" w:lineRule="auto"/>
        <w:rPr>
          <w:b/>
          <w:sz w:val="24"/>
          <w:lang w:val="en-US"/>
        </w:rPr>
      </w:pPr>
    </w:p>
    <w:p w:rsidR="00CD3D72" w:rsidRPr="003F1A31" w:rsidRDefault="00CD3D72" w:rsidP="00CD3D72">
      <w:pPr>
        <w:spacing w:line="360" w:lineRule="auto"/>
        <w:rPr>
          <w:b/>
          <w:sz w:val="24"/>
          <w:lang w:val="en-US"/>
        </w:rPr>
      </w:pPr>
      <w:r w:rsidRPr="003F1A31">
        <w:rPr>
          <w:b/>
          <w:sz w:val="24"/>
          <w:lang w:val="en-US"/>
        </w:rPr>
        <w:lastRenderedPageBreak/>
        <w:t xml:space="preserve">Table </w:t>
      </w:r>
      <w:r w:rsidR="009A28F8">
        <w:rPr>
          <w:b/>
          <w:sz w:val="24"/>
          <w:lang w:val="en-US"/>
        </w:rPr>
        <w:t>2</w:t>
      </w:r>
      <w:r w:rsidRPr="003F1A31">
        <w:rPr>
          <w:b/>
          <w:sz w:val="24"/>
          <w:lang w:val="en-US"/>
        </w:rPr>
        <w:t>.3: Ambiguity Attitude 0.5 and Gender</w:t>
      </w:r>
    </w:p>
    <w:p w:rsidR="00CD3D72" w:rsidRDefault="00CD3D72" w:rsidP="00CD3D72">
      <w:pPr>
        <w:spacing w:line="360" w:lineRule="auto"/>
        <w:rPr>
          <w:lang w:val="en-US"/>
        </w:rPr>
      </w:pPr>
      <w:r>
        <w:rPr>
          <w:lang w:val="en-US"/>
        </w:rPr>
        <w:t xml:space="preserve">Below the chi-square statistics for Ambiguity Attitude 0.5*Gender. </w:t>
      </w:r>
      <w:r>
        <w:rPr>
          <w:noProof/>
          <w:lang w:val="en-GB" w:eastAsia="en-GB"/>
        </w:rPr>
        <w:drawing>
          <wp:inline distT="0" distB="0" distL="0" distR="0" wp14:anchorId="2743FB5F" wp14:editId="760F2B59">
            <wp:extent cx="5760720" cy="19443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1944370"/>
                    </a:xfrm>
                    <a:prstGeom prst="rect">
                      <a:avLst/>
                    </a:prstGeom>
                  </pic:spPr>
                </pic:pic>
              </a:graphicData>
            </a:graphic>
          </wp:inline>
        </w:drawing>
      </w:r>
    </w:p>
    <w:p w:rsidR="00CD3D72" w:rsidRPr="003F1A31" w:rsidRDefault="00CD3D72" w:rsidP="00CD3D72">
      <w:pPr>
        <w:spacing w:line="360" w:lineRule="auto"/>
        <w:rPr>
          <w:b/>
          <w:sz w:val="24"/>
          <w:lang w:val="en-US"/>
        </w:rPr>
      </w:pPr>
      <w:r w:rsidRPr="003F1A31">
        <w:rPr>
          <w:b/>
          <w:sz w:val="24"/>
          <w:lang w:val="en-US"/>
        </w:rPr>
        <w:t xml:space="preserve">Table </w:t>
      </w:r>
      <w:r w:rsidR="009A28F8">
        <w:rPr>
          <w:b/>
          <w:sz w:val="24"/>
          <w:lang w:val="en-US"/>
        </w:rPr>
        <w:t>2</w:t>
      </w:r>
      <w:r w:rsidRPr="003F1A31">
        <w:rPr>
          <w:b/>
          <w:sz w:val="24"/>
          <w:lang w:val="en-US"/>
        </w:rPr>
        <w:t>.</w:t>
      </w:r>
      <w:r>
        <w:rPr>
          <w:b/>
          <w:sz w:val="24"/>
          <w:lang w:val="en-US"/>
        </w:rPr>
        <w:t>4</w:t>
      </w:r>
      <w:r w:rsidRPr="003F1A31">
        <w:rPr>
          <w:b/>
          <w:sz w:val="24"/>
          <w:lang w:val="en-US"/>
        </w:rPr>
        <w:t>: Ambiguity Attitude 0.</w:t>
      </w:r>
      <w:r>
        <w:rPr>
          <w:b/>
          <w:sz w:val="24"/>
          <w:lang w:val="en-US"/>
        </w:rPr>
        <w:t>1</w:t>
      </w:r>
      <w:r w:rsidRPr="003F1A31">
        <w:rPr>
          <w:b/>
          <w:sz w:val="24"/>
          <w:lang w:val="en-US"/>
        </w:rPr>
        <w:t xml:space="preserve"> and Gender</w:t>
      </w:r>
    </w:p>
    <w:p w:rsidR="00CD3D72" w:rsidRDefault="00CD3D72" w:rsidP="00CD3D72">
      <w:pPr>
        <w:spacing w:line="360" w:lineRule="auto"/>
        <w:rPr>
          <w:lang w:val="en-US"/>
        </w:rPr>
      </w:pPr>
      <w:r>
        <w:rPr>
          <w:lang w:val="en-US"/>
        </w:rPr>
        <w:lastRenderedPageBreak/>
        <w:t xml:space="preserve">Below the chi-square statistics for Ambiguity Attitude 0.1*Gender. </w:t>
      </w:r>
      <w:r>
        <w:rPr>
          <w:noProof/>
          <w:lang w:val="en-GB" w:eastAsia="en-GB"/>
        </w:rPr>
        <w:drawing>
          <wp:inline distT="0" distB="0" distL="0" distR="0" wp14:anchorId="3EFEEC3E" wp14:editId="54B9EA8D">
            <wp:extent cx="5760720" cy="1949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1949450"/>
                    </a:xfrm>
                    <a:prstGeom prst="rect">
                      <a:avLst/>
                    </a:prstGeom>
                  </pic:spPr>
                </pic:pic>
              </a:graphicData>
            </a:graphic>
          </wp:inline>
        </w:drawing>
      </w:r>
    </w:p>
    <w:p w:rsidR="00CD3D72" w:rsidRPr="003F1A31" w:rsidRDefault="00CD3D72" w:rsidP="00CD3D72">
      <w:pPr>
        <w:spacing w:line="360" w:lineRule="auto"/>
        <w:rPr>
          <w:b/>
          <w:sz w:val="24"/>
          <w:lang w:val="en-US"/>
        </w:rPr>
      </w:pPr>
      <w:r w:rsidRPr="003F1A31">
        <w:rPr>
          <w:b/>
          <w:sz w:val="24"/>
          <w:lang w:val="en-US"/>
        </w:rPr>
        <w:t xml:space="preserve">Table </w:t>
      </w:r>
      <w:r w:rsidR="009A28F8">
        <w:rPr>
          <w:b/>
          <w:sz w:val="24"/>
          <w:lang w:val="en-US"/>
        </w:rPr>
        <w:t>2</w:t>
      </w:r>
      <w:r w:rsidRPr="003F1A31">
        <w:rPr>
          <w:b/>
          <w:sz w:val="24"/>
          <w:lang w:val="en-US"/>
        </w:rPr>
        <w:t>.</w:t>
      </w:r>
      <w:r>
        <w:rPr>
          <w:b/>
          <w:sz w:val="24"/>
          <w:lang w:val="en-US"/>
        </w:rPr>
        <w:t>5</w:t>
      </w:r>
      <w:r w:rsidRPr="003F1A31">
        <w:rPr>
          <w:b/>
          <w:sz w:val="24"/>
          <w:lang w:val="en-US"/>
        </w:rPr>
        <w:t>: Ambiguity Attitude 0.</w:t>
      </w:r>
      <w:r>
        <w:rPr>
          <w:b/>
          <w:sz w:val="24"/>
          <w:lang w:val="en-US"/>
        </w:rPr>
        <w:t>9</w:t>
      </w:r>
      <w:r w:rsidRPr="003F1A31">
        <w:rPr>
          <w:b/>
          <w:sz w:val="24"/>
          <w:lang w:val="en-US"/>
        </w:rPr>
        <w:t xml:space="preserve"> and Gender</w:t>
      </w:r>
    </w:p>
    <w:p w:rsidR="00CD3D72" w:rsidRPr="007A438A" w:rsidRDefault="00146E04" w:rsidP="00CD3D72">
      <w:pPr>
        <w:spacing w:line="360" w:lineRule="auto"/>
        <w:rPr>
          <w:lang w:val="en-US"/>
        </w:rPr>
      </w:pPr>
      <w:r>
        <w:rPr>
          <w:lang w:val="en-US"/>
        </w:rPr>
        <w:lastRenderedPageBreak/>
        <w:t xml:space="preserve"> </w:t>
      </w:r>
      <w:r w:rsidR="00CD3D72">
        <w:rPr>
          <w:lang w:val="en-US"/>
        </w:rPr>
        <w:t xml:space="preserve">Below the chi-square statistics for Ambiguity Attitude 0.9*Gender. </w:t>
      </w:r>
      <w:r w:rsidR="00CD3D72">
        <w:rPr>
          <w:noProof/>
          <w:lang w:val="en-GB" w:eastAsia="en-GB"/>
        </w:rPr>
        <w:drawing>
          <wp:inline distT="0" distB="0" distL="0" distR="0" wp14:anchorId="7B680FDE" wp14:editId="6235A006">
            <wp:extent cx="5760720" cy="197294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1972945"/>
                    </a:xfrm>
                    <a:prstGeom prst="rect">
                      <a:avLst/>
                    </a:prstGeom>
                  </pic:spPr>
                </pic:pic>
              </a:graphicData>
            </a:graphic>
          </wp:inline>
        </w:drawing>
      </w:r>
    </w:p>
    <w:p w:rsidR="00146E04" w:rsidRDefault="00146E04" w:rsidP="00CD3D72">
      <w:pPr>
        <w:spacing w:line="360" w:lineRule="auto"/>
        <w:rPr>
          <w:sz w:val="32"/>
          <w:lang w:val="en-US"/>
        </w:rPr>
      </w:pPr>
    </w:p>
    <w:p w:rsidR="00CD3D72" w:rsidRDefault="00CD3D72" w:rsidP="00CD3D72">
      <w:pPr>
        <w:spacing w:line="360" w:lineRule="auto"/>
        <w:rPr>
          <w:sz w:val="32"/>
          <w:lang w:val="en-US"/>
        </w:rPr>
      </w:pPr>
      <w:r w:rsidRPr="00B9689B">
        <w:rPr>
          <w:sz w:val="32"/>
          <w:lang w:val="en-US"/>
        </w:rPr>
        <w:t>Econometric Analysis Tables</w:t>
      </w:r>
      <w:r>
        <w:rPr>
          <w:sz w:val="32"/>
          <w:lang w:val="en-US"/>
        </w:rPr>
        <w:t>:</w:t>
      </w:r>
    </w:p>
    <w:tbl>
      <w:tblPr>
        <w:tblpPr w:leftFromText="141" w:rightFromText="141" w:vertAnchor="page" w:horzAnchor="margin" w:tblpY="9242"/>
        <w:tblW w:w="9540" w:type="dxa"/>
        <w:tblCellMar>
          <w:left w:w="70" w:type="dxa"/>
          <w:right w:w="70" w:type="dxa"/>
        </w:tblCellMar>
        <w:tblLook w:val="04A0" w:firstRow="1" w:lastRow="0" w:firstColumn="1" w:lastColumn="0" w:noHBand="0" w:noVBand="1"/>
      </w:tblPr>
      <w:tblGrid>
        <w:gridCol w:w="2915"/>
        <w:gridCol w:w="884"/>
        <w:gridCol w:w="441"/>
        <w:gridCol w:w="884"/>
        <w:gridCol w:w="441"/>
        <w:gridCol w:w="884"/>
        <w:gridCol w:w="441"/>
        <w:gridCol w:w="884"/>
        <w:gridCol w:w="441"/>
        <w:gridCol w:w="884"/>
        <w:gridCol w:w="441"/>
      </w:tblGrid>
      <w:tr w:rsidR="002348F8" w:rsidRPr="00E44C6D" w:rsidTr="002348F8">
        <w:trPr>
          <w:trHeight w:val="287"/>
        </w:trPr>
        <w:tc>
          <w:tcPr>
            <w:tcW w:w="2915"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 </w:t>
            </w:r>
          </w:p>
        </w:tc>
        <w:tc>
          <w:tcPr>
            <w:tcW w:w="884"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7</w:t>
            </w:r>
          </w:p>
        </w:tc>
        <w:tc>
          <w:tcPr>
            <w:tcW w:w="441"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 </w:t>
            </w:r>
          </w:p>
        </w:tc>
        <w:tc>
          <w:tcPr>
            <w:tcW w:w="884"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8</w:t>
            </w:r>
          </w:p>
        </w:tc>
        <w:tc>
          <w:tcPr>
            <w:tcW w:w="441"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 </w:t>
            </w:r>
          </w:p>
        </w:tc>
        <w:tc>
          <w:tcPr>
            <w:tcW w:w="884"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9</w:t>
            </w:r>
          </w:p>
        </w:tc>
        <w:tc>
          <w:tcPr>
            <w:tcW w:w="441"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 </w:t>
            </w:r>
          </w:p>
        </w:tc>
        <w:tc>
          <w:tcPr>
            <w:tcW w:w="884"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10</w:t>
            </w:r>
          </w:p>
        </w:tc>
        <w:tc>
          <w:tcPr>
            <w:tcW w:w="441"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 </w:t>
            </w:r>
          </w:p>
        </w:tc>
        <w:tc>
          <w:tcPr>
            <w:tcW w:w="884"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11</w:t>
            </w:r>
          </w:p>
        </w:tc>
        <w:tc>
          <w:tcPr>
            <w:tcW w:w="441" w:type="dxa"/>
            <w:tcBorders>
              <w:top w:val="single" w:sz="4" w:space="0" w:color="auto"/>
              <w:left w:val="nil"/>
              <w:bottom w:val="single" w:sz="4" w:space="0" w:color="auto"/>
              <w:right w:val="nil"/>
            </w:tcBorders>
            <w:shd w:val="clear" w:color="auto" w:fill="auto"/>
            <w:noWrap/>
            <w:vAlign w:val="bottom"/>
            <w:hideMark/>
          </w:tcPr>
          <w:p w:rsidR="002348F8" w:rsidRPr="00E44C6D" w:rsidRDefault="002348F8" w:rsidP="002348F8">
            <w:pPr>
              <w:spacing w:after="0"/>
              <w:jc w:val="center"/>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 </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Constant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-5,190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-5,478</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-5,462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-5,381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-5,620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val="en-US" w:eastAsia="nl-NL"/>
              </w:rPr>
            </w:pPr>
            <w:r w:rsidRPr="00E44C6D">
              <w:rPr>
                <w:rFonts w:ascii="Calibri" w:eastAsia="Times New Roman" w:hAnsi="Calibri" w:cs="Calibri"/>
                <w:color w:val="000000"/>
                <w:sz w:val="20"/>
                <w:szCs w:val="20"/>
                <w:lang w:val="en-US"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val="en-US" w:eastAsia="nl-NL"/>
              </w:rPr>
            </w:pPr>
            <w:r w:rsidRPr="00E44C6D">
              <w:rPr>
                <w:rFonts w:ascii="Calibri" w:eastAsia="Times New Roman" w:hAnsi="Calibri" w:cs="Calibri"/>
                <w:b/>
                <w:bCs/>
                <w:color w:val="000000"/>
                <w:sz w:val="20"/>
                <w:szCs w:val="20"/>
                <w:lang w:val="en-US" w:eastAsia="nl-NL"/>
              </w:rPr>
              <w:t>Ambiguity Aversion 0,1</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val="en-US"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val="en-US"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val="en-US" w:eastAsia="nl-NL"/>
              </w:rPr>
              <w:t>0,</w:t>
            </w:r>
            <w:r w:rsidRPr="00E44C6D">
              <w:rPr>
                <w:rFonts w:ascii="Calibri" w:eastAsia="Times New Roman" w:hAnsi="Calibri" w:cs="Calibri"/>
                <w:color w:val="000000"/>
                <w:sz w:val="20"/>
                <w:szCs w:val="20"/>
                <w:lang w:eastAsia="nl-NL"/>
              </w:rPr>
              <w:t>262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0,223</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Ambiguity Aversion 0,5</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0,174</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0,450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Ambiguity Aversion 0,9</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0,072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0,216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-0,145</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AA 0,1 * Gender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0,091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AA 0,5 * Gender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-0,632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lastRenderedPageBreak/>
              <w:t>AA 0,9 * Gender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0,072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0,857</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Risk Aversion</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0,558</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0,799</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RA_Gender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-0,601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Gross Household Income</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Gross Household Income Squared</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Age</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0,057</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0,056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0,058</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0,054</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0,056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Age Squared</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0,000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Gender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-1,056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-0,695</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-0,779</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-0,721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-0,334</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Household Size</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-0,242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-0,259</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-0,258</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-0,247</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-0,240</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Live with Partner</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-0,223</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-0,191</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-0,238</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-0,212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-0,204</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Education</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0,186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0,192</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0,184</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0,186</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0,185</w:t>
            </w: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w:t>
            </w:r>
          </w:p>
        </w:tc>
      </w:tr>
      <w:tr w:rsidR="002348F8" w:rsidRPr="00E44C6D" w:rsidTr="002348F8">
        <w:trPr>
          <w:trHeight w:val="287"/>
        </w:trPr>
        <w:tc>
          <w:tcPr>
            <w:tcW w:w="2915"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c>
          <w:tcPr>
            <w:tcW w:w="884" w:type="dxa"/>
            <w:tcBorders>
              <w:top w:val="nil"/>
              <w:left w:val="nil"/>
              <w:bottom w:val="nil"/>
              <w:right w:val="nil"/>
            </w:tcBorders>
            <w:shd w:val="clear" w:color="auto" w:fill="auto"/>
            <w:noWrap/>
            <w:vAlign w:val="bottom"/>
            <w:hideMark/>
          </w:tcPr>
          <w:p w:rsidR="002348F8" w:rsidRPr="00E44C6D" w:rsidRDefault="002348F8" w:rsidP="002348F8">
            <w:pPr>
              <w:spacing w:after="0"/>
              <w:rPr>
                <w:rFonts w:ascii="Times New Roman" w:eastAsia="Times New Roman" w:hAnsi="Times New Roman" w:cs="Times New Roman"/>
                <w:sz w:val="20"/>
                <w:szCs w:val="20"/>
                <w:lang w:eastAsia="nl-NL"/>
              </w:rPr>
            </w:pPr>
          </w:p>
        </w:tc>
        <w:tc>
          <w:tcPr>
            <w:tcW w:w="441" w:type="dxa"/>
            <w:tcBorders>
              <w:top w:val="nil"/>
              <w:left w:val="nil"/>
              <w:bottom w:val="nil"/>
              <w:right w:val="nil"/>
            </w:tcBorders>
            <w:shd w:val="clear" w:color="auto" w:fill="auto"/>
            <w:noWrap/>
            <w:vAlign w:val="bottom"/>
            <w:hideMark/>
          </w:tcPr>
          <w:p w:rsidR="002348F8" w:rsidRPr="00E44C6D" w:rsidRDefault="002348F8" w:rsidP="002348F8">
            <w:pPr>
              <w:spacing w:after="0"/>
              <w:jc w:val="right"/>
              <w:rPr>
                <w:rFonts w:ascii="Times New Roman" w:eastAsia="Times New Roman" w:hAnsi="Times New Roman" w:cs="Times New Roman"/>
                <w:sz w:val="20"/>
                <w:szCs w:val="20"/>
                <w:lang w:eastAsia="nl-NL"/>
              </w:rPr>
            </w:pPr>
          </w:p>
        </w:tc>
      </w:tr>
      <w:tr w:rsidR="002348F8" w:rsidRPr="00E44C6D" w:rsidTr="002348F8">
        <w:trPr>
          <w:trHeight w:val="287"/>
        </w:trPr>
        <w:tc>
          <w:tcPr>
            <w:tcW w:w="2915"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b/>
                <w:bCs/>
                <w:color w:val="000000"/>
                <w:sz w:val="20"/>
                <w:szCs w:val="20"/>
                <w:lang w:eastAsia="nl-NL"/>
              </w:rPr>
            </w:pPr>
            <w:r w:rsidRPr="00E44C6D">
              <w:rPr>
                <w:rFonts w:ascii="Calibri" w:eastAsia="Times New Roman" w:hAnsi="Calibri" w:cs="Calibri"/>
                <w:b/>
                <w:bCs/>
                <w:color w:val="000000"/>
                <w:sz w:val="20"/>
                <w:szCs w:val="20"/>
                <w:lang w:eastAsia="nl-NL"/>
              </w:rPr>
              <w:t># Observations</w:t>
            </w:r>
          </w:p>
        </w:tc>
        <w:tc>
          <w:tcPr>
            <w:tcW w:w="884"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795</w:t>
            </w:r>
          </w:p>
        </w:tc>
        <w:tc>
          <w:tcPr>
            <w:tcW w:w="441"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 </w:t>
            </w:r>
          </w:p>
        </w:tc>
        <w:tc>
          <w:tcPr>
            <w:tcW w:w="884"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795</w:t>
            </w:r>
          </w:p>
        </w:tc>
        <w:tc>
          <w:tcPr>
            <w:tcW w:w="441"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 </w:t>
            </w:r>
          </w:p>
        </w:tc>
        <w:tc>
          <w:tcPr>
            <w:tcW w:w="884"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795</w:t>
            </w:r>
          </w:p>
        </w:tc>
        <w:tc>
          <w:tcPr>
            <w:tcW w:w="441"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 </w:t>
            </w:r>
          </w:p>
        </w:tc>
        <w:tc>
          <w:tcPr>
            <w:tcW w:w="884"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795</w:t>
            </w:r>
          </w:p>
        </w:tc>
        <w:tc>
          <w:tcPr>
            <w:tcW w:w="441"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 </w:t>
            </w:r>
          </w:p>
        </w:tc>
        <w:tc>
          <w:tcPr>
            <w:tcW w:w="884"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jc w:val="right"/>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795</w:t>
            </w:r>
          </w:p>
        </w:tc>
        <w:tc>
          <w:tcPr>
            <w:tcW w:w="441" w:type="dxa"/>
            <w:tcBorders>
              <w:top w:val="nil"/>
              <w:left w:val="nil"/>
              <w:bottom w:val="single" w:sz="4" w:space="0" w:color="auto"/>
              <w:right w:val="nil"/>
            </w:tcBorders>
            <w:shd w:val="clear" w:color="auto" w:fill="auto"/>
            <w:noWrap/>
            <w:vAlign w:val="bottom"/>
            <w:hideMark/>
          </w:tcPr>
          <w:p w:rsidR="002348F8" w:rsidRPr="00E44C6D" w:rsidRDefault="002348F8" w:rsidP="002348F8">
            <w:pPr>
              <w:spacing w:after="0"/>
              <w:rPr>
                <w:rFonts w:ascii="Calibri" w:eastAsia="Times New Roman" w:hAnsi="Calibri" w:cs="Calibri"/>
                <w:color w:val="000000"/>
                <w:sz w:val="20"/>
                <w:szCs w:val="20"/>
                <w:lang w:eastAsia="nl-NL"/>
              </w:rPr>
            </w:pPr>
            <w:r w:rsidRPr="00E44C6D">
              <w:rPr>
                <w:rFonts w:ascii="Calibri" w:eastAsia="Times New Roman" w:hAnsi="Calibri" w:cs="Calibri"/>
                <w:color w:val="000000"/>
                <w:sz w:val="20"/>
                <w:szCs w:val="20"/>
                <w:lang w:eastAsia="nl-NL"/>
              </w:rPr>
              <w:t> </w:t>
            </w:r>
          </w:p>
        </w:tc>
      </w:tr>
    </w:tbl>
    <w:p w:rsidR="00146E04" w:rsidRDefault="00146E04" w:rsidP="00146E04">
      <w:pPr>
        <w:rPr>
          <w:sz w:val="28"/>
          <w:lang w:val="en-US"/>
        </w:rPr>
      </w:pPr>
      <w:r>
        <w:rPr>
          <w:b/>
          <w:sz w:val="28"/>
          <w:lang w:val="en-US"/>
        </w:rPr>
        <w:t xml:space="preserve">Table </w:t>
      </w:r>
      <w:r w:rsidR="009A28F8">
        <w:rPr>
          <w:b/>
          <w:sz w:val="28"/>
          <w:lang w:val="en-US"/>
        </w:rPr>
        <w:t>3</w:t>
      </w:r>
      <w:r w:rsidRPr="00E44C6D">
        <w:rPr>
          <w:b/>
          <w:sz w:val="28"/>
          <w:lang w:val="en-US"/>
        </w:rPr>
        <w:t>.</w:t>
      </w:r>
      <w:r>
        <w:rPr>
          <w:b/>
          <w:sz w:val="28"/>
          <w:lang w:val="en-US"/>
        </w:rPr>
        <w:t>1</w:t>
      </w:r>
      <w:r w:rsidRPr="00E44C6D">
        <w:rPr>
          <w:sz w:val="28"/>
          <w:lang w:val="en-US"/>
        </w:rPr>
        <w:t xml:space="preserve"> Ambiguity/Risk Attitudes and Stock Market Participation</w:t>
      </w:r>
    </w:p>
    <w:tbl>
      <w:tblPr>
        <w:tblpPr w:leftFromText="141" w:rightFromText="141" w:vertAnchor="page" w:horzAnchor="margin" w:tblpY="3895"/>
        <w:tblW w:w="10042" w:type="dxa"/>
        <w:tblCellMar>
          <w:left w:w="70" w:type="dxa"/>
          <w:right w:w="70" w:type="dxa"/>
        </w:tblCellMar>
        <w:tblLook w:val="04A0" w:firstRow="1" w:lastRow="0" w:firstColumn="1" w:lastColumn="0" w:noHBand="0" w:noVBand="1"/>
      </w:tblPr>
      <w:tblGrid>
        <w:gridCol w:w="2626"/>
        <w:gridCol w:w="797"/>
        <w:gridCol w:w="439"/>
        <w:gridCol w:w="797"/>
        <w:gridCol w:w="439"/>
        <w:gridCol w:w="797"/>
        <w:gridCol w:w="439"/>
        <w:gridCol w:w="797"/>
        <w:gridCol w:w="439"/>
        <w:gridCol w:w="797"/>
        <w:gridCol w:w="439"/>
        <w:gridCol w:w="797"/>
        <w:gridCol w:w="439"/>
      </w:tblGrid>
      <w:tr w:rsidR="00146E04" w:rsidRPr="003F1A31" w:rsidTr="002348F8">
        <w:trPr>
          <w:trHeight w:val="285"/>
        </w:trPr>
        <w:tc>
          <w:tcPr>
            <w:tcW w:w="2626" w:type="dxa"/>
            <w:tcBorders>
              <w:top w:val="single" w:sz="4" w:space="0" w:color="auto"/>
              <w:left w:val="nil"/>
              <w:bottom w:val="single" w:sz="4" w:space="0" w:color="auto"/>
              <w:right w:val="nil"/>
            </w:tcBorders>
            <w:shd w:val="clear" w:color="auto" w:fill="auto"/>
            <w:noWrap/>
            <w:vAlign w:val="bottom"/>
            <w:hideMark/>
          </w:tcPr>
          <w:p w:rsidR="00146E04" w:rsidRPr="007A438A" w:rsidRDefault="00146E04" w:rsidP="002348F8">
            <w:pPr>
              <w:spacing w:after="0"/>
              <w:rPr>
                <w:rFonts w:ascii="Calibri" w:eastAsia="Times New Roman" w:hAnsi="Calibri" w:cs="Calibri"/>
                <w:color w:val="000000"/>
                <w:sz w:val="20"/>
                <w:szCs w:val="20"/>
                <w:lang w:val="en-US" w:eastAsia="nl-NL"/>
              </w:rPr>
            </w:pPr>
            <w:r w:rsidRPr="007A438A">
              <w:rPr>
                <w:rFonts w:ascii="Calibri" w:eastAsia="Times New Roman" w:hAnsi="Calibri" w:cs="Calibri"/>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1</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2</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3</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4</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5</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c>
          <w:tcPr>
            <w:tcW w:w="797"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6</w:t>
            </w:r>
          </w:p>
        </w:tc>
        <w:tc>
          <w:tcPr>
            <w:tcW w:w="439" w:type="dxa"/>
            <w:tcBorders>
              <w:top w:val="single" w:sz="4" w:space="0" w:color="auto"/>
              <w:left w:val="nil"/>
              <w:bottom w:val="single" w:sz="4" w:space="0" w:color="auto"/>
              <w:right w:val="nil"/>
            </w:tcBorders>
            <w:shd w:val="clear" w:color="auto" w:fill="auto"/>
            <w:noWrap/>
            <w:vAlign w:val="bottom"/>
            <w:hideMark/>
          </w:tcPr>
          <w:p w:rsidR="00146E04" w:rsidRPr="003F1A31" w:rsidRDefault="00146E04" w:rsidP="002348F8">
            <w:pPr>
              <w:spacing w:after="0"/>
              <w:jc w:val="center"/>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 </w:t>
            </w:r>
          </w:p>
        </w:tc>
      </w:tr>
      <w:tr w:rsidR="00146E04" w:rsidRPr="003F1A31" w:rsidTr="002348F8">
        <w:trPr>
          <w:trHeight w:val="285"/>
        </w:trPr>
        <w:tc>
          <w:tcPr>
            <w:tcW w:w="2626"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b/>
                <w:bCs/>
                <w:color w:val="000000"/>
                <w:sz w:val="20"/>
                <w:szCs w:val="20"/>
                <w:lang w:val="en-US" w:eastAsia="nl-NL"/>
              </w:rPr>
            </w:pPr>
            <w:r w:rsidRPr="003F1A31">
              <w:rPr>
                <w:rFonts w:ascii="Calibri" w:eastAsia="Times New Roman" w:hAnsi="Calibri" w:cs="Calibri"/>
                <w:b/>
                <w:bCs/>
                <w:color w:val="000000"/>
                <w:sz w:val="20"/>
                <w:szCs w:val="20"/>
                <w:lang w:val="en-US" w:eastAsia="nl-NL"/>
              </w:rPr>
              <w:t>Constant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-4,981</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-5,281</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-5,370</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-5,139</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-5,107</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c>
          <w:tcPr>
            <w:tcW w:w="797" w:type="dxa"/>
            <w:tcBorders>
              <w:top w:val="nil"/>
              <w:left w:val="nil"/>
              <w:bottom w:val="nil"/>
              <w:right w:val="nil"/>
            </w:tcBorders>
            <w:shd w:val="clear" w:color="auto" w:fill="auto"/>
            <w:noWrap/>
            <w:vAlign w:val="bottom"/>
            <w:hideMark/>
          </w:tcPr>
          <w:p w:rsidR="00146E04" w:rsidRPr="003F1A31" w:rsidRDefault="00146E04" w:rsidP="002348F8">
            <w:pPr>
              <w:spacing w:after="0"/>
              <w:jc w:val="right"/>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-5,331</w:t>
            </w:r>
          </w:p>
        </w:tc>
        <w:tc>
          <w:tcPr>
            <w:tcW w:w="439" w:type="dxa"/>
            <w:tcBorders>
              <w:top w:val="nil"/>
              <w:left w:val="nil"/>
              <w:bottom w:val="nil"/>
              <w:right w:val="nil"/>
            </w:tcBorders>
            <w:shd w:val="clear" w:color="auto" w:fill="auto"/>
            <w:noWrap/>
            <w:vAlign w:val="bottom"/>
            <w:hideMark/>
          </w:tcPr>
          <w:p w:rsidR="00146E04" w:rsidRPr="003F1A31" w:rsidRDefault="00146E04" w:rsidP="002348F8">
            <w:pPr>
              <w:spacing w:after="0"/>
              <w:rPr>
                <w:rFonts w:ascii="Calibri" w:eastAsia="Times New Roman" w:hAnsi="Calibri" w:cs="Calibri"/>
                <w:color w:val="000000"/>
                <w:sz w:val="20"/>
                <w:szCs w:val="20"/>
                <w:lang w:val="en-US" w:eastAsia="nl-NL"/>
              </w:rPr>
            </w:pPr>
            <w:r w:rsidRPr="003F1A31">
              <w:rPr>
                <w:rFonts w:ascii="Calibri" w:eastAsia="Times New Roman" w:hAnsi="Calibri" w:cs="Calibri"/>
                <w:color w:val="000000"/>
                <w:sz w:val="20"/>
                <w:szCs w:val="20"/>
                <w:lang w:val="en-US"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Ambiguity Aversion 0,1</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0,379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0,278</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Ambiguity Aversion 0,5</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0,299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0,429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Ambiguity Aversion 0,9</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0,345</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AA 0,1 * Gender</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0,243</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AA 0,5 * Gender</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-0,332</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Gross Household Income</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Gross Household Income Squared</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Age</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0,052</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0,052</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0,056</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Age Squared</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0,000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Gender</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-0,689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-0,702</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-0,491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-0,688</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-0,769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-0,691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Household Size</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-0,244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-0,250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-0,245</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-0,269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-0,267</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-0,235</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Live with Partner</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-0,171</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-0,188</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-0,199</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-0,155</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-0,170</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-0,204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t>Education</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0,197</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0,192</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0,196</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0,195</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0,194</w:t>
            </w: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w:t>
            </w:r>
          </w:p>
        </w:tc>
      </w:tr>
      <w:tr w:rsidR="00146E04" w:rsidRPr="00B56318" w:rsidTr="002348F8">
        <w:trPr>
          <w:trHeight w:val="285"/>
        </w:trPr>
        <w:tc>
          <w:tcPr>
            <w:tcW w:w="2626"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c>
          <w:tcPr>
            <w:tcW w:w="797" w:type="dxa"/>
            <w:tcBorders>
              <w:top w:val="nil"/>
              <w:left w:val="nil"/>
              <w:bottom w:val="nil"/>
              <w:right w:val="nil"/>
            </w:tcBorders>
            <w:shd w:val="clear" w:color="auto" w:fill="auto"/>
            <w:noWrap/>
            <w:vAlign w:val="bottom"/>
            <w:hideMark/>
          </w:tcPr>
          <w:p w:rsidR="00146E04" w:rsidRPr="00B56318" w:rsidRDefault="00146E04" w:rsidP="002348F8">
            <w:pPr>
              <w:spacing w:after="0"/>
              <w:rPr>
                <w:rFonts w:ascii="Times New Roman" w:eastAsia="Times New Roman" w:hAnsi="Times New Roman" w:cs="Times New Roman"/>
                <w:sz w:val="20"/>
                <w:szCs w:val="20"/>
                <w:lang w:eastAsia="nl-NL"/>
              </w:rPr>
            </w:pPr>
          </w:p>
        </w:tc>
        <w:tc>
          <w:tcPr>
            <w:tcW w:w="439" w:type="dxa"/>
            <w:tcBorders>
              <w:top w:val="nil"/>
              <w:left w:val="nil"/>
              <w:bottom w:val="nil"/>
              <w:right w:val="nil"/>
            </w:tcBorders>
            <w:shd w:val="clear" w:color="auto" w:fill="auto"/>
            <w:noWrap/>
            <w:vAlign w:val="bottom"/>
            <w:hideMark/>
          </w:tcPr>
          <w:p w:rsidR="00146E04" w:rsidRPr="00B56318" w:rsidRDefault="00146E04" w:rsidP="002348F8">
            <w:pPr>
              <w:spacing w:after="0"/>
              <w:jc w:val="right"/>
              <w:rPr>
                <w:rFonts w:ascii="Times New Roman" w:eastAsia="Times New Roman" w:hAnsi="Times New Roman" w:cs="Times New Roman"/>
                <w:sz w:val="20"/>
                <w:szCs w:val="20"/>
                <w:lang w:eastAsia="nl-NL"/>
              </w:rPr>
            </w:pPr>
          </w:p>
        </w:tc>
      </w:tr>
      <w:tr w:rsidR="00146E04" w:rsidRPr="00B56318" w:rsidTr="002348F8">
        <w:trPr>
          <w:trHeight w:val="285"/>
        </w:trPr>
        <w:tc>
          <w:tcPr>
            <w:tcW w:w="2626"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b/>
                <w:bCs/>
                <w:color w:val="000000"/>
                <w:sz w:val="20"/>
                <w:szCs w:val="20"/>
                <w:lang w:eastAsia="nl-NL"/>
              </w:rPr>
            </w:pPr>
            <w:r w:rsidRPr="00B56318">
              <w:rPr>
                <w:rFonts w:ascii="Calibri" w:eastAsia="Times New Roman" w:hAnsi="Calibri" w:cs="Calibri"/>
                <w:b/>
                <w:bCs/>
                <w:color w:val="000000"/>
                <w:sz w:val="20"/>
                <w:szCs w:val="20"/>
                <w:lang w:eastAsia="nl-NL"/>
              </w:rPr>
              <w:lastRenderedPageBreak/>
              <w:t># Observations</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c>
          <w:tcPr>
            <w:tcW w:w="797"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jc w:val="right"/>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795</w:t>
            </w:r>
          </w:p>
        </w:tc>
        <w:tc>
          <w:tcPr>
            <w:tcW w:w="439" w:type="dxa"/>
            <w:tcBorders>
              <w:top w:val="nil"/>
              <w:left w:val="nil"/>
              <w:bottom w:val="single" w:sz="4" w:space="0" w:color="auto"/>
              <w:right w:val="nil"/>
            </w:tcBorders>
            <w:shd w:val="clear" w:color="auto" w:fill="auto"/>
            <w:noWrap/>
            <w:vAlign w:val="bottom"/>
            <w:hideMark/>
          </w:tcPr>
          <w:p w:rsidR="00146E04" w:rsidRPr="00B56318" w:rsidRDefault="00146E04" w:rsidP="002348F8">
            <w:pPr>
              <w:spacing w:after="0"/>
              <w:rPr>
                <w:rFonts w:ascii="Calibri" w:eastAsia="Times New Roman" w:hAnsi="Calibri" w:cs="Calibri"/>
                <w:color w:val="000000"/>
                <w:sz w:val="20"/>
                <w:szCs w:val="20"/>
                <w:lang w:eastAsia="nl-NL"/>
              </w:rPr>
            </w:pPr>
            <w:r w:rsidRPr="00B56318">
              <w:rPr>
                <w:rFonts w:ascii="Calibri" w:eastAsia="Times New Roman" w:hAnsi="Calibri" w:cs="Calibri"/>
                <w:color w:val="000000"/>
                <w:sz w:val="20"/>
                <w:szCs w:val="20"/>
                <w:lang w:eastAsia="nl-NL"/>
              </w:rPr>
              <w:t> </w:t>
            </w:r>
          </w:p>
        </w:tc>
      </w:tr>
    </w:tbl>
    <w:p w:rsidR="00146E04" w:rsidRDefault="00146E04" w:rsidP="00C365C9">
      <w:pPr>
        <w:jc w:val="both"/>
        <w:rPr>
          <w:sz w:val="28"/>
          <w:lang w:val="en-US"/>
        </w:rPr>
      </w:pPr>
      <w:r>
        <w:rPr>
          <w:lang w:val="en-US"/>
        </w:rPr>
        <w:t>Below are logit regressions with stock market participation as the dependent variable.</w:t>
      </w:r>
      <w:r w:rsidR="002348F8">
        <w:rPr>
          <w:lang w:val="en-US"/>
        </w:rPr>
        <w:t xml:space="preserve"> The figures presented here are estimated</w:t>
      </w:r>
      <w:r w:rsidR="00C43BD0">
        <w:rPr>
          <w:lang w:val="en-US"/>
        </w:rPr>
        <w:t xml:space="preserve"> coefficients for the predictor variables</w:t>
      </w:r>
      <w:r w:rsidR="002348F8">
        <w:rPr>
          <w:lang w:val="en-US"/>
        </w:rPr>
        <w:t xml:space="preserve">. </w:t>
      </w:r>
      <w:r w:rsidR="00380E4A">
        <w:rPr>
          <w:lang w:val="en-US"/>
        </w:rPr>
        <w:t xml:space="preserve">The </w:t>
      </w:r>
      <w:r w:rsidR="00A072BE">
        <w:rPr>
          <w:lang w:val="en-US"/>
        </w:rPr>
        <w:t>stars</w:t>
      </w:r>
      <w:r w:rsidR="00380E4A">
        <w:rPr>
          <w:lang w:val="en-US"/>
        </w:rPr>
        <w:t xml:space="preserve"> indicate on what level the </w:t>
      </w:r>
      <w:r w:rsidR="005C4FB5">
        <w:rPr>
          <w:lang w:val="en-US"/>
        </w:rPr>
        <w:t>coefficient</w:t>
      </w:r>
      <w:r w:rsidR="00380E4A">
        <w:rPr>
          <w:lang w:val="en-US"/>
        </w:rPr>
        <w:t xml:space="preserve"> is significant. * = 10% level, ** = 5% level, *** = 1% level.</w:t>
      </w:r>
    </w:p>
    <w:p w:rsidR="00CD3D72" w:rsidRPr="00CD3D72" w:rsidRDefault="009A28F8" w:rsidP="00CD3D72">
      <w:pPr>
        <w:spacing w:after="160" w:line="259" w:lineRule="auto"/>
        <w:rPr>
          <w:b/>
          <w:sz w:val="28"/>
          <w:lang w:val="en-US"/>
        </w:rPr>
      </w:pPr>
      <w:r>
        <w:rPr>
          <w:b/>
          <w:sz w:val="28"/>
          <w:lang w:val="en-US"/>
        </w:rPr>
        <w:t>Table 3</w:t>
      </w:r>
      <w:r w:rsidR="00CD3D72">
        <w:rPr>
          <w:b/>
          <w:sz w:val="28"/>
          <w:lang w:val="en-US"/>
        </w:rPr>
        <w:t>.2</w:t>
      </w:r>
      <w:r w:rsidR="00CD3D72" w:rsidRPr="004D465D">
        <w:rPr>
          <w:b/>
          <w:sz w:val="28"/>
          <w:lang w:val="en-US"/>
        </w:rPr>
        <w:t>:</w:t>
      </w:r>
      <w:r w:rsidR="00CD3D72" w:rsidRPr="004D465D">
        <w:rPr>
          <w:sz w:val="28"/>
          <w:lang w:val="en-US"/>
        </w:rPr>
        <w:t xml:space="preserve"> Demographic Predictors for Ambiguity Attitudes</w:t>
      </w:r>
    </w:p>
    <w:p w:rsidR="00CD3D72" w:rsidRPr="004D465D" w:rsidRDefault="00CD3D72" w:rsidP="00C365C9">
      <w:pPr>
        <w:spacing w:line="360" w:lineRule="auto"/>
        <w:jc w:val="both"/>
        <w:rPr>
          <w:lang w:val="en-US"/>
        </w:rPr>
      </w:pPr>
      <w:r>
        <w:rPr>
          <w:lang w:val="en-US"/>
        </w:rPr>
        <w:t>Below are logit regressions with various ambiguity attitudes as the dependent variable</w:t>
      </w:r>
      <w:r w:rsidR="002D7D31">
        <w:rPr>
          <w:lang w:val="en-US"/>
        </w:rPr>
        <w:t>s</w:t>
      </w:r>
      <w:r>
        <w:rPr>
          <w:lang w:val="en-US"/>
        </w:rPr>
        <w:t xml:space="preserve">. </w:t>
      </w:r>
      <w:r w:rsidR="008D2B31">
        <w:rPr>
          <w:lang w:val="en-US"/>
        </w:rPr>
        <w:t>The figures presented here are estimated coefficients for the predictor</w:t>
      </w:r>
      <w:r w:rsidR="002D7D31">
        <w:rPr>
          <w:lang w:val="en-US"/>
        </w:rPr>
        <w:t xml:space="preserve"> variables</w:t>
      </w:r>
      <w:r w:rsidR="008D2B31">
        <w:rPr>
          <w:lang w:val="en-US"/>
        </w:rPr>
        <w:t xml:space="preserve">. </w:t>
      </w:r>
      <w:r w:rsidR="00E75356">
        <w:rPr>
          <w:lang w:val="en-US"/>
        </w:rPr>
        <w:t>The stars indicate on what level the coefficient is significant. * = 10% level, ** = 5% level, *** = 1% level.</w:t>
      </w:r>
    </w:p>
    <w:tbl>
      <w:tblPr>
        <w:tblW w:w="9756" w:type="dxa"/>
        <w:tblCellMar>
          <w:left w:w="70" w:type="dxa"/>
          <w:right w:w="70" w:type="dxa"/>
        </w:tblCellMar>
        <w:tblLook w:val="04A0" w:firstRow="1" w:lastRow="0" w:firstColumn="1" w:lastColumn="0" w:noHBand="0" w:noVBand="1"/>
      </w:tblPr>
      <w:tblGrid>
        <w:gridCol w:w="2593"/>
        <w:gridCol w:w="807"/>
        <w:gridCol w:w="439"/>
        <w:gridCol w:w="807"/>
        <w:gridCol w:w="439"/>
        <w:gridCol w:w="807"/>
        <w:gridCol w:w="439"/>
        <w:gridCol w:w="807"/>
        <w:gridCol w:w="340"/>
        <w:gridCol w:w="807"/>
        <w:gridCol w:w="439"/>
        <w:gridCol w:w="807"/>
        <w:gridCol w:w="439"/>
      </w:tblGrid>
      <w:tr w:rsidR="00CD3D72" w:rsidRPr="004D465D" w:rsidTr="006D0B1E">
        <w:trPr>
          <w:trHeight w:val="298"/>
        </w:trPr>
        <w:tc>
          <w:tcPr>
            <w:tcW w:w="2593"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Dependent Variable</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0,1</w:t>
            </w:r>
          </w:p>
        </w:tc>
        <w:tc>
          <w:tcPr>
            <w:tcW w:w="402"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0,1</w:t>
            </w:r>
          </w:p>
        </w:tc>
        <w:tc>
          <w:tcPr>
            <w:tcW w:w="402"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0,5</w:t>
            </w:r>
          </w:p>
        </w:tc>
        <w:tc>
          <w:tcPr>
            <w:tcW w:w="402"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0,5</w:t>
            </w:r>
          </w:p>
        </w:tc>
        <w:tc>
          <w:tcPr>
            <w:tcW w:w="311"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0,9</w:t>
            </w:r>
          </w:p>
        </w:tc>
        <w:tc>
          <w:tcPr>
            <w:tcW w:w="402"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c>
          <w:tcPr>
            <w:tcW w:w="807"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AA 0,9</w:t>
            </w:r>
          </w:p>
        </w:tc>
        <w:tc>
          <w:tcPr>
            <w:tcW w:w="402" w:type="dxa"/>
            <w:tcBorders>
              <w:top w:val="single" w:sz="4" w:space="0" w:color="auto"/>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center"/>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w:t>
            </w: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Constant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-0,439</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-0,407</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0,958</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0,933</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0,661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0,599</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Risk Aversion</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-0,214</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-0,275</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0,512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0,556</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0,535</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0,643</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RA_Gender</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0,117</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-0,086</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-0,210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Gross Household Income</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Gross Household Income Squared</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Age</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-0,021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-0,012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-0,028</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-0,028</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-0,027</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-0,027</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Age Squared</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0,000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Gender</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0,018</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-0,048</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0,141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0,188</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-0,092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0,031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Household Size</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0,292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0,291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0,081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0,082</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-0,144</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-0,142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Live with Partner</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-0,093</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-0,095</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0,102</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0,103</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0,374</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0,376</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w:t>
            </w: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lastRenderedPageBreak/>
              <w:t>Education</w:t>
            </w: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0,039</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0,040</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0,058</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0,058</w:t>
            </w: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0,043</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0,041</w:t>
            </w: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p>
        </w:tc>
      </w:tr>
      <w:tr w:rsidR="00CD3D72" w:rsidRPr="004D465D" w:rsidTr="006D0B1E">
        <w:trPr>
          <w:trHeight w:val="298"/>
        </w:trPr>
        <w:tc>
          <w:tcPr>
            <w:tcW w:w="2593"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311"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c>
          <w:tcPr>
            <w:tcW w:w="807"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rPr>
                <w:rFonts w:ascii="Times New Roman" w:eastAsia="Times New Roman" w:hAnsi="Times New Roman" w:cs="Times New Roman"/>
                <w:sz w:val="20"/>
                <w:szCs w:val="20"/>
                <w:lang w:eastAsia="nl-NL"/>
              </w:rPr>
            </w:pPr>
          </w:p>
        </w:tc>
        <w:tc>
          <w:tcPr>
            <w:tcW w:w="402" w:type="dxa"/>
            <w:tcBorders>
              <w:top w:val="nil"/>
              <w:left w:val="nil"/>
              <w:bottom w:val="nil"/>
              <w:right w:val="nil"/>
            </w:tcBorders>
            <w:shd w:val="clear" w:color="auto" w:fill="auto"/>
            <w:noWrap/>
            <w:vAlign w:val="bottom"/>
            <w:hideMark/>
          </w:tcPr>
          <w:p w:rsidR="00CD3D72" w:rsidRPr="004D465D" w:rsidRDefault="00CD3D72" w:rsidP="00CD3D72">
            <w:pPr>
              <w:spacing w:after="0" w:line="360" w:lineRule="auto"/>
              <w:jc w:val="right"/>
              <w:rPr>
                <w:rFonts w:ascii="Times New Roman" w:eastAsia="Times New Roman" w:hAnsi="Times New Roman" w:cs="Times New Roman"/>
                <w:sz w:val="20"/>
                <w:szCs w:val="20"/>
                <w:lang w:eastAsia="nl-NL"/>
              </w:rPr>
            </w:pPr>
          </w:p>
        </w:tc>
      </w:tr>
      <w:tr w:rsidR="00CD3D72" w:rsidRPr="004D465D" w:rsidTr="006D0B1E">
        <w:trPr>
          <w:trHeight w:val="298"/>
        </w:trPr>
        <w:tc>
          <w:tcPr>
            <w:tcW w:w="2593"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b/>
                <w:bCs/>
                <w:color w:val="000000"/>
                <w:sz w:val="20"/>
                <w:szCs w:val="20"/>
                <w:lang w:eastAsia="nl-NL"/>
              </w:rPr>
            </w:pPr>
            <w:r w:rsidRPr="004D465D">
              <w:rPr>
                <w:rFonts w:ascii="Calibri" w:eastAsia="Times New Roman" w:hAnsi="Calibri" w:cs="Calibri"/>
                <w:b/>
                <w:bCs/>
                <w:color w:val="000000"/>
                <w:sz w:val="20"/>
                <w:szCs w:val="20"/>
                <w:lang w:eastAsia="nl-NL"/>
              </w:rPr>
              <w:t># Observations</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402"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402"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402"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311"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402"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c>
          <w:tcPr>
            <w:tcW w:w="807"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jc w:val="right"/>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795</w:t>
            </w:r>
          </w:p>
        </w:tc>
        <w:tc>
          <w:tcPr>
            <w:tcW w:w="402" w:type="dxa"/>
            <w:tcBorders>
              <w:top w:val="nil"/>
              <w:left w:val="nil"/>
              <w:bottom w:val="single" w:sz="4" w:space="0" w:color="auto"/>
              <w:right w:val="nil"/>
            </w:tcBorders>
            <w:shd w:val="clear" w:color="auto" w:fill="auto"/>
            <w:noWrap/>
            <w:vAlign w:val="bottom"/>
            <w:hideMark/>
          </w:tcPr>
          <w:p w:rsidR="00CD3D72" w:rsidRPr="004D465D" w:rsidRDefault="00CD3D72" w:rsidP="00CD3D72">
            <w:pPr>
              <w:spacing w:after="0" w:line="360" w:lineRule="auto"/>
              <w:rPr>
                <w:rFonts w:ascii="Calibri" w:eastAsia="Times New Roman" w:hAnsi="Calibri" w:cs="Calibri"/>
                <w:color w:val="000000"/>
                <w:sz w:val="20"/>
                <w:szCs w:val="20"/>
                <w:lang w:eastAsia="nl-NL"/>
              </w:rPr>
            </w:pPr>
            <w:r w:rsidRPr="004D465D">
              <w:rPr>
                <w:rFonts w:ascii="Calibri" w:eastAsia="Times New Roman" w:hAnsi="Calibri" w:cs="Calibri"/>
                <w:color w:val="000000"/>
                <w:sz w:val="20"/>
                <w:szCs w:val="20"/>
                <w:lang w:eastAsia="nl-NL"/>
              </w:rPr>
              <w:t> </w:t>
            </w:r>
          </w:p>
        </w:tc>
      </w:tr>
    </w:tbl>
    <w:p w:rsidR="00CD3D72" w:rsidRDefault="00CD3D72" w:rsidP="00CD3D72">
      <w:pPr>
        <w:spacing w:line="360" w:lineRule="auto"/>
      </w:pPr>
    </w:p>
    <w:p w:rsidR="00CD3D72" w:rsidRDefault="00CD3D72">
      <w:pPr>
        <w:spacing w:after="160" w:line="259" w:lineRule="auto"/>
        <w:rPr>
          <w:b/>
          <w:lang w:val="en-US"/>
        </w:rPr>
      </w:pPr>
      <w:r>
        <w:rPr>
          <w:b/>
          <w:lang w:val="en-US"/>
        </w:rPr>
        <w:br w:type="page"/>
      </w:r>
    </w:p>
    <w:p w:rsidR="00CD3D72" w:rsidRPr="00CD3D72" w:rsidRDefault="00695994" w:rsidP="00CD3D72">
      <w:pPr>
        <w:pStyle w:val="Heading1"/>
        <w:rPr>
          <w:rFonts w:asciiTheme="minorHAnsi" w:hAnsiTheme="minorHAnsi" w:cstheme="minorHAnsi"/>
          <w:b/>
          <w:color w:val="000000" w:themeColor="text1"/>
          <w:sz w:val="36"/>
        </w:rPr>
      </w:pPr>
      <w:bookmarkStart w:id="24" w:name="_Toc422695293"/>
      <w:r>
        <w:rPr>
          <w:rFonts w:asciiTheme="minorHAnsi" w:hAnsiTheme="minorHAnsi" w:cstheme="minorHAnsi"/>
          <w:b/>
          <w:color w:val="000000" w:themeColor="text1"/>
          <w:sz w:val="36"/>
        </w:rPr>
        <w:lastRenderedPageBreak/>
        <w:t xml:space="preserve">5 </w:t>
      </w:r>
      <w:r w:rsidR="00CD3D72" w:rsidRPr="00CD3D72">
        <w:rPr>
          <w:rFonts w:asciiTheme="minorHAnsi" w:hAnsiTheme="minorHAnsi" w:cstheme="minorHAnsi"/>
          <w:b/>
          <w:color w:val="000000" w:themeColor="text1"/>
          <w:sz w:val="36"/>
        </w:rPr>
        <w:t>Discussion</w:t>
      </w:r>
      <w:bookmarkEnd w:id="24"/>
    </w:p>
    <w:p w:rsidR="006418DD" w:rsidRDefault="00CD3D72" w:rsidP="00990C80">
      <w:pPr>
        <w:spacing w:before="240" w:line="360" w:lineRule="auto"/>
        <w:jc w:val="both"/>
        <w:rPr>
          <w:lang w:val="en-US"/>
        </w:rPr>
      </w:pPr>
      <w:r>
        <w:rPr>
          <w:lang w:val="en-US"/>
        </w:rPr>
        <w:t>The answer to the research question</w:t>
      </w:r>
      <w:r w:rsidR="00741051">
        <w:rPr>
          <w:lang w:val="en-US"/>
        </w:rPr>
        <w:t xml:space="preserve">s of this </w:t>
      </w:r>
      <w:r w:rsidR="00750AB7">
        <w:rPr>
          <w:lang w:val="en-US"/>
        </w:rPr>
        <w:t>paper</w:t>
      </w:r>
      <w:r w:rsidR="005000EE">
        <w:rPr>
          <w:lang w:val="en-US"/>
        </w:rPr>
        <w:t xml:space="preserve">: </w:t>
      </w:r>
      <w:r w:rsidR="00741051" w:rsidRPr="00741051">
        <w:rPr>
          <w:lang w:val="en-US"/>
        </w:rPr>
        <w:t>“Are risk aversion and ambiguity aversion different for men and women? How do these attitudes affect stock market participation? If ambiguity and risk attitudes are different between genders, is it possible that risk attitudes and ambiguity attitudes affect</w:t>
      </w:r>
      <w:r w:rsidR="00750AB7">
        <w:rPr>
          <w:lang w:val="en-US"/>
        </w:rPr>
        <w:t xml:space="preserve"> genders differently in</w:t>
      </w:r>
      <w:r w:rsidR="00741051" w:rsidRPr="00741051">
        <w:rPr>
          <w:lang w:val="en-US"/>
        </w:rPr>
        <w:t xml:space="preserve"> the decision to </w:t>
      </w:r>
      <w:r w:rsidR="00750AB7">
        <w:rPr>
          <w:lang w:val="en-US"/>
        </w:rPr>
        <w:t>participate</w:t>
      </w:r>
      <w:r w:rsidR="00741051" w:rsidRPr="00741051">
        <w:rPr>
          <w:lang w:val="en-US"/>
        </w:rPr>
        <w:t xml:space="preserve"> in the stock market?”</w:t>
      </w:r>
      <w:r w:rsidR="00741051">
        <w:rPr>
          <w:lang w:val="en-US"/>
        </w:rPr>
        <w:t xml:space="preserve"> can be summarized as follows. Men and women exhibit comparable levels of ambiguity aversion, </w:t>
      </w:r>
      <w:r w:rsidR="005C0F3C">
        <w:rPr>
          <w:lang w:val="en-US"/>
        </w:rPr>
        <w:t>while</w:t>
      </w:r>
      <w:r w:rsidR="00741051">
        <w:rPr>
          <w:lang w:val="en-US"/>
        </w:rPr>
        <w:t xml:space="preserve"> women are more risk averse than men. Risk aversion is a good predictor for stock market participation, ambiguity aversion is not however. Risk attitudes and ambiguity attitudes do not affect </w:t>
      </w:r>
      <w:r w:rsidR="00CB295E">
        <w:rPr>
          <w:lang w:val="en-US"/>
        </w:rPr>
        <w:t>men and women</w:t>
      </w:r>
      <w:r w:rsidR="00741051">
        <w:rPr>
          <w:lang w:val="en-US"/>
        </w:rPr>
        <w:t xml:space="preserve"> differently in </w:t>
      </w:r>
      <w:r w:rsidR="005000EE">
        <w:rPr>
          <w:lang w:val="en-US"/>
        </w:rPr>
        <w:t xml:space="preserve">decision of stock market participation. </w:t>
      </w:r>
    </w:p>
    <w:p w:rsidR="00CD3D72" w:rsidRDefault="006418DD" w:rsidP="00990C80">
      <w:pPr>
        <w:spacing w:before="240" w:line="360" w:lineRule="auto"/>
        <w:jc w:val="both"/>
        <w:rPr>
          <w:lang w:val="en-US"/>
        </w:rPr>
      </w:pPr>
      <w:r>
        <w:rPr>
          <w:lang w:val="en-US"/>
        </w:rPr>
        <w:t>The first hypothesis that women are more risk averse, ambiguity averse and participate less in the stock market can be partially rejected. W</w:t>
      </w:r>
      <w:r w:rsidR="001144BC">
        <w:rPr>
          <w:lang w:val="en-US"/>
        </w:rPr>
        <w:t xml:space="preserve">omen participate significantly less in the stock market. </w:t>
      </w:r>
      <w:r w:rsidR="00CD3D72">
        <w:rPr>
          <w:lang w:val="en-US"/>
        </w:rPr>
        <w:t>This result was confirmed with chi square comparison tests</w:t>
      </w:r>
      <w:r w:rsidR="001144BC">
        <w:rPr>
          <w:lang w:val="en-US"/>
        </w:rPr>
        <w:t>.</w:t>
      </w:r>
      <w:r w:rsidR="00CD3D72">
        <w:rPr>
          <w:lang w:val="en-US"/>
        </w:rPr>
        <w:t xml:space="preserve"> The chi square comparison tests also showed that women are more risk averse than men.</w:t>
      </w:r>
      <w:r w:rsidR="00CD3D72" w:rsidRPr="00393A04">
        <w:rPr>
          <w:lang w:val="en-US"/>
        </w:rPr>
        <w:t xml:space="preserve"> </w:t>
      </w:r>
      <w:r w:rsidR="00CD3D72">
        <w:rPr>
          <w:lang w:val="en-US"/>
        </w:rPr>
        <w:t xml:space="preserve">This finding is consistent with existing literature </w:t>
      </w:r>
      <w:sdt>
        <w:sdtPr>
          <w:rPr>
            <w:lang w:val="en-US"/>
          </w:rPr>
          <w:id w:val="-1151214044"/>
          <w:citation/>
        </w:sdtPr>
        <w:sdtEndPr/>
        <w:sdtContent>
          <w:r w:rsidR="00CD3D72">
            <w:rPr>
              <w:lang w:val="en-US"/>
            </w:rPr>
            <w:fldChar w:fldCharType="begin"/>
          </w:r>
          <w:r w:rsidR="00CD3D72">
            <w:rPr>
              <w:lang w:val="en-US"/>
            </w:rPr>
            <w:instrText xml:space="preserve"> CITATION Cro09 \l 1033 </w:instrText>
          </w:r>
          <w:r w:rsidR="00CD3D72">
            <w:rPr>
              <w:lang w:val="en-US"/>
            </w:rPr>
            <w:fldChar w:fldCharType="separate"/>
          </w:r>
          <w:r w:rsidR="002C23B4">
            <w:rPr>
              <w:noProof/>
              <w:lang w:val="en-US"/>
            </w:rPr>
            <w:t>(Croson &amp; Gneezy, 2009)</w:t>
          </w:r>
          <w:r w:rsidR="00CD3D72">
            <w:rPr>
              <w:lang w:val="en-US"/>
            </w:rPr>
            <w:fldChar w:fldCharType="end"/>
          </w:r>
        </w:sdtContent>
      </w:sdt>
      <w:sdt>
        <w:sdtPr>
          <w:rPr>
            <w:lang w:val="en-US"/>
          </w:rPr>
          <w:id w:val="1778453066"/>
          <w:citation/>
        </w:sdtPr>
        <w:sdtEndPr/>
        <w:sdtContent>
          <w:r w:rsidR="00CD3D72">
            <w:rPr>
              <w:lang w:val="en-US"/>
            </w:rPr>
            <w:fldChar w:fldCharType="begin"/>
          </w:r>
          <w:r w:rsidR="00CD3D72">
            <w:rPr>
              <w:lang w:val="en-US"/>
            </w:rPr>
            <w:instrText xml:space="preserve"> CITATION Pow97 \l 1033 </w:instrText>
          </w:r>
          <w:r w:rsidR="00CD3D72">
            <w:rPr>
              <w:lang w:val="en-US"/>
            </w:rPr>
            <w:fldChar w:fldCharType="separate"/>
          </w:r>
          <w:r w:rsidR="002C23B4">
            <w:rPr>
              <w:noProof/>
              <w:lang w:val="en-US"/>
            </w:rPr>
            <w:t xml:space="preserve"> (Powell &amp; Ansic, 1997)</w:t>
          </w:r>
          <w:r w:rsidR="00CD3D72">
            <w:rPr>
              <w:lang w:val="en-US"/>
            </w:rPr>
            <w:fldChar w:fldCharType="end"/>
          </w:r>
        </w:sdtContent>
      </w:sdt>
      <w:r w:rsidR="00CD3D72">
        <w:rPr>
          <w:lang w:val="en-US"/>
        </w:rPr>
        <w:t>.</w:t>
      </w:r>
      <w:r w:rsidR="00172FBE">
        <w:rPr>
          <w:lang w:val="en-US"/>
        </w:rPr>
        <w:t xml:space="preserve"> Both genders do not differ in ambiguity aversion.</w:t>
      </w:r>
    </w:p>
    <w:p w:rsidR="000B5DA5" w:rsidRDefault="006418DD" w:rsidP="00714F45">
      <w:pPr>
        <w:spacing w:line="360" w:lineRule="auto"/>
        <w:jc w:val="both"/>
        <w:rPr>
          <w:lang w:val="en-US"/>
        </w:rPr>
      </w:pPr>
      <w:r>
        <w:rPr>
          <w:lang w:val="en-US"/>
        </w:rPr>
        <w:t>The second hypothesis that risk aversion and ambiguity aversion are significant predictors for stock market participation can also be partially rejected. Risk aversion is a highly significant predictor variable, although the interaction term between gender and risk aversion did not add significant explanatory value.</w:t>
      </w:r>
      <w:r w:rsidRPr="006418DD">
        <w:rPr>
          <w:lang w:val="en-US"/>
        </w:rPr>
        <w:t xml:space="preserve"> </w:t>
      </w:r>
      <w:r w:rsidR="00714F45">
        <w:rPr>
          <w:lang w:val="en-US"/>
        </w:rPr>
        <w:t xml:space="preserve">Ambiguity aversion is rarely a significant predictor variable </w:t>
      </w:r>
      <w:r w:rsidR="000B5DA5">
        <w:rPr>
          <w:lang w:val="en-US"/>
        </w:rPr>
        <w:t xml:space="preserve">for stock </w:t>
      </w:r>
      <w:r w:rsidR="000B5DA5">
        <w:rPr>
          <w:lang w:val="en-US"/>
        </w:rPr>
        <w:lastRenderedPageBreak/>
        <w:t xml:space="preserve">market participation, and the addition of interaction variables between gender and ambiguity attitudes did not add significant explanatory value. </w:t>
      </w:r>
    </w:p>
    <w:p w:rsidR="000B5DA5" w:rsidRDefault="000B5DA5" w:rsidP="00714F45">
      <w:pPr>
        <w:spacing w:line="360" w:lineRule="auto"/>
        <w:jc w:val="both"/>
        <w:rPr>
          <w:lang w:val="en-US"/>
        </w:rPr>
      </w:pPr>
      <w:r>
        <w:rPr>
          <w:lang w:val="en-US"/>
        </w:rPr>
        <w:t>The third hypothesis that women are more heavily influenced by ambiguity and risk attitudes in decision of stock marke</w:t>
      </w:r>
      <w:r w:rsidR="00682135">
        <w:rPr>
          <w:lang w:val="en-US"/>
        </w:rPr>
        <w:t xml:space="preserve">t participation </w:t>
      </w:r>
      <w:r w:rsidR="00901D3F">
        <w:rPr>
          <w:lang w:val="en-US"/>
        </w:rPr>
        <w:t>must</w:t>
      </w:r>
      <w:r w:rsidR="00682135">
        <w:rPr>
          <w:lang w:val="en-US"/>
        </w:rPr>
        <w:t xml:space="preserve"> be rejected.</w:t>
      </w:r>
    </w:p>
    <w:p w:rsidR="00CD3D72" w:rsidRDefault="00F5084F" w:rsidP="00714F45">
      <w:pPr>
        <w:spacing w:line="360" w:lineRule="auto"/>
        <w:jc w:val="both"/>
        <w:rPr>
          <w:lang w:val="en-US"/>
        </w:rPr>
      </w:pPr>
      <w:r>
        <w:rPr>
          <w:lang w:val="en-US"/>
        </w:rPr>
        <w:t xml:space="preserve">An </w:t>
      </w:r>
      <w:r w:rsidR="00443498">
        <w:rPr>
          <w:lang w:val="en-US"/>
        </w:rPr>
        <w:t>additional</w:t>
      </w:r>
      <w:r>
        <w:rPr>
          <w:lang w:val="en-US"/>
        </w:rPr>
        <w:t xml:space="preserve"> finding is that household income is a highly significant predictor for stock market participation. </w:t>
      </w:r>
      <w:r w:rsidR="00CD3D72">
        <w:rPr>
          <w:lang w:val="en-US"/>
        </w:rPr>
        <w:t>A possible explanation for this is that people with excess wealth are more likely to have the opportunity to expand that wealth through stocks. There is also a significant positive relation between education and stock market participation. This finding confirms and augments the conclusion of</w:t>
      </w:r>
      <w:r w:rsidR="00AE3F9D">
        <w:rPr>
          <w:lang w:val="en-US"/>
        </w:rPr>
        <w:t xml:space="preserve"> García and Tessada </w:t>
      </w:r>
      <w:sdt>
        <w:sdtPr>
          <w:rPr>
            <w:lang w:val="en-US"/>
          </w:rPr>
          <w:id w:val="-1738237173"/>
          <w:citation/>
        </w:sdtPr>
        <w:sdtEndPr/>
        <w:sdtContent>
          <w:r w:rsidR="00CD3D72">
            <w:rPr>
              <w:lang w:val="en-US"/>
            </w:rPr>
            <w:fldChar w:fldCharType="begin"/>
          </w:r>
          <w:r w:rsidR="00AE3F9D">
            <w:rPr>
              <w:lang w:val="en-US"/>
            </w:rPr>
            <w:instrText xml:space="preserve">CITATION Gar13 \n  \t  \l 1033 </w:instrText>
          </w:r>
          <w:r w:rsidR="00CD3D72">
            <w:rPr>
              <w:lang w:val="en-US"/>
            </w:rPr>
            <w:fldChar w:fldCharType="separate"/>
          </w:r>
          <w:r w:rsidR="002C23B4">
            <w:rPr>
              <w:noProof/>
              <w:lang w:val="en-US"/>
            </w:rPr>
            <w:t>(2013)</w:t>
          </w:r>
          <w:r w:rsidR="00CD3D72">
            <w:rPr>
              <w:lang w:val="en-US"/>
            </w:rPr>
            <w:fldChar w:fldCharType="end"/>
          </w:r>
        </w:sdtContent>
      </w:sdt>
      <w:r w:rsidR="00CD3D72">
        <w:rPr>
          <w:lang w:val="en-US"/>
        </w:rPr>
        <w:t xml:space="preserve">. </w:t>
      </w:r>
      <w:r w:rsidR="00714F45">
        <w:rPr>
          <w:lang w:val="en-US"/>
        </w:rPr>
        <w:t>There were no consistent predictors for ambiguity attitudes found.</w:t>
      </w:r>
    </w:p>
    <w:p w:rsidR="00CD3D72" w:rsidRDefault="00CD3D72" w:rsidP="00990C80">
      <w:pPr>
        <w:spacing w:line="360" w:lineRule="auto"/>
        <w:jc w:val="both"/>
        <w:rPr>
          <w:lang w:val="en-US"/>
        </w:rPr>
      </w:pPr>
      <w:r>
        <w:rPr>
          <w:lang w:val="en-US"/>
        </w:rPr>
        <w:t>As expected, women in this study are more risk averse than men. This find</w:t>
      </w:r>
      <w:r w:rsidR="003B20AE">
        <w:rPr>
          <w:lang w:val="en-US"/>
        </w:rPr>
        <w:t>ing is only significant at the 1</w:t>
      </w:r>
      <w:r>
        <w:rPr>
          <w:lang w:val="en-US"/>
        </w:rPr>
        <w:t xml:space="preserve">0% level however, which leads to the logical conclusion that this hypothesis is not true for all women. A possible explanation is that female managers exhibit levels of risk aversion comparable to male managers, as noted in chapter 1.3. Unfortunately there was no information available concerning the occupation of the subjects, </w:t>
      </w:r>
      <w:r w:rsidR="00714F45">
        <w:rPr>
          <w:lang w:val="en-US"/>
        </w:rPr>
        <w:t>which made it impossible to verify</w:t>
      </w:r>
      <w:r>
        <w:rPr>
          <w:lang w:val="en-US"/>
        </w:rPr>
        <w:t xml:space="preserve"> this </w:t>
      </w:r>
      <w:r w:rsidR="00714F45">
        <w:rPr>
          <w:lang w:val="en-US"/>
        </w:rPr>
        <w:t>presumption</w:t>
      </w:r>
      <w:r>
        <w:rPr>
          <w:lang w:val="en-US"/>
        </w:rPr>
        <w:t>.</w:t>
      </w:r>
    </w:p>
    <w:p w:rsidR="00CD3D72" w:rsidRDefault="000E0C33" w:rsidP="00990C80">
      <w:pPr>
        <w:tabs>
          <w:tab w:val="center" w:pos="4536"/>
        </w:tabs>
        <w:spacing w:line="360" w:lineRule="auto"/>
        <w:jc w:val="both"/>
        <w:rPr>
          <w:lang w:val="en-US"/>
        </w:rPr>
      </w:pPr>
      <w:r>
        <w:rPr>
          <w:lang w:val="en-US"/>
        </w:rPr>
        <w:t>An</w:t>
      </w:r>
      <w:r w:rsidR="00CD3D72">
        <w:rPr>
          <w:lang w:val="en-US"/>
        </w:rPr>
        <w:t xml:space="preserve"> interesting </w:t>
      </w:r>
      <w:r>
        <w:rPr>
          <w:lang w:val="en-US"/>
        </w:rPr>
        <w:t xml:space="preserve">finding is </w:t>
      </w:r>
      <w:r w:rsidR="00CD3D72">
        <w:rPr>
          <w:lang w:val="en-US"/>
        </w:rPr>
        <w:t xml:space="preserve">that household size is a significant predictor for stock market participation. A possible explanation for the negative relation between the two variables could be the substantial costs of raising a child (over $ 250.000 according to </w:t>
      </w:r>
      <w:r w:rsidR="00CD3D72">
        <w:rPr>
          <w:lang w:val="en-US"/>
        </w:rPr>
        <w:lastRenderedPageBreak/>
        <w:t>the U.S. Department of Agriculture, birth through age 17)</w:t>
      </w:r>
      <w:sdt>
        <w:sdtPr>
          <w:rPr>
            <w:lang w:val="en-US"/>
          </w:rPr>
          <w:id w:val="1759483149"/>
          <w:citation/>
        </w:sdtPr>
        <w:sdtEndPr/>
        <w:sdtContent>
          <w:r w:rsidR="00CD3D72">
            <w:rPr>
              <w:lang w:val="en-US"/>
            </w:rPr>
            <w:fldChar w:fldCharType="begin"/>
          </w:r>
          <w:r w:rsidR="00CD3D72">
            <w:rPr>
              <w:lang w:val="en-US"/>
            </w:rPr>
            <w:instrText xml:space="preserve"> CITATION Lin12 \l 1033 </w:instrText>
          </w:r>
          <w:r w:rsidR="00CD3D72">
            <w:rPr>
              <w:lang w:val="en-US"/>
            </w:rPr>
            <w:fldChar w:fldCharType="separate"/>
          </w:r>
          <w:r w:rsidR="002C23B4">
            <w:rPr>
              <w:noProof/>
              <w:lang w:val="en-US"/>
            </w:rPr>
            <w:t xml:space="preserve"> (Lino, 2012)</w:t>
          </w:r>
          <w:r w:rsidR="00CD3D72">
            <w:rPr>
              <w:lang w:val="en-US"/>
            </w:rPr>
            <w:fldChar w:fldCharType="end"/>
          </w:r>
        </w:sdtContent>
      </w:sdt>
      <w:r w:rsidR="00CD3D72">
        <w:rPr>
          <w:lang w:val="en-US"/>
        </w:rPr>
        <w:t>. These costs lead to less excess wealth which in turn could limit stock market participation.</w:t>
      </w:r>
    </w:p>
    <w:p w:rsidR="00CD3D72" w:rsidRDefault="00CD3D72" w:rsidP="00990C80">
      <w:pPr>
        <w:spacing w:line="360" w:lineRule="auto"/>
        <w:jc w:val="both"/>
        <w:rPr>
          <w:lang w:val="en-US"/>
        </w:rPr>
      </w:pPr>
      <w:r>
        <w:rPr>
          <w:lang w:val="en-US"/>
        </w:rPr>
        <w:t>Another noteworthy aspect of the regression with stock market participation as the dependent variable is the positive coefficient for risk aversion. This would indicate that a risk averse subject is more likely to hold stocks than a risk neutral or risk seeking subject. Relevant economic literature would expect a negative relation between stock market participation and risk aversion. Therefore it is quite strange that the regression would output a positive variable for risk aversion.</w:t>
      </w:r>
      <w:r w:rsidR="000D6052">
        <w:rPr>
          <w:lang w:val="en-US"/>
        </w:rPr>
        <w:t xml:space="preserve"> A possible explanation for this could be th</w:t>
      </w:r>
      <w:r w:rsidR="00812679">
        <w:rPr>
          <w:lang w:val="en-US"/>
        </w:rPr>
        <w:t>e pooling of</w:t>
      </w:r>
      <w:r w:rsidR="000A06E6">
        <w:rPr>
          <w:lang w:val="en-US"/>
        </w:rPr>
        <w:t xml:space="preserve"> indifference with risk seeking, which might skew the results.</w:t>
      </w:r>
    </w:p>
    <w:p w:rsidR="00CD3D72" w:rsidRDefault="00CD3D72" w:rsidP="00990C80">
      <w:pPr>
        <w:spacing w:line="360" w:lineRule="auto"/>
        <w:jc w:val="both"/>
        <w:rPr>
          <w:lang w:val="en-US"/>
        </w:rPr>
      </w:pPr>
      <w:r>
        <w:rPr>
          <w:lang w:val="en-US"/>
        </w:rPr>
        <w:t xml:space="preserve">The irregular results of the binary regressions with ambiguity attitudes as the dependent variable are also noteworthy. Risk aversion for example is highly significant as a predictor for ambiguity attitude 0.5 and ambiguity attitude 0.9 but holds no explanatory </w:t>
      </w:r>
      <w:r w:rsidR="00565469">
        <w:rPr>
          <w:lang w:val="en-US"/>
        </w:rPr>
        <w:t>value over ambiguity attitude 0.</w:t>
      </w:r>
      <w:r>
        <w:rPr>
          <w:lang w:val="en-US"/>
        </w:rPr>
        <w:t xml:space="preserve">1. This is not entirely unexpected since there are three different ambiguity attitudes. </w:t>
      </w:r>
    </w:p>
    <w:p w:rsidR="00180D42" w:rsidRDefault="00A714ED" w:rsidP="00990C80">
      <w:pPr>
        <w:spacing w:line="360" w:lineRule="auto"/>
        <w:jc w:val="both"/>
        <w:rPr>
          <w:lang w:val="en-US"/>
        </w:rPr>
      </w:pPr>
      <w:r>
        <w:rPr>
          <w:lang w:val="en-US"/>
        </w:rPr>
        <w:t>In comparison to Dimmock et al</w:t>
      </w:r>
      <w:r w:rsidR="006A23E3">
        <w:rPr>
          <w:lang w:val="en-US"/>
        </w:rPr>
        <w:t>.</w:t>
      </w:r>
      <w:r>
        <w:rPr>
          <w:lang w:val="en-US"/>
        </w:rPr>
        <w:t>, the variables used in this paper are mostly identical, with a few differences. Indifference between two urns was pooled with ambiguity</w:t>
      </w:r>
      <w:r w:rsidR="006A23E3">
        <w:rPr>
          <w:lang w:val="en-US"/>
        </w:rPr>
        <w:t>/risk seeking. Some variables were omitted from the regressions because of missing information. Interaction terms between gender and ambiguity aversion and</w:t>
      </w:r>
      <w:r w:rsidR="00661215">
        <w:rPr>
          <w:lang w:val="en-US"/>
        </w:rPr>
        <w:t xml:space="preserve"> gender and</w:t>
      </w:r>
      <w:r w:rsidR="006A23E3">
        <w:rPr>
          <w:lang w:val="en-US"/>
        </w:rPr>
        <w:t xml:space="preserve"> risk aversion were added to </w:t>
      </w:r>
      <w:r w:rsidR="006A23E3">
        <w:rPr>
          <w:lang w:val="en-US"/>
        </w:rPr>
        <w:lastRenderedPageBreak/>
        <w:t>investigate whether risk/ambiguity attitudes affect genders differently in the decision to participate in the stock market. Several comparisons were drawn to investigate gender differences in risk attitudes, ambiguity attitudes and stock market participation.</w:t>
      </w:r>
      <w:r w:rsidR="00180D42">
        <w:rPr>
          <w:lang w:val="en-US"/>
        </w:rPr>
        <w:t xml:space="preserve"> In correspondence </w:t>
      </w:r>
      <w:r w:rsidR="00433AC7">
        <w:rPr>
          <w:lang w:val="en-US"/>
        </w:rPr>
        <w:t>with</w:t>
      </w:r>
      <w:r w:rsidR="00180D42">
        <w:rPr>
          <w:lang w:val="en-US"/>
        </w:rPr>
        <w:t xml:space="preserve"> Dimmock et al. this paper did not find strong evidence for the hypothesis that ambiguity attitudes can plausibly predic</w:t>
      </w:r>
      <w:r w:rsidR="004010F4">
        <w:rPr>
          <w:lang w:val="en-US"/>
        </w:rPr>
        <w:t>t stock market participation. P</w:t>
      </w:r>
      <w:r w:rsidR="00180D42">
        <w:rPr>
          <w:lang w:val="en-US"/>
        </w:rPr>
        <w:t>ossible explanation</w:t>
      </w:r>
      <w:r w:rsidR="004010F4">
        <w:rPr>
          <w:lang w:val="en-US"/>
        </w:rPr>
        <w:t>s</w:t>
      </w:r>
      <w:r w:rsidR="00180D42">
        <w:rPr>
          <w:lang w:val="en-US"/>
        </w:rPr>
        <w:t xml:space="preserve"> for this </w:t>
      </w:r>
      <w:r w:rsidR="004010F4">
        <w:rPr>
          <w:lang w:val="en-US"/>
        </w:rPr>
        <w:t>are</w:t>
      </w:r>
      <w:r w:rsidR="00180D42">
        <w:rPr>
          <w:lang w:val="en-US"/>
        </w:rPr>
        <w:t xml:space="preserve"> a lack of relation between the two variables, or inaccuracies in the measuring method</w:t>
      </w:r>
      <w:r w:rsidR="008B6AF4">
        <w:rPr>
          <w:lang w:val="en-US"/>
        </w:rPr>
        <w:t xml:space="preserve"> of ambiguity attitudes</w:t>
      </w:r>
      <w:r w:rsidR="00180D42">
        <w:rPr>
          <w:lang w:val="en-US"/>
        </w:rPr>
        <w:t xml:space="preserve">. This paper was able to replicate the finding of Dimmock et al. that gender is a strongly significant predictor variable for stock market participation. </w:t>
      </w:r>
      <w:r w:rsidR="005D620B">
        <w:rPr>
          <w:lang w:val="en-US"/>
        </w:rPr>
        <w:t>Additionally</w:t>
      </w:r>
      <w:r w:rsidR="00180D42">
        <w:rPr>
          <w:lang w:val="en-US"/>
        </w:rPr>
        <w:t>, this paper found a positive relation between stock market participation and gross household income, this was not found by Dimmock et al. They also found no relation between stock market participation and education.</w:t>
      </w:r>
    </w:p>
    <w:p w:rsidR="00CD3D72" w:rsidRDefault="00CD3D72" w:rsidP="00990C80">
      <w:pPr>
        <w:spacing w:line="360" w:lineRule="auto"/>
        <w:jc w:val="both"/>
        <w:rPr>
          <w:lang w:val="en-US"/>
        </w:rPr>
      </w:pPr>
      <w:r>
        <w:rPr>
          <w:lang w:val="en-US"/>
        </w:rPr>
        <w:t>Future studies should look into the negative relation between household size and investments. There are also improvement</w:t>
      </w:r>
      <w:r w:rsidR="002E4F07">
        <w:rPr>
          <w:lang w:val="en-US"/>
        </w:rPr>
        <w:t>s</w:t>
      </w:r>
      <w:r>
        <w:rPr>
          <w:lang w:val="en-US"/>
        </w:rPr>
        <w:t xml:space="preserve"> possible for the measure that was used to</w:t>
      </w:r>
      <w:r w:rsidR="007662C7">
        <w:rPr>
          <w:lang w:val="en-US"/>
        </w:rPr>
        <w:t xml:space="preserve"> determine ambiguity attitudes. Another interesting research avenue could be to </w:t>
      </w:r>
      <w:r w:rsidR="000316B1">
        <w:rPr>
          <w:lang w:val="en-US"/>
        </w:rPr>
        <w:t>investigate the ambiguity and risk attitudes</w:t>
      </w:r>
      <w:r w:rsidR="007662C7">
        <w:rPr>
          <w:lang w:val="en-US"/>
        </w:rPr>
        <w:t xml:space="preserve"> </w:t>
      </w:r>
      <w:r w:rsidR="000316B1">
        <w:rPr>
          <w:lang w:val="en-US"/>
        </w:rPr>
        <w:t>of</w:t>
      </w:r>
      <w:r w:rsidR="007662C7">
        <w:rPr>
          <w:lang w:val="en-US"/>
        </w:rPr>
        <w:t xml:space="preserve"> female business managers.</w:t>
      </w:r>
    </w:p>
    <w:p w:rsidR="00172FBE" w:rsidRDefault="00172FBE">
      <w:pPr>
        <w:spacing w:after="160" w:line="259" w:lineRule="auto"/>
        <w:rPr>
          <w:rFonts w:eastAsiaTheme="majorEastAsia" w:cstheme="minorHAnsi"/>
          <w:b/>
          <w:color w:val="000000" w:themeColor="text1"/>
          <w:sz w:val="36"/>
          <w:szCs w:val="32"/>
          <w:lang w:val="en-US"/>
        </w:rPr>
      </w:pPr>
      <w:r w:rsidRPr="00B3799F">
        <w:rPr>
          <w:rFonts w:cstheme="minorHAnsi"/>
          <w:b/>
          <w:color w:val="000000" w:themeColor="text1"/>
          <w:sz w:val="36"/>
          <w:lang w:val="en-US"/>
        </w:rPr>
        <w:br w:type="page"/>
      </w:r>
    </w:p>
    <w:p w:rsidR="00CD3D72" w:rsidRPr="00CD3D72" w:rsidRDefault="00695994" w:rsidP="00CD3D72">
      <w:pPr>
        <w:pStyle w:val="Heading1"/>
        <w:rPr>
          <w:rFonts w:asciiTheme="minorHAnsi" w:hAnsiTheme="minorHAnsi" w:cstheme="minorHAnsi"/>
          <w:b/>
          <w:color w:val="000000" w:themeColor="text1"/>
          <w:sz w:val="36"/>
        </w:rPr>
      </w:pPr>
      <w:bookmarkStart w:id="25" w:name="_Toc422695294"/>
      <w:r>
        <w:rPr>
          <w:rFonts w:asciiTheme="minorHAnsi" w:hAnsiTheme="minorHAnsi" w:cstheme="minorHAnsi"/>
          <w:b/>
          <w:color w:val="000000" w:themeColor="text1"/>
          <w:sz w:val="36"/>
        </w:rPr>
        <w:lastRenderedPageBreak/>
        <w:t xml:space="preserve">6 </w:t>
      </w:r>
      <w:r w:rsidR="00CD3D72" w:rsidRPr="00CD3D72">
        <w:rPr>
          <w:rFonts w:asciiTheme="minorHAnsi" w:hAnsiTheme="minorHAnsi" w:cstheme="minorHAnsi"/>
          <w:b/>
          <w:color w:val="000000" w:themeColor="text1"/>
          <w:sz w:val="36"/>
        </w:rPr>
        <w:t>Conclusion</w:t>
      </w:r>
      <w:bookmarkEnd w:id="25"/>
    </w:p>
    <w:p w:rsidR="00CD3D72" w:rsidRPr="00894EE2" w:rsidRDefault="00CD3D72" w:rsidP="00565469">
      <w:pPr>
        <w:spacing w:before="240" w:line="360" w:lineRule="auto"/>
        <w:jc w:val="both"/>
        <w:rPr>
          <w:lang w:val="en-US"/>
        </w:rPr>
      </w:pPr>
      <w:r w:rsidRPr="00894EE2">
        <w:rPr>
          <w:lang w:val="en-US"/>
        </w:rPr>
        <w:t xml:space="preserve">This </w:t>
      </w:r>
      <w:r w:rsidR="00C5696D">
        <w:rPr>
          <w:lang w:val="en-US"/>
        </w:rPr>
        <w:t>paper</w:t>
      </w:r>
      <w:r w:rsidRPr="00894EE2">
        <w:rPr>
          <w:lang w:val="en-US"/>
        </w:rPr>
        <w:t xml:space="preserve"> investigated the relation between stock market participation</w:t>
      </w:r>
      <w:r w:rsidR="00653083">
        <w:rPr>
          <w:lang w:val="en-US"/>
        </w:rPr>
        <w:t>, ambiguity and risk attitudes</w:t>
      </w:r>
      <w:r w:rsidRPr="00894EE2">
        <w:rPr>
          <w:lang w:val="en-US"/>
        </w:rPr>
        <w:t xml:space="preserve"> and several demographic </w:t>
      </w:r>
      <w:r w:rsidR="00322BA9">
        <w:rPr>
          <w:lang w:val="en-US"/>
        </w:rPr>
        <w:t>variables</w:t>
      </w:r>
      <w:r w:rsidR="00C54463">
        <w:rPr>
          <w:lang w:val="en-US"/>
        </w:rPr>
        <w:t xml:space="preserve">. This study replicated and </w:t>
      </w:r>
      <w:r>
        <w:rPr>
          <w:lang w:val="en-US"/>
        </w:rPr>
        <w:t>extended a 2014</w:t>
      </w:r>
      <w:r w:rsidRPr="00894EE2">
        <w:rPr>
          <w:lang w:val="en-US"/>
        </w:rPr>
        <w:t xml:space="preserve"> paper written by Dimmock, Kouwe</w:t>
      </w:r>
      <w:r>
        <w:rPr>
          <w:lang w:val="en-US"/>
        </w:rPr>
        <w:t>n</w:t>
      </w:r>
      <w:r w:rsidRPr="00894EE2">
        <w:rPr>
          <w:lang w:val="en-US"/>
        </w:rPr>
        <w:t>berg and Wakker. They used a simple questionnaire to measure ambiguity attitudes in a large representative sample. The extension involved the introduction of interaction terms between gender and ambiguity aversion</w:t>
      </w:r>
      <w:r>
        <w:rPr>
          <w:lang w:val="en-US"/>
        </w:rPr>
        <w:t xml:space="preserve"> as predictor variables, and comparisons between genders</w:t>
      </w:r>
      <w:r w:rsidR="00653083">
        <w:rPr>
          <w:lang w:val="en-US"/>
        </w:rPr>
        <w:t>.</w:t>
      </w:r>
    </w:p>
    <w:p w:rsidR="00CD3D72" w:rsidRDefault="00CD3D72" w:rsidP="00565469">
      <w:pPr>
        <w:spacing w:line="360" w:lineRule="auto"/>
        <w:jc w:val="both"/>
        <w:rPr>
          <w:lang w:val="en-US"/>
        </w:rPr>
      </w:pPr>
      <w:r>
        <w:rPr>
          <w:lang w:val="en-US"/>
        </w:rPr>
        <w:t>The most important findings of this study are that i</w:t>
      </w:r>
      <w:r w:rsidRPr="00894EE2">
        <w:rPr>
          <w:lang w:val="en-US"/>
        </w:rPr>
        <w:t>n comparison, woman are more risk averse than men</w:t>
      </w:r>
      <w:r>
        <w:rPr>
          <w:lang w:val="en-US"/>
        </w:rPr>
        <w:t xml:space="preserve"> and </w:t>
      </w:r>
      <w:r w:rsidRPr="00894EE2">
        <w:rPr>
          <w:lang w:val="en-US"/>
        </w:rPr>
        <w:t xml:space="preserve">men exhibit higher stock market participation. There are several significant predictors for stock market participation. These include gender, education, household size, household income and risk aversion. Ambiguity attitudes and the added interaction terms did not provide additional explanatory value towards stock market participation. There were some significant predictor variables found for ambiguity aversion, but </w:t>
      </w:r>
      <w:r w:rsidR="001D46EA">
        <w:rPr>
          <w:lang w:val="en-US"/>
        </w:rPr>
        <w:t>these results were not suffi</w:t>
      </w:r>
      <w:r w:rsidR="00F915D8">
        <w:rPr>
          <w:lang w:val="en-US"/>
        </w:rPr>
        <w:t>cient to draw a robust conclusion</w:t>
      </w:r>
      <w:r w:rsidRPr="00894EE2">
        <w:rPr>
          <w:lang w:val="en-US"/>
        </w:rPr>
        <w:t xml:space="preserve">. </w:t>
      </w:r>
    </w:p>
    <w:p w:rsidR="004226BA" w:rsidRPr="00EA2EB9" w:rsidRDefault="00CD3D72" w:rsidP="00EA2EB9">
      <w:pPr>
        <w:spacing w:line="360" w:lineRule="auto"/>
        <w:jc w:val="both"/>
        <w:rPr>
          <w:lang w:val="en-US"/>
        </w:rPr>
      </w:pPr>
      <w:r>
        <w:rPr>
          <w:lang w:val="en-US"/>
        </w:rPr>
        <w:t>This study confirms and augments the notion that women are more risk averse and less likely to participate in the stock market. A more surprising result is that ambiguity holds no significant explanatory power over stock market participation of the general population. This is in stark contrast with existing literature on the subject. The negative relation between stock market participation and household size was also unexpected but provides possibilities for future research.</w:t>
      </w:r>
      <w:r w:rsidR="004226BA">
        <w:rPr>
          <w:rFonts w:cstheme="minorHAnsi"/>
          <w:lang w:val="en-US"/>
        </w:rPr>
        <w:br w:type="page"/>
      </w:r>
    </w:p>
    <w:bookmarkStart w:id="26" w:name="_Toc422695295" w:displacedByCustomXml="next"/>
    <w:sdt>
      <w:sdtPr>
        <w:rPr>
          <w:rFonts w:asciiTheme="minorHAnsi" w:eastAsiaTheme="minorHAnsi" w:hAnsiTheme="minorHAnsi" w:cstheme="minorBidi"/>
          <w:color w:val="auto"/>
          <w:sz w:val="22"/>
          <w:szCs w:val="22"/>
          <w:lang w:val="nl-NL"/>
        </w:rPr>
        <w:id w:val="327409146"/>
        <w:docPartObj>
          <w:docPartGallery w:val="Bibliographies"/>
          <w:docPartUnique/>
        </w:docPartObj>
      </w:sdtPr>
      <w:sdtEndPr/>
      <w:sdtContent>
        <w:p w:rsidR="004226BA" w:rsidRPr="00FC3531" w:rsidRDefault="004226BA" w:rsidP="004226BA">
          <w:pPr>
            <w:pStyle w:val="Heading1"/>
            <w:jc w:val="both"/>
            <w:rPr>
              <w:rFonts w:asciiTheme="minorHAnsi" w:hAnsiTheme="minorHAnsi" w:cstheme="minorHAnsi"/>
              <w:b/>
              <w:color w:val="000000" w:themeColor="text1"/>
            </w:rPr>
          </w:pPr>
          <w:r w:rsidRPr="00FC3531">
            <w:rPr>
              <w:rFonts w:asciiTheme="minorHAnsi" w:hAnsiTheme="minorHAnsi" w:cstheme="minorHAnsi"/>
              <w:b/>
              <w:color w:val="000000" w:themeColor="text1"/>
            </w:rPr>
            <w:t>References</w:t>
          </w:r>
          <w:bookmarkEnd w:id="26"/>
        </w:p>
        <w:sdt>
          <w:sdtPr>
            <w:id w:val="-573587230"/>
            <w:bibliography/>
          </w:sdtPr>
          <w:sdtEndPr/>
          <w:sdtContent>
            <w:p w:rsidR="002C23B4" w:rsidRDefault="004226BA" w:rsidP="002C23B4">
              <w:pPr>
                <w:pStyle w:val="Bibliography"/>
                <w:ind w:left="720" w:hanging="720"/>
                <w:rPr>
                  <w:noProof/>
                  <w:sz w:val="24"/>
                  <w:szCs w:val="24"/>
                  <w:lang w:val="en-US"/>
                </w:rPr>
              </w:pPr>
              <w:r>
                <w:fldChar w:fldCharType="begin"/>
              </w:r>
              <w:r w:rsidRPr="00387795">
                <w:rPr>
                  <w:lang w:val="en-US"/>
                </w:rPr>
                <w:instrText xml:space="preserve"> BIBLIOGRAPHY </w:instrText>
              </w:r>
              <w:r>
                <w:fldChar w:fldCharType="separate"/>
              </w:r>
              <w:r w:rsidR="002C23B4">
                <w:rPr>
                  <w:noProof/>
                  <w:lang w:val="en-US"/>
                </w:rPr>
                <w:t xml:space="preserve">Almenberg, J., &amp; Dreber, A. (2012). </w:t>
              </w:r>
              <w:r w:rsidR="002C23B4">
                <w:rPr>
                  <w:i/>
                  <w:iCs/>
                  <w:noProof/>
                  <w:lang w:val="en-US"/>
                </w:rPr>
                <w:t>Gender, Stock Market Participation and Financial Literacy.</w:t>
              </w:r>
              <w:r w:rsidR="002C23B4">
                <w:rPr>
                  <w:noProof/>
                  <w:lang w:val="en-US"/>
                </w:rPr>
                <w:t xml:space="preserve"> Stockholm, Sweden: Working Paper.</w:t>
              </w:r>
            </w:p>
            <w:p w:rsidR="002C23B4" w:rsidRDefault="002C23B4" w:rsidP="002C23B4">
              <w:pPr>
                <w:pStyle w:val="Bibliography"/>
                <w:ind w:left="720" w:hanging="720"/>
                <w:rPr>
                  <w:noProof/>
                  <w:lang w:val="en-US"/>
                </w:rPr>
              </w:pPr>
              <w:r>
                <w:rPr>
                  <w:noProof/>
                  <w:lang w:val="en-US"/>
                </w:rPr>
                <w:t xml:space="preserve">Bromiley, P., &amp; Curley, S. (1992). </w:t>
              </w:r>
              <w:r>
                <w:rPr>
                  <w:i/>
                  <w:iCs/>
                  <w:noProof/>
                  <w:lang w:val="en-US"/>
                </w:rPr>
                <w:t>Risk-Taking behavior. Wiley series in human performance and cognition.</w:t>
              </w:r>
              <w:r>
                <w:rPr>
                  <w:noProof/>
                  <w:lang w:val="en-US"/>
                </w:rPr>
                <w:t xml:space="preserve"> Oxford, England: John Wiley &amp; Sons.</w:t>
              </w:r>
            </w:p>
            <w:p w:rsidR="002C23B4" w:rsidRDefault="002C23B4" w:rsidP="002C23B4">
              <w:pPr>
                <w:pStyle w:val="Bibliography"/>
                <w:ind w:left="720" w:hanging="720"/>
                <w:rPr>
                  <w:noProof/>
                  <w:lang w:val="en-US"/>
                </w:rPr>
              </w:pPr>
              <w:r>
                <w:rPr>
                  <w:noProof/>
                  <w:lang w:val="en-US"/>
                </w:rPr>
                <w:t xml:space="preserve">Camerer, C., &amp; Weber, M. (1992). Recent Developments in Modeling Preferences: Uncertainty and Ambiguity. </w:t>
              </w:r>
              <w:r>
                <w:rPr>
                  <w:i/>
                  <w:iCs/>
                  <w:noProof/>
                  <w:lang w:val="en-US"/>
                </w:rPr>
                <w:t>Journal of Risk and Uncertainty</w:t>
              </w:r>
              <w:r>
                <w:rPr>
                  <w:noProof/>
                  <w:lang w:val="en-US"/>
                </w:rPr>
                <w:t>, 325-370.</w:t>
              </w:r>
            </w:p>
            <w:p w:rsidR="002C23B4" w:rsidRDefault="002C23B4" w:rsidP="002C23B4">
              <w:pPr>
                <w:pStyle w:val="Bibliography"/>
                <w:ind w:left="720" w:hanging="720"/>
                <w:rPr>
                  <w:noProof/>
                  <w:lang w:val="en-US"/>
                </w:rPr>
              </w:pPr>
              <w:r>
                <w:rPr>
                  <w:noProof/>
                  <w:lang w:val="en-US"/>
                </w:rPr>
                <w:t xml:space="preserve">Croson, R., &amp; Gneezy, U. (2009). Gender Differences in Preferences. </w:t>
              </w:r>
              <w:r>
                <w:rPr>
                  <w:i/>
                  <w:iCs/>
                  <w:noProof/>
                  <w:lang w:val="en-US"/>
                </w:rPr>
                <w:t>Journal of Economic Literature</w:t>
              </w:r>
              <w:r>
                <w:rPr>
                  <w:noProof/>
                  <w:lang w:val="en-US"/>
                </w:rPr>
                <w:t>, 448-474.</w:t>
              </w:r>
            </w:p>
            <w:p w:rsidR="002C23B4" w:rsidRDefault="002C23B4" w:rsidP="002C23B4">
              <w:pPr>
                <w:pStyle w:val="Bibliography"/>
                <w:ind w:left="720" w:hanging="720"/>
                <w:rPr>
                  <w:noProof/>
                  <w:lang w:val="en-US"/>
                </w:rPr>
              </w:pPr>
              <w:r>
                <w:rPr>
                  <w:noProof/>
                  <w:lang w:val="en-US"/>
                </w:rPr>
                <w:t xml:space="preserve">Dickson, G. (1981). A comparison of attitudes towards risk among business managers. </w:t>
              </w:r>
              <w:r>
                <w:rPr>
                  <w:i/>
                  <w:iCs/>
                  <w:noProof/>
                  <w:lang w:val="en-US"/>
                </w:rPr>
                <w:t>Journal of Occupational Psychology</w:t>
              </w:r>
              <w:r>
                <w:rPr>
                  <w:noProof/>
                  <w:lang w:val="en-US"/>
                </w:rPr>
                <w:t>, 157-164.</w:t>
              </w:r>
            </w:p>
            <w:p w:rsidR="002C23B4" w:rsidRDefault="002C23B4" w:rsidP="002C23B4">
              <w:pPr>
                <w:pStyle w:val="Bibliography"/>
                <w:ind w:left="720" w:hanging="720"/>
                <w:rPr>
                  <w:noProof/>
                  <w:lang w:val="en-US"/>
                </w:rPr>
              </w:pPr>
              <w:r>
                <w:rPr>
                  <w:noProof/>
                  <w:lang w:val="en-US"/>
                </w:rPr>
                <w:t xml:space="preserve">Dimmock, S., Kouwenberg, R., &amp; Wakker, P. (2014). Ambiguity Attitudes in a Large Representative Sample. </w:t>
              </w:r>
              <w:r>
                <w:rPr>
                  <w:i/>
                  <w:iCs/>
                  <w:noProof/>
                  <w:lang w:val="en-US"/>
                </w:rPr>
                <w:t>Netspar Discussion Paper</w:t>
              </w:r>
              <w:r>
                <w:rPr>
                  <w:noProof/>
                  <w:lang w:val="en-US"/>
                </w:rPr>
                <w:t>, No. 06/2011-054.</w:t>
              </w:r>
            </w:p>
            <w:p w:rsidR="002C23B4" w:rsidRDefault="002C23B4" w:rsidP="002C23B4">
              <w:pPr>
                <w:pStyle w:val="Bibliography"/>
                <w:ind w:left="720" w:hanging="720"/>
                <w:rPr>
                  <w:noProof/>
                  <w:lang w:val="en-US"/>
                </w:rPr>
              </w:pPr>
              <w:r>
                <w:rPr>
                  <w:noProof/>
                  <w:lang w:val="en-US"/>
                </w:rPr>
                <w:t xml:space="preserve">Dow, J., &amp; Werlang, S. (1992). Uncertainty Aversion, Risk Aversion, and the optimal choice of portfolio. </w:t>
              </w:r>
              <w:r>
                <w:rPr>
                  <w:i/>
                  <w:iCs/>
                  <w:noProof/>
                  <w:lang w:val="en-US"/>
                </w:rPr>
                <w:t>Econometrica</w:t>
              </w:r>
              <w:r>
                <w:rPr>
                  <w:noProof/>
                  <w:lang w:val="en-US"/>
                </w:rPr>
                <w:t>, 197-204.</w:t>
              </w:r>
            </w:p>
            <w:p w:rsidR="002C23B4" w:rsidRDefault="002C23B4" w:rsidP="002C23B4">
              <w:pPr>
                <w:pStyle w:val="Bibliography"/>
                <w:ind w:left="720" w:hanging="720"/>
                <w:rPr>
                  <w:noProof/>
                  <w:lang w:val="en-US"/>
                </w:rPr>
              </w:pPr>
              <w:r>
                <w:rPr>
                  <w:noProof/>
                  <w:lang w:val="en-US"/>
                </w:rPr>
                <w:t xml:space="preserve">Eagly, A. (1995). The science and politics of comparing women and men. </w:t>
              </w:r>
              <w:r>
                <w:rPr>
                  <w:i/>
                  <w:iCs/>
                  <w:noProof/>
                  <w:lang w:val="en-US"/>
                </w:rPr>
                <w:t>American Psychologist</w:t>
              </w:r>
              <w:r>
                <w:rPr>
                  <w:noProof/>
                  <w:lang w:val="en-US"/>
                </w:rPr>
                <w:t>, 145-158.</w:t>
              </w:r>
            </w:p>
            <w:p w:rsidR="002C23B4" w:rsidRDefault="002C23B4" w:rsidP="002C23B4">
              <w:pPr>
                <w:pStyle w:val="Bibliography"/>
                <w:ind w:left="720" w:hanging="720"/>
                <w:rPr>
                  <w:noProof/>
                  <w:lang w:val="en-US"/>
                </w:rPr>
              </w:pPr>
              <w:r>
                <w:rPr>
                  <w:noProof/>
                  <w:lang w:val="en-US"/>
                </w:rPr>
                <w:t xml:space="preserve">Ellsberg, D. (1961). Risk, Ambiguity, and the Savage Axioms. </w:t>
              </w:r>
              <w:r>
                <w:rPr>
                  <w:i/>
                  <w:iCs/>
                  <w:noProof/>
                  <w:lang w:val="en-US"/>
                </w:rPr>
                <w:t>The Quarterly Journal of Economics</w:t>
              </w:r>
              <w:r>
                <w:rPr>
                  <w:noProof/>
                  <w:lang w:val="en-US"/>
                </w:rPr>
                <w:t>, 643-669.</w:t>
              </w:r>
            </w:p>
            <w:p w:rsidR="002C23B4" w:rsidRDefault="002C23B4" w:rsidP="002C23B4">
              <w:pPr>
                <w:pStyle w:val="Bibliography"/>
                <w:ind w:left="720" w:hanging="720"/>
                <w:rPr>
                  <w:noProof/>
                  <w:lang w:val="en-US"/>
                </w:rPr>
              </w:pPr>
              <w:r>
                <w:rPr>
                  <w:noProof/>
                  <w:lang w:val="en-US"/>
                </w:rPr>
                <w:lastRenderedPageBreak/>
                <w:t xml:space="preserve">García, R., &amp; Tessada, J. (2013). </w:t>
              </w:r>
              <w:r>
                <w:rPr>
                  <w:i/>
                  <w:iCs/>
                  <w:noProof/>
                  <w:lang w:val="en-US"/>
                </w:rPr>
                <w:t>The Effect of Education on Financial Market Participation: Evidence from Chile.</w:t>
              </w:r>
              <w:r>
                <w:rPr>
                  <w:noProof/>
                  <w:lang w:val="en-US"/>
                </w:rPr>
                <w:t xml:space="preserve"> Santiago, Chile: Working Paper.</w:t>
              </w:r>
            </w:p>
            <w:p w:rsidR="002C23B4" w:rsidRDefault="002C23B4" w:rsidP="002C23B4">
              <w:pPr>
                <w:pStyle w:val="Bibliography"/>
                <w:ind w:left="720" w:hanging="720"/>
                <w:rPr>
                  <w:noProof/>
                  <w:lang w:val="en-US"/>
                </w:rPr>
              </w:pPr>
              <w:r>
                <w:rPr>
                  <w:noProof/>
                  <w:lang w:val="en-US"/>
                </w:rPr>
                <w:t xml:space="preserve">Gilboa, I., &amp; Schmeidler, D. (1989). Maxmin expected utility with non-unique prior. </w:t>
              </w:r>
              <w:r>
                <w:rPr>
                  <w:i/>
                  <w:iCs/>
                  <w:noProof/>
                  <w:lang w:val="en-US"/>
                </w:rPr>
                <w:t>Journal of Mathematical Economics</w:t>
              </w:r>
              <w:r>
                <w:rPr>
                  <w:noProof/>
                  <w:lang w:val="en-US"/>
                </w:rPr>
                <w:t>, 141-153.</w:t>
              </w:r>
            </w:p>
            <w:p w:rsidR="002C23B4" w:rsidRDefault="002C23B4" w:rsidP="002C23B4">
              <w:pPr>
                <w:pStyle w:val="Bibliography"/>
                <w:ind w:left="720" w:hanging="720"/>
                <w:rPr>
                  <w:noProof/>
                  <w:lang w:val="en-US"/>
                </w:rPr>
              </w:pPr>
              <w:r>
                <w:rPr>
                  <w:noProof/>
                  <w:lang w:val="en-US"/>
                </w:rPr>
                <w:t xml:space="preserve">Gouskova, E., Juster, T., &amp; Stafford, F. (2004). </w:t>
              </w:r>
              <w:r>
                <w:rPr>
                  <w:i/>
                  <w:iCs/>
                  <w:noProof/>
                  <w:lang w:val="en-US"/>
                </w:rPr>
                <w:t>Exploring the Changing Nature of U.S. Stock Market Participation 1994-1999.</w:t>
              </w:r>
              <w:r>
                <w:rPr>
                  <w:noProof/>
                  <w:lang w:val="en-US"/>
                </w:rPr>
                <w:t xml:space="preserve"> University of Michigan: Working Paper.</w:t>
              </w:r>
            </w:p>
            <w:p w:rsidR="002C23B4" w:rsidRDefault="002C23B4" w:rsidP="002C23B4">
              <w:pPr>
                <w:pStyle w:val="Bibliography"/>
                <w:ind w:left="720" w:hanging="720"/>
                <w:rPr>
                  <w:noProof/>
                  <w:lang w:val="en-US"/>
                </w:rPr>
              </w:pPr>
              <w:r>
                <w:rPr>
                  <w:noProof/>
                  <w:lang w:val="en-US"/>
                </w:rPr>
                <w:t xml:space="preserve">Heath, C., &amp; Tversky, A. (1991). Preference and Belief: Ambiguity and Competence in Choice under Uncertainty. </w:t>
              </w:r>
              <w:r>
                <w:rPr>
                  <w:i/>
                  <w:iCs/>
                  <w:noProof/>
                  <w:lang w:val="en-US"/>
                </w:rPr>
                <w:t>Journal of Risk and Uncertainty</w:t>
              </w:r>
              <w:r>
                <w:rPr>
                  <w:noProof/>
                  <w:lang w:val="en-US"/>
                </w:rPr>
                <w:t>, 5-28.</w:t>
              </w:r>
            </w:p>
            <w:p w:rsidR="002C23B4" w:rsidRDefault="002C23B4" w:rsidP="002C23B4">
              <w:pPr>
                <w:pStyle w:val="Bibliography"/>
                <w:ind w:left="720" w:hanging="720"/>
                <w:rPr>
                  <w:noProof/>
                  <w:lang w:val="en-US"/>
                </w:rPr>
              </w:pPr>
              <w:r>
                <w:rPr>
                  <w:noProof/>
                  <w:lang w:val="en-US"/>
                </w:rPr>
                <w:t xml:space="preserve">Hogarth, R. M., &amp; Einhorn, H. J. (1992). Order effects in belief updating: The belief-adjustment model. </w:t>
              </w:r>
              <w:r>
                <w:rPr>
                  <w:i/>
                  <w:iCs/>
                  <w:noProof/>
                  <w:lang w:val="en-US"/>
                </w:rPr>
                <w:t>Cognitive Psychology</w:t>
              </w:r>
              <w:r>
                <w:rPr>
                  <w:noProof/>
                  <w:lang w:val="en-US"/>
                </w:rPr>
                <w:t>, 1-55.</w:t>
              </w:r>
            </w:p>
            <w:p w:rsidR="002C23B4" w:rsidRDefault="002C23B4" w:rsidP="002C23B4">
              <w:pPr>
                <w:pStyle w:val="Bibliography"/>
                <w:ind w:left="720" w:hanging="720"/>
                <w:rPr>
                  <w:noProof/>
                  <w:lang w:val="en-US"/>
                </w:rPr>
              </w:pPr>
              <w:r>
                <w:rPr>
                  <w:noProof/>
                  <w:lang w:val="en-US"/>
                </w:rPr>
                <w:t xml:space="preserve">Johnson, J., &amp; Powell, P. (1994). Decision Making, Risk and Gender: Are Managers Different? </w:t>
              </w:r>
              <w:r>
                <w:rPr>
                  <w:i/>
                  <w:iCs/>
                  <w:noProof/>
                  <w:lang w:val="en-US"/>
                </w:rPr>
                <w:t>British Journal of Management</w:t>
              </w:r>
              <w:r>
                <w:rPr>
                  <w:noProof/>
                  <w:lang w:val="en-US"/>
                </w:rPr>
                <w:t>, 123-138.</w:t>
              </w:r>
            </w:p>
            <w:p w:rsidR="002C23B4" w:rsidRDefault="002C23B4" w:rsidP="002C23B4">
              <w:pPr>
                <w:pStyle w:val="Bibliography"/>
                <w:ind w:left="720" w:hanging="720"/>
                <w:rPr>
                  <w:noProof/>
                  <w:lang w:val="en-US"/>
                </w:rPr>
              </w:pPr>
              <w:r>
                <w:rPr>
                  <w:noProof/>
                  <w:lang w:val="en-US"/>
                </w:rPr>
                <w:t xml:space="preserve">Keppe, H.-J., &amp; Weber, M. (1995). Judged knowlege and ambiguity aversion. </w:t>
              </w:r>
              <w:r>
                <w:rPr>
                  <w:i/>
                  <w:iCs/>
                  <w:noProof/>
                  <w:lang w:val="en-US"/>
                </w:rPr>
                <w:t>Theory and Decision</w:t>
              </w:r>
              <w:r>
                <w:rPr>
                  <w:noProof/>
                  <w:lang w:val="en-US"/>
                </w:rPr>
                <w:t>, 51-77.</w:t>
              </w:r>
            </w:p>
            <w:p w:rsidR="002C23B4" w:rsidRDefault="002C23B4" w:rsidP="002C23B4">
              <w:pPr>
                <w:pStyle w:val="Bibliography"/>
                <w:ind w:left="720" w:hanging="720"/>
                <w:rPr>
                  <w:noProof/>
                  <w:lang w:val="en-US"/>
                </w:rPr>
              </w:pPr>
              <w:r>
                <w:rPr>
                  <w:noProof/>
                  <w:lang w:val="en-US"/>
                </w:rPr>
                <w:t xml:space="preserve">Knight, F. (1921). </w:t>
              </w:r>
              <w:r>
                <w:rPr>
                  <w:i/>
                  <w:iCs/>
                  <w:noProof/>
                  <w:lang w:val="en-US"/>
                </w:rPr>
                <w:t>Risk, Uncertainty and Profit.</w:t>
              </w:r>
              <w:r>
                <w:rPr>
                  <w:noProof/>
                  <w:lang w:val="en-US"/>
                </w:rPr>
                <w:t xml:space="preserve"> New York: Houghton Mifflin Company.</w:t>
              </w:r>
            </w:p>
            <w:p w:rsidR="002C23B4" w:rsidRDefault="002C23B4" w:rsidP="002C23B4">
              <w:pPr>
                <w:pStyle w:val="Bibliography"/>
                <w:ind w:left="720" w:hanging="720"/>
                <w:rPr>
                  <w:noProof/>
                  <w:lang w:val="en-US"/>
                </w:rPr>
              </w:pPr>
              <w:r>
                <w:rPr>
                  <w:noProof/>
                  <w:lang w:val="en-US"/>
                </w:rPr>
                <w:t xml:space="preserve">Lerner, J., Gonzalez, R., Small, D., &amp; Fischhoff, B. (2003). Effects of Fear and Anger on Perceived Risks of Terrorism. </w:t>
              </w:r>
              <w:r>
                <w:rPr>
                  <w:i/>
                  <w:iCs/>
                  <w:noProof/>
                  <w:lang w:val="en-US"/>
                </w:rPr>
                <w:t>Psychological Science</w:t>
              </w:r>
              <w:r>
                <w:rPr>
                  <w:noProof/>
                  <w:lang w:val="en-US"/>
                </w:rPr>
                <w:t>, 144-150.</w:t>
              </w:r>
            </w:p>
            <w:p w:rsidR="002C23B4" w:rsidRDefault="002C23B4" w:rsidP="002C23B4">
              <w:pPr>
                <w:pStyle w:val="Bibliography"/>
                <w:ind w:left="720" w:hanging="720"/>
                <w:rPr>
                  <w:noProof/>
                  <w:lang w:val="en-US"/>
                </w:rPr>
              </w:pPr>
              <w:r>
                <w:rPr>
                  <w:noProof/>
                  <w:lang w:val="en-US"/>
                </w:rPr>
                <w:t xml:space="preserve">Lino, M. (2012). </w:t>
              </w:r>
              <w:r>
                <w:rPr>
                  <w:i/>
                  <w:iCs/>
                  <w:noProof/>
                  <w:lang w:val="en-US"/>
                </w:rPr>
                <w:t>Expenditure on Children by Families.</w:t>
              </w:r>
              <w:r>
                <w:rPr>
                  <w:noProof/>
                  <w:lang w:val="en-US"/>
                </w:rPr>
                <w:t xml:space="preserve"> Washington D.C.: U.S. Department of Agriculture.</w:t>
              </w:r>
            </w:p>
            <w:p w:rsidR="002C23B4" w:rsidRDefault="002C23B4" w:rsidP="002C23B4">
              <w:pPr>
                <w:pStyle w:val="Bibliography"/>
                <w:ind w:left="720" w:hanging="720"/>
                <w:rPr>
                  <w:noProof/>
                  <w:lang w:val="en-US"/>
                </w:rPr>
              </w:pPr>
              <w:r>
                <w:rPr>
                  <w:noProof/>
                  <w:lang w:val="en-US"/>
                </w:rPr>
                <w:lastRenderedPageBreak/>
                <w:t xml:space="preserve">Mankiw, G., &amp; Zeldes, S. (1991). The consumption of stockholders and nonstockholders. </w:t>
              </w:r>
              <w:r>
                <w:rPr>
                  <w:i/>
                  <w:iCs/>
                  <w:noProof/>
                  <w:lang w:val="en-US"/>
                </w:rPr>
                <w:t>Journal of Financial Economics</w:t>
              </w:r>
              <w:r>
                <w:rPr>
                  <w:noProof/>
                  <w:lang w:val="en-US"/>
                </w:rPr>
                <w:t>, 97-112.</w:t>
              </w:r>
            </w:p>
            <w:p w:rsidR="002C23B4" w:rsidRDefault="002C23B4" w:rsidP="002C23B4">
              <w:pPr>
                <w:pStyle w:val="Bibliography"/>
                <w:ind w:left="720" w:hanging="720"/>
                <w:rPr>
                  <w:noProof/>
                  <w:lang w:val="en-US"/>
                </w:rPr>
              </w:pPr>
              <w:r>
                <w:rPr>
                  <w:noProof/>
                  <w:lang w:val="en-US"/>
                </w:rPr>
                <w:t xml:space="preserve">Niederle, M., &amp; Vesterlund, L. (2007). Do Women Shy Away from Competition? Do Men Compete Too Much? </w:t>
              </w:r>
              <w:r>
                <w:rPr>
                  <w:i/>
                  <w:iCs/>
                  <w:noProof/>
                  <w:lang w:val="en-US"/>
                </w:rPr>
                <w:t>Quarterly Journal of Economics</w:t>
              </w:r>
              <w:r>
                <w:rPr>
                  <w:noProof/>
                  <w:lang w:val="en-US"/>
                </w:rPr>
                <w:t>, 1067-1101.</w:t>
              </w:r>
            </w:p>
            <w:p w:rsidR="002C23B4" w:rsidRDefault="002C23B4" w:rsidP="002C23B4">
              <w:pPr>
                <w:pStyle w:val="Bibliography"/>
                <w:ind w:left="720" w:hanging="720"/>
                <w:rPr>
                  <w:noProof/>
                  <w:lang w:val="en-US"/>
                </w:rPr>
              </w:pPr>
              <w:r>
                <w:rPr>
                  <w:noProof/>
                  <w:lang w:val="en-US"/>
                </w:rPr>
                <w:t xml:space="preserve">Powell, M., &amp; Ansic, D. (1997). Gender differences in risk behavior in financial decision-making: An experimental analysis. </w:t>
              </w:r>
              <w:r>
                <w:rPr>
                  <w:i/>
                  <w:iCs/>
                  <w:noProof/>
                  <w:lang w:val="en-US"/>
                </w:rPr>
                <w:t>Journal of Economic Psychology</w:t>
              </w:r>
              <w:r>
                <w:rPr>
                  <w:noProof/>
                  <w:lang w:val="en-US"/>
                </w:rPr>
                <w:t>, 605-628.</w:t>
              </w:r>
            </w:p>
            <w:p w:rsidR="002C23B4" w:rsidRDefault="002C23B4" w:rsidP="002C23B4">
              <w:pPr>
                <w:pStyle w:val="Bibliography"/>
                <w:ind w:left="720" w:hanging="720"/>
                <w:rPr>
                  <w:noProof/>
                  <w:lang w:val="en-US"/>
                </w:rPr>
              </w:pPr>
              <w:r>
                <w:rPr>
                  <w:noProof/>
                  <w:lang w:val="en-US"/>
                </w:rPr>
                <w:t xml:space="preserve">Rothbart, M., &amp; Snyder, M. (1970). Confidence in the prediction and postdiction of an uncertain outcome. </w:t>
              </w:r>
              <w:r>
                <w:rPr>
                  <w:i/>
                  <w:iCs/>
                  <w:noProof/>
                  <w:lang w:val="en-US"/>
                </w:rPr>
                <w:t>Canadian Journal of Behavioral Science</w:t>
              </w:r>
              <w:r>
                <w:rPr>
                  <w:noProof/>
                  <w:lang w:val="en-US"/>
                </w:rPr>
                <w:t>, 38-43.</w:t>
              </w:r>
            </w:p>
            <w:p w:rsidR="002C23B4" w:rsidRDefault="002C23B4" w:rsidP="002C23B4">
              <w:pPr>
                <w:pStyle w:val="Bibliography"/>
                <w:ind w:left="720" w:hanging="720"/>
                <w:rPr>
                  <w:noProof/>
                  <w:lang w:val="en-US"/>
                </w:rPr>
              </w:pPr>
              <w:r>
                <w:rPr>
                  <w:noProof/>
                  <w:lang w:val="en-US"/>
                </w:rPr>
                <w:t xml:space="preserve">Sapienza, P., Zingales, L., &amp; Maestripieri, D. (2009). </w:t>
              </w:r>
              <w:r>
                <w:rPr>
                  <w:i/>
                  <w:iCs/>
                  <w:noProof/>
                  <w:lang w:val="en-US"/>
                </w:rPr>
                <w:t>Gender differences in financial risk aversion and career choices are affected by testosterone.</w:t>
              </w:r>
              <w:r>
                <w:rPr>
                  <w:noProof/>
                  <w:lang w:val="en-US"/>
                </w:rPr>
                <w:t xml:space="preserve"> Chicago: The University of Chicago.</w:t>
              </w:r>
            </w:p>
            <w:p w:rsidR="002C23B4" w:rsidRDefault="002C23B4" w:rsidP="002C23B4">
              <w:pPr>
                <w:pStyle w:val="Bibliography"/>
                <w:ind w:left="720" w:hanging="720"/>
                <w:rPr>
                  <w:noProof/>
                  <w:lang w:val="en-US"/>
                </w:rPr>
              </w:pPr>
              <w:r>
                <w:rPr>
                  <w:noProof/>
                  <w:lang w:val="en-US"/>
                </w:rPr>
                <w:t xml:space="preserve">Schmeidler, D. (1989). Subjective Probability and Expected Utility without Additivity. </w:t>
              </w:r>
              <w:r>
                <w:rPr>
                  <w:i/>
                  <w:iCs/>
                  <w:noProof/>
                  <w:lang w:val="en-US"/>
                </w:rPr>
                <w:t>Econometrica</w:t>
              </w:r>
              <w:r>
                <w:rPr>
                  <w:noProof/>
                  <w:lang w:val="en-US"/>
                </w:rPr>
                <w:t>, 571-587.</w:t>
              </w:r>
            </w:p>
            <w:p w:rsidR="002C23B4" w:rsidRDefault="002C23B4" w:rsidP="002C23B4">
              <w:pPr>
                <w:pStyle w:val="Bibliography"/>
                <w:ind w:left="720" w:hanging="720"/>
                <w:rPr>
                  <w:noProof/>
                  <w:lang w:val="en-US"/>
                </w:rPr>
              </w:pPr>
              <w:r>
                <w:rPr>
                  <w:noProof/>
                  <w:lang w:val="en-US"/>
                </w:rPr>
                <w:t xml:space="preserve">Schubert, R., Brown, M., Gysler, M., &amp; Brachinger, H. W. (1999). Financial Decision-Making: Are Women Really More Risk-Averse? </w:t>
              </w:r>
              <w:r>
                <w:rPr>
                  <w:i/>
                  <w:iCs/>
                  <w:noProof/>
                  <w:lang w:val="en-US"/>
                </w:rPr>
                <w:t>The American Economic Review</w:t>
              </w:r>
              <w:r>
                <w:rPr>
                  <w:noProof/>
                  <w:lang w:val="en-US"/>
                </w:rPr>
                <w:t>, 381-385.</w:t>
              </w:r>
            </w:p>
            <w:p w:rsidR="002C23B4" w:rsidRDefault="002C23B4" w:rsidP="002C23B4">
              <w:pPr>
                <w:pStyle w:val="Bibliography"/>
                <w:ind w:left="720" w:hanging="720"/>
                <w:rPr>
                  <w:noProof/>
                  <w:lang w:val="en-US"/>
                </w:rPr>
              </w:pPr>
              <w:r>
                <w:rPr>
                  <w:noProof/>
                  <w:lang w:val="en-US"/>
                </w:rPr>
                <w:t xml:space="preserve">Sutter, M., Kocher, M., Glätzle-Rüetzler, D., &amp; Trautmann, S. (2013). Impartience and Uncertainty: Expertimental Decisions Predict Adolescents' Field Behavior. </w:t>
              </w:r>
              <w:r>
                <w:rPr>
                  <w:i/>
                  <w:iCs/>
                  <w:noProof/>
                  <w:lang w:val="en-US"/>
                </w:rPr>
                <w:t>American Economic Review</w:t>
              </w:r>
              <w:r>
                <w:rPr>
                  <w:noProof/>
                  <w:lang w:val="en-US"/>
                </w:rPr>
                <w:t>, 510-531.</w:t>
              </w:r>
            </w:p>
            <w:p w:rsidR="002C23B4" w:rsidRDefault="002C23B4" w:rsidP="002C23B4">
              <w:pPr>
                <w:pStyle w:val="Bibliography"/>
                <w:ind w:left="720" w:hanging="720"/>
                <w:rPr>
                  <w:noProof/>
                  <w:lang w:val="en-US"/>
                </w:rPr>
              </w:pPr>
              <w:r w:rsidRPr="002C23B4">
                <w:rPr>
                  <w:noProof/>
                </w:rPr>
                <w:t xml:space="preserve">van Rooij, M., Lusardi, A., &amp; Alessie, R. (2007). </w:t>
              </w:r>
              <w:r>
                <w:rPr>
                  <w:i/>
                  <w:iCs/>
                  <w:noProof/>
                  <w:lang w:val="en-US"/>
                </w:rPr>
                <w:t>Financial literacy and stock market participation.</w:t>
              </w:r>
              <w:r>
                <w:rPr>
                  <w:noProof/>
                  <w:lang w:val="en-US"/>
                </w:rPr>
                <w:t xml:space="preserve"> Frankfurt, Germany: Working Paper.</w:t>
              </w:r>
            </w:p>
            <w:p w:rsidR="00CC26D0" w:rsidRPr="00024D4E" w:rsidRDefault="004226BA" w:rsidP="002C23B4">
              <w:pPr>
                <w:jc w:val="both"/>
              </w:pPr>
              <w:r>
                <w:rPr>
                  <w:b/>
                  <w:bCs/>
                  <w:noProof/>
                </w:rPr>
                <w:lastRenderedPageBreak/>
                <w:fldChar w:fldCharType="end"/>
              </w:r>
              <w:r w:rsidR="00CC26D0">
                <w:rPr>
                  <w:rFonts w:cstheme="minorHAnsi"/>
                </w:rPr>
                <w:br w:type="page"/>
              </w:r>
            </w:p>
          </w:sdtContent>
        </w:sdt>
      </w:sdtContent>
    </w:sdt>
    <w:p w:rsidR="00CC26D0" w:rsidRDefault="00CC26D0" w:rsidP="00CC26D0">
      <w:pPr>
        <w:pStyle w:val="Heading1"/>
        <w:rPr>
          <w:rFonts w:asciiTheme="minorHAnsi" w:hAnsiTheme="minorHAnsi" w:cstheme="minorHAnsi"/>
          <w:b/>
          <w:color w:val="000000" w:themeColor="text1"/>
          <w:sz w:val="36"/>
        </w:rPr>
      </w:pPr>
      <w:bookmarkStart w:id="27" w:name="_Toc422695296"/>
      <w:r w:rsidRPr="00CC26D0">
        <w:rPr>
          <w:rFonts w:asciiTheme="minorHAnsi" w:hAnsiTheme="minorHAnsi" w:cstheme="minorHAnsi"/>
          <w:b/>
          <w:color w:val="000000" w:themeColor="text1"/>
          <w:sz w:val="36"/>
        </w:rPr>
        <w:lastRenderedPageBreak/>
        <w:t>Appendix 1</w:t>
      </w:r>
      <w:bookmarkEnd w:id="27"/>
    </w:p>
    <w:p w:rsidR="00CC26D0" w:rsidRPr="00CC26D0" w:rsidRDefault="00CC26D0" w:rsidP="00CC26D0">
      <w:pPr>
        <w:rPr>
          <w:lang w:val="en-US"/>
        </w:rPr>
      </w:pPr>
    </w:p>
    <w:tbl>
      <w:tblPr>
        <w:tblpPr w:leftFromText="141" w:rightFromText="141" w:vertAnchor="page" w:horzAnchor="margin" w:tblpXSpec="center" w:tblpY="2615"/>
        <w:tblW w:w="10651" w:type="dxa"/>
        <w:tblCellMar>
          <w:left w:w="70" w:type="dxa"/>
          <w:right w:w="70" w:type="dxa"/>
        </w:tblCellMar>
        <w:tblLook w:val="04A0" w:firstRow="1" w:lastRow="0" w:firstColumn="1" w:lastColumn="0" w:noHBand="0" w:noVBand="1"/>
      </w:tblPr>
      <w:tblGrid>
        <w:gridCol w:w="3040"/>
        <w:gridCol w:w="2491"/>
        <w:gridCol w:w="5120"/>
      </w:tblGrid>
      <w:tr w:rsidR="00CC26D0" w:rsidRPr="00C07924" w:rsidTr="00CC26D0">
        <w:trPr>
          <w:trHeight w:val="300"/>
        </w:trPr>
        <w:tc>
          <w:tcPr>
            <w:tcW w:w="3040" w:type="dxa"/>
            <w:tcBorders>
              <w:top w:val="single" w:sz="4" w:space="0" w:color="auto"/>
              <w:left w:val="nil"/>
              <w:bottom w:val="single" w:sz="4" w:space="0" w:color="auto"/>
              <w:right w:val="nil"/>
            </w:tcBorders>
            <w:shd w:val="clear" w:color="auto" w:fill="auto"/>
            <w:noWrap/>
            <w:vAlign w:val="bottom"/>
            <w:hideMark/>
          </w:tcPr>
          <w:p w:rsidR="00CC26D0" w:rsidRPr="00C07924" w:rsidRDefault="00CC26D0" w:rsidP="00CC26D0">
            <w:pPr>
              <w:spacing w:after="0" w:line="240" w:lineRule="auto"/>
              <w:rPr>
                <w:rFonts w:ascii="Calibri" w:eastAsia="Times New Roman" w:hAnsi="Calibri" w:cs="Calibri"/>
                <w:b/>
                <w:bCs/>
                <w:color w:val="000000"/>
                <w:sz w:val="20"/>
                <w:szCs w:val="20"/>
                <w:lang w:val="en-US" w:eastAsia="nl-NL"/>
              </w:rPr>
            </w:pPr>
            <w:r w:rsidRPr="00C07924">
              <w:rPr>
                <w:rFonts w:ascii="Calibri" w:eastAsia="Times New Roman" w:hAnsi="Calibri" w:cs="Calibri"/>
                <w:b/>
                <w:bCs/>
                <w:color w:val="000000"/>
                <w:sz w:val="20"/>
                <w:szCs w:val="20"/>
                <w:lang w:val="en-US" w:eastAsia="nl-NL"/>
              </w:rPr>
              <w:t>Variable</w:t>
            </w:r>
          </w:p>
        </w:tc>
        <w:tc>
          <w:tcPr>
            <w:tcW w:w="2491" w:type="dxa"/>
            <w:tcBorders>
              <w:top w:val="single" w:sz="4" w:space="0" w:color="auto"/>
              <w:left w:val="nil"/>
              <w:bottom w:val="single" w:sz="4" w:space="0" w:color="auto"/>
              <w:right w:val="nil"/>
            </w:tcBorders>
            <w:shd w:val="clear" w:color="auto" w:fill="auto"/>
            <w:noWrap/>
            <w:vAlign w:val="bottom"/>
            <w:hideMark/>
          </w:tcPr>
          <w:p w:rsidR="00CC26D0" w:rsidRPr="00C07924" w:rsidRDefault="00CC26D0" w:rsidP="00CC26D0">
            <w:pPr>
              <w:spacing w:after="0" w:line="240" w:lineRule="auto"/>
              <w:rPr>
                <w:rFonts w:ascii="Calibri" w:eastAsia="Times New Roman" w:hAnsi="Calibri" w:cs="Calibri"/>
                <w:b/>
                <w:bCs/>
                <w:color w:val="000000"/>
                <w:sz w:val="20"/>
                <w:szCs w:val="20"/>
                <w:lang w:val="en-US" w:eastAsia="nl-NL"/>
              </w:rPr>
            </w:pPr>
            <w:r w:rsidRPr="00C07924">
              <w:rPr>
                <w:rFonts w:ascii="Calibri" w:eastAsia="Times New Roman" w:hAnsi="Calibri" w:cs="Calibri"/>
                <w:b/>
                <w:bCs/>
                <w:color w:val="000000"/>
                <w:sz w:val="20"/>
                <w:szCs w:val="20"/>
                <w:lang w:val="en-US" w:eastAsia="nl-NL"/>
              </w:rPr>
              <w:t>Name</w:t>
            </w:r>
          </w:p>
        </w:tc>
        <w:tc>
          <w:tcPr>
            <w:tcW w:w="5120" w:type="dxa"/>
            <w:tcBorders>
              <w:top w:val="single" w:sz="4" w:space="0" w:color="auto"/>
              <w:left w:val="nil"/>
              <w:bottom w:val="single" w:sz="4" w:space="0" w:color="auto"/>
              <w:right w:val="nil"/>
            </w:tcBorders>
            <w:shd w:val="clear" w:color="auto" w:fill="auto"/>
            <w:noWrap/>
            <w:vAlign w:val="bottom"/>
            <w:hideMark/>
          </w:tcPr>
          <w:p w:rsidR="00CC26D0" w:rsidRPr="00C07924" w:rsidRDefault="00CC26D0" w:rsidP="00CC26D0">
            <w:pPr>
              <w:spacing w:after="0" w:line="240" w:lineRule="auto"/>
              <w:rPr>
                <w:rFonts w:ascii="Calibri" w:eastAsia="Times New Roman" w:hAnsi="Calibri" w:cs="Calibri"/>
                <w:b/>
                <w:bCs/>
                <w:color w:val="000000"/>
                <w:sz w:val="20"/>
                <w:szCs w:val="20"/>
                <w:lang w:val="en-US" w:eastAsia="nl-NL"/>
              </w:rPr>
            </w:pPr>
            <w:r w:rsidRPr="00C07924">
              <w:rPr>
                <w:rFonts w:ascii="Calibri" w:eastAsia="Times New Roman" w:hAnsi="Calibri" w:cs="Calibri"/>
                <w:b/>
                <w:bCs/>
                <w:color w:val="000000"/>
                <w:sz w:val="20"/>
                <w:szCs w:val="20"/>
                <w:lang w:val="en-US" w:eastAsia="nl-NL"/>
              </w:rPr>
              <w:t>Coding</w:t>
            </w:r>
          </w:p>
        </w:tc>
      </w:tr>
      <w:tr w:rsidR="00CC26D0" w:rsidRPr="00C07924" w:rsidTr="00CC26D0">
        <w:trPr>
          <w:trHeight w:val="510"/>
        </w:trPr>
        <w:tc>
          <w:tcPr>
            <w:tcW w:w="3040" w:type="dxa"/>
            <w:tcBorders>
              <w:top w:val="nil"/>
              <w:left w:val="nil"/>
              <w:bottom w:val="nil"/>
              <w:right w:val="nil"/>
            </w:tcBorders>
            <w:shd w:val="clear" w:color="auto" w:fill="auto"/>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Number of household member encrypted</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nomem_ecr</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None</w:t>
            </w:r>
          </w:p>
        </w:tc>
      </w:tr>
      <w:tr w:rsidR="00CC26D0" w:rsidRPr="000C1EE2"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Stock market participant</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val="en-US" w:eastAsia="nl-NL"/>
              </w:rPr>
              <w:t>Recoded_bm10a1</w:t>
            </w:r>
            <w:r w:rsidRPr="00C07924">
              <w:rPr>
                <w:rFonts w:ascii="Calibri" w:eastAsia="Times New Roman" w:hAnsi="Calibri" w:cs="Calibri"/>
                <w:color w:val="000000"/>
                <w:sz w:val="20"/>
                <w:szCs w:val="20"/>
                <w:lang w:eastAsia="nl-NL"/>
              </w:rPr>
              <w:t>33</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0 = stock market non-participant, 1 = stock market participant</w:t>
            </w:r>
          </w:p>
        </w:tc>
      </w:tr>
      <w:tr w:rsidR="00CC26D0" w:rsidRPr="000C1EE2"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Ambiguity Aversion 0,1</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Recoded_bm10a48</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0 = ambiguity seeking and indifferent, 1 = ambiguity averse</w:t>
            </w:r>
          </w:p>
        </w:tc>
      </w:tr>
      <w:tr w:rsidR="00CC26D0" w:rsidRPr="000C1EE2"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Ambiguity Aversion 0,5</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Recoded_bm10a29</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0 = ambiguity seeking and indifferent, 1 = ambiguity averse</w:t>
            </w:r>
          </w:p>
        </w:tc>
      </w:tr>
      <w:tr w:rsidR="00CC26D0" w:rsidRPr="000C1EE2"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Ambiguity Aversion 0,9</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Recoded_bm10a70</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0 = ambiguity seeking and indifferent, 1 = ambiguity averse</w:t>
            </w:r>
          </w:p>
        </w:tc>
      </w:tr>
      <w:tr w:rsidR="00CC26D0" w:rsidRPr="000C1EE2"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Risk Aversion</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Recoded_bm10a99</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0 = risk seeking and indifferent, 1 = risk averse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Interaction effect 0,1*gender</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AA_0,1_Gender</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Interaction effect 0,5*gender</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AA_0,5_Gender</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Interaction effect 0,9*gender</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AA_0,9_Gender</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Gender</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geslacht</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0 = male, 1 = female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Age</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leeftijd</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Age Squared</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Age_Squared</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0C1EE2" w:rsidTr="00CC26D0">
        <w:trPr>
          <w:trHeight w:val="765"/>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Household size</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aantalhh</w:t>
            </w:r>
          </w:p>
        </w:tc>
        <w:tc>
          <w:tcPr>
            <w:tcW w:w="5120" w:type="dxa"/>
            <w:tcBorders>
              <w:top w:val="nil"/>
              <w:left w:val="nil"/>
              <w:bottom w:val="nil"/>
              <w:right w:val="nil"/>
            </w:tcBorders>
            <w:shd w:val="clear" w:color="auto" w:fill="auto"/>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1 = one person, 2 = two persons, 3 = three persons, 4 = four persons, 5 = five persons, 6 = six persons, 7 = seven persons, 8 = eight persons, 9 = nine or more persons</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Living with a partner</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partner</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0 = no, 1 = yes</w:t>
            </w:r>
          </w:p>
        </w:tc>
      </w:tr>
      <w:tr w:rsidR="00CC26D0" w:rsidRPr="00C07924" w:rsidTr="00CC26D0">
        <w:trPr>
          <w:trHeight w:val="30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 xml:space="preserve">Gross household income in euro's </w:t>
            </w:r>
          </w:p>
        </w:tc>
        <w:tc>
          <w:tcPr>
            <w:tcW w:w="2491"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brutohh_f</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C07924" w:rsidTr="00CC26D0">
        <w:trPr>
          <w:trHeight w:val="510"/>
        </w:trPr>
        <w:tc>
          <w:tcPr>
            <w:tcW w:w="304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lastRenderedPageBreak/>
              <w:t>Household income squared</w:t>
            </w:r>
          </w:p>
        </w:tc>
        <w:tc>
          <w:tcPr>
            <w:tcW w:w="2491" w:type="dxa"/>
            <w:tcBorders>
              <w:top w:val="nil"/>
              <w:left w:val="nil"/>
              <w:bottom w:val="nil"/>
              <w:right w:val="nil"/>
            </w:tcBorders>
            <w:shd w:val="clear" w:color="auto" w:fill="auto"/>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Household_Income_Squared</w:t>
            </w:r>
          </w:p>
        </w:tc>
        <w:tc>
          <w:tcPr>
            <w:tcW w:w="5120" w:type="dxa"/>
            <w:tcBorders>
              <w:top w:val="nil"/>
              <w:left w:val="nil"/>
              <w:bottom w:val="nil"/>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None</w:t>
            </w:r>
          </w:p>
        </w:tc>
      </w:tr>
      <w:tr w:rsidR="00CC26D0" w:rsidRPr="000C1EE2" w:rsidTr="00CC26D0">
        <w:trPr>
          <w:trHeight w:val="1020"/>
        </w:trPr>
        <w:tc>
          <w:tcPr>
            <w:tcW w:w="3040" w:type="dxa"/>
            <w:tcBorders>
              <w:top w:val="nil"/>
              <w:left w:val="nil"/>
              <w:bottom w:val="single" w:sz="4" w:space="0" w:color="auto"/>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Education</w:t>
            </w:r>
          </w:p>
        </w:tc>
        <w:tc>
          <w:tcPr>
            <w:tcW w:w="2491" w:type="dxa"/>
            <w:tcBorders>
              <w:top w:val="nil"/>
              <w:left w:val="nil"/>
              <w:bottom w:val="single" w:sz="4" w:space="0" w:color="auto"/>
              <w:right w:val="nil"/>
            </w:tcBorders>
            <w:shd w:val="clear" w:color="auto" w:fill="auto"/>
            <w:noWrap/>
            <w:vAlign w:val="center"/>
            <w:hideMark/>
          </w:tcPr>
          <w:p w:rsidR="00CC26D0" w:rsidRPr="00C07924" w:rsidRDefault="00CC26D0" w:rsidP="00CC26D0">
            <w:pPr>
              <w:spacing w:after="0" w:line="240" w:lineRule="auto"/>
              <w:rPr>
                <w:rFonts w:ascii="Calibri" w:eastAsia="Times New Roman" w:hAnsi="Calibri" w:cs="Calibri"/>
                <w:color w:val="000000"/>
                <w:sz w:val="20"/>
                <w:szCs w:val="20"/>
                <w:lang w:eastAsia="nl-NL"/>
              </w:rPr>
            </w:pPr>
            <w:r w:rsidRPr="00C07924">
              <w:rPr>
                <w:rFonts w:ascii="Calibri" w:eastAsia="Times New Roman" w:hAnsi="Calibri" w:cs="Calibri"/>
                <w:color w:val="000000"/>
                <w:sz w:val="20"/>
                <w:szCs w:val="20"/>
                <w:lang w:eastAsia="nl-NL"/>
              </w:rPr>
              <w:t>oplmet</w:t>
            </w:r>
          </w:p>
        </w:tc>
        <w:tc>
          <w:tcPr>
            <w:tcW w:w="5120" w:type="dxa"/>
            <w:tcBorders>
              <w:top w:val="nil"/>
              <w:left w:val="nil"/>
              <w:bottom w:val="single" w:sz="4" w:space="0" w:color="auto"/>
              <w:right w:val="nil"/>
            </w:tcBorders>
            <w:shd w:val="clear" w:color="auto" w:fill="auto"/>
            <w:vAlign w:val="center"/>
            <w:hideMark/>
          </w:tcPr>
          <w:p w:rsidR="00CC26D0" w:rsidRPr="00C07924" w:rsidRDefault="00CC26D0" w:rsidP="00CC26D0">
            <w:pPr>
              <w:spacing w:after="0" w:line="240" w:lineRule="auto"/>
              <w:rPr>
                <w:rFonts w:ascii="Calibri" w:eastAsia="Times New Roman" w:hAnsi="Calibri" w:cs="Calibri"/>
                <w:color w:val="000000"/>
                <w:sz w:val="20"/>
                <w:szCs w:val="20"/>
                <w:lang w:val="en-US" w:eastAsia="nl-NL"/>
              </w:rPr>
            </w:pPr>
            <w:r w:rsidRPr="00C07924">
              <w:rPr>
                <w:rFonts w:ascii="Calibri" w:eastAsia="Times New Roman" w:hAnsi="Calibri" w:cs="Calibri"/>
                <w:color w:val="000000"/>
                <w:sz w:val="20"/>
                <w:szCs w:val="20"/>
                <w:lang w:val="en-US" w:eastAsia="nl-NL"/>
              </w:rPr>
              <w:t>1 = primary school , 2 = i</w:t>
            </w:r>
            <w:r>
              <w:rPr>
                <w:rFonts w:ascii="Calibri" w:eastAsia="Times New Roman" w:hAnsi="Calibri" w:cs="Calibri"/>
                <w:color w:val="000000"/>
                <w:sz w:val="20"/>
                <w:szCs w:val="20"/>
                <w:lang w:val="en-US" w:eastAsia="nl-NL"/>
              </w:rPr>
              <w:t>n</w:t>
            </w:r>
            <w:r w:rsidRPr="00C07924">
              <w:rPr>
                <w:rFonts w:ascii="Calibri" w:eastAsia="Times New Roman" w:hAnsi="Calibri" w:cs="Calibri"/>
                <w:color w:val="000000"/>
                <w:sz w:val="20"/>
                <w:szCs w:val="20"/>
                <w:lang w:val="en-US" w:eastAsia="nl-NL"/>
              </w:rPr>
              <w:t>termediate secondary education/vmbo, 3 = higher secondary education/havo/vwo, 4 = intermediate vocational education/mbo, 5 = higher vocational education/hbo, 6 = university</w:t>
            </w:r>
          </w:p>
        </w:tc>
      </w:tr>
    </w:tbl>
    <w:p w:rsidR="00CC26D0" w:rsidRPr="00D1660C" w:rsidRDefault="00CC26D0" w:rsidP="00CC26D0">
      <w:pPr>
        <w:spacing w:before="240"/>
        <w:rPr>
          <w:rFonts w:ascii="Calibri" w:eastAsia="Times New Roman" w:hAnsi="Calibri" w:cs="Calibri"/>
          <w:lang w:val="en-US" w:eastAsia="nl-NL"/>
        </w:rPr>
      </w:pPr>
    </w:p>
    <w:p w:rsidR="00CC26D0" w:rsidRPr="00CC26D0" w:rsidRDefault="00CC26D0">
      <w:pPr>
        <w:spacing w:after="160" w:line="259" w:lineRule="auto"/>
        <w:rPr>
          <w:rFonts w:cstheme="minorHAnsi"/>
          <w:lang w:val="en-US"/>
        </w:rPr>
      </w:pPr>
    </w:p>
    <w:sectPr w:rsidR="00CC26D0" w:rsidRPr="00CC26D0" w:rsidSect="00CF5A10">
      <w:footerReference w:type="default" r:id="rId16"/>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F71" w:rsidRDefault="00FE2F71" w:rsidP="004226BA">
      <w:pPr>
        <w:spacing w:after="0" w:line="240" w:lineRule="auto"/>
      </w:pPr>
      <w:r>
        <w:separator/>
      </w:r>
    </w:p>
  </w:endnote>
  <w:endnote w:type="continuationSeparator" w:id="0">
    <w:p w:rsidR="00FE2F71" w:rsidRDefault="00FE2F71" w:rsidP="00422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0598187"/>
      <w:docPartObj>
        <w:docPartGallery w:val="Page Numbers (Bottom of Page)"/>
        <w:docPartUnique/>
      </w:docPartObj>
    </w:sdtPr>
    <w:sdtEndPr>
      <w:rPr>
        <w:noProof/>
      </w:rPr>
    </w:sdtEndPr>
    <w:sdtContent>
      <w:p w:rsidR="002E6A27" w:rsidRDefault="002E6A27">
        <w:pPr>
          <w:pStyle w:val="Footer"/>
          <w:jc w:val="right"/>
        </w:pPr>
        <w:r>
          <w:fldChar w:fldCharType="begin"/>
        </w:r>
        <w:r>
          <w:instrText xml:space="preserve"> PAGE   \* MERGEFORMAT </w:instrText>
        </w:r>
        <w:r>
          <w:fldChar w:fldCharType="separate"/>
        </w:r>
        <w:r w:rsidR="000345BD">
          <w:rPr>
            <w:noProof/>
          </w:rPr>
          <w:t>19</w:t>
        </w:r>
        <w:r>
          <w:rPr>
            <w:noProof/>
          </w:rPr>
          <w:fldChar w:fldCharType="end"/>
        </w:r>
      </w:p>
    </w:sdtContent>
  </w:sdt>
  <w:p w:rsidR="002E6A27" w:rsidRDefault="002E6A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F71" w:rsidRDefault="00FE2F71" w:rsidP="004226BA">
      <w:pPr>
        <w:spacing w:after="0" w:line="240" w:lineRule="auto"/>
      </w:pPr>
      <w:r>
        <w:separator/>
      </w:r>
    </w:p>
  </w:footnote>
  <w:footnote w:type="continuationSeparator" w:id="0">
    <w:p w:rsidR="00FE2F71" w:rsidRDefault="00FE2F71" w:rsidP="004226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21230B"/>
    <w:multiLevelType w:val="hybridMultilevel"/>
    <w:tmpl w:val="743C8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65C"/>
    <w:rsid w:val="00003D5B"/>
    <w:rsid w:val="00014480"/>
    <w:rsid w:val="0002425D"/>
    <w:rsid w:val="00024D4E"/>
    <w:rsid w:val="000316B1"/>
    <w:rsid w:val="000345BD"/>
    <w:rsid w:val="00042F8F"/>
    <w:rsid w:val="000700A1"/>
    <w:rsid w:val="00073887"/>
    <w:rsid w:val="00084729"/>
    <w:rsid w:val="00084FAF"/>
    <w:rsid w:val="00097716"/>
    <w:rsid w:val="000A06E6"/>
    <w:rsid w:val="000A394F"/>
    <w:rsid w:val="000A5C5D"/>
    <w:rsid w:val="000A672E"/>
    <w:rsid w:val="000B055D"/>
    <w:rsid w:val="000B5DA5"/>
    <w:rsid w:val="000C1EE2"/>
    <w:rsid w:val="000C28CB"/>
    <w:rsid w:val="000C5DEC"/>
    <w:rsid w:val="000D6052"/>
    <w:rsid w:val="000E0C33"/>
    <w:rsid w:val="000E100F"/>
    <w:rsid w:val="00110D6D"/>
    <w:rsid w:val="00112F7F"/>
    <w:rsid w:val="001144BC"/>
    <w:rsid w:val="00115B12"/>
    <w:rsid w:val="0012469A"/>
    <w:rsid w:val="00135BA4"/>
    <w:rsid w:val="00143AB8"/>
    <w:rsid w:val="00146E04"/>
    <w:rsid w:val="00147724"/>
    <w:rsid w:val="00151A18"/>
    <w:rsid w:val="001554F4"/>
    <w:rsid w:val="00155B3A"/>
    <w:rsid w:val="00165A74"/>
    <w:rsid w:val="00171BA3"/>
    <w:rsid w:val="00172FBE"/>
    <w:rsid w:val="00180D42"/>
    <w:rsid w:val="001812FE"/>
    <w:rsid w:val="001951C1"/>
    <w:rsid w:val="001B7B49"/>
    <w:rsid w:val="001C565C"/>
    <w:rsid w:val="001C6C6A"/>
    <w:rsid w:val="001D46EA"/>
    <w:rsid w:val="001E69E6"/>
    <w:rsid w:val="001F37D9"/>
    <w:rsid w:val="001F7D8B"/>
    <w:rsid w:val="00212851"/>
    <w:rsid w:val="00216A9C"/>
    <w:rsid w:val="00226A53"/>
    <w:rsid w:val="00231F77"/>
    <w:rsid w:val="0023379D"/>
    <w:rsid w:val="002348F8"/>
    <w:rsid w:val="00244CBC"/>
    <w:rsid w:val="00246AD5"/>
    <w:rsid w:val="00271CEF"/>
    <w:rsid w:val="00273011"/>
    <w:rsid w:val="002A5216"/>
    <w:rsid w:val="002B0651"/>
    <w:rsid w:val="002B232A"/>
    <w:rsid w:val="002B51F1"/>
    <w:rsid w:val="002C12BD"/>
    <w:rsid w:val="002C1EC5"/>
    <w:rsid w:val="002C21C9"/>
    <w:rsid w:val="002C23B4"/>
    <w:rsid w:val="002C373C"/>
    <w:rsid w:val="002C5BE6"/>
    <w:rsid w:val="002D22F1"/>
    <w:rsid w:val="002D64E9"/>
    <w:rsid w:val="002D7D31"/>
    <w:rsid w:val="002E4F07"/>
    <w:rsid w:val="002E6A27"/>
    <w:rsid w:val="002F0363"/>
    <w:rsid w:val="002F7005"/>
    <w:rsid w:val="0030547D"/>
    <w:rsid w:val="0031106B"/>
    <w:rsid w:val="003140E5"/>
    <w:rsid w:val="0032206A"/>
    <w:rsid w:val="00322BA9"/>
    <w:rsid w:val="0033452F"/>
    <w:rsid w:val="00342BB1"/>
    <w:rsid w:val="003513EB"/>
    <w:rsid w:val="00351C09"/>
    <w:rsid w:val="00352AA4"/>
    <w:rsid w:val="00355C95"/>
    <w:rsid w:val="00380E4A"/>
    <w:rsid w:val="003837B3"/>
    <w:rsid w:val="003946EA"/>
    <w:rsid w:val="00397C4C"/>
    <w:rsid w:val="003B1FF2"/>
    <w:rsid w:val="003B20AE"/>
    <w:rsid w:val="003C2DE3"/>
    <w:rsid w:val="003C32A7"/>
    <w:rsid w:val="003C4867"/>
    <w:rsid w:val="003D6F3D"/>
    <w:rsid w:val="004010F4"/>
    <w:rsid w:val="0042089B"/>
    <w:rsid w:val="004226BA"/>
    <w:rsid w:val="0043381F"/>
    <w:rsid w:val="00433AC7"/>
    <w:rsid w:val="00443498"/>
    <w:rsid w:val="00453452"/>
    <w:rsid w:val="0047365A"/>
    <w:rsid w:val="00482982"/>
    <w:rsid w:val="00484557"/>
    <w:rsid w:val="00484A08"/>
    <w:rsid w:val="004A3939"/>
    <w:rsid w:val="004A478A"/>
    <w:rsid w:val="004A4AA4"/>
    <w:rsid w:val="004B12E8"/>
    <w:rsid w:val="004B4043"/>
    <w:rsid w:val="004C4045"/>
    <w:rsid w:val="004D44AF"/>
    <w:rsid w:val="004D5F26"/>
    <w:rsid w:val="004E4881"/>
    <w:rsid w:val="005000EE"/>
    <w:rsid w:val="0052360E"/>
    <w:rsid w:val="005245EF"/>
    <w:rsid w:val="005369E4"/>
    <w:rsid w:val="00546E27"/>
    <w:rsid w:val="005474B4"/>
    <w:rsid w:val="005520D3"/>
    <w:rsid w:val="005538DD"/>
    <w:rsid w:val="00557C23"/>
    <w:rsid w:val="00565469"/>
    <w:rsid w:val="0057017F"/>
    <w:rsid w:val="0057208D"/>
    <w:rsid w:val="0057397E"/>
    <w:rsid w:val="005762DC"/>
    <w:rsid w:val="00582301"/>
    <w:rsid w:val="00586BCE"/>
    <w:rsid w:val="005A2D06"/>
    <w:rsid w:val="005B140B"/>
    <w:rsid w:val="005C0F3C"/>
    <w:rsid w:val="005C4FB5"/>
    <w:rsid w:val="005D2A35"/>
    <w:rsid w:val="005D620B"/>
    <w:rsid w:val="005D62C7"/>
    <w:rsid w:val="00604670"/>
    <w:rsid w:val="00617A99"/>
    <w:rsid w:val="00625441"/>
    <w:rsid w:val="00626883"/>
    <w:rsid w:val="006418DD"/>
    <w:rsid w:val="0065115A"/>
    <w:rsid w:val="00653083"/>
    <w:rsid w:val="00657A5F"/>
    <w:rsid w:val="00661215"/>
    <w:rsid w:val="00662936"/>
    <w:rsid w:val="00664717"/>
    <w:rsid w:val="006676A1"/>
    <w:rsid w:val="006705CD"/>
    <w:rsid w:val="0068088C"/>
    <w:rsid w:val="00682135"/>
    <w:rsid w:val="00687E31"/>
    <w:rsid w:val="00695994"/>
    <w:rsid w:val="00696A85"/>
    <w:rsid w:val="006A23E3"/>
    <w:rsid w:val="006B1256"/>
    <w:rsid w:val="006D0B1E"/>
    <w:rsid w:val="006E57F2"/>
    <w:rsid w:val="006E5B4E"/>
    <w:rsid w:val="006F0172"/>
    <w:rsid w:val="006F2092"/>
    <w:rsid w:val="006F30A2"/>
    <w:rsid w:val="00701C89"/>
    <w:rsid w:val="007051B4"/>
    <w:rsid w:val="00710F0B"/>
    <w:rsid w:val="00714DAB"/>
    <w:rsid w:val="00714F45"/>
    <w:rsid w:val="00715308"/>
    <w:rsid w:val="0071592C"/>
    <w:rsid w:val="00736178"/>
    <w:rsid w:val="00737DAD"/>
    <w:rsid w:val="0074022F"/>
    <w:rsid w:val="00741051"/>
    <w:rsid w:val="00744105"/>
    <w:rsid w:val="007506A2"/>
    <w:rsid w:val="00750AB7"/>
    <w:rsid w:val="00760342"/>
    <w:rsid w:val="007662C7"/>
    <w:rsid w:val="00785DC6"/>
    <w:rsid w:val="00786E79"/>
    <w:rsid w:val="007A02B0"/>
    <w:rsid w:val="007A198E"/>
    <w:rsid w:val="007B3FCB"/>
    <w:rsid w:val="007C3EE5"/>
    <w:rsid w:val="007D4AE2"/>
    <w:rsid w:val="007D661B"/>
    <w:rsid w:val="007E1109"/>
    <w:rsid w:val="00812679"/>
    <w:rsid w:val="008127B0"/>
    <w:rsid w:val="00816E24"/>
    <w:rsid w:val="008324FE"/>
    <w:rsid w:val="00843AFF"/>
    <w:rsid w:val="00853399"/>
    <w:rsid w:val="0085645F"/>
    <w:rsid w:val="008612D1"/>
    <w:rsid w:val="008630CE"/>
    <w:rsid w:val="00873725"/>
    <w:rsid w:val="0089194C"/>
    <w:rsid w:val="00894275"/>
    <w:rsid w:val="00897A74"/>
    <w:rsid w:val="008B6AF4"/>
    <w:rsid w:val="008C021D"/>
    <w:rsid w:val="008D2B31"/>
    <w:rsid w:val="008F022E"/>
    <w:rsid w:val="008F3332"/>
    <w:rsid w:val="008F3D68"/>
    <w:rsid w:val="00901D3F"/>
    <w:rsid w:val="00907D09"/>
    <w:rsid w:val="00927B2E"/>
    <w:rsid w:val="00930352"/>
    <w:rsid w:val="00934FD5"/>
    <w:rsid w:val="00941B19"/>
    <w:rsid w:val="0095238D"/>
    <w:rsid w:val="00956501"/>
    <w:rsid w:val="00961BF7"/>
    <w:rsid w:val="009628EC"/>
    <w:rsid w:val="00964214"/>
    <w:rsid w:val="00987AA6"/>
    <w:rsid w:val="0099010F"/>
    <w:rsid w:val="00990C80"/>
    <w:rsid w:val="00990EEA"/>
    <w:rsid w:val="0099325C"/>
    <w:rsid w:val="009A28F8"/>
    <w:rsid w:val="009B3DC6"/>
    <w:rsid w:val="009B615A"/>
    <w:rsid w:val="009D7C75"/>
    <w:rsid w:val="009E0ACA"/>
    <w:rsid w:val="009E53D1"/>
    <w:rsid w:val="009E5F22"/>
    <w:rsid w:val="009E6A9E"/>
    <w:rsid w:val="009F1E9B"/>
    <w:rsid w:val="00A04753"/>
    <w:rsid w:val="00A072BE"/>
    <w:rsid w:val="00A12DEF"/>
    <w:rsid w:val="00A160C9"/>
    <w:rsid w:val="00A204C4"/>
    <w:rsid w:val="00A248AC"/>
    <w:rsid w:val="00A410C0"/>
    <w:rsid w:val="00A44E40"/>
    <w:rsid w:val="00A714ED"/>
    <w:rsid w:val="00A8243F"/>
    <w:rsid w:val="00A93EE7"/>
    <w:rsid w:val="00AA313A"/>
    <w:rsid w:val="00AB70BC"/>
    <w:rsid w:val="00AC0D50"/>
    <w:rsid w:val="00AC2790"/>
    <w:rsid w:val="00AC3C56"/>
    <w:rsid w:val="00AE3619"/>
    <w:rsid w:val="00AE3F9D"/>
    <w:rsid w:val="00AF2AA8"/>
    <w:rsid w:val="00AF358F"/>
    <w:rsid w:val="00AF4DE4"/>
    <w:rsid w:val="00AF6CA0"/>
    <w:rsid w:val="00B05249"/>
    <w:rsid w:val="00B1020A"/>
    <w:rsid w:val="00B10E93"/>
    <w:rsid w:val="00B244E8"/>
    <w:rsid w:val="00B27937"/>
    <w:rsid w:val="00B3799F"/>
    <w:rsid w:val="00B600CD"/>
    <w:rsid w:val="00B64C28"/>
    <w:rsid w:val="00B7216D"/>
    <w:rsid w:val="00B742A4"/>
    <w:rsid w:val="00B83B3B"/>
    <w:rsid w:val="00B86480"/>
    <w:rsid w:val="00BB38F4"/>
    <w:rsid w:val="00BC3E97"/>
    <w:rsid w:val="00BD3089"/>
    <w:rsid w:val="00BE6262"/>
    <w:rsid w:val="00BF673D"/>
    <w:rsid w:val="00BF7471"/>
    <w:rsid w:val="00C02A37"/>
    <w:rsid w:val="00C067EA"/>
    <w:rsid w:val="00C07790"/>
    <w:rsid w:val="00C1160D"/>
    <w:rsid w:val="00C13EF2"/>
    <w:rsid w:val="00C16EE5"/>
    <w:rsid w:val="00C25D1D"/>
    <w:rsid w:val="00C25E9D"/>
    <w:rsid w:val="00C266E8"/>
    <w:rsid w:val="00C34C5E"/>
    <w:rsid w:val="00C365C9"/>
    <w:rsid w:val="00C43BD0"/>
    <w:rsid w:val="00C503AE"/>
    <w:rsid w:val="00C50B03"/>
    <w:rsid w:val="00C54463"/>
    <w:rsid w:val="00C55DFC"/>
    <w:rsid w:val="00C5696D"/>
    <w:rsid w:val="00C572B1"/>
    <w:rsid w:val="00C94A34"/>
    <w:rsid w:val="00C96655"/>
    <w:rsid w:val="00CA2514"/>
    <w:rsid w:val="00CA65E4"/>
    <w:rsid w:val="00CB295E"/>
    <w:rsid w:val="00CB5E16"/>
    <w:rsid w:val="00CC26D0"/>
    <w:rsid w:val="00CC3688"/>
    <w:rsid w:val="00CD3D72"/>
    <w:rsid w:val="00CD5804"/>
    <w:rsid w:val="00CD5E93"/>
    <w:rsid w:val="00CE1925"/>
    <w:rsid w:val="00CE2805"/>
    <w:rsid w:val="00CE47CA"/>
    <w:rsid w:val="00CE4F1A"/>
    <w:rsid w:val="00CF2E73"/>
    <w:rsid w:val="00CF5A10"/>
    <w:rsid w:val="00D04294"/>
    <w:rsid w:val="00D05604"/>
    <w:rsid w:val="00D2667A"/>
    <w:rsid w:val="00D36FD9"/>
    <w:rsid w:val="00D50463"/>
    <w:rsid w:val="00D529CE"/>
    <w:rsid w:val="00D54BF2"/>
    <w:rsid w:val="00D55EEF"/>
    <w:rsid w:val="00D641EB"/>
    <w:rsid w:val="00D6764A"/>
    <w:rsid w:val="00D932C4"/>
    <w:rsid w:val="00D95940"/>
    <w:rsid w:val="00D96A49"/>
    <w:rsid w:val="00DB2D47"/>
    <w:rsid w:val="00DB3539"/>
    <w:rsid w:val="00DB36FA"/>
    <w:rsid w:val="00DC459B"/>
    <w:rsid w:val="00DD3E5B"/>
    <w:rsid w:val="00DE2C11"/>
    <w:rsid w:val="00DE2D0E"/>
    <w:rsid w:val="00DF3C82"/>
    <w:rsid w:val="00DF5610"/>
    <w:rsid w:val="00DF5F97"/>
    <w:rsid w:val="00DF777D"/>
    <w:rsid w:val="00E072FC"/>
    <w:rsid w:val="00E10659"/>
    <w:rsid w:val="00E14A95"/>
    <w:rsid w:val="00E16D8C"/>
    <w:rsid w:val="00E2343D"/>
    <w:rsid w:val="00E421D7"/>
    <w:rsid w:val="00E6284C"/>
    <w:rsid w:val="00E645C9"/>
    <w:rsid w:val="00E75356"/>
    <w:rsid w:val="00E75E0D"/>
    <w:rsid w:val="00E84F68"/>
    <w:rsid w:val="00E94530"/>
    <w:rsid w:val="00EA2EB9"/>
    <w:rsid w:val="00EA7457"/>
    <w:rsid w:val="00EB4B8B"/>
    <w:rsid w:val="00EC01F0"/>
    <w:rsid w:val="00EC36EA"/>
    <w:rsid w:val="00ED16ED"/>
    <w:rsid w:val="00EE1165"/>
    <w:rsid w:val="00EE6556"/>
    <w:rsid w:val="00F03E7E"/>
    <w:rsid w:val="00F31FD7"/>
    <w:rsid w:val="00F5084F"/>
    <w:rsid w:val="00F57FB4"/>
    <w:rsid w:val="00F915D8"/>
    <w:rsid w:val="00F95945"/>
    <w:rsid w:val="00FA7F1B"/>
    <w:rsid w:val="00FB5DEF"/>
    <w:rsid w:val="00FC3531"/>
    <w:rsid w:val="00FE2F71"/>
    <w:rsid w:val="00FF3F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3BC7A8E-516D-45D1-83E3-0792FDA8B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6C6A"/>
    <w:pPr>
      <w:spacing w:after="200" w:line="276" w:lineRule="auto"/>
    </w:pPr>
  </w:style>
  <w:style w:type="paragraph" w:styleId="Heading1">
    <w:name w:val="heading 1"/>
    <w:basedOn w:val="Normal"/>
    <w:next w:val="Normal"/>
    <w:link w:val="Heading1Char"/>
    <w:uiPriority w:val="9"/>
    <w:qFormat/>
    <w:rsid w:val="004226BA"/>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unhideWhenUsed/>
    <w:qFormat/>
    <w:rsid w:val="004226B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226B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26BA"/>
    <w:rPr>
      <w:rFonts w:asciiTheme="majorHAnsi" w:eastAsiaTheme="majorEastAsia" w:hAnsiTheme="majorHAnsi" w:cstheme="majorBidi"/>
      <w:color w:val="2E74B5" w:themeColor="accent1" w:themeShade="BF"/>
      <w:sz w:val="32"/>
      <w:szCs w:val="32"/>
      <w:lang w:val="en-US"/>
    </w:rPr>
  </w:style>
  <w:style w:type="paragraph" w:styleId="Bibliography">
    <w:name w:val="Bibliography"/>
    <w:basedOn w:val="Normal"/>
    <w:next w:val="Normal"/>
    <w:uiPriority w:val="37"/>
    <w:unhideWhenUsed/>
    <w:rsid w:val="004226BA"/>
    <w:pPr>
      <w:spacing w:after="160" w:line="259" w:lineRule="auto"/>
    </w:pPr>
  </w:style>
  <w:style w:type="paragraph" w:styleId="ListParagraph">
    <w:name w:val="List Paragraph"/>
    <w:basedOn w:val="Normal"/>
    <w:uiPriority w:val="34"/>
    <w:qFormat/>
    <w:rsid w:val="004226BA"/>
    <w:pPr>
      <w:spacing w:after="160" w:line="259" w:lineRule="auto"/>
      <w:ind w:left="720"/>
      <w:contextualSpacing/>
    </w:pPr>
    <w:rPr>
      <w:lang w:val="en-US"/>
    </w:rPr>
  </w:style>
  <w:style w:type="paragraph" w:styleId="Header">
    <w:name w:val="header"/>
    <w:basedOn w:val="Normal"/>
    <w:link w:val="HeaderChar"/>
    <w:uiPriority w:val="99"/>
    <w:unhideWhenUsed/>
    <w:rsid w:val="004226BA"/>
    <w:pPr>
      <w:tabs>
        <w:tab w:val="center" w:pos="4536"/>
        <w:tab w:val="right" w:pos="9072"/>
      </w:tabs>
      <w:spacing w:after="0" w:line="240" w:lineRule="auto"/>
    </w:pPr>
  </w:style>
  <w:style w:type="character" w:customStyle="1" w:styleId="HeaderChar">
    <w:name w:val="Header Char"/>
    <w:basedOn w:val="DefaultParagraphFont"/>
    <w:link w:val="Header"/>
    <w:uiPriority w:val="99"/>
    <w:rsid w:val="004226BA"/>
  </w:style>
  <w:style w:type="paragraph" w:styleId="Footer">
    <w:name w:val="footer"/>
    <w:basedOn w:val="Normal"/>
    <w:link w:val="FooterChar"/>
    <w:uiPriority w:val="99"/>
    <w:unhideWhenUsed/>
    <w:rsid w:val="004226BA"/>
    <w:pPr>
      <w:tabs>
        <w:tab w:val="center" w:pos="4536"/>
        <w:tab w:val="right" w:pos="9072"/>
      </w:tabs>
      <w:spacing w:after="0" w:line="240" w:lineRule="auto"/>
    </w:pPr>
  </w:style>
  <w:style w:type="character" w:customStyle="1" w:styleId="FooterChar">
    <w:name w:val="Footer Char"/>
    <w:basedOn w:val="DefaultParagraphFont"/>
    <w:link w:val="Footer"/>
    <w:uiPriority w:val="99"/>
    <w:rsid w:val="004226BA"/>
  </w:style>
  <w:style w:type="character" w:styleId="CommentReference">
    <w:name w:val="annotation reference"/>
    <w:basedOn w:val="DefaultParagraphFont"/>
    <w:uiPriority w:val="99"/>
    <w:semiHidden/>
    <w:unhideWhenUsed/>
    <w:rsid w:val="004226BA"/>
    <w:rPr>
      <w:sz w:val="16"/>
      <w:szCs w:val="16"/>
    </w:rPr>
  </w:style>
  <w:style w:type="paragraph" w:styleId="CommentText">
    <w:name w:val="annotation text"/>
    <w:basedOn w:val="Normal"/>
    <w:link w:val="CommentTextChar"/>
    <w:uiPriority w:val="99"/>
    <w:semiHidden/>
    <w:unhideWhenUsed/>
    <w:rsid w:val="004226BA"/>
    <w:pPr>
      <w:spacing w:line="240" w:lineRule="auto"/>
    </w:pPr>
    <w:rPr>
      <w:sz w:val="20"/>
      <w:szCs w:val="20"/>
    </w:rPr>
  </w:style>
  <w:style w:type="character" w:customStyle="1" w:styleId="CommentTextChar">
    <w:name w:val="Comment Text Char"/>
    <w:basedOn w:val="DefaultParagraphFont"/>
    <w:link w:val="CommentText"/>
    <w:uiPriority w:val="99"/>
    <w:semiHidden/>
    <w:rsid w:val="004226BA"/>
    <w:rPr>
      <w:sz w:val="20"/>
      <w:szCs w:val="20"/>
    </w:rPr>
  </w:style>
  <w:style w:type="paragraph" w:styleId="CommentSubject">
    <w:name w:val="annotation subject"/>
    <w:basedOn w:val="CommentText"/>
    <w:next w:val="CommentText"/>
    <w:link w:val="CommentSubjectChar"/>
    <w:uiPriority w:val="99"/>
    <w:semiHidden/>
    <w:unhideWhenUsed/>
    <w:rsid w:val="004226BA"/>
    <w:rPr>
      <w:b/>
      <w:bCs/>
    </w:rPr>
  </w:style>
  <w:style w:type="character" w:customStyle="1" w:styleId="CommentSubjectChar">
    <w:name w:val="Comment Subject Char"/>
    <w:basedOn w:val="CommentTextChar"/>
    <w:link w:val="CommentSubject"/>
    <w:uiPriority w:val="99"/>
    <w:semiHidden/>
    <w:rsid w:val="004226BA"/>
    <w:rPr>
      <w:b/>
      <w:bCs/>
      <w:sz w:val="20"/>
      <w:szCs w:val="20"/>
    </w:rPr>
  </w:style>
  <w:style w:type="paragraph" w:styleId="BalloonText">
    <w:name w:val="Balloon Text"/>
    <w:basedOn w:val="Normal"/>
    <w:link w:val="BalloonTextChar"/>
    <w:uiPriority w:val="99"/>
    <w:semiHidden/>
    <w:unhideWhenUsed/>
    <w:rsid w:val="004226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26BA"/>
    <w:rPr>
      <w:rFonts w:ascii="Segoe UI" w:hAnsi="Segoe UI" w:cs="Segoe UI"/>
      <w:sz w:val="18"/>
      <w:szCs w:val="18"/>
    </w:rPr>
  </w:style>
  <w:style w:type="character" w:customStyle="1" w:styleId="Heading2Char">
    <w:name w:val="Heading 2 Char"/>
    <w:basedOn w:val="DefaultParagraphFont"/>
    <w:link w:val="Heading2"/>
    <w:uiPriority w:val="9"/>
    <w:rsid w:val="004226B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226BA"/>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EA7457"/>
    <w:pPr>
      <w:outlineLvl w:val="9"/>
    </w:pPr>
  </w:style>
  <w:style w:type="paragraph" w:styleId="TOC1">
    <w:name w:val="toc 1"/>
    <w:basedOn w:val="Normal"/>
    <w:next w:val="Normal"/>
    <w:autoRedefine/>
    <w:uiPriority w:val="39"/>
    <w:unhideWhenUsed/>
    <w:rsid w:val="00EA7457"/>
    <w:pPr>
      <w:tabs>
        <w:tab w:val="right" w:leader="dot" w:pos="9062"/>
      </w:tabs>
      <w:spacing w:before="240" w:after="100"/>
    </w:pPr>
  </w:style>
  <w:style w:type="paragraph" w:styleId="TOC2">
    <w:name w:val="toc 2"/>
    <w:basedOn w:val="Normal"/>
    <w:next w:val="Normal"/>
    <w:autoRedefine/>
    <w:uiPriority w:val="39"/>
    <w:unhideWhenUsed/>
    <w:rsid w:val="00EA7457"/>
    <w:pPr>
      <w:spacing w:after="100"/>
      <w:ind w:left="220"/>
    </w:pPr>
  </w:style>
  <w:style w:type="paragraph" w:styleId="TOC3">
    <w:name w:val="toc 3"/>
    <w:basedOn w:val="Normal"/>
    <w:next w:val="Normal"/>
    <w:autoRedefine/>
    <w:uiPriority w:val="39"/>
    <w:unhideWhenUsed/>
    <w:rsid w:val="00EA7457"/>
    <w:pPr>
      <w:spacing w:after="100"/>
      <w:ind w:left="440"/>
    </w:pPr>
  </w:style>
  <w:style w:type="character" w:styleId="Hyperlink">
    <w:name w:val="Hyperlink"/>
    <w:basedOn w:val="DefaultParagraphFont"/>
    <w:uiPriority w:val="99"/>
    <w:unhideWhenUsed/>
    <w:rsid w:val="00EA74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7504">
      <w:bodyDiv w:val="1"/>
      <w:marLeft w:val="0"/>
      <w:marRight w:val="0"/>
      <w:marTop w:val="0"/>
      <w:marBottom w:val="0"/>
      <w:divBdr>
        <w:top w:val="none" w:sz="0" w:space="0" w:color="auto"/>
        <w:left w:val="none" w:sz="0" w:space="0" w:color="auto"/>
        <w:bottom w:val="none" w:sz="0" w:space="0" w:color="auto"/>
        <w:right w:val="none" w:sz="0" w:space="0" w:color="auto"/>
      </w:divBdr>
    </w:div>
    <w:div w:id="10642636">
      <w:bodyDiv w:val="1"/>
      <w:marLeft w:val="0"/>
      <w:marRight w:val="0"/>
      <w:marTop w:val="0"/>
      <w:marBottom w:val="0"/>
      <w:divBdr>
        <w:top w:val="none" w:sz="0" w:space="0" w:color="auto"/>
        <w:left w:val="none" w:sz="0" w:space="0" w:color="auto"/>
        <w:bottom w:val="none" w:sz="0" w:space="0" w:color="auto"/>
        <w:right w:val="none" w:sz="0" w:space="0" w:color="auto"/>
      </w:divBdr>
    </w:div>
    <w:div w:id="13192045">
      <w:bodyDiv w:val="1"/>
      <w:marLeft w:val="0"/>
      <w:marRight w:val="0"/>
      <w:marTop w:val="0"/>
      <w:marBottom w:val="0"/>
      <w:divBdr>
        <w:top w:val="none" w:sz="0" w:space="0" w:color="auto"/>
        <w:left w:val="none" w:sz="0" w:space="0" w:color="auto"/>
        <w:bottom w:val="none" w:sz="0" w:space="0" w:color="auto"/>
        <w:right w:val="none" w:sz="0" w:space="0" w:color="auto"/>
      </w:divBdr>
    </w:div>
    <w:div w:id="15082281">
      <w:bodyDiv w:val="1"/>
      <w:marLeft w:val="0"/>
      <w:marRight w:val="0"/>
      <w:marTop w:val="0"/>
      <w:marBottom w:val="0"/>
      <w:divBdr>
        <w:top w:val="none" w:sz="0" w:space="0" w:color="auto"/>
        <w:left w:val="none" w:sz="0" w:space="0" w:color="auto"/>
        <w:bottom w:val="none" w:sz="0" w:space="0" w:color="auto"/>
        <w:right w:val="none" w:sz="0" w:space="0" w:color="auto"/>
      </w:divBdr>
    </w:div>
    <w:div w:id="16391467">
      <w:bodyDiv w:val="1"/>
      <w:marLeft w:val="0"/>
      <w:marRight w:val="0"/>
      <w:marTop w:val="0"/>
      <w:marBottom w:val="0"/>
      <w:divBdr>
        <w:top w:val="none" w:sz="0" w:space="0" w:color="auto"/>
        <w:left w:val="none" w:sz="0" w:space="0" w:color="auto"/>
        <w:bottom w:val="none" w:sz="0" w:space="0" w:color="auto"/>
        <w:right w:val="none" w:sz="0" w:space="0" w:color="auto"/>
      </w:divBdr>
    </w:div>
    <w:div w:id="17976288">
      <w:bodyDiv w:val="1"/>
      <w:marLeft w:val="0"/>
      <w:marRight w:val="0"/>
      <w:marTop w:val="0"/>
      <w:marBottom w:val="0"/>
      <w:divBdr>
        <w:top w:val="none" w:sz="0" w:space="0" w:color="auto"/>
        <w:left w:val="none" w:sz="0" w:space="0" w:color="auto"/>
        <w:bottom w:val="none" w:sz="0" w:space="0" w:color="auto"/>
        <w:right w:val="none" w:sz="0" w:space="0" w:color="auto"/>
      </w:divBdr>
    </w:div>
    <w:div w:id="19625450">
      <w:bodyDiv w:val="1"/>
      <w:marLeft w:val="0"/>
      <w:marRight w:val="0"/>
      <w:marTop w:val="0"/>
      <w:marBottom w:val="0"/>
      <w:divBdr>
        <w:top w:val="none" w:sz="0" w:space="0" w:color="auto"/>
        <w:left w:val="none" w:sz="0" w:space="0" w:color="auto"/>
        <w:bottom w:val="none" w:sz="0" w:space="0" w:color="auto"/>
        <w:right w:val="none" w:sz="0" w:space="0" w:color="auto"/>
      </w:divBdr>
    </w:div>
    <w:div w:id="21055388">
      <w:bodyDiv w:val="1"/>
      <w:marLeft w:val="0"/>
      <w:marRight w:val="0"/>
      <w:marTop w:val="0"/>
      <w:marBottom w:val="0"/>
      <w:divBdr>
        <w:top w:val="none" w:sz="0" w:space="0" w:color="auto"/>
        <w:left w:val="none" w:sz="0" w:space="0" w:color="auto"/>
        <w:bottom w:val="none" w:sz="0" w:space="0" w:color="auto"/>
        <w:right w:val="none" w:sz="0" w:space="0" w:color="auto"/>
      </w:divBdr>
    </w:div>
    <w:div w:id="31925199">
      <w:bodyDiv w:val="1"/>
      <w:marLeft w:val="0"/>
      <w:marRight w:val="0"/>
      <w:marTop w:val="0"/>
      <w:marBottom w:val="0"/>
      <w:divBdr>
        <w:top w:val="none" w:sz="0" w:space="0" w:color="auto"/>
        <w:left w:val="none" w:sz="0" w:space="0" w:color="auto"/>
        <w:bottom w:val="none" w:sz="0" w:space="0" w:color="auto"/>
        <w:right w:val="none" w:sz="0" w:space="0" w:color="auto"/>
      </w:divBdr>
    </w:div>
    <w:div w:id="33317234">
      <w:bodyDiv w:val="1"/>
      <w:marLeft w:val="0"/>
      <w:marRight w:val="0"/>
      <w:marTop w:val="0"/>
      <w:marBottom w:val="0"/>
      <w:divBdr>
        <w:top w:val="none" w:sz="0" w:space="0" w:color="auto"/>
        <w:left w:val="none" w:sz="0" w:space="0" w:color="auto"/>
        <w:bottom w:val="none" w:sz="0" w:space="0" w:color="auto"/>
        <w:right w:val="none" w:sz="0" w:space="0" w:color="auto"/>
      </w:divBdr>
    </w:div>
    <w:div w:id="34352515">
      <w:bodyDiv w:val="1"/>
      <w:marLeft w:val="0"/>
      <w:marRight w:val="0"/>
      <w:marTop w:val="0"/>
      <w:marBottom w:val="0"/>
      <w:divBdr>
        <w:top w:val="none" w:sz="0" w:space="0" w:color="auto"/>
        <w:left w:val="none" w:sz="0" w:space="0" w:color="auto"/>
        <w:bottom w:val="none" w:sz="0" w:space="0" w:color="auto"/>
        <w:right w:val="none" w:sz="0" w:space="0" w:color="auto"/>
      </w:divBdr>
    </w:div>
    <w:div w:id="36324532">
      <w:bodyDiv w:val="1"/>
      <w:marLeft w:val="0"/>
      <w:marRight w:val="0"/>
      <w:marTop w:val="0"/>
      <w:marBottom w:val="0"/>
      <w:divBdr>
        <w:top w:val="none" w:sz="0" w:space="0" w:color="auto"/>
        <w:left w:val="none" w:sz="0" w:space="0" w:color="auto"/>
        <w:bottom w:val="none" w:sz="0" w:space="0" w:color="auto"/>
        <w:right w:val="none" w:sz="0" w:space="0" w:color="auto"/>
      </w:divBdr>
    </w:div>
    <w:div w:id="42219953">
      <w:bodyDiv w:val="1"/>
      <w:marLeft w:val="0"/>
      <w:marRight w:val="0"/>
      <w:marTop w:val="0"/>
      <w:marBottom w:val="0"/>
      <w:divBdr>
        <w:top w:val="none" w:sz="0" w:space="0" w:color="auto"/>
        <w:left w:val="none" w:sz="0" w:space="0" w:color="auto"/>
        <w:bottom w:val="none" w:sz="0" w:space="0" w:color="auto"/>
        <w:right w:val="none" w:sz="0" w:space="0" w:color="auto"/>
      </w:divBdr>
    </w:div>
    <w:div w:id="43719413">
      <w:bodyDiv w:val="1"/>
      <w:marLeft w:val="0"/>
      <w:marRight w:val="0"/>
      <w:marTop w:val="0"/>
      <w:marBottom w:val="0"/>
      <w:divBdr>
        <w:top w:val="none" w:sz="0" w:space="0" w:color="auto"/>
        <w:left w:val="none" w:sz="0" w:space="0" w:color="auto"/>
        <w:bottom w:val="none" w:sz="0" w:space="0" w:color="auto"/>
        <w:right w:val="none" w:sz="0" w:space="0" w:color="auto"/>
      </w:divBdr>
    </w:div>
    <w:div w:id="45687410">
      <w:bodyDiv w:val="1"/>
      <w:marLeft w:val="0"/>
      <w:marRight w:val="0"/>
      <w:marTop w:val="0"/>
      <w:marBottom w:val="0"/>
      <w:divBdr>
        <w:top w:val="none" w:sz="0" w:space="0" w:color="auto"/>
        <w:left w:val="none" w:sz="0" w:space="0" w:color="auto"/>
        <w:bottom w:val="none" w:sz="0" w:space="0" w:color="auto"/>
        <w:right w:val="none" w:sz="0" w:space="0" w:color="auto"/>
      </w:divBdr>
    </w:div>
    <w:div w:id="48844130">
      <w:bodyDiv w:val="1"/>
      <w:marLeft w:val="0"/>
      <w:marRight w:val="0"/>
      <w:marTop w:val="0"/>
      <w:marBottom w:val="0"/>
      <w:divBdr>
        <w:top w:val="none" w:sz="0" w:space="0" w:color="auto"/>
        <w:left w:val="none" w:sz="0" w:space="0" w:color="auto"/>
        <w:bottom w:val="none" w:sz="0" w:space="0" w:color="auto"/>
        <w:right w:val="none" w:sz="0" w:space="0" w:color="auto"/>
      </w:divBdr>
    </w:div>
    <w:div w:id="51273672">
      <w:bodyDiv w:val="1"/>
      <w:marLeft w:val="0"/>
      <w:marRight w:val="0"/>
      <w:marTop w:val="0"/>
      <w:marBottom w:val="0"/>
      <w:divBdr>
        <w:top w:val="none" w:sz="0" w:space="0" w:color="auto"/>
        <w:left w:val="none" w:sz="0" w:space="0" w:color="auto"/>
        <w:bottom w:val="none" w:sz="0" w:space="0" w:color="auto"/>
        <w:right w:val="none" w:sz="0" w:space="0" w:color="auto"/>
      </w:divBdr>
    </w:div>
    <w:div w:id="51274307">
      <w:bodyDiv w:val="1"/>
      <w:marLeft w:val="0"/>
      <w:marRight w:val="0"/>
      <w:marTop w:val="0"/>
      <w:marBottom w:val="0"/>
      <w:divBdr>
        <w:top w:val="none" w:sz="0" w:space="0" w:color="auto"/>
        <w:left w:val="none" w:sz="0" w:space="0" w:color="auto"/>
        <w:bottom w:val="none" w:sz="0" w:space="0" w:color="auto"/>
        <w:right w:val="none" w:sz="0" w:space="0" w:color="auto"/>
      </w:divBdr>
    </w:div>
    <w:div w:id="51466849">
      <w:bodyDiv w:val="1"/>
      <w:marLeft w:val="0"/>
      <w:marRight w:val="0"/>
      <w:marTop w:val="0"/>
      <w:marBottom w:val="0"/>
      <w:divBdr>
        <w:top w:val="none" w:sz="0" w:space="0" w:color="auto"/>
        <w:left w:val="none" w:sz="0" w:space="0" w:color="auto"/>
        <w:bottom w:val="none" w:sz="0" w:space="0" w:color="auto"/>
        <w:right w:val="none" w:sz="0" w:space="0" w:color="auto"/>
      </w:divBdr>
    </w:div>
    <w:div w:id="62065256">
      <w:bodyDiv w:val="1"/>
      <w:marLeft w:val="0"/>
      <w:marRight w:val="0"/>
      <w:marTop w:val="0"/>
      <w:marBottom w:val="0"/>
      <w:divBdr>
        <w:top w:val="none" w:sz="0" w:space="0" w:color="auto"/>
        <w:left w:val="none" w:sz="0" w:space="0" w:color="auto"/>
        <w:bottom w:val="none" w:sz="0" w:space="0" w:color="auto"/>
        <w:right w:val="none" w:sz="0" w:space="0" w:color="auto"/>
      </w:divBdr>
    </w:div>
    <w:div w:id="64570369">
      <w:bodyDiv w:val="1"/>
      <w:marLeft w:val="0"/>
      <w:marRight w:val="0"/>
      <w:marTop w:val="0"/>
      <w:marBottom w:val="0"/>
      <w:divBdr>
        <w:top w:val="none" w:sz="0" w:space="0" w:color="auto"/>
        <w:left w:val="none" w:sz="0" w:space="0" w:color="auto"/>
        <w:bottom w:val="none" w:sz="0" w:space="0" w:color="auto"/>
        <w:right w:val="none" w:sz="0" w:space="0" w:color="auto"/>
      </w:divBdr>
    </w:div>
    <w:div w:id="66611587">
      <w:bodyDiv w:val="1"/>
      <w:marLeft w:val="0"/>
      <w:marRight w:val="0"/>
      <w:marTop w:val="0"/>
      <w:marBottom w:val="0"/>
      <w:divBdr>
        <w:top w:val="none" w:sz="0" w:space="0" w:color="auto"/>
        <w:left w:val="none" w:sz="0" w:space="0" w:color="auto"/>
        <w:bottom w:val="none" w:sz="0" w:space="0" w:color="auto"/>
        <w:right w:val="none" w:sz="0" w:space="0" w:color="auto"/>
      </w:divBdr>
    </w:div>
    <w:div w:id="73671691">
      <w:bodyDiv w:val="1"/>
      <w:marLeft w:val="0"/>
      <w:marRight w:val="0"/>
      <w:marTop w:val="0"/>
      <w:marBottom w:val="0"/>
      <w:divBdr>
        <w:top w:val="none" w:sz="0" w:space="0" w:color="auto"/>
        <w:left w:val="none" w:sz="0" w:space="0" w:color="auto"/>
        <w:bottom w:val="none" w:sz="0" w:space="0" w:color="auto"/>
        <w:right w:val="none" w:sz="0" w:space="0" w:color="auto"/>
      </w:divBdr>
    </w:div>
    <w:div w:id="75056580">
      <w:bodyDiv w:val="1"/>
      <w:marLeft w:val="0"/>
      <w:marRight w:val="0"/>
      <w:marTop w:val="0"/>
      <w:marBottom w:val="0"/>
      <w:divBdr>
        <w:top w:val="none" w:sz="0" w:space="0" w:color="auto"/>
        <w:left w:val="none" w:sz="0" w:space="0" w:color="auto"/>
        <w:bottom w:val="none" w:sz="0" w:space="0" w:color="auto"/>
        <w:right w:val="none" w:sz="0" w:space="0" w:color="auto"/>
      </w:divBdr>
    </w:div>
    <w:div w:id="75520802">
      <w:bodyDiv w:val="1"/>
      <w:marLeft w:val="0"/>
      <w:marRight w:val="0"/>
      <w:marTop w:val="0"/>
      <w:marBottom w:val="0"/>
      <w:divBdr>
        <w:top w:val="none" w:sz="0" w:space="0" w:color="auto"/>
        <w:left w:val="none" w:sz="0" w:space="0" w:color="auto"/>
        <w:bottom w:val="none" w:sz="0" w:space="0" w:color="auto"/>
        <w:right w:val="none" w:sz="0" w:space="0" w:color="auto"/>
      </w:divBdr>
    </w:div>
    <w:div w:id="78333468">
      <w:bodyDiv w:val="1"/>
      <w:marLeft w:val="0"/>
      <w:marRight w:val="0"/>
      <w:marTop w:val="0"/>
      <w:marBottom w:val="0"/>
      <w:divBdr>
        <w:top w:val="none" w:sz="0" w:space="0" w:color="auto"/>
        <w:left w:val="none" w:sz="0" w:space="0" w:color="auto"/>
        <w:bottom w:val="none" w:sz="0" w:space="0" w:color="auto"/>
        <w:right w:val="none" w:sz="0" w:space="0" w:color="auto"/>
      </w:divBdr>
    </w:div>
    <w:div w:id="79526470">
      <w:bodyDiv w:val="1"/>
      <w:marLeft w:val="0"/>
      <w:marRight w:val="0"/>
      <w:marTop w:val="0"/>
      <w:marBottom w:val="0"/>
      <w:divBdr>
        <w:top w:val="none" w:sz="0" w:space="0" w:color="auto"/>
        <w:left w:val="none" w:sz="0" w:space="0" w:color="auto"/>
        <w:bottom w:val="none" w:sz="0" w:space="0" w:color="auto"/>
        <w:right w:val="none" w:sz="0" w:space="0" w:color="auto"/>
      </w:divBdr>
    </w:div>
    <w:div w:id="81076116">
      <w:bodyDiv w:val="1"/>
      <w:marLeft w:val="0"/>
      <w:marRight w:val="0"/>
      <w:marTop w:val="0"/>
      <w:marBottom w:val="0"/>
      <w:divBdr>
        <w:top w:val="none" w:sz="0" w:space="0" w:color="auto"/>
        <w:left w:val="none" w:sz="0" w:space="0" w:color="auto"/>
        <w:bottom w:val="none" w:sz="0" w:space="0" w:color="auto"/>
        <w:right w:val="none" w:sz="0" w:space="0" w:color="auto"/>
      </w:divBdr>
    </w:div>
    <w:div w:id="97802330">
      <w:bodyDiv w:val="1"/>
      <w:marLeft w:val="0"/>
      <w:marRight w:val="0"/>
      <w:marTop w:val="0"/>
      <w:marBottom w:val="0"/>
      <w:divBdr>
        <w:top w:val="none" w:sz="0" w:space="0" w:color="auto"/>
        <w:left w:val="none" w:sz="0" w:space="0" w:color="auto"/>
        <w:bottom w:val="none" w:sz="0" w:space="0" w:color="auto"/>
        <w:right w:val="none" w:sz="0" w:space="0" w:color="auto"/>
      </w:divBdr>
    </w:div>
    <w:div w:id="102699250">
      <w:bodyDiv w:val="1"/>
      <w:marLeft w:val="0"/>
      <w:marRight w:val="0"/>
      <w:marTop w:val="0"/>
      <w:marBottom w:val="0"/>
      <w:divBdr>
        <w:top w:val="none" w:sz="0" w:space="0" w:color="auto"/>
        <w:left w:val="none" w:sz="0" w:space="0" w:color="auto"/>
        <w:bottom w:val="none" w:sz="0" w:space="0" w:color="auto"/>
        <w:right w:val="none" w:sz="0" w:space="0" w:color="auto"/>
      </w:divBdr>
    </w:div>
    <w:div w:id="104811224">
      <w:bodyDiv w:val="1"/>
      <w:marLeft w:val="0"/>
      <w:marRight w:val="0"/>
      <w:marTop w:val="0"/>
      <w:marBottom w:val="0"/>
      <w:divBdr>
        <w:top w:val="none" w:sz="0" w:space="0" w:color="auto"/>
        <w:left w:val="none" w:sz="0" w:space="0" w:color="auto"/>
        <w:bottom w:val="none" w:sz="0" w:space="0" w:color="auto"/>
        <w:right w:val="none" w:sz="0" w:space="0" w:color="auto"/>
      </w:divBdr>
    </w:div>
    <w:div w:id="109014948">
      <w:bodyDiv w:val="1"/>
      <w:marLeft w:val="0"/>
      <w:marRight w:val="0"/>
      <w:marTop w:val="0"/>
      <w:marBottom w:val="0"/>
      <w:divBdr>
        <w:top w:val="none" w:sz="0" w:space="0" w:color="auto"/>
        <w:left w:val="none" w:sz="0" w:space="0" w:color="auto"/>
        <w:bottom w:val="none" w:sz="0" w:space="0" w:color="auto"/>
        <w:right w:val="none" w:sz="0" w:space="0" w:color="auto"/>
      </w:divBdr>
    </w:div>
    <w:div w:id="113987088">
      <w:bodyDiv w:val="1"/>
      <w:marLeft w:val="0"/>
      <w:marRight w:val="0"/>
      <w:marTop w:val="0"/>
      <w:marBottom w:val="0"/>
      <w:divBdr>
        <w:top w:val="none" w:sz="0" w:space="0" w:color="auto"/>
        <w:left w:val="none" w:sz="0" w:space="0" w:color="auto"/>
        <w:bottom w:val="none" w:sz="0" w:space="0" w:color="auto"/>
        <w:right w:val="none" w:sz="0" w:space="0" w:color="auto"/>
      </w:divBdr>
    </w:div>
    <w:div w:id="116683907">
      <w:bodyDiv w:val="1"/>
      <w:marLeft w:val="0"/>
      <w:marRight w:val="0"/>
      <w:marTop w:val="0"/>
      <w:marBottom w:val="0"/>
      <w:divBdr>
        <w:top w:val="none" w:sz="0" w:space="0" w:color="auto"/>
        <w:left w:val="none" w:sz="0" w:space="0" w:color="auto"/>
        <w:bottom w:val="none" w:sz="0" w:space="0" w:color="auto"/>
        <w:right w:val="none" w:sz="0" w:space="0" w:color="auto"/>
      </w:divBdr>
    </w:div>
    <w:div w:id="116992944">
      <w:bodyDiv w:val="1"/>
      <w:marLeft w:val="0"/>
      <w:marRight w:val="0"/>
      <w:marTop w:val="0"/>
      <w:marBottom w:val="0"/>
      <w:divBdr>
        <w:top w:val="none" w:sz="0" w:space="0" w:color="auto"/>
        <w:left w:val="none" w:sz="0" w:space="0" w:color="auto"/>
        <w:bottom w:val="none" w:sz="0" w:space="0" w:color="auto"/>
        <w:right w:val="none" w:sz="0" w:space="0" w:color="auto"/>
      </w:divBdr>
    </w:div>
    <w:div w:id="118882870">
      <w:bodyDiv w:val="1"/>
      <w:marLeft w:val="0"/>
      <w:marRight w:val="0"/>
      <w:marTop w:val="0"/>
      <w:marBottom w:val="0"/>
      <w:divBdr>
        <w:top w:val="none" w:sz="0" w:space="0" w:color="auto"/>
        <w:left w:val="none" w:sz="0" w:space="0" w:color="auto"/>
        <w:bottom w:val="none" w:sz="0" w:space="0" w:color="auto"/>
        <w:right w:val="none" w:sz="0" w:space="0" w:color="auto"/>
      </w:divBdr>
    </w:div>
    <w:div w:id="119307006">
      <w:bodyDiv w:val="1"/>
      <w:marLeft w:val="0"/>
      <w:marRight w:val="0"/>
      <w:marTop w:val="0"/>
      <w:marBottom w:val="0"/>
      <w:divBdr>
        <w:top w:val="none" w:sz="0" w:space="0" w:color="auto"/>
        <w:left w:val="none" w:sz="0" w:space="0" w:color="auto"/>
        <w:bottom w:val="none" w:sz="0" w:space="0" w:color="auto"/>
        <w:right w:val="none" w:sz="0" w:space="0" w:color="auto"/>
      </w:divBdr>
    </w:div>
    <w:div w:id="122696635">
      <w:bodyDiv w:val="1"/>
      <w:marLeft w:val="0"/>
      <w:marRight w:val="0"/>
      <w:marTop w:val="0"/>
      <w:marBottom w:val="0"/>
      <w:divBdr>
        <w:top w:val="none" w:sz="0" w:space="0" w:color="auto"/>
        <w:left w:val="none" w:sz="0" w:space="0" w:color="auto"/>
        <w:bottom w:val="none" w:sz="0" w:space="0" w:color="auto"/>
        <w:right w:val="none" w:sz="0" w:space="0" w:color="auto"/>
      </w:divBdr>
    </w:div>
    <w:div w:id="129134578">
      <w:bodyDiv w:val="1"/>
      <w:marLeft w:val="0"/>
      <w:marRight w:val="0"/>
      <w:marTop w:val="0"/>
      <w:marBottom w:val="0"/>
      <w:divBdr>
        <w:top w:val="none" w:sz="0" w:space="0" w:color="auto"/>
        <w:left w:val="none" w:sz="0" w:space="0" w:color="auto"/>
        <w:bottom w:val="none" w:sz="0" w:space="0" w:color="auto"/>
        <w:right w:val="none" w:sz="0" w:space="0" w:color="auto"/>
      </w:divBdr>
    </w:div>
    <w:div w:id="130221424">
      <w:bodyDiv w:val="1"/>
      <w:marLeft w:val="0"/>
      <w:marRight w:val="0"/>
      <w:marTop w:val="0"/>
      <w:marBottom w:val="0"/>
      <w:divBdr>
        <w:top w:val="none" w:sz="0" w:space="0" w:color="auto"/>
        <w:left w:val="none" w:sz="0" w:space="0" w:color="auto"/>
        <w:bottom w:val="none" w:sz="0" w:space="0" w:color="auto"/>
        <w:right w:val="none" w:sz="0" w:space="0" w:color="auto"/>
      </w:divBdr>
    </w:div>
    <w:div w:id="132601770">
      <w:bodyDiv w:val="1"/>
      <w:marLeft w:val="0"/>
      <w:marRight w:val="0"/>
      <w:marTop w:val="0"/>
      <w:marBottom w:val="0"/>
      <w:divBdr>
        <w:top w:val="none" w:sz="0" w:space="0" w:color="auto"/>
        <w:left w:val="none" w:sz="0" w:space="0" w:color="auto"/>
        <w:bottom w:val="none" w:sz="0" w:space="0" w:color="auto"/>
        <w:right w:val="none" w:sz="0" w:space="0" w:color="auto"/>
      </w:divBdr>
    </w:div>
    <w:div w:id="133984572">
      <w:bodyDiv w:val="1"/>
      <w:marLeft w:val="0"/>
      <w:marRight w:val="0"/>
      <w:marTop w:val="0"/>
      <w:marBottom w:val="0"/>
      <w:divBdr>
        <w:top w:val="none" w:sz="0" w:space="0" w:color="auto"/>
        <w:left w:val="none" w:sz="0" w:space="0" w:color="auto"/>
        <w:bottom w:val="none" w:sz="0" w:space="0" w:color="auto"/>
        <w:right w:val="none" w:sz="0" w:space="0" w:color="auto"/>
      </w:divBdr>
    </w:div>
    <w:div w:id="135415559">
      <w:bodyDiv w:val="1"/>
      <w:marLeft w:val="0"/>
      <w:marRight w:val="0"/>
      <w:marTop w:val="0"/>
      <w:marBottom w:val="0"/>
      <w:divBdr>
        <w:top w:val="none" w:sz="0" w:space="0" w:color="auto"/>
        <w:left w:val="none" w:sz="0" w:space="0" w:color="auto"/>
        <w:bottom w:val="none" w:sz="0" w:space="0" w:color="auto"/>
        <w:right w:val="none" w:sz="0" w:space="0" w:color="auto"/>
      </w:divBdr>
    </w:div>
    <w:div w:id="135532482">
      <w:bodyDiv w:val="1"/>
      <w:marLeft w:val="0"/>
      <w:marRight w:val="0"/>
      <w:marTop w:val="0"/>
      <w:marBottom w:val="0"/>
      <w:divBdr>
        <w:top w:val="none" w:sz="0" w:space="0" w:color="auto"/>
        <w:left w:val="none" w:sz="0" w:space="0" w:color="auto"/>
        <w:bottom w:val="none" w:sz="0" w:space="0" w:color="auto"/>
        <w:right w:val="none" w:sz="0" w:space="0" w:color="auto"/>
      </w:divBdr>
    </w:div>
    <w:div w:id="136188603">
      <w:bodyDiv w:val="1"/>
      <w:marLeft w:val="0"/>
      <w:marRight w:val="0"/>
      <w:marTop w:val="0"/>
      <w:marBottom w:val="0"/>
      <w:divBdr>
        <w:top w:val="none" w:sz="0" w:space="0" w:color="auto"/>
        <w:left w:val="none" w:sz="0" w:space="0" w:color="auto"/>
        <w:bottom w:val="none" w:sz="0" w:space="0" w:color="auto"/>
        <w:right w:val="none" w:sz="0" w:space="0" w:color="auto"/>
      </w:divBdr>
    </w:div>
    <w:div w:id="140386946">
      <w:bodyDiv w:val="1"/>
      <w:marLeft w:val="0"/>
      <w:marRight w:val="0"/>
      <w:marTop w:val="0"/>
      <w:marBottom w:val="0"/>
      <w:divBdr>
        <w:top w:val="none" w:sz="0" w:space="0" w:color="auto"/>
        <w:left w:val="none" w:sz="0" w:space="0" w:color="auto"/>
        <w:bottom w:val="none" w:sz="0" w:space="0" w:color="auto"/>
        <w:right w:val="none" w:sz="0" w:space="0" w:color="auto"/>
      </w:divBdr>
    </w:div>
    <w:div w:id="142432897">
      <w:bodyDiv w:val="1"/>
      <w:marLeft w:val="0"/>
      <w:marRight w:val="0"/>
      <w:marTop w:val="0"/>
      <w:marBottom w:val="0"/>
      <w:divBdr>
        <w:top w:val="none" w:sz="0" w:space="0" w:color="auto"/>
        <w:left w:val="none" w:sz="0" w:space="0" w:color="auto"/>
        <w:bottom w:val="none" w:sz="0" w:space="0" w:color="auto"/>
        <w:right w:val="none" w:sz="0" w:space="0" w:color="auto"/>
      </w:divBdr>
    </w:div>
    <w:div w:id="144514744">
      <w:bodyDiv w:val="1"/>
      <w:marLeft w:val="0"/>
      <w:marRight w:val="0"/>
      <w:marTop w:val="0"/>
      <w:marBottom w:val="0"/>
      <w:divBdr>
        <w:top w:val="none" w:sz="0" w:space="0" w:color="auto"/>
        <w:left w:val="none" w:sz="0" w:space="0" w:color="auto"/>
        <w:bottom w:val="none" w:sz="0" w:space="0" w:color="auto"/>
        <w:right w:val="none" w:sz="0" w:space="0" w:color="auto"/>
      </w:divBdr>
    </w:div>
    <w:div w:id="144974725">
      <w:bodyDiv w:val="1"/>
      <w:marLeft w:val="0"/>
      <w:marRight w:val="0"/>
      <w:marTop w:val="0"/>
      <w:marBottom w:val="0"/>
      <w:divBdr>
        <w:top w:val="none" w:sz="0" w:space="0" w:color="auto"/>
        <w:left w:val="none" w:sz="0" w:space="0" w:color="auto"/>
        <w:bottom w:val="none" w:sz="0" w:space="0" w:color="auto"/>
        <w:right w:val="none" w:sz="0" w:space="0" w:color="auto"/>
      </w:divBdr>
    </w:div>
    <w:div w:id="144979803">
      <w:bodyDiv w:val="1"/>
      <w:marLeft w:val="0"/>
      <w:marRight w:val="0"/>
      <w:marTop w:val="0"/>
      <w:marBottom w:val="0"/>
      <w:divBdr>
        <w:top w:val="none" w:sz="0" w:space="0" w:color="auto"/>
        <w:left w:val="none" w:sz="0" w:space="0" w:color="auto"/>
        <w:bottom w:val="none" w:sz="0" w:space="0" w:color="auto"/>
        <w:right w:val="none" w:sz="0" w:space="0" w:color="auto"/>
      </w:divBdr>
    </w:div>
    <w:div w:id="146092377">
      <w:bodyDiv w:val="1"/>
      <w:marLeft w:val="0"/>
      <w:marRight w:val="0"/>
      <w:marTop w:val="0"/>
      <w:marBottom w:val="0"/>
      <w:divBdr>
        <w:top w:val="none" w:sz="0" w:space="0" w:color="auto"/>
        <w:left w:val="none" w:sz="0" w:space="0" w:color="auto"/>
        <w:bottom w:val="none" w:sz="0" w:space="0" w:color="auto"/>
        <w:right w:val="none" w:sz="0" w:space="0" w:color="auto"/>
      </w:divBdr>
    </w:div>
    <w:div w:id="146628852">
      <w:bodyDiv w:val="1"/>
      <w:marLeft w:val="0"/>
      <w:marRight w:val="0"/>
      <w:marTop w:val="0"/>
      <w:marBottom w:val="0"/>
      <w:divBdr>
        <w:top w:val="none" w:sz="0" w:space="0" w:color="auto"/>
        <w:left w:val="none" w:sz="0" w:space="0" w:color="auto"/>
        <w:bottom w:val="none" w:sz="0" w:space="0" w:color="auto"/>
        <w:right w:val="none" w:sz="0" w:space="0" w:color="auto"/>
      </w:divBdr>
    </w:div>
    <w:div w:id="147284157">
      <w:bodyDiv w:val="1"/>
      <w:marLeft w:val="0"/>
      <w:marRight w:val="0"/>
      <w:marTop w:val="0"/>
      <w:marBottom w:val="0"/>
      <w:divBdr>
        <w:top w:val="none" w:sz="0" w:space="0" w:color="auto"/>
        <w:left w:val="none" w:sz="0" w:space="0" w:color="auto"/>
        <w:bottom w:val="none" w:sz="0" w:space="0" w:color="auto"/>
        <w:right w:val="none" w:sz="0" w:space="0" w:color="auto"/>
      </w:divBdr>
    </w:div>
    <w:div w:id="147287743">
      <w:bodyDiv w:val="1"/>
      <w:marLeft w:val="0"/>
      <w:marRight w:val="0"/>
      <w:marTop w:val="0"/>
      <w:marBottom w:val="0"/>
      <w:divBdr>
        <w:top w:val="none" w:sz="0" w:space="0" w:color="auto"/>
        <w:left w:val="none" w:sz="0" w:space="0" w:color="auto"/>
        <w:bottom w:val="none" w:sz="0" w:space="0" w:color="auto"/>
        <w:right w:val="none" w:sz="0" w:space="0" w:color="auto"/>
      </w:divBdr>
    </w:div>
    <w:div w:id="149567956">
      <w:bodyDiv w:val="1"/>
      <w:marLeft w:val="0"/>
      <w:marRight w:val="0"/>
      <w:marTop w:val="0"/>
      <w:marBottom w:val="0"/>
      <w:divBdr>
        <w:top w:val="none" w:sz="0" w:space="0" w:color="auto"/>
        <w:left w:val="none" w:sz="0" w:space="0" w:color="auto"/>
        <w:bottom w:val="none" w:sz="0" w:space="0" w:color="auto"/>
        <w:right w:val="none" w:sz="0" w:space="0" w:color="auto"/>
      </w:divBdr>
    </w:div>
    <w:div w:id="152109235">
      <w:bodyDiv w:val="1"/>
      <w:marLeft w:val="0"/>
      <w:marRight w:val="0"/>
      <w:marTop w:val="0"/>
      <w:marBottom w:val="0"/>
      <w:divBdr>
        <w:top w:val="none" w:sz="0" w:space="0" w:color="auto"/>
        <w:left w:val="none" w:sz="0" w:space="0" w:color="auto"/>
        <w:bottom w:val="none" w:sz="0" w:space="0" w:color="auto"/>
        <w:right w:val="none" w:sz="0" w:space="0" w:color="auto"/>
      </w:divBdr>
    </w:div>
    <w:div w:id="155266184">
      <w:bodyDiv w:val="1"/>
      <w:marLeft w:val="0"/>
      <w:marRight w:val="0"/>
      <w:marTop w:val="0"/>
      <w:marBottom w:val="0"/>
      <w:divBdr>
        <w:top w:val="none" w:sz="0" w:space="0" w:color="auto"/>
        <w:left w:val="none" w:sz="0" w:space="0" w:color="auto"/>
        <w:bottom w:val="none" w:sz="0" w:space="0" w:color="auto"/>
        <w:right w:val="none" w:sz="0" w:space="0" w:color="auto"/>
      </w:divBdr>
    </w:div>
    <w:div w:id="165443515">
      <w:bodyDiv w:val="1"/>
      <w:marLeft w:val="0"/>
      <w:marRight w:val="0"/>
      <w:marTop w:val="0"/>
      <w:marBottom w:val="0"/>
      <w:divBdr>
        <w:top w:val="none" w:sz="0" w:space="0" w:color="auto"/>
        <w:left w:val="none" w:sz="0" w:space="0" w:color="auto"/>
        <w:bottom w:val="none" w:sz="0" w:space="0" w:color="auto"/>
        <w:right w:val="none" w:sz="0" w:space="0" w:color="auto"/>
      </w:divBdr>
    </w:div>
    <w:div w:id="172035285">
      <w:bodyDiv w:val="1"/>
      <w:marLeft w:val="0"/>
      <w:marRight w:val="0"/>
      <w:marTop w:val="0"/>
      <w:marBottom w:val="0"/>
      <w:divBdr>
        <w:top w:val="none" w:sz="0" w:space="0" w:color="auto"/>
        <w:left w:val="none" w:sz="0" w:space="0" w:color="auto"/>
        <w:bottom w:val="none" w:sz="0" w:space="0" w:color="auto"/>
        <w:right w:val="none" w:sz="0" w:space="0" w:color="auto"/>
      </w:divBdr>
    </w:div>
    <w:div w:id="172889134">
      <w:bodyDiv w:val="1"/>
      <w:marLeft w:val="0"/>
      <w:marRight w:val="0"/>
      <w:marTop w:val="0"/>
      <w:marBottom w:val="0"/>
      <w:divBdr>
        <w:top w:val="none" w:sz="0" w:space="0" w:color="auto"/>
        <w:left w:val="none" w:sz="0" w:space="0" w:color="auto"/>
        <w:bottom w:val="none" w:sz="0" w:space="0" w:color="auto"/>
        <w:right w:val="none" w:sz="0" w:space="0" w:color="auto"/>
      </w:divBdr>
    </w:div>
    <w:div w:id="174803878">
      <w:bodyDiv w:val="1"/>
      <w:marLeft w:val="0"/>
      <w:marRight w:val="0"/>
      <w:marTop w:val="0"/>
      <w:marBottom w:val="0"/>
      <w:divBdr>
        <w:top w:val="none" w:sz="0" w:space="0" w:color="auto"/>
        <w:left w:val="none" w:sz="0" w:space="0" w:color="auto"/>
        <w:bottom w:val="none" w:sz="0" w:space="0" w:color="auto"/>
        <w:right w:val="none" w:sz="0" w:space="0" w:color="auto"/>
      </w:divBdr>
    </w:div>
    <w:div w:id="175314920">
      <w:bodyDiv w:val="1"/>
      <w:marLeft w:val="0"/>
      <w:marRight w:val="0"/>
      <w:marTop w:val="0"/>
      <w:marBottom w:val="0"/>
      <w:divBdr>
        <w:top w:val="none" w:sz="0" w:space="0" w:color="auto"/>
        <w:left w:val="none" w:sz="0" w:space="0" w:color="auto"/>
        <w:bottom w:val="none" w:sz="0" w:space="0" w:color="auto"/>
        <w:right w:val="none" w:sz="0" w:space="0" w:color="auto"/>
      </w:divBdr>
    </w:div>
    <w:div w:id="178590396">
      <w:bodyDiv w:val="1"/>
      <w:marLeft w:val="0"/>
      <w:marRight w:val="0"/>
      <w:marTop w:val="0"/>
      <w:marBottom w:val="0"/>
      <w:divBdr>
        <w:top w:val="none" w:sz="0" w:space="0" w:color="auto"/>
        <w:left w:val="none" w:sz="0" w:space="0" w:color="auto"/>
        <w:bottom w:val="none" w:sz="0" w:space="0" w:color="auto"/>
        <w:right w:val="none" w:sz="0" w:space="0" w:color="auto"/>
      </w:divBdr>
    </w:div>
    <w:div w:id="184372658">
      <w:bodyDiv w:val="1"/>
      <w:marLeft w:val="0"/>
      <w:marRight w:val="0"/>
      <w:marTop w:val="0"/>
      <w:marBottom w:val="0"/>
      <w:divBdr>
        <w:top w:val="none" w:sz="0" w:space="0" w:color="auto"/>
        <w:left w:val="none" w:sz="0" w:space="0" w:color="auto"/>
        <w:bottom w:val="none" w:sz="0" w:space="0" w:color="auto"/>
        <w:right w:val="none" w:sz="0" w:space="0" w:color="auto"/>
      </w:divBdr>
    </w:div>
    <w:div w:id="184948721">
      <w:bodyDiv w:val="1"/>
      <w:marLeft w:val="0"/>
      <w:marRight w:val="0"/>
      <w:marTop w:val="0"/>
      <w:marBottom w:val="0"/>
      <w:divBdr>
        <w:top w:val="none" w:sz="0" w:space="0" w:color="auto"/>
        <w:left w:val="none" w:sz="0" w:space="0" w:color="auto"/>
        <w:bottom w:val="none" w:sz="0" w:space="0" w:color="auto"/>
        <w:right w:val="none" w:sz="0" w:space="0" w:color="auto"/>
      </w:divBdr>
    </w:div>
    <w:div w:id="199443665">
      <w:bodyDiv w:val="1"/>
      <w:marLeft w:val="0"/>
      <w:marRight w:val="0"/>
      <w:marTop w:val="0"/>
      <w:marBottom w:val="0"/>
      <w:divBdr>
        <w:top w:val="none" w:sz="0" w:space="0" w:color="auto"/>
        <w:left w:val="none" w:sz="0" w:space="0" w:color="auto"/>
        <w:bottom w:val="none" w:sz="0" w:space="0" w:color="auto"/>
        <w:right w:val="none" w:sz="0" w:space="0" w:color="auto"/>
      </w:divBdr>
    </w:div>
    <w:div w:id="200745383">
      <w:bodyDiv w:val="1"/>
      <w:marLeft w:val="0"/>
      <w:marRight w:val="0"/>
      <w:marTop w:val="0"/>
      <w:marBottom w:val="0"/>
      <w:divBdr>
        <w:top w:val="none" w:sz="0" w:space="0" w:color="auto"/>
        <w:left w:val="none" w:sz="0" w:space="0" w:color="auto"/>
        <w:bottom w:val="none" w:sz="0" w:space="0" w:color="auto"/>
        <w:right w:val="none" w:sz="0" w:space="0" w:color="auto"/>
      </w:divBdr>
    </w:div>
    <w:div w:id="200868567">
      <w:bodyDiv w:val="1"/>
      <w:marLeft w:val="0"/>
      <w:marRight w:val="0"/>
      <w:marTop w:val="0"/>
      <w:marBottom w:val="0"/>
      <w:divBdr>
        <w:top w:val="none" w:sz="0" w:space="0" w:color="auto"/>
        <w:left w:val="none" w:sz="0" w:space="0" w:color="auto"/>
        <w:bottom w:val="none" w:sz="0" w:space="0" w:color="auto"/>
        <w:right w:val="none" w:sz="0" w:space="0" w:color="auto"/>
      </w:divBdr>
    </w:div>
    <w:div w:id="203373665">
      <w:bodyDiv w:val="1"/>
      <w:marLeft w:val="0"/>
      <w:marRight w:val="0"/>
      <w:marTop w:val="0"/>
      <w:marBottom w:val="0"/>
      <w:divBdr>
        <w:top w:val="none" w:sz="0" w:space="0" w:color="auto"/>
        <w:left w:val="none" w:sz="0" w:space="0" w:color="auto"/>
        <w:bottom w:val="none" w:sz="0" w:space="0" w:color="auto"/>
        <w:right w:val="none" w:sz="0" w:space="0" w:color="auto"/>
      </w:divBdr>
    </w:div>
    <w:div w:id="204871964">
      <w:bodyDiv w:val="1"/>
      <w:marLeft w:val="0"/>
      <w:marRight w:val="0"/>
      <w:marTop w:val="0"/>
      <w:marBottom w:val="0"/>
      <w:divBdr>
        <w:top w:val="none" w:sz="0" w:space="0" w:color="auto"/>
        <w:left w:val="none" w:sz="0" w:space="0" w:color="auto"/>
        <w:bottom w:val="none" w:sz="0" w:space="0" w:color="auto"/>
        <w:right w:val="none" w:sz="0" w:space="0" w:color="auto"/>
      </w:divBdr>
    </w:div>
    <w:div w:id="207301224">
      <w:bodyDiv w:val="1"/>
      <w:marLeft w:val="0"/>
      <w:marRight w:val="0"/>
      <w:marTop w:val="0"/>
      <w:marBottom w:val="0"/>
      <w:divBdr>
        <w:top w:val="none" w:sz="0" w:space="0" w:color="auto"/>
        <w:left w:val="none" w:sz="0" w:space="0" w:color="auto"/>
        <w:bottom w:val="none" w:sz="0" w:space="0" w:color="auto"/>
        <w:right w:val="none" w:sz="0" w:space="0" w:color="auto"/>
      </w:divBdr>
    </w:div>
    <w:div w:id="213740099">
      <w:bodyDiv w:val="1"/>
      <w:marLeft w:val="0"/>
      <w:marRight w:val="0"/>
      <w:marTop w:val="0"/>
      <w:marBottom w:val="0"/>
      <w:divBdr>
        <w:top w:val="none" w:sz="0" w:space="0" w:color="auto"/>
        <w:left w:val="none" w:sz="0" w:space="0" w:color="auto"/>
        <w:bottom w:val="none" w:sz="0" w:space="0" w:color="auto"/>
        <w:right w:val="none" w:sz="0" w:space="0" w:color="auto"/>
      </w:divBdr>
    </w:div>
    <w:div w:id="216817916">
      <w:bodyDiv w:val="1"/>
      <w:marLeft w:val="0"/>
      <w:marRight w:val="0"/>
      <w:marTop w:val="0"/>
      <w:marBottom w:val="0"/>
      <w:divBdr>
        <w:top w:val="none" w:sz="0" w:space="0" w:color="auto"/>
        <w:left w:val="none" w:sz="0" w:space="0" w:color="auto"/>
        <w:bottom w:val="none" w:sz="0" w:space="0" w:color="auto"/>
        <w:right w:val="none" w:sz="0" w:space="0" w:color="auto"/>
      </w:divBdr>
    </w:div>
    <w:div w:id="218516027">
      <w:bodyDiv w:val="1"/>
      <w:marLeft w:val="0"/>
      <w:marRight w:val="0"/>
      <w:marTop w:val="0"/>
      <w:marBottom w:val="0"/>
      <w:divBdr>
        <w:top w:val="none" w:sz="0" w:space="0" w:color="auto"/>
        <w:left w:val="none" w:sz="0" w:space="0" w:color="auto"/>
        <w:bottom w:val="none" w:sz="0" w:space="0" w:color="auto"/>
        <w:right w:val="none" w:sz="0" w:space="0" w:color="auto"/>
      </w:divBdr>
    </w:div>
    <w:div w:id="218519835">
      <w:bodyDiv w:val="1"/>
      <w:marLeft w:val="0"/>
      <w:marRight w:val="0"/>
      <w:marTop w:val="0"/>
      <w:marBottom w:val="0"/>
      <w:divBdr>
        <w:top w:val="none" w:sz="0" w:space="0" w:color="auto"/>
        <w:left w:val="none" w:sz="0" w:space="0" w:color="auto"/>
        <w:bottom w:val="none" w:sz="0" w:space="0" w:color="auto"/>
        <w:right w:val="none" w:sz="0" w:space="0" w:color="auto"/>
      </w:divBdr>
    </w:div>
    <w:div w:id="226765097">
      <w:bodyDiv w:val="1"/>
      <w:marLeft w:val="0"/>
      <w:marRight w:val="0"/>
      <w:marTop w:val="0"/>
      <w:marBottom w:val="0"/>
      <w:divBdr>
        <w:top w:val="none" w:sz="0" w:space="0" w:color="auto"/>
        <w:left w:val="none" w:sz="0" w:space="0" w:color="auto"/>
        <w:bottom w:val="none" w:sz="0" w:space="0" w:color="auto"/>
        <w:right w:val="none" w:sz="0" w:space="0" w:color="auto"/>
      </w:divBdr>
    </w:div>
    <w:div w:id="227811724">
      <w:bodyDiv w:val="1"/>
      <w:marLeft w:val="0"/>
      <w:marRight w:val="0"/>
      <w:marTop w:val="0"/>
      <w:marBottom w:val="0"/>
      <w:divBdr>
        <w:top w:val="none" w:sz="0" w:space="0" w:color="auto"/>
        <w:left w:val="none" w:sz="0" w:space="0" w:color="auto"/>
        <w:bottom w:val="none" w:sz="0" w:space="0" w:color="auto"/>
        <w:right w:val="none" w:sz="0" w:space="0" w:color="auto"/>
      </w:divBdr>
    </w:div>
    <w:div w:id="232081028">
      <w:bodyDiv w:val="1"/>
      <w:marLeft w:val="0"/>
      <w:marRight w:val="0"/>
      <w:marTop w:val="0"/>
      <w:marBottom w:val="0"/>
      <w:divBdr>
        <w:top w:val="none" w:sz="0" w:space="0" w:color="auto"/>
        <w:left w:val="none" w:sz="0" w:space="0" w:color="auto"/>
        <w:bottom w:val="none" w:sz="0" w:space="0" w:color="auto"/>
        <w:right w:val="none" w:sz="0" w:space="0" w:color="auto"/>
      </w:divBdr>
    </w:div>
    <w:div w:id="235747324">
      <w:bodyDiv w:val="1"/>
      <w:marLeft w:val="0"/>
      <w:marRight w:val="0"/>
      <w:marTop w:val="0"/>
      <w:marBottom w:val="0"/>
      <w:divBdr>
        <w:top w:val="none" w:sz="0" w:space="0" w:color="auto"/>
        <w:left w:val="none" w:sz="0" w:space="0" w:color="auto"/>
        <w:bottom w:val="none" w:sz="0" w:space="0" w:color="auto"/>
        <w:right w:val="none" w:sz="0" w:space="0" w:color="auto"/>
      </w:divBdr>
    </w:div>
    <w:div w:id="242301546">
      <w:bodyDiv w:val="1"/>
      <w:marLeft w:val="0"/>
      <w:marRight w:val="0"/>
      <w:marTop w:val="0"/>
      <w:marBottom w:val="0"/>
      <w:divBdr>
        <w:top w:val="none" w:sz="0" w:space="0" w:color="auto"/>
        <w:left w:val="none" w:sz="0" w:space="0" w:color="auto"/>
        <w:bottom w:val="none" w:sz="0" w:space="0" w:color="auto"/>
        <w:right w:val="none" w:sz="0" w:space="0" w:color="auto"/>
      </w:divBdr>
    </w:div>
    <w:div w:id="243953439">
      <w:bodyDiv w:val="1"/>
      <w:marLeft w:val="0"/>
      <w:marRight w:val="0"/>
      <w:marTop w:val="0"/>
      <w:marBottom w:val="0"/>
      <w:divBdr>
        <w:top w:val="none" w:sz="0" w:space="0" w:color="auto"/>
        <w:left w:val="none" w:sz="0" w:space="0" w:color="auto"/>
        <w:bottom w:val="none" w:sz="0" w:space="0" w:color="auto"/>
        <w:right w:val="none" w:sz="0" w:space="0" w:color="auto"/>
      </w:divBdr>
    </w:div>
    <w:div w:id="244145998">
      <w:bodyDiv w:val="1"/>
      <w:marLeft w:val="0"/>
      <w:marRight w:val="0"/>
      <w:marTop w:val="0"/>
      <w:marBottom w:val="0"/>
      <w:divBdr>
        <w:top w:val="none" w:sz="0" w:space="0" w:color="auto"/>
        <w:left w:val="none" w:sz="0" w:space="0" w:color="auto"/>
        <w:bottom w:val="none" w:sz="0" w:space="0" w:color="auto"/>
        <w:right w:val="none" w:sz="0" w:space="0" w:color="auto"/>
      </w:divBdr>
    </w:div>
    <w:div w:id="244804381">
      <w:bodyDiv w:val="1"/>
      <w:marLeft w:val="0"/>
      <w:marRight w:val="0"/>
      <w:marTop w:val="0"/>
      <w:marBottom w:val="0"/>
      <w:divBdr>
        <w:top w:val="none" w:sz="0" w:space="0" w:color="auto"/>
        <w:left w:val="none" w:sz="0" w:space="0" w:color="auto"/>
        <w:bottom w:val="none" w:sz="0" w:space="0" w:color="auto"/>
        <w:right w:val="none" w:sz="0" w:space="0" w:color="auto"/>
      </w:divBdr>
    </w:div>
    <w:div w:id="247466266">
      <w:bodyDiv w:val="1"/>
      <w:marLeft w:val="0"/>
      <w:marRight w:val="0"/>
      <w:marTop w:val="0"/>
      <w:marBottom w:val="0"/>
      <w:divBdr>
        <w:top w:val="none" w:sz="0" w:space="0" w:color="auto"/>
        <w:left w:val="none" w:sz="0" w:space="0" w:color="auto"/>
        <w:bottom w:val="none" w:sz="0" w:space="0" w:color="auto"/>
        <w:right w:val="none" w:sz="0" w:space="0" w:color="auto"/>
      </w:divBdr>
    </w:div>
    <w:div w:id="261568727">
      <w:bodyDiv w:val="1"/>
      <w:marLeft w:val="0"/>
      <w:marRight w:val="0"/>
      <w:marTop w:val="0"/>
      <w:marBottom w:val="0"/>
      <w:divBdr>
        <w:top w:val="none" w:sz="0" w:space="0" w:color="auto"/>
        <w:left w:val="none" w:sz="0" w:space="0" w:color="auto"/>
        <w:bottom w:val="none" w:sz="0" w:space="0" w:color="auto"/>
        <w:right w:val="none" w:sz="0" w:space="0" w:color="auto"/>
      </w:divBdr>
    </w:div>
    <w:div w:id="263342314">
      <w:bodyDiv w:val="1"/>
      <w:marLeft w:val="0"/>
      <w:marRight w:val="0"/>
      <w:marTop w:val="0"/>
      <w:marBottom w:val="0"/>
      <w:divBdr>
        <w:top w:val="none" w:sz="0" w:space="0" w:color="auto"/>
        <w:left w:val="none" w:sz="0" w:space="0" w:color="auto"/>
        <w:bottom w:val="none" w:sz="0" w:space="0" w:color="auto"/>
        <w:right w:val="none" w:sz="0" w:space="0" w:color="auto"/>
      </w:divBdr>
    </w:div>
    <w:div w:id="265119431">
      <w:bodyDiv w:val="1"/>
      <w:marLeft w:val="0"/>
      <w:marRight w:val="0"/>
      <w:marTop w:val="0"/>
      <w:marBottom w:val="0"/>
      <w:divBdr>
        <w:top w:val="none" w:sz="0" w:space="0" w:color="auto"/>
        <w:left w:val="none" w:sz="0" w:space="0" w:color="auto"/>
        <w:bottom w:val="none" w:sz="0" w:space="0" w:color="auto"/>
        <w:right w:val="none" w:sz="0" w:space="0" w:color="auto"/>
      </w:divBdr>
    </w:div>
    <w:div w:id="270481843">
      <w:bodyDiv w:val="1"/>
      <w:marLeft w:val="0"/>
      <w:marRight w:val="0"/>
      <w:marTop w:val="0"/>
      <w:marBottom w:val="0"/>
      <w:divBdr>
        <w:top w:val="none" w:sz="0" w:space="0" w:color="auto"/>
        <w:left w:val="none" w:sz="0" w:space="0" w:color="auto"/>
        <w:bottom w:val="none" w:sz="0" w:space="0" w:color="auto"/>
        <w:right w:val="none" w:sz="0" w:space="0" w:color="auto"/>
      </w:divBdr>
    </w:div>
    <w:div w:id="272328760">
      <w:bodyDiv w:val="1"/>
      <w:marLeft w:val="0"/>
      <w:marRight w:val="0"/>
      <w:marTop w:val="0"/>
      <w:marBottom w:val="0"/>
      <w:divBdr>
        <w:top w:val="none" w:sz="0" w:space="0" w:color="auto"/>
        <w:left w:val="none" w:sz="0" w:space="0" w:color="auto"/>
        <w:bottom w:val="none" w:sz="0" w:space="0" w:color="auto"/>
        <w:right w:val="none" w:sz="0" w:space="0" w:color="auto"/>
      </w:divBdr>
    </w:div>
    <w:div w:id="274681685">
      <w:bodyDiv w:val="1"/>
      <w:marLeft w:val="0"/>
      <w:marRight w:val="0"/>
      <w:marTop w:val="0"/>
      <w:marBottom w:val="0"/>
      <w:divBdr>
        <w:top w:val="none" w:sz="0" w:space="0" w:color="auto"/>
        <w:left w:val="none" w:sz="0" w:space="0" w:color="auto"/>
        <w:bottom w:val="none" w:sz="0" w:space="0" w:color="auto"/>
        <w:right w:val="none" w:sz="0" w:space="0" w:color="auto"/>
      </w:divBdr>
    </w:div>
    <w:div w:id="275449734">
      <w:bodyDiv w:val="1"/>
      <w:marLeft w:val="0"/>
      <w:marRight w:val="0"/>
      <w:marTop w:val="0"/>
      <w:marBottom w:val="0"/>
      <w:divBdr>
        <w:top w:val="none" w:sz="0" w:space="0" w:color="auto"/>
        <w:left w:val="none" w:sz="0" w:space="0" w:color="auto"/>
        <w:bottom w:val="none" w:sz="0" w:space="0" w:color="auto"/>
        <w:right w:val="none" w:sz="0" w:space="0" w:color="auto"/>
      </w:divBdr>
    </w:div>
    <w:div w:id="277415234">
      <w:bodyDiv w:val="1"/>
      <w:marLeft w:val="0"/>
      <w:marRight w:val="0"/>
      <w:marTop w:val="0"/>
      <w:marBottom w:val="0"/>
      <w:divBdr>
        <w:top w:val="none" w:sz="0" w:space="0" w:color="auto"/>
        <w:left w:val="none" w:sz="0" w:space="0" w:color="auto"/>
        <w:bottom w:val="none" w:sz="0" w:space="0" w:color="auto"/>
        <w:right w:val="none" w:sz="0" w:space="0" w:color="auto"/>
      </w:divBdr>
    </w:div>
    <w:div w:id="280957118">
      <w:bodyDiv w:val="1"/>
      <w:marLeft w:val="0"/>
      <w:marRight w:val="0"/>
      <w:marTop w:val="0"/>
      <w:marBottom w:val="0"/>
      <w:divBdr>
        <w:top w:val="none" w:sz="0" w:space="0" w:color="auto"/>
        <w:left w:val="none" w:sz="0" w:space="0" w:color="auto"/>
        <w:bottom w:val="none" w:sz="0" w:space="0" w:color="auto"/>
        <w:right w:val="none" w:sz="0" w:space="0" w:color="auto"/>
      </w:divBdr>
    </w:div>
    <w:div w:id="285628622">
      <w:bodyDiv w:val="1"/>
      <w:marLeft w:val="0"/>
      <w:marRight w:val="0"/>
      <w:marTop w:val="0"/>
      <w:marBottom w:val="0"/>
      <w:divBdr>
        <w:top w:val="none" w:sz="0" w:space="0" w:color="auto"/>
        <w:left w:val="none" w:sz="0" w:space="0" w:color="auto"/>
        <w:bottom w:val="none" w:sz="0" w:space="0" w:color="auto"/>
        <w:right w:val="none" w:sz="0" w:space="0" w:color="auto"/>
      </w:divBdr>
    </w:div>
    <w:div w:id="286618658">
      <w:bodyDiv w:val="1"/>
      <w:marLeft w:val="0"/>
      <w:marRight w:val="0"/>
      <w:marTop w:val="0"/>
      <w:marBottom w:val="0"/>
      <w:divBdr>
        <w:top w:val="none" w:sz="0" w:space="0" w:color="auto"/>
        <w:left w:val="none" w:sz="0" w:space="0" w:color="auto"/>
        <w:bottom w:val="none" w:sz="0" w:space="0" w:color="auto"/>
        <w:right w:val="none" w:sz="0" w:space="0" w:color="auto"/>
      </w:divBdr>
    </w:div>
    <w:div w:id="287974380">
      <w:bodyDiv w:val="1"/>
      <w:marLeft w:val="0"/>
      <w:marRight w:val="0"/>
      <w:marTop w:val="0"/>
      <w:marBottom w:val="0"/>
      <w:divBdr>
        <w:top w:val="none" w:sz="0" w:space="0" w:color="auto"/>
        <w:left w:val="none" w:sz="0" w:space="0" w:color="auto"/>
        <w:bottom w:val="none" w:sz="0" w:space="0" w:color="auto"/>
        <w:right w:val="none" w:sz="0" w:space="0" w:color="auto"/>
      </w:divBdr>
    </w:div>
    <w:div w:id="293947124">
      <w:bodyDiv w:val="1"/>
      <w:marLeft w:val="0"/>
      <w:marRight w:val="0"/>
      <w:marTop w:val="0"/>
      <w:marBottom w:val="0"/>
      <w:divBdr>
        <w:top w:val="none" w:sz="0" w:space="0" w:color="auto"/>
        <w:left w:val="none" w:sz="0" w:space="0" w:color="auto"/>
        <w:bottom w:val="none" w:sz="0" w:space="0" w:color="auto"/>
        <w:right w:val="none" w:sz="0" w:space="0" w:color="auto"/>
      </w:divBdr>
    </w:div>
    <w:div w:id="296648073">
      <w:bodyDiv w:val="1"/>
      <w:marLeft w:val="0"/>
      <w:marRight w:val="0"/>
      <w:marTop w:val="0"/>
      <w:marBottom w:val="0"/>
      <w:divBdr>
        <w:top w:val="none" w:sz="0" w:space="0" w:color="auto"/>
        <w:left w:val="none" w:sz="0" w:space="0" w:color="auto"/>
        <w:bottom w:val="none" w:sz="0" w:space="0" w:color="auto"/>
        <w:right w:val="none" w:sz="0" w:space="0" w:color="auto"/>
      </w:divBdr>
    </w:div>
    <w:div w:id="304968102">
      <w:bodyDiv w:val="1"/>
      <w:marLeft w:val="0"/>
      <w:marRight w:val="0"/>
      <w:marTop w:val="0"/>
      <w:marBottom w:val="0"/>
      <w:divBdr>
        <w:top w:val="none" w:sz="0" w:space="0" w:color="auto"/>
        <w:left w:val="none" w:sz="0" w:space="0" w:color="auto"/>
        <w:bottom w:val="none" w:sz="0" w:space="0" w:color="auto"/>
        <w:right w:val="none" w:sz="0" w:space="0" w:color="auto"/>
      </w:divBdr>
    </w:div>
    <w:div w:id="310795816">
      <w:bodyDiv w:val="1"/>
      <w:marLeft w:val="0"/>
      <w:marRight w:val="0"/>
      <w:marTop w:val="0"/>
      <w:marBottom w:val="0"/>
      <w:divBdr>
        <w:top w:val="none" w:sz="0" w:space="0" w:color="auto"/>
        <w:left w:val="none" w:sz="0" w:space="0" w:color="auto"/>
        <w:bottom w:val="none" w:sz="0" w:space="0" w:color="auto"/>
        <w:right w:val="none" w:sz="0" w:space="0" w:color="auto"/>
      </w:divBdr>
    </w:div>
    <w:div w:id="312803816">
      <w:bodyDiv w:val="1"/>
      <w:marLeft w:val="0"/>
      <w:marRight w:val="0"/>
      <w:marTop w:val="0"/>
      <w:marBottom w:val="0"/>
      <w:divBdr>
        <w:top w:val="none" w:sz="0" w:space="0" w:color="auto"/>
        <w:left w:val="none" w:sz="0" w:space="0" w:color="auto"/>
        <w:bottom w:val="none" w:sz="0" w:space="0" w:color="auto"/>
        <w:right w:val="none" w:sz="0" w:space="0" w:color="auto"/>
      </w:divBdr>
    </w:div>
    <w:div w:id="315840634">
      <w:bodyDiv w:val="1"/>
      <w:marLeft w:val="0"/>
      <w:marRight w:val="0"/>
      <w:marTop w:val="0"/>
      <w:marBottom w:val="0"/>
      <w:divBdr>
        <w:top w:val="none" w:sz="0" w:space="0" w:color="auto"/>
        <w:left w:val="none" w:sz="0" w:space="0" w:color="auto"/>
        <w:bottom w:val="none" w:sz="0" w:space="0" w:color="auto"/>
        <w:right w:val="none" w:sz="0" w:space="0" w:color="auto"/>
      </w:divBdr>
    </w:div>
    <w:div w:id="319387160">
      <w:bodyDiv w:val="1"/>
      <w:marLeft w:val="0"/>
      <w:marRight w:val="0"/>
      <w:marTop w:val="0"/>
      <w:marBottom w:val="0"/>
      <w:divBdr>
        <w:top w:val="none" w:sz="0" w:space="0" w:color="auto"/>
        <w:left w:val="none" w:sz="0" w:space="0" w:color="auto"/>
        <w:bottom w:val="none" w:sz="0" w:space="0" w:color="auto"/>
        <w:right w:val="none" w:sz="0" w:space="0" w:color="auto"/>
      </w:divBdr>
    </w:div>
    <w:div w:id="324480208">
      <w:bodyDiv w:val="1"/>
      <w:marLeft w:val="0"/>
      <w:marRight w:val="0"/>
      <w:marTop w:val="0"/>
      <w:marBottom w:val="0"/>
      <w:divBdr>
        <w:top w:val="none" w:sz="0" w:space="0" w:color="auto"/>
        <w:left w:val="none" w:sz="0" w:space="0" w:color="auto"/>
        <w:bottom w:val="none" w:sz="0" w:space="0" w:color="auto"/>
        <w:right w:val="none" w:sz="0" w:space="0" w:color="auto"/>
      </w:divBdr>
    </w:div>
    <w:div w:id="325675478">
      <w:bodyDiv w:val="1"/>
      <w:marLeft w:val="0"/>
      <w:marRight w:val="0"/>
      <w:marTop w:val="0"/>
      <w:marBottom w:val="0"/>
      <w:divBdr>
        <w:top w:val="none" w:sz="0" w:space="0" w:color="auto"/>
        <w:left w:val="none" w:sz="0" w:space="0" w:color="auto"/>
        <w:bottom w:val="none" w:sz="0" w:space="0" w:color="auto"/>
        <w:right w:val="none" w:sz="0" w:space="0" w:color="auto"/>
      </w:divBdr>
    </w:div>
    <w:div w:id="333578808">
      <w:bodyDiv w:val="1"/>
      <w:marLeft w:val="0"/>
      <w:marRight w:val="0"/>
      <w:marTop w:val="0"/>
      <w:marBottom w:val="0"/>
      <w:divBdr>
        <w:top w:val="none" w:sz="0" w:space="0" w:color="auto"/>
        <w:left w:val="none" w:sz="0" w:space="0" w:color="auto"/>
        <w:bottom w:val="none" w:sz="0" w:space="0" w:color="auto"/>
        <w:right w:val="none" w:sz="0" w:space="0" w:color="auto"/>
      </w:divBdr>
    </w:div>
    <w:div w:id="336661725">
      <w:bodyDiv w:val="1"/>
      <w:marLeft w:val="0"/>
      <w:marRight w:val="0"/>
      <w:marTop w:val="0"/>
      <w:marBottom w:val="0"/>
      <w:divBdr>
        <w:top w:val="none" w:sz="0" w:space="0" w:color="auto"/>
        <w:left w:val="none" w:sz="0" w:space="0" w:color="auto"/>
        <w:bottom w:val="none" w:sz="0" w:space="0" w:color="auto"/>
        <w:right w:val="none" w:sz="0" w:space="0" w:color="auto"/>
      </w:divBdr>
    </w:div>
    <w:div w:id="341788115">
      <w:bodyDiv w:val="1"/>
      <w:marLeft w:val="0"/>
      <w:marRight w:val="0"/>
      <w:marTop w:val="0"/>
      <w:marBottom w:val="0"/>
      <w:divBdr>
        <w:top w:val="none" w:sz="0" w:space="0" w:color="auto"/>
        <w:left w:val="none" w:sz="0" w:space="0" w:color="auto"/>
        <w:bottom w:val="none" w:sz="0" w:space="0" w:color="auto"/>
        <w:right w:val="none" w:sz="0" w:space="0" w:color="auto"/>
      </w:divBdr>
    </w:div>
    <w:div w:id="342248694">
      <w:bodyDiv w:val="1"/>
      <w:marLeft w:val="0"/>
      <w:marRight w:val="0"/>
      <w:marTop w:val="0"/>
      <w:marBottom w:val="0"/>
      <w:divBdr>
        <w:top w:val="none" w:sz="0" w:space="0" w:color="auto"/>
        <w:left w:val="none" w:sz="0" w:space="0" w:color="auto"/>
        <w:bottom w:val="none" w:sz="0" w:space="0" w:color="auto"/>
        <w:right w:val="none" w:sz="0" w:space="0" w:color="auto"/>
      </w:divBdr>
    </w:div>
    <w:div w:id="347104194">
      <w:bodyDiv w:val="1"/>
      <w:marLeft w:val="0"/>
      <w:marRight w:val="0"/>
      <w:marTop w:val="0"/>
      <w:marBottom w:val="0"/>
      <w:divBdr>
        <w:top w:val="none" w:sz="0" w:space="0" w:color="auto"/>
        <w:left w:val="none" w:sz="0" w:space="0" w:color="auto"/>
        <w:bottom w:val="none" w:sz="0" w:space="0" w:color="auto"/>
        <w:right w:val="none" w:sz="0" w:space="0" w:color="auto"/>
      </w:divBdr>
    </w:div>
    <w:div w:id="347829377">
      <w:bodyDiv w:val="1"/>
      <w:marLeft w:val="0"/>
      <w:marRight w:val="0"/>
      <w:marTop w:val="0"/>
      <w:marBottom w:val="0"/>
      <w:divBdr>
        <w:top w:val="none" w:sz="0" w:space="0" w:color="auto"/>
        <w:left w:val="none" w:sz="0" w:space="0" w:color="auto"/>
        <w:bottom w:val="none" w:sz="0" w:space="0" w:color="auto"/>
        <w:right w:val="none" w:sz="0" w:space="0" w:color="auto"/>
      </w:divBdr>
    </w:div>
    <w:div w:id="359282444">
      <w:bodyDiv w:val="1"/>
      <w:marLeft w:val="0"/>
      <w:marRight w:val="0"/>
      <w:marTop w:val="0"/>
      <w:marBottom w:val="0"/>
      <w:divBdr>
        <w:top w:val="none" w:sz="0" w:space="0" w:color="auto"/>
        <w:left w:val="none" w:sz="0" w:space="0" w:color="auto"/>
        <w:bottom w:val="none" w:sz="0" w:space="0" w:color="auto"/>
        <w:right w:val="none" w:sz="0" w:space="0" w:color="auto"/>
      </w:divBdr>
    </w:div>
    <w:div w:id="359862847">
      <w:bodyDiv w:val="1"/>
      <w:marLeft w:val="0"/>
      <w:marRight w:val="0"/>
      <w:marTop w:val="0"/>
      <w:marBottom w:val="0"/>
      <w:divBdr>
        <w:top w:val="none" w:sz="0" w:space="0" w:color="auto"/>
        <w:left w:val="none" w:sz="0" w:space="0" w:color="auto"/>
        <w:bottom w:val="none" w:sz="0" w:space="0" w:color="auto"/>
        <w:right w:val="none" w:sz="0" w:space="0" w:color="auto"/>
      </w:divBdr>
    </w:div>
    <w:div w:id="363865244">
      <w:bodyDiv w:val="1"/>
      <w:marLeft w:val="0"/>
      <w:marRight w:val="0"/>
      <w:marTop w:val="0"/>
      <w:marBottom w:val="0"/>
      <w:divBdr>
        <w:top w:val="none" w:sz="0" w:space="0" w:color="auto"/>
        <w:left w:val="none" w:sz="0" w:space="0" w:color="auto"/>
        <w:bottom w:val="none" w:sz="0" w:space="0" w:color="auto"/>
        <w:right w:val="none" w:sz="0" w:space="0" w:color="auto"/>
      </w:divBdr>
    </w:div>
    <w:div w:id="369496242">
      <w:bodyDiv w:val="1"/>
      <w:marLeft w:val="0"/>
      <w:marRight w:val="0"/>
      <w:marTop w:val="0"/>
      <w:marBottom w:val="0"/>
      <w:divBdr>
        <w:top w:val="none" w:sz="0" w:space="0" w:color="auto"/>
        <w:left w:val="none" w:sz="0" w:space="0" w:color="auto"/>
        <w:bottom w:val="none" w:sz="0" w:space="0" w:color="auto"/>
        <w:right w:val="none" w:sz="0" w:space="0" w:color="auto"/>
      </w:divBdr>
    </w:div>
    <w:div w:id="377633197">
      <w:bodyDiv w:val="1"/>
      <w:marLeft w:val="0"/>
      <w:marRight w:val="0"/>
      <w:marTop w:val="0"/>
      <w:marBottom w:val="0"/>
      <w:divBdr>
        <w:top w:val="none" w:sz="0" w:space="0" w:color="auto"/>
        <w:left w:val="none" w:sz="0" w:space="0" w:color="auto"/>
        <w:bottom w:val="none" w:sz="0" w:space="0" w:color="auto"/>
        <w:right w:val="none" w:sz="0" w:space="0" w:color="auto"/>
      </w:divBdr>
    </w:div>
    <w:div w:id="383798628">
      <w:bodyDiv w:val="1"/>
      <w:marLeft w:val="0"/>
      <w:marRight w:val="0"/>
      <w:marTop w:val="0"/>
      <w:marBottom w:val="0"/>
      <w:divBdr>
        <w:top w:val="none" w:sz="0" w:space="0" w:color="auto"/>
        <w:left w:val="none" w:sz="0" w:space="0" w:color="auto"/>
        <w:bottom w:val="none" w:sz="0" w:space="0" w:color="auto"/>
        <w:right w:val="none" w:sz="0" w:space="0" w:color="auto"/>
      </w:divBdr>
    </w:div>
    <w:div w:id="386490311">
      <w:bodyDiv w:val="1"/>
      <w:marLeft w:val="0"/>
      <w:marRight w:val="0"/>
      <w:marTop w:val="0"/>
      <w:marBottom w:val="0"/>
      <w:divBdr>
        <w:top w:val="none" w:sz="0" w:space="0" w:color="auto"/>
        <w:left w:val="none" w:sz="0" w:space="0" w:color="auto"/>
        <w:bottom w:val="none" w:sz="0" w:space="0" w:color="auto"/>
        <w:right w:val="none" w:sz="0" w:space="0" w:color="auto"/>
      </w:divBdr>
    </w:div>
    <w:div w:id="388261739">
      <w:bodyDiv w:val="1"/>
      <w:marLeft w:val="0"/>
      <w:marRight w:val="0"/>
      <w:marTop w:val="0"/>
      <w:marBottom w:val="0"/>
      <w:divBdr>
        <w:top w:val="none" w:sz="0" w:space="0" w:color="auto"/>
        <w:left w:val="none" w:sz="0" w:space="0" w:color="auto"/>
        <w:bottom w:val="none" w:sz="0" w:space="0" w:color="auto"/>
        <w:right w:val="none" w:sz="0" w:space="0" w:color="auto"/>
      </w:divBdr>
    </w:div>
    <w:div w:id="391463127">
      <w:bodyDiv w:val="1"/>
      <w:marLeft w:val="0"/>
      <w:marRight w:val="0"/>
      <w:marTop w:val="0"/>
      <w:marBottom w:val="0"/>
      <w:divBdr>
        <w:top w:val="none" w:sz="0" w:space="0" w:color="auto"/>
        <w:left w:val="none" w:sz="0" w:space="0" w:color="auto"/>
        <w:bottom w:val="none" w:sz="0" w:space="0" w:color="auto"/>
        <w:right w:val="none" w:sz="0" w:space="0" w:color="auto"/>
      </w:divBdr>
    </w:div>
    <w:div w:id="391582290">
      <w:bodyDiv w:val="1"/>
      <w:marLeft w:val="0"/>
      <w:marRight w:val="0"/>
      <w:marTop w:val="0"/>
      <w:marBottom w:val="0"/>
      <w:divBdr>
        <w:top w:val="none" w:sz="0" w:space="0" w:color="auto"/>
        <w:left w:val="none" w:sz="0" w:space="0" w:color="auto"/>
        <w:bottom w:val="none" w:sz="0" w:space="0" w:color="auto"/>
        <w:right w:val="none" w:sz="0" w:space="0" w:color="auto"/>
      </w:divBdr>
    </w:div>
    <w:div w:id="394207404">
      <w:bodyDiv w:val="1"/>
      <w:marLeft w:val="0"/>
      <w:marRight w:val="0"/>
      <w:marTop w:val="0"/>
      <w:marBottom w:val="0"/>
      <w:divBdr>
        <w:top w:val="none" w:sz="0" w:space="0" w:color="auto"/>
        <w:left w:val="none" w:sz="0" w:space="0" w:color="auto"/>
        <w:bottom w:val="none" w:sz="0" w:space="0" w:color="auto"/>
        <w:right w:val="none" w:sz="0" w:space="0" w:color="auto"/>
      </w:divBdr>
    </w:div>
    <w:div w:id="398866145">
      <w:bodyDiv w:val="1"/>
      <w:marLeft w:val="0"/>
      <w:marRight w:val="0"/>
      <w:marTop w:val="0"/>
      <w:marBottom w:val="0"/>
      <w:divBdr>
        <w:top w:val="none" w:sz="0" w:space="0" w:color="auto"/>
        <w:left w:val="none" w:sz="0" w:space="0" w:color="auto"/>
        <w:bottom w:val="none" w:sz="0" w:space="0" w:color="auto"/>
        <w:right w:val="none" w:sz="0" w:space="0" w:color="auto"/>
      </w:divBdr>
    </w:div>
    <w:div w:id="400908077">
      <w:bodyDiv w:val="1"/>
      <w:marLeft w:val="0"/>
      <w:marRight w:val="0"/>
      <w:marTop w:val="0"/>
      <w:marBottom w:val="0"/>
      <w:divBdr>
        <w:top w:val="none" w:sz="0" w:space="0" w:color="auto"/>
        <w:left w:val="none" w:sz="0" w:space="0" w:color="auto"/>
        <w:bottom w:val="none" w:sz="0" w:space="0" w:color="auto"/>
        <w:right w:val="none" w:sz="0" w:space="0" w:color="auto"/>
      </w:divBdr>
    </w:div>
    <w:div w:id="401759238">
      <w:bodyDiv w:val="1"/>
      <w:marLeft w:val="0"/>
      <w:marRight w:val="0"/>
      <w:marTop w:val="0"/>
      <w:marBottom w:val="0"/>
      <w:divBdr>
        <w:top w:val="none" w:sz="0" w:space="0" w:color="auto"/>
        <w:left w:val="none" w:sz="0" w:space="0" w:color="auto"/>
        <w:bottom w:val="none" w:sz="0" w:space="0" w:color="auto"/>
        <w:right w:val="none" w:sz="0" w:space="0" w:color="auto"/>
      </w:divBdr>
    </w:div>
    <w:div w:id="402988555">
      <w:bodyDiv w:val="1"/>
      <w:marLeft w:val="0"/>
      <w:marRight w:val="0"/>
      <w:marTop w:val="0"/>
      <w:marBottom w:val="0"/>
      <w:divBdr>
        <w:top w:val="none" w:sz="0" w:space="0" w:color="auto"/>
        <w:left w:val="none" w:sz="0" w:space="0" w:color="auto"/>
        <w:bottom w:val="none" w:sz="0" w:space="0" w:color="auto"/>
        <w:right w:val="none" w:sz="0" w:space="0" w:color="auto"/>
      </w:divBdr>
    </w:div>
    <w:div w:id="404374874">
      <w:bodyDiv w:val="1"/>
      <w:marLeft w:val="0"/>
      <w:marRight w:val="0"/>
      <w:marTop w:val="0"/>
      <w:marBottom w:val="0"/>
      <w:divBdr>
        <w:top w:val="none" w:sz="0" w:space="0" w:color="auto"/>
        <w:left w:val="none" w:sz="0" w:space="0" w:color="auto"/>
        <w:bottom w:val="none" w:sz="0" w:space="0" w:color="auto"/>
        <w:right w:val="none" w:sz="0" w:space="0" w:color="auto"/>
      </w:divBdr>
    </w:div>
    <w:div w:id="405423495">
      <w:bodyDiv w:val="1"/>
      <w:marLeft w:val="0"/>
      <w:marRight w:val="0"/>
      <w:marTop w:val="0"/>
      <w:marBottom w:val="0"/>
      <w:divBdr>
        <w:top w:val="none" w:sz="0" w:space="0" w:color="auto"/>
        <w:left w:val="none" w:sz="0" w:space="0" w:color="auto"/>
        <w:bottom w:val="none" w:sz="0" w:space="0" w:color="auto"/>
        <w:right w:val="none" w:sz="0" w:space="0" w:color="auto"/>
      </w:divBdr>
    </w:div>
    <w:div w:id="413355948">
      <w:bodyDiv w:val="1"/>
      <w:marLeft w:val="0"/>
      <w:marRight w:val="0"/>
      <w:marTop w:val="0"/>
      <w:marBottom w:val="0"/>
      <w:divBdr>
        <w:top w:val="none" w:sz="0" w:space="0" w:color="auto"/>
        <w:left w:val="none" w:sz="0" w:space="0" w:color="auto"/>
        <w:bottom w:val="none" w:sz="0" w:space="0" w:color="auto"/>
        <w:right w:val="none" w:sz="0" w:space="0" w:color="auto"/>
      </w:divBdr>
    </w:div>
    <w:div w:id="415371865">
      <w:bodyDiv w:val="1"/>
      <w:marLeft w:val="0"/>
      <w:marRight w:val="0"/>
      <w:marTop w:val="0"/>
      <w:marBottom w:val="0"/>
      <w:divBdr>
        <w:top w:val="none" w:sz="0" w:space="0" w:color="auto"/>
        <w:left w:val="none" w:sz="0" w:space="0" w:color="auto"/>
        <w:bottom w:val="none" w:sz="0" w:space="0" w:color="auto"/>
        <w:right w:val="none" w:sz="0" w:space="0" w:color="auto"/>
      </w:divBdr>
    </w:div>
    <w:div w:id="424427278">
      <w:bodyDiv w:val="1"/>
      <w:marLeft w:val="0"/>
      <w:marRight w:val="0"/>
      <w:marTop w:val="0"/>
      <w:marBottom w:val="0"/>
      <w:divBdr>
        <w:top w:val="none" w:sz="0" w:space="0" w:color="auto"/>
        <w:left w:val="none" w:sz="0" w:space="0" w:color="auto"/>
        <w:bottom w:val="none" w:sz="0" w:space="0" w:color="auto"/>
        <w:right w:val="none" w:sz="0" w:space="0" w:color="auto"/>
      </w:divBdr>
    </w:div>
    <w:div w:id="424574684">
      <w:bodyDiv w:val="1"/>
      <w:marLeft w:val="0"/>
      <w:marRight w:val="0"/>
      <w:marTop w:val="0"/>
      <w:marBottom w:val="0"/>
      <w:divBdr>
        <w:top w:val="none" w:sz="0" w:space="0" w:color="auto"/>
        <w:left w:val="none" w:sz="0" w:space="0" w:color="auto"/>
        <w:bottom w:val="none" w:sz="0" w:space="0" w:color="auto"/>
        <w:right w:val="none" w:sz="0" w:space="0" w:color="auto"/>
      </w:divBdr>
    </w:div>
    <w:div w:id="426971337">
      <w:bodyDiv w:val="1"/>
      <w:marLeft w:val="0"/>
      <w:marRight w:val="0"/>
      <w:marTop w:val="0"/>
      <w:marBottom w:val="0"/>
      <w:divBdr>
        <w:top w:val="none" w:sz="0" w:space="0" w:color="auto"/>
        <w:left w:val="none" w:sz="0" w:space="0" w:color="auto"/>
        <w:bottom w:val="none" w:sz="0" w:space="0" w:color="auto"/>
        <w:right w:val="none" w:sz="0" w:space="0" w:color="auto"/>
      </w:divBdr>
    </w:div>
    <w:div w:id="427386414">
      <w:bodyDiv w:val="1"/>
      <w:marLeft w:val="0"/>
      <w:marRight w:val="0"/>
      <w:marTop w:val="0"/>
      <w:marBottom w:val="0"/>
      <w:divBdr>
        <w:top w:val="none" w:sz="0" w:space="0" w:color="auto"/>
        <w:left w:val="none" w:sz="0" w:space="0" w:color="auto"/>
        <w:bottom w:val="none" w:sz="0" w:space="0" w:color="auto"/>
        <w:right w:val="none" w:sz="0" w:space="0" w:color="auto"/>
      </w:divBdr>
    </w:div>
    <w:div w:id="427653128">
      <w:bodyDiv w:val="1"/>
      <w:marLeft w:val="0"/>
      <w:marRight w:val="0"/>
      <w:marTop w:val="0"/>
      <w:marBottom w:val="0"/>
      <w:divBdr>
        <w:top w:val="none" w:sz="0" w:space="0" w:color="auto"/>
        <w:left w:val="none" w:sz="0" w:space="0" w:color="auto"/>
        <w:bottom w:val="none" w:sz="0" w:space="0" w:color="auto"/>
        <w:right w:val="none" w:sz="0" w:space="0" w:color="auto"/>
      </w:divBdr>
    </w:div>
    <w:div w:id="440807683">
      <w:bodyDiv w:val="1"/>
      <w:marLeft w:val="0"/>
      <w:marRight w:val="0"/>
      <w:marTop w:val="0"/>
      <w:marBottom w:val="0"/>
      <w:divBdr>
        <w:top w:val="none" w:sz="0" w:space="0" w:color="auto"/>
        <w:left w:val="none" w:sz="0" w:space="0" w:color="auto"/>
        <w:bottom w:val="none" w:sz="0" w:space="0" w:color="auto"/>
        <w:right w:val="none" w:sz="0" w:space="0" w:color="auto"/>
      </w:divBdr>
    </w:div>
    <w:div w:id="446118073">
      <w:bodyDiv w:val="1"/>
      <w:marLeft w:val="0"/>
      <w:marRight w:val="0"/>
      <w:marTop w:val="0"/>
      <w:marBottom w:val="0"/>
      <w:divBdr>
        <w:top w:val="none" w:sz="0" w:space="0" w:color="auto"/>
        <w:left w:val="none" w:sz="0" w:space="0" w:color="auto"/>
        <w:bottom w:val="none" w:sz="0" w:space="0" w:color="auto"/>
        <w:right w:val="none" w:sz="0" w:space="0" w:color="auto"/>
      </w:divBdr>
    </w:div>
    <w:div w:id="448352679">
      <w:bodyDiv w:val="1"/>
      <w:marLeft w:val="0"/>
      <w:marRight w:val="0"/>
      <w:marTop w:val="0"/>
      <w:marBottom w:val="0"/>
      <w:divBdr>
        <w:top w:val="none" w:sz="0" w:space="0" w:color="auto"/>
        <w:left w:val="none" w:sz="0" w:space="0" w:color="auto"/>
        <w:bottom w:val="none" w:sz="0" w:space="0" w:color="auto"/>
        <w:right w:val="none" w:sz="0" w:space="0" w:color="auto"/>
      </w:divBdr>
    </w:div>
    <w:div w:id="448860955">
      <w:bodyDiv w:val="1"/>
      <w:marLeft w:val="0"/>
      <w:marRight w:val="0"/>
      <w:marTop w:val="0"/>
      <w:marBottom w:val="0"/>
      <w:divBdr>
        <w:top w:val="none" w:sz="0" w:space="0" w:color="auto"/>
        <w:left w:val="none" w:sz="0" w:space="0" w:color="auto"/>
        <w:bottom w:val="none" w:sz="0" w:space="0" w:color="auto"/>
        <w:right w:val="none" w:sz="0" w:space="0" w:color="auto"/>
      </w:divBdr>
    </w:div>
    <w:div w:id="453789835">
      <w:bodyDiv w:val="1"/>
      <w:marLeft w:val="0"/>
      <w:marRight w:val="0"/>
      <w:marTop w:val="0"/>
      <w:marBottom w:val="0"/>
      <w:divBdr>
        <w:top w:val="none" w:sz="0" w:space="0" w:color="auto"/>
        <w:left w:val="none" w:sz="0" w:space="0" w:color="auto"/>
        <w:bottom w:val="none" w:sz="0" w:space="0" w:color="auto"/>
        <w:right w:val="none" w:sz="0" w:space="0" w:color="auto"/>
      </w:divBdr>
    </w:div>
    <w:div w:id="455637461">
      <w:bodyDiv w:val="1"/>
      <w:marLeft w:val="0"/>
      <w:marRight w:val="0"/>
      <w:marTop w:val="0"/>
      <w:marBottom w:val="0"/>
      <w:divBdr>
        <w:top w:val="none" w:sz="0" w:space="0" w:color="auto"/>
        <w:left w:val="none" w:sz="0" w:space="0" w:color="auto"/>
        <w:bottom w:val="none" w:sz="0" w:space="0" w:color="auto"/>
        <w:right w:val="none" w:sz="0" w:space="0" w:color="auto"/>
      </w:divBdr>
    </w:div>
    <w:div w:id="456068879">
      <w:bodyDiv w:val="1"/>
      <w:marLeft w:val="0"/>
      <w:marRight w:val="0"/>
      <w:marTop w:val="0"/>
      <w:marBottom w:val="0"/>
      <w:divBdr>
        <w:top w:val="none" w:sz="0" w:space="0" w:color="auto"/>
        <w:left w:val="none" w:sz="0" w:space="0" w:color="auto"/>
        <w:bottom w:val="none" w:sz="0" w:space="0" w:color="auto"/>
        <w:right w:val="none" w:sz="0" w:space="0" w:color="auto"/>
      </w:divBdr>
    </w:div>
    <w:div w:id="456489338">
      <w:bodyDiv w:val="1"/>
      <w:marLeft w:val="0"/>
      <w:marRight w:val="0"/>
      <w:marTop w:val="0"/>
      <w:marBottom w:val="0"/>
      <w:divBdr>
        <w:top w:val="none" w:sz="0" w:space="0" w:color="auto"/>
        <w:left w:val="none" w:sz="0" w:space="0" w:color="auto"/>
        <w:bottom w:val="none" w:sz="0" w:space="0" w:color="auto"/>
        <w:right w:val="none" w:sz="0" w:space="0" w:color="auto"/>
      </w:divBdr>
    </w:div>
    <w:div w:id="458031752">
      <w:bodyDiv w:val="1"/>
      <w:marLeft w:val="0"/>
      <w:marRight w:val="0"/>
      <w:marTop w:val="0"/>
      <w:marBottom w:val="0"/>
      <w:divBdr>
        <w:top w:val="none" w:sz="0" w:space="0" w:color="auto"/>
        <w:left w:val="none" w:sz="0" w:space="0" w:color="auto"/>
        <w:bottom w:val="none" w:sz="0" w:space="0" w:color="auto"/>
        <w:right w:val="none" w:sz="0" w:space="0" w:color="auto"/>
      </w:divBdr>
    </w:div>
    <w:div w:id="460734120">
      <w:bodyDiv w:val="1"/>
      <w:marLeft w:val="0"/>
      <w:marRight w:val="0"/>
      <w:marTop w:val="0"/>
      <w:marBottom w:val="0"/>
      <w:divBdr>
        <w:top w:val="none" w:sz="0" w:space="0" w:color="auto"/>
        <w:left w:val="none" w:sz="0" w:space="0" w:color="auto"/>
        <w:bottom w:val="none" w:sz="0" w:space="0" w:color="auto"/>
        <w:right w:val="none" w:sz="0" w:space="0" w:color="auto"/>
      </w:divBdr>
    </w:div>
    <w:div w:id="460851660">
      <w:bodyDiv w:val="1"/>
      <w:marLeft w:val="0"/>
      <w:marRight w:val="0"/>
      <w:marTop w:val="0"/>
      <w:marBottom w:val="0"/>
      <w:divBdr>
        <w:top w:val="none" w:sz="0" w:space="0" w:color="auto"/>
        <w:left w:val="none" w:sz="0" w:space="0" w:color="auto"/>
        <w:bottom w:val="none" w:sz="0" w:space="0" w:color="auto"/>
        <w:right w:val="none" w:sz="0" w:space="0" w:color="auto"/>
      </w:divBdr>
    </w:div>
    <w:div w:id="461004122">
      <w:bodyDiv w:val="1"/>
      <w:marLeft w:val="0"/>
      <w:marRight w:val="0"/>
      <w:marTop w:val="0"/>
      <w:marBottom w:val="0"/>
      <w:divBdr>
        <w:top w:val="none" w:sz="0" w:space="0" w:color="auto"/>
        <w:left w:val="none" w:sz="0" w:space="0" w:color="auto"/>
        <w:bottom w:val="none" w:sz="0" w:space="0" w:color="auto"/>
        <w:right w:val="none" w:sz="0" w:space="0" w:color="auto"/>
      </w:divBdr>
    </w:div>
    <w:div w:id="461968451">
      <w:bodyDiv w:val="1"/>
      <w:marLeft w:val="0"/>
      <w:marRight w:val="0"/>
      <w:marTop w:val="0"/>
      <w:marBottom w:val="0"/>
      <w:divBdr>
        <w:top w:val="none" w:sz="0" w:space="0" w:color="auto"/>
        <w:left w:val="none" w:sz="0" w:space="0" w:color="auto"/>
        <w:bottom w:val="none" w:sz="0" w:space="0" w:color="auto"/>
        <w:right w:val="none" w:sz="0" w:space="0" w:color="auto"/>
      </w:divBdr>
    </w:div>
    <w:div w:id="462308956">
      <w:bodyDiv w:val="1"/>
      <w:marLeft w:val="0"/>
      <w:marRight w:val="0"/>
      <w:marTop w:val="0"/>
      <w:marBottom w:val="0"/>
      <w:divBdr>
        <w:top w:val="none" w:sz="0" w:space="0" w:color="auto"/>
        <w:left w:val="none" w:sz="0" w:space="0" w:color="auto"/>
        <w:bottom w:val="none" w:sz="0" w:space="0" w:color="auto"/>
        <w:right w:val="none" w:sz="0" w:space="0" w:color="auto"/>
      </w:divBdr>
    </w:div>
    <w:div w:id="462891527">
      <w:bodyDiv w:val="1"/>
      <w:marLeft w:val="0"/>
      <w:marRight w:val="0"/>
      <w:marTop w:val="0"/>
      <w:marBottom w:val="0"/>
      <w:divBdr>
        <w:top w:val="none" w:sz="0" w:space="0" w:color="auto"/>
        <w:left w:val="none" w:sz="0" w:space="0" w:color="auto"/>
        <w:bottom w:val="none" w:sz="0" w:space="0" w:color="auto"/>
        <w:right w:val="none" w:sz="0" w:space="0" w:color="auto"/>
      </w:divBdr>
    </w:div>
    <w:div w:id="472915932">
      <w:bodyDiv w:val="1"/>
      <w:marLeft w:val="0"/>
      <w:marRight w:val="0"/>
      <w:marTop w:val="0"/>
      <w:marBottom w:val="0"/>
      <w:divBdr>
        <w:top w:val="none" w:sz="0" w:space="0" w:color="auto"/>
        <w:left w:val="none" w:sz="0" w:space="0" w:color="auto"/>
        <w:bottom w:val="none" w:sz="0" w:space="0" w:color="auto"/>
        <w:right w:val="none" w:sz="0" w:space="0" w:color="auto"/>
      </w:divBdr>
    </w:div>
    <w:div w:id="475268485">
      <w:bodyDiv w:val="1"/>
      <w:marLeft w:val="0"/>
      <w:marRight w:val="0"/>
      <w:marTop w:val="0"/>
      <w:marBottom w:val="0"/>
      <w:divBdr>
        <w:top w:val="none" w:sz="0" w:space="0" w:color="auto"/>
        <w:left w:val="none" w:sz="0" w:space="0" w:color="auto"/>
        <w:bottom w:val="none" w:sz="0" w:space="0" w:color="auto"/>
        <w:right w:val="none" w:sz="0" w:space="0" w:color="auto"/>
      </w:divBdr>
    </w:div>
    <w:div w:id="476411735">
      <w:bodyDiv w:val="1"/>
      <w:marLeft w:val="0"/>
      <w:marRight w:val="0"/>
      <w:marTop w:val="0"/>
      <w:marBottom w:val="0"/>
      <w:divBdr>
        <w:top w:val="none" w:sz="0" w:space="0" w:color="auto"/>
        <w:left w:val="none" w:sz="0" w:space="0" w:color="auto"/>
        <w:bottom w:val="none" w:sz="0" w:space="0" w:color="auto"/>
        <w:right w:val="none" w:sz="0" w:space="0" w:color="auto"/>
      </w:divBdr>
    </w:div>
    <w:div w:id="477914389">
      <w:bodyDiv w:val="1"/>
      <w:marLeft w:val="0"/>
      <w:marRight w:val="0"/>
      <w:marTop w:val="0"/>
      <w:marBottom w:val="0"/>
      <w:divBdr>
        <w:top w:val="none" w:sz="0" w:space="0" w:color="auto"/>
        <w:left w:val="none" w:sz="0" w:space="0" w:color="auto"/>
        <w:bottom w:val="none" w:sz="0" w:space="0" w:color="auto"/>
        <w:right w:val="none" w:sz="0" w:space="0" w:color="auto"/>
      </w:divBdr>
    </w:div>
    <w:div w:id="481772920">
      <w:bodyDiv w:val="1"/>
      <w:marLeft w:val="0"/>
      <w:marRight w:val="0"/>
      <w:marTop w:val="0"/>
      <w:marBottom w:val="0"/>
      <w:divBdr>
        <w:top w:val="none" w:sz="0" w:space="0" w:color="auto"/>
        <w:left w:val="none" w:sz="0" w:space="0" w:color="auto"/>
        <w:bottom w:val="none" w:sz="0" w:space="0" w:color="auto"/>
        <w:right w:val="none" w:sz="0" w:space="0" w:color="auto"/>
      </w:divBdr>
    </w:div>
    <w:div w:id="484014152">
      <w:bodyDiv w:val="1"/>
      <w:marLeft w:val="0"/>
      <w:marRight w:val="0"/>
      <w:marTop w:val="0"/>
      <w:marBottom w:val="0"/>
      <w:divBdr>
        <w:top w:val="none" w:sz="0" w:space="0" w:color="auto"/>
        <w:left w:val="none" w:sz="0" w:space="0" w:color="auto"/>
        <w:bottom w:val="none" w:sz="0" w:space="0" w:color="auto"/>
        <w:right w:val="none" w:sz="0" w:space="0" w:color="auto"/>
      </w:divBdr>
    </w:div>
    <w:div w:id="487986416">
      <w:bodyDiv w:val="1"/>
      <w:marLeft w:val="0"/>
      <w:marRight w:val="0"/>
      <w:marTop w:val="0"/>
      <w:marBottom w:val="0"/>
      <w:divBdr>
        <w:top w:val="none" w:sz="0" w:space="0" w:color="auto"/>
        <w:left w:val="none" w:sz="0" w:space="0" w:color="auto"/>
        <w:bottom w:val="none" w:sz="0" w:space="0" w:color="auto"/>
        <w:right w:val="none" w:sz="0" w:space="0" w:color="auto"/>
      </w:divBdr>
    </w:div>
    <w:div w:id="490407786">
      <w:bodyDiv w:val="1"/>
      <w:marLeft w:val="0"/>
      <w:marRight w:val="0"/>
      <w:marTop w:val="0"/>
      <w:marBottom w:val="0"/>
      <w:divBdr>
        <w:top w:val="none" w:sz="0" w:space="0" w:color="auto"/>
        <w:left w:val="none" w:sz="0" w:space="0" w:color="auto"/>
        <w:bottom w:val="none" w:sz="0" w:space="0" w:color="auto"/>
        <w:right w:val="none" w:sz="0" w:space="0" w:color="auto"/>
      </w:divBdr>
    </w:div>
    <w:div w:id="492331863">
      <w:bodyDiv w:val="1"/>
      <w:marLeft w:val="0"/>
      <w:marRight w:val="0"/>
      <w:marTop w:val="0"/>
      <w:marBottom w:val="0"/>
      <w:divBdr>
        <w:top w:val="none" w:sz="0" w:space="0" w:color="auto"/>
        <w:left w:val="none" w:sz="0" w:space="0" w:color="auto"/>
        <w:bottom w:val="none" w:sz="0" w:space="0" w:color="auto"/>
        <w:right w:val="none" w:sz="0" w:space="0" w:color="auto"/>
      </w:divBdr>
    </w:div>
    <w:div w:id="494955063">
      <w:bodyDiv w:val="1"/>
      <w:marLeft w:val="0"/>
      <w:marRight w:val="0"/>
      <w:marTop w:val="0"/>
      <w:marBottom w:val="0"/>
      <w:divBdr>
        <w:top w:val="none" w:sz="0" w:space="0" w:color="auto"/>
        <w:left w:val="none" w:sz="0" w:space="0" w:color="auto"/>
        <w:bottom w:val="none" w:sz="0" w:space="0" w:color="auto"/>
        <w:right w:val="none" w:sz="0" w:space="0" w:color="auto"/>
      </w:divBdr>
    </w:div>
    <w:div w:id="496387466">
      <w:bodyDiv w:val="1"/>
      <w:marLeft w:val="0"/>
      <w:marRight w:val="0"/>
      <w:marTop w:val="0"/>
      <w:marBottom w:val="0"/>
      <w:divBdr>
        <w:top w:val="none" w:sz="0" w:space="0" w:color="auto"/>
        <w:left w:val="none" w:sz="0" w:space="0" w:color="auto"/>
        <w:bottom w:val="none" w:sz="0" w:space="0" w:color="auto"/>
        <w:right w:val="none" w:sz="0" w:space="0" w:color="auto"/>
      </w:divBdr>
    </w:div>
    <w:div w:id="502668782">
      <w:bodyDiv w:val="1"/>
      <w:marLeft w:val="0"/>
      <w:marRight w:val="0"/>
      <w:marTop w:val="0"/>
      <w:marBottom w:val="0"/>
      <w:divBdr>
        <w:top w:val="none" w:sz="0" w:space="0" w:color="auto"/>
        <w:left w:val="none" w:sz="0" w:space="0" w:color="auto"/>
        <w:bottom w:val="none" w:sz="0" w:space="0" w:color="auto"/>
        <w:right w:val="none" w:sz="0" w:space="0" w:color="auto"/>
      </w:divBdr>
    </w:div>
    <w:div w:id="502864752">
      <w:bodyDiv w:val="1"/>
      <w:marLeft w:val="0"/>
      <w:marRight w:val="0"/>
      <w:marTop w:val="0"/>
      <w:marBottom w:val="0"/>
      <w:divBdr>
        <w:top w:val="none" w:sz="0" w:space="0" w:color="auto"/>
        <w:left w:val="none" w:sz="0" w:space="0" w:color="auto"/>
        <w:bottom w:val="none" w:sz="0" w:space="0" w:color="auto"/>
        <w:right w:val="none" w:sz="0" w:space="0" w:color="auto"/>
      </w:divBdr>
    </w:div>
    <w:div w:id="510412419">
      <w:bodyDiv w:val="1"/>
      <w:marLeft w:val="0"/>
      <w:marRight w:val="0"/>
      <w:marTop w:val="0"/>
      <w:marBottom w:val="0"/>
      <w:divBdr>
        <w:top w:val="none" w:sz="0" w:space="0" w:color="auto"/>
        <w:left w:val="none" w:sz="0" w:space="0" w:color="auto"/>
        <w:bottom w:val="none" w:sz="0" w:space="0" w:color="auto"/>
        <w:right w:val="none" w:sz="0" w:space="0" w:color="auto"/>
      </w:divBdr>
    </w:div>
    <w:div w:id="514074691">
      <w:bodyDiv w:val="1"/>
      <w:marLeft w:val="0"/>
      <w:marRight w:val="0"/>
      <w:marTop w:val="0"/>
      <w:marBottom w:val="0"/>
      <w:divBdr>
        <w:top w:val="none" w:sz="0" w:space="0" w:color="auto"/>
        <w:left w:val="none" w:sz="0" w:space="0" w:color="auto"/>
        <w:bottom w:val="none" w:sz="0" w:space="0" w:color="auto"/>
        <w:right w:val="none" w:sz="0" w:space="0" w:color="auto"/>
      </w:divBdr>
    </w:div>
    <w:div w:id="517618154">
      <w:bodyDiv w:val="1"/>
      <w:marLeft w:val="0"/>
      <w:marRight w:val="0"/>
      <w:marTop w:val="0"/>
      <w:marBottom w:val="0"/>
      <w:divBdr>
        <w:top w:val="none" w:sz="0" w:space="0" w:color="auto"/>
        <w:left w:val="none" w:sz="0" w:space="0" w:color="auto"/>
        <w:bottom w:val="none" w:sz="0" w:space="0" w:color="auto"/>
        <w:right w:val="none" w:sz="0" w:space="0" w:color="auto"/>
      </w:divBdr>
    </w:div>
    <w:div w:id="517697261">
      <w:bodyDiv w:val="1"/>
      <w:marLeft w:val="0"/>
      <w:marRight w:val="0"/>
      <w:marTop w:val="0"/>
      <w:marBottom w:val="0"/>
      <w:divBdr>
        <w:top w:val="none" w:sz="0" w:space="0" w:color="auto"/>
        <w:left w:val="none" w:sz="0" w:space="0" w:color="auto"/>
        <w:bottom w:val="none" w:sz="0" w:space="0" w:color="auto"/>
        <w:right w:val="none" w:sz="0" w:space="0" w:color="auto"/>
      </w:divBdr>
    </w:div>
    <w:div w:id="523832329">
      <w:bodyDiv w:val="1"/>
      <w:marLeft w:val="0"/>
      <w:marRight w:val="0"/>
      <w:marTop w:val="0"/>
      <w:marBottom w:val="0"/>
      <w:divBdr>
        <w:top w:val="none" w:sz="0" w:space="0" w:color="auto"/>
        <w:left w:val="none" w:sz="0" w:space="0" w:color="auto"/>
        <w:bottom w:val="none" w:sz="0" w:space="0" w:color="auto"/>
        <w:right w:val="none" w:sz="0" w:space="0" w:color="auto"/>
      </w:divBdr>
    </w:div>
    <w:div w:id="527716069">
      <w:bodyDiv w:val="1"/>
      <w:marLeft w:val="0"/>
      <w:marRight w:val="0"/>
      <w:marTop w:val="0"/>
      <w:marBottom w:val="0"/>
      <w:divBdr>
        <w:top w:val="none" w:sz="0" w:space="0" w:color="auto"/>
        <w:left w:val="none" w:sz="0" w:space="0" w:color="auto"/>
        <w:bottom w:val="none" w:sz="0" w:space="0" w:color="auto"/>
        <w:right w:val="none" w:sz="0" w:space="0" w:color="auto"/>
      </w:divBdr>
    </w:div>
    <w:div w:id="530145287">
      <w:bodyDiv w:val="1"/>
      <w:marLeft w:val="0"/>
      <w:marRight w:val="0"/>
      <w:marTop w:val="0"/>
      <w:marBottom w:val="0"/>
      <w:divBdr>
        <w:top w:val="none" w:sz="0" w:space="0" w:color="auto"/>
        <w:left w:val="none" w:sz="0" w:space="0" w:color="auto"/>
        <w:bottom w:val="none" w:sz="0" w:space="0" w:color="auto"/>
        <w:right w:val="none" w:sz="0" w:space="0" w:color="auto"/>
      </w:divBdr>
    </w:div>
    <w:div w:id="530612104">
      <w:bodyDiv w:val="1"/>
      <w:marLeft w:val="0"/>
      <w:marRight w:val="0"/>
      <w:marTop w:val="0"/>
      <w:marBottom w:val="0"/>
      <w:divBdr>
        <w:top w:val="none" w:sz="0" w:space="0" w:color="auto"/>
        <w:left w:val="none" w:sz="0" w:space="0" w:color="auto"/>
        <w:bottom w:val="none" w:sz="0" w:space="0" w:color="auto"/>
        <w:right w:val="none" w:sz="0" w:space="0" w:color="auto"/>
      </w:divBdr>
    </w:div>
    <w:div w:id="530992686">
      <w:bodyDiv w:val="1"/>
      <w:marLeft w:val="0"/>
      <w:marRight w:val="0"/>
      <w:marTop w:val="0"/>
      <w:marBottom w:val="0"/>
      <w:divBdr>
        <w:top w:val="none" w:sz="0" w:space="0" w:color="auto"/>
        <w:left w:val="none" w:sz="0" w:space="0" w:color="auto"/>
        <w:bottom w:val="none" w:sz="0" w:space="0" w:color="auto"/>
        <w:right w:val="none" w:sz="0" w:space="0" w:color="auto"/>
      </w:divBdr>
    </w:div>
    <w:div w:id="532614595">
      <w:bodyDiv w:val="1"/>
      <w:marLeft w:val="0"/>
      <w:marRight w:val="0"/>
      <w:marTop w:val="0"/>
      <w:marBottom w:val="0"/>
      <w:divBdr>
        <w:top w:val="none" w:sz="0" w:space="0" w:color="auto"/>
        <w:left w:val="none" w:sz="0" w:space="0" w:color="auto"/>
        <w:bottom w:val="none" w:sz="0" w:space="0" w:color="auto"/>
        <w:right w:val="none" w:sz="0" w:space="0" w:color="auto"/>
      </w:divBdr>
    </w:div>
    <w:div w:id="533537230">
      <w:bodyDiv w:val="1"/>
      <w:marLeft w:val="0"/>
      <w:marRight w:val="0"/>
      <w:marTop w:val="0"/>
      <w:marBottom w:val="0"/>
      <w:divBdr>
        <w:top w:val="none" w:sz="0" w:space="0" w:color="auto"/>
        <w:left w:val="none" w:sz="0" w:space="0" w:color="auto"/>
        <w:bottom w:val="none" w:sz="0" w:space="0" w:color="auto"/>
        <w:right w:val="none" w:sz="0" w:space="0" w:color="auto"/>
      </w:divBdr>
    </w:div>
    <w:div w:id="536770593">
      <w:bodyDiv w:val="1"/>
      <w:marLeft w:val="0"/>
      <w:marRight w:val="0"/>
      <w:marTop w:val="0"/>
      <w:marBottom w:val="0"/>
      <w:divBdr>
        <w:top w:val="none" w:sz="0" w:space="0" w:color="auto"/>
        <w:left w:val="none" w:sz="0" w:space="0" w:color="auto"/>
        <w:bottom w:val="none" w:sz="0" w:space="0" w:color="auto"/>
        <w:right w:val="none" w:sz="0" w:space="0" w:color="auto"/>
      </w:divBdr>
    </w:div>
    <w:div w:id="536936628">
      <w:bodyDiv w:val="1"/>
      <w:marLeft w:val="0"/>
      <w:marRight w:val="0"/>
      <w:marTop w:val="0"/>
      <w:marBottom w:val="0"/>
      <w:divBdr>
        <w:top w:val="none" w:sz="0" w:space="0" w:color="auto"/>
        <w:left w:val="none" w:sz="0" w:space="0" w:color="auto"/>
        <w:bottom w:val="none" w:sz="0" w:space="0" w:color="auto"/>
        <w:right w:val="none" w:sz="0" w:space="0" w:color="auto"/>
      </w:divBdr>
    </w:div>
    <w:div w:id="543949219">
      <w:bodyDiv w:val="1"/>
      <w:marLeft w:val="0"/>
      <w:marRight w:val="0"/>
      <w:marTop w:val="0"/>
      <w:marBottom w:val="0"/>
      <w:divBdr>
        <w:top w:val="none" w:sz="0" w:space="0" w:color="auto"/>
        <w:left w:val="none" w:sz="0" w:space="0" w:color="auto"/>
        <w:bottom w:val="none" w:sz="0" w:space="0" w:color="auto"/>
        <w:right w:val="none" w:sz="0" w:space="0" w:color="auto"/>
      </w:divBdr>
    </w:div>
    <w:div w:id="557326627">
      <w:bodyDiv w:val="1"/>
      <w:marLeft w:val="0"/>
      <w:marRight w:val="0"/>
      <w:marTop w:val="0"/>
      <w:marBottom w:val="0"/>
      <w:divBdr>
        <w:top w:val="none" w:sz="0" w:space="0" w:color="auto"/>
        <w:left w:val="none" w:sz="0" w:space="0" w:color="auto"/>
        <w:bottom w:val="none" w:sz="0" w:space="0" w:color="auto"/>
        <w:right w:val="none" w:sz="0" w:space="0" w:color="auto"/>
      </w:divBdr>
    </w:div>
    <w:div w:id="558975169">
      <w:bodyDiv w:val="1"/>
      <w:marLeft w:val="0"/>
      <w:marRight w:val="0"/>
      <w:marTop w:val="0"/>
      <w:marBottom w:val="0"/>
      <w:divBdr>
        <w:top w:val="none" w:sz="0" w:space="0" w:color="auto"/>
        <w:left w:val="none" w:sz="0" w:space="0" w:color="auto"/>
        <w:bottom w:val="none" w:sz="0" w:space="0" w:color="auto"/>
        <w:right w:val="none" w:sz="0" w:space="0" w:color="auto"/>
      </w:divBdr>
    </w:div>
    <w:div w:id="559171911">
      <w:bodyDiv w:val="1"/>
      <w:marLeft w:val="0"/>
      <w:marRight w:val="0"/>
      <w:marTop w:val="0"/>
      <w:marBottom w:val="0"/>
      <w:divBdr>
        <w:top w:val="none" w:sz="0" w:space="0" w:color="auto"/>
        <w:left w:val="none" w:sz="0" w:space="0" w:color="auto"/>
        <w:bottom w:val="none" w:sz="0" w:space="0" w:color="auto"/>
        <w:right w:val="none" w:sz="0" w:space="0" w:color="auto"/>
      </w:divBdr>
    </w:div>
    <w:div w:id="562300682">
      <w:bodyDiv w:val="1"/>
      <w:marLeft w:val="0"/>
      <w:marRight w:val="0"/>
      <w:marTop w:val="0"/>
      <w:marBottom w:val="0"/>
      <w:divBdr>
        <w:top w:val="none" w:sz="0" w:space="0" w:color="auto"/>
        <w:left w:val="none" w:sz="0" w:space="0" w:color="auto"/>
        <w:bottom w:val="none" w:sz="0" w:space="0" w:color="auto"/>
        <w:right w:val="none" w:sz="0" w:space="0" w:color="auto"/>
      </w:divBdr>
    </w:div>
    <w:div w:id="562326135">
      <w:bodyDiv w:val="1"/>
      <w:marLeft w:val="0"/>
      <w:marRight w:val="0"/>
      <w:marTop w:val="0"/>
      <w:marBottom w:val="0"/>
      <w:divBdr>
        <w:top w:val="none" w:sz="0" w:space="0" w:color="auto"/>
        <w:left w:val="none" w:sz="0" w:space="0" w:color="auto"/>
        <w:bottom w:val="none" w:sz="0" w:space="0" w:color="auto"/>
        <w:right w:val="none" w:sz="0" w:space="0" w:color="auto"/>
      </w:divBdr>
    </w:div>
    <w:div w:id="562571063">
      <w:bodyDiv w:val="1"/>
      <w:marLeft w:val="0"/>
      <w:marRight w:val="0"/>
      <w:marTop w:val="0"/>
      <w:marBottom w:val="0"/>
      <w:divBdr>
        <w:top w:val="none" w:sz="0" w:space="0" w:color="auto"/>
        <w:left w:val="none" w:sz="0" w:space="0" w:color="auto"/>
        <w:bottom w:val="none" w:sz="0" w:space="0" w:color="auto"/>
        <w:right w:val="none" w:sz="0" w:space="0" w:color="auto"/>
      </w:divBdr>
    </w:div>
    <w:div w:id="562830844">
      <w:bodyDiv w:val="1"/>
      <w:marLeft w:val="0"/>
      <w:marRight w:val="0"/>
      <w:marTop w:val="0"/>
      <w:marBottom w:val="0"/>
      <w:divBdr>
        <w:top w:val="none" w:sz="0" w:space="0" w:color="auto"/>
        <w:left w:val="none" w:sz="0" w:space="0" w:color="auto"/>
        <w:bottom w:val="none" w:sz="0" w:space="0" w:color="auto"/>
        <w:right w:val="none" w:sz="0" w:space="0" w:color="auto"/>
      </w:divBdr>
    </w:div>
    <w:div w:id="564144531">
      <w:bodyDiv w:val="1"/>
      <w:marLeft w:val="0"/>
      <w:marRight w:val="0"/>
      <w:marTop w:val="0"/>
      <w:marBottom w:val="0"/>
      <w:divBdr>
        <w:top w:val="none" w:sz="0" w:space="0" w:color="auto"/>
        <w:left w:val="none" w:sz="0" w:space="0" w:color="auto"/>
        <w:bottom w:val="none" w:sz="0" w:space="0" w:color="auto"/>
        <w:right w:val="none" w:sz="0" w:space="0" w:color="auto"/>
      </w:divBdr>
    </w:div>
    <w:div w:id="565993116">
      <w:bodyDiv w:val="1"/>
      <w:marLeft w:val="0"/>
      <w:marRight w:val="0"/>
      <w:marTop w:val="0"/>
      <w:marBottom w:val="0"/>
      <w:divBdr>
        <w:top w:val="none" w:sz="0" w:space="0" w:color="auto"/>
        <w:left w:val="none" w:sz="0" w:space="0" w:color="auto"/>
        <w:bottom w:val="none" w:sz="0" w:space="0" w:color="auto"/>
        <w:right w:val="none" w:sz="0" w:space="0" w:color="auto"/>
      </w:divBdr>
    </w:div>
    <w:div w:id="567426051">
      <w:bodyDiv w:val="1"/>
      <w:marLeft w:val="0"/>
      <w:marRight w:val="0"/>
      <w:marTop w:val="0"/>
      <w:marBottom w:val="0"/>
      <w:divBdr>
        <w:top w:val="none" w:sz="0" w:space="0" w:color="auto"/>
        <w:left w:val="none" w:sz="0" w:space="0" w:color="auto"/>
        <w:bottom w:val="none" w:sz="0" w:space="0" w:color="auto"/>
        <w:right w:val="none" w:sz="0" w:space="0" w:color="auto"/>
      </w:divBdr>
    </w:div>
    <w:div w:id="575671437">
      <w:bodyDiv w:val="1"/>
      <w:marLeft w:val="0"/>
      <w:marRight w:val="0"/>
      <w:marTop w:val="0"/>
      <w:marBottom w:val="0"/>
      <w:divBdr>
        <w:top w:val="none" w:sz="0" w:space="0" w:color="auto"/>
        <w:left w:val="none" w:sz="0" w:space="0" w:color="auto"/>
        <w:bottom w:val="none" w:sz="0" w:space="0" w:color="auto"/>
        <w:right w:val="none" w:sz="0" w:space="0" w:color="auto"/>
      </w:divBdr>
    </w:div>
    <w:div w:id="578054833">
      <w:bodyDiv w:val="1"/>
      <w:marLeft w:val="0"/>
      <w:marRight w:val="0"/>
      <w:marTop w:val="0"/>
      <w:marBottom w:val="0"/>
      <w:divBdr>
        <w:top w:val="none" w:sz="0" w:space="0" w:color="auto"/>
        <w:left w:val="none" w:sz="0" w:space="0" w:color="auto"/>
        <w:bottom w:val="none" w:sz="0" w:space="0" w:color="auto"/>
        <w:right w:val="none" w:sz="0" w:space="0" w:color="auto"/>
      </w:divBdr>
    </w:div>
    <w:div w:id="586038313">
      <w:bodyDiv w:val="1"/>
      <w:marLeft w:val="0"/>
      <w:marRight w:val="0"/>
      <w:marTop w:val="0"/>
      <w:marBottom w:val="0"/>
      <w:divBdr>
        <w:top w:val="none" w:sz="0" w:space="0" w:color="auto"/>
        <w:left w:val="none" w:sz="0" w:space="0" w:color="auto"/>
        <w:bottom w:val="none" w:sz="0" w:space="0" w:color="auto"/>
        <w:right w:val="none" w:sz="0" w:space="0" w:color="auto"/>
      </w:divBdr>
    </w:div>
    <w:div w:id="591008284">
      <w:bodyDiv w:val="1"/>
      <w:marLeft w:val="0"/>
      <w:marRight w:val="0"/>
      <w:marTop w:val="0"/>
      <w:marBottom w:val="0"/>
      <w:divBdr>
        <w:top w:val="none" w:sz="0" w:space="0" w:color="auto"/>
        <w:left w:val="none" w:sz="0" w:space="0" w:color="auto"/>
        <w:bottom w:val="none" w:sz="0" w:space="0" w:color="auto"/>
        <w:right w:val="none" w:sz="0" w:space="0" w:color="auto"/>
      </w:divBdr>
    </w:div>
    <w:div w:id="591938521">
      <w:bodyDiv w:val="1"/>
      <w:marLeft w:val="0"/>
      <w:marRight w:val="0"/>
      <w:marTop w:val="0"/>
      <w:marBottom w:val="0"/>
      <w:divBdr>
        <w:top w:val="none" w:sz="0" w:space="0" w:color="auto"/>
        <w:left w:val="none" w:sz="0" w:space="0" w:color="auto"/>
        <w:bottom w:val="none" w:sz="0" w:space="0" w:color="auto"/>
        <w:right w:val="none" w:sz="0" w:space="0" w:color="auto"/>
      </w:divBdr>
    </w:div>
    <w:div w:id="593782238">
      <w:bodyDiv w:val="1"/>
      <w:marLeft w:val="0"/>
      <w:marRight w:val="0"/>
      <w:marTop w:val="0"/>
      <w:marBottom w:val="0"/>
      <w:divBdr>
        <w:top w:val="none" w:sz="0" w:space="0" w:color="auto"/>
        <w:left w:val="none" w:sz="0" w:space="0" w:color="auto"/>
        <w:bottom w:val="none" w:sz="0" w:space="0" w:color="auto"/>
        <w:right w:val="none" w:sz="0" w:space="0" w:color="auto"/>
      </w:divBdr>
    </w:div>
    <w:div w:id="603683929">
      <w:bodyDiv w:val="1"/>
      <w:marLeft w:val="0"/>
      <w:marRight w:val="0"/>
      <w:marTop w:val="0"/>
      <w:marBottom w:val="0"/>
      <w:divBdr>
        <w:top w:val="none" w:sz="0" w:space="0" w:color="auto"/>
        <w:left w:val="none" w:sz="0" w:space="0" w:color="auto"/>
        <w:bottom w:val="none" w:sz="0" w:space="0" w:color="auto"/>
        <w:right w:val="none" w:sz="0" w:space="0" w:color="auto"/>
      </w:divBdr>
    </w:div>
    <w:div w:id="607354773">
      <w:bodyDiv w:val="1"/>
      <w:marLeft w:val="0"/>
      <w:marRight w:val="0"/>
      <w:marTop w:val="0"/>
      <w:marBottom w:val="0"/>
      <w:divBdr>
        <w:top w:val="none" w:sz="0" w:space="0" w:color="auto"/>
        <w:left w:val="none" w:sz="0" w:space="0" w:color="auto"/>
        <w:bottom w:val="none" w:sz="0" w:space="0" w:color="auto"/>
        <w:right w:val="none" w:sz="0" w:space="0" w:color="auto"/>
      </w:divBdr>
    </w:div>
    <w:div w:id="612592666">
      <w:bodyDiv w:val="1"/>
      <w:marLeft w:val="0"/>
      <w:marRight w:val="0"/>
      <w:marTop w:val="0"/>
      <w:marBottom w:val="0"/>
      <w:divBdr>
        <w:top w:val="none" w:sz="0" w:space="0" w:color="auto"/>
        <w:left w:val="none" w:sz="0" w:space="0" w:color="auto"/>
        <w:bottom w:val="none" w:sz="0" w:space="0" w:color="auto"/>
        <w:right w:val="none" w:sz="0" w:space="0" w:color="auto"/>
      </w:divBdr>
    </w:div>
    <w:div w:id="612831790">
      <w:bodyDiv w:val="1"/>
      <w:marLeft w:val="0"/>
      <w:marRight w:val="0"/>
      <w:marTop w:val="0"/>
      <w:marBottom w:val="0"/>
      <w:divBdr>
        <w:top w:val="none" w:sz="0" w:space="0" w:color="auto"/>
        <w:left w:val="none" w:sz="0" w:space="0" w:color="auto"/>
        <w:bottom w:val="none" w:sz="0" w:space="0" w:color="auto"/>
        <w:right w:val="none" w:sz="0" w:space="0" w:color="auto"/>
      </w:divBdr>
    </w:div>
    <w:div w:id="620192217">
      <w:bodyDiv w:val="1"/>
      <w:marLeft w:val="0"/>
      <w:marRight w:val="0"/>
      <w:marTop w:val="0"/>
      <w:marBottom w:val="0"/>
      <w:divBdr>
        <w:top w:val="none" w:sz="0" w:space="0" w:color="auto"/>
        <w:left w:val="none" w:sz="0" w:space="0" w:color="auto"/>
        <w:bottom w:val="none" w:sz="0" w:space="0" w:color="auto"/>
        <w:right w:val="none" w:sz="0" w:space="0" w:color="auto"/>
      </w:divBdr>
    </w:div>
    <w:div w:id="625042718">
      <w:bodyDiv w:val="1"/>
      <w:marLeft w:val="0"/>
      <w:marRight w:val="0"/>
      <w:marTop w:val="0"/>
      <w:marBottom w:val="0"/>
      <w:divBdr>
        <w:top w:val="none" w:sz="0" w:space="0" w:color="auto"/>
        <w:left w:val="none" w:sz="0" w:space="0" w:color="auto"/>
        <w:bottom w:val="none" w:sz="0" w:space="0" w:color="auto"/>
        <w:right w:val="none" w:sz="0" w:space="0" w:color="auto"/>
      </w:divBdr>
    </w:div>
    <w:div w:id="629749895">
      <w:bodyDiv w:val="1"/>
      <w:marLeft w:val="0"/>
      <w:marRight w:val="0"/>
      <w:marTop w:val="0"/>
      <w:marBottom w:val="0"/>
      <w:divBdr>
        <w:top w:val="none" w:sz="0" w:space="0" w:color="auto"/>
        <w:left w:val="none" w:sz="0" w:space="0" w:color="auto"/>
        <w:bottom w:val="none" w:sz="0" w:space="0" w:color="auto"/>
        <w:right w:val="none" w:sz="0" w:space="0" w:color="auto"/>
      </w:divBdr>
    </w:div>
    <w:div w:id="635835669">
      <w:bodyDiv w:val="1"/>
      <w:marLeft w:val="0"/>
      <w:marRight w:val="0"/>
      <w:marTop w:val="0"/>
      <w:marBottom w:val="0"/>
      <w:divBdr>
        <w:top w:val="none" w:sz="0" w:space="0" w:color="auto"/>
        <w:left w:val="none" w:sz="0" w:space="0" w:color="auto"/>
        <w:bottom w:val="none" w:sz="0" w:space="0" w:color="auto"/>
        <w:right w:val="none" w:sz="0" w:space="0" w:color="auto"/>
      </w:divBdr>
    </w:div>
    <w:div w:id="642582282">
      <w:bodyDiv w:val="1"/>
      <w:marLeft w:val="0"/>
      <w:marRight w:val="0"/>
      <w:marTop w:val="0"/>
      <w:marBottom w:val="0"/>
      <w:divBdr>
        <w:top w:val="none" w:sz="0" w:space="0" w:color="auto"/>
        <w:left w:val="none" w:sz="0" w:space="0" w:color="auto"/>
        <w:bottom w:val="none" w:sz="0" w:space="0" w:color="auto"/>
        <w:right w:val="none" w:sz="0" w:space="0" w:color="auto"/>
      </w:divBdr>
    </w:div>
    <w:div w:id="642664000">
      <w:bodyDiv w:val="1"/>
      <w:marLeft w:val="0"/>
      <w:marRight w:val="0"/>
      <w:marTop w:val="0"/>
      <w:marBottom w:val="0"/>
      <w:divBdr>
        <w:top w:val="none" w:sz="0" w:space="0" w:color="auto"/>
        <w:left w:val="none" w:sz="0" w:space="0" w:color="auto"/>
        <w:bottom w:val="none" w:sz="0" w:space="0" w:color="auto"/>
        <w:right w:val="none" w:sz="0" w:space="0" w:color="auto"/>
      </w:divBdr>
    </w:div>
    <w:div w:id="649481448">
      <w:bodyDiv w:val="1"/>
      <w:marLeft w:val="0"/>
      <w:marRight w:val="0"/>
      <w:marTop w:val="0"/>
      <w:marBottom w:val="0"/>
      <w:divBdr>
        <w:top w:val="none" w:sz="0" w:space="0" w:color="auto"/>
        <w:left w:val="none" w:sz="0" w:space="0" w:color="auto"/>
        <w:bottom w:val="none" w:sz="0" w:space="0" w:color="auto"/>
        <w:right w:val="none" w:sz="0" w:space="0" w:color="auto"/>
      </w:divBdr>
    </w:div>
    <w:div w:id="649873214">
      <w:bodyDiv w:val="1"/>
      <w:marLeft w:val="0"/>
      <w:marRight w:val="0"/>
      <w:marTop w:val="0"/>
      <w:marBottom w:val="0"/>
      <w:divBdr>
        <w:top w:val="none" w:sz="0" w:space="0" w:color="auto"/>
        <w:left w:val="none" w:sz="0" w:space="0" w:color="auto"/>
        <w:bottom w:val="none" w:sz="0" w:space="0" w:color="auto"/>
        <w:right w:val="none" w:sz="0" w:space="0" w:color="auto"/>
      </w:divBdr>
    </w:div>
    <w:div w:id="653484625">
      <w:bodyDiv w:val="1"/>
      <w:marLeft w:val="0"/>
      <w:marRight w:val="0"/>
      <w:marTop w:val="0"/>
      <w:marBottom w:val="0"/>
      <w:divBdr>
        <w:top w:val="none" w:sz="0" w:space="0" w:color="auto"/>
        <w:left w:val="none" w:sz="0" w:space="0" w:color="auto"/>
        <w:bottom w:val="none" w:sz="0" w:space="0" w:color="auto"/>
        <w:right w:val="none" w:sz="0" w:space="0" w:color="auto"/>
      </w:divBdr>
    </w:div>
    <w:div w:id="654914913">
      <w:bodyDiv w:val="1"/>
      <w:marLeft w:val="0"/>
      <w:marRight w:val="0"/>
      <w:marTop w:val="0"/>
      <w:marBottom w:val="0"/>
      <w:divBdr>
        <w:top w:val="none" w:sz="0" w:space="0" w:color="auto"/>
        <w:left w:val="none" w:sz="0" w:space="0" w:color="auto"/>
        <w:bottom w:val="none" w:sz="0" w:space="0" w:color="auto"/>
        <w:right w:val="none" w:sz="0" w:space="0" w:color="auto"/>
      </w:divBdr>
    </w:div>
    <w:div w:id="655188596">
      <w:bodyDiv w:val="1"/>
      <w:marLeft w:val="0"/>
      <w:marRight w:val="0"/>
      <w:marTop w:val="0"/>
      <w:marBottom w:val="0"/>
      <w:divBdr>
        <w:top w:val="none" w:sz="0" w:space="0" w:color="auto"/>
        <w:left w:val="none" w:sz="0" w:space="0" w:color="auto"/>
        <w:bottom w:val="none" w:sz="0" w:space="0" w:color="auto"/>
        <w:right w:val="none" w:sz="0" w:space="0" w:color="auto"/>
      </w:divBdr>
    </w:div>
    <w:div w:id="665868238">
      <w:bodyDiv w:val="1"/>
      <w:marLeft w:val="0"/>
      <w:marRight w:val="0"/>
      <w:marTop w:val="0"/>
      <w:marBottom w:val="0"/>
      <w:divBdr>
        <w:top w:val="none" w:sz="0" w:space="0" w:color="auto"/>
        <w:left w:val="none" w:sz="0" w:space="0" w:color="auto"/>
        <w:bottom w:val="none" w:sz="0" w:space="0" w:color="auto"/>
        <w:right w:val="none" w:sz="0" w:space="0" w:color="auto"/>
      </w:divBdr>
    </w:div>
    <w:div w:id="666443261">
      <w:bodyDiv w:val="1"/>
      <w:marLeft w:val="0"/>
      <w:marRight w:val="0"/>
      <w:marTop w:val="0"/>
      <w:marBottom w:val="0"/>
      <w:divBdr>
        <w:top w:val="none" w:sz="0" w:space="0" w:color="auto"/>
        <w:left w:val="none" w:sz="0" w:space="0" w:color="auto"/>
        <w:bottom w:val="none" w:sz="0" w:space="0" w:color="auto"/>
        <w:right w:val="none" w:sz="0" w:space="0" w:color="auto"/>
      </w:divBdr>
    </w:div>
    <w:div w:id="669521933">
      <w:bodyDiv w:val="1"/>
      <w:marLeft w:val="0"/>
      <w:marRight w:val="0"/>
      <w:marTop w:val="0"/>
      <w:marBottom w:val="0"/>
      <w:divBdr>
        <w:top w:val="none" w:sz="0" w:space="0" w:color="auto"/>
        <w:left w:val="none" w:sz="0" w:space="0" w:color="auto"/>
        <w:bottom w:val="none" w:sz="0" w:space="0" w:color="auto"/>
        <w:right w:val="none" w:sz="0" w:space="0" w:color="auto"/>
      </w:divBdr>
    </w:div>
    <w:div w:id="671104881">
      <w:bodyDiv w:val="1"/>
      <w:marLeft w:val="0"/>
      <w:marRight w:val="0"/>
      <w:marTop w:val="0"/>
      <w:marBottom w:val="0"/>
      <w:divBdr>
        <w:top w:val="none" w:sz="0" w:space="0" w:color="auto"/>
        <w:left w:val="none" w:sz="0" w:space="0" w:color="auto"/>
        <w:bottom w:val="none" w:sz="0" w:space="0" w:color="auto"/>
        <w:right w:val="none" w:sz="0" w:space="0" w:color="auto"/>
      </w:divBdr>
    </w:div>
    <w:div w:id="677973942">
      <w:bodyDiv w:val="1"/>
      <w:marLeft w:val="0"/>
      <w:marRight w:val="0"/>
      <w:marTop w:val="0"/>
      <w:marBottom w:val="0"/>
      <w:divBdr>
        <w:top w:val="none" w:sz="0" w:space="0" w:color="auto"/>
        <w:left w:val="none" w:sz="0" w:space="0" w:color="auto"/>
        <w:bottom w:val="none" w:sz="0" w:space="0" w:color="auto"/>
        <w:right w:val="none" w:sz="0" w:space="0" w:color="auto"/>
      </w:divBdr>
    </w:div>
    <w:div w:id="687024579">
      <w:bodyDiv w:val="1"/>
      <w:marLeft w:val="0"/>
      <w:marRight w:val="0"/>
      <w:marTop w:val="0"/>
      <w:marBottom w:val="0"/>
      <w:divBdr>
        <w:top w:val="none" w:sz="0" w:space="0" w:color="auto"/>
        <w:left w:val="none" w:sz="0" w:space="0" w:color="auto"/>
        <w:bottom w:val="none" w:sz="0" w:space="0" w:color="auto"/>
        <w:right w:val="none" w:sz="0" w:space="0" w:color="auto"/>
      </w:divBdr>
    </w:div>
    <w:div w:id="687489066">
      <w:bodyDiv w:val="1"/>
      <w:marLeft w:val="0"/>
      <w:marRight w:val="0"/>
      <w:marTop w:val="0"/>
      <w:marBottom w:val="0"/>
      <w:divBdr>
        <w:top w:val="none" w:sz="0" w:space="0" w:color="auto"/>
        <w:left w:val="none" w:sz="0" w:space="0" w:color="auto"/>
        <w:bottom w:val="none" w:sz="0" w:space="0" w:color="auto"/>
        <w:right w:val="none" w:sz="0" w:space="0" w:color="auto"/>
      </w:divBdr>
    </w:div>
    <w:div w:id="689913865">
      <w:bodyDiv w:val="1"/>
      <w:marLeft w:val="0"/>
      <w:marRight w:val="0"/>
      <w:marTop w:val="0"/>
      <w:marBottom w:val="0"/>
      <w:divBdr>
        <w:top w:val="none" w:sz="0" w:space="0" w:color="auto"/>
        <w:left w:val="none" w:sz="0" w:space="0" w:color="auto"/>
        <w:bottom w:val="none" w:sz="0" w:space="0" w:color="auto"/>
        <w:right w:val="none" w:sz="0" w:space="0" w:color="auto"/>
      </w:divBdr>
    </w:div>
    <w:div w:id="690225503">
      <w:bodyDiv w:val="1"/>
      <w:marLeft w:val="0"/>
      <w:marRight w:val="0"/>
      <w:marTop w:val="0"/>
      <w:marBottom w:val="0"/>
      <w:divBdr>
        <w:top w:val="none" w:sz="0" w:space="0" w:color="auto"/>
        <w:left w:val="none" w:sz="0" w:space="0" w:color="auto"/>
        <w:bottom w:val="none" w:sz="0" w:space="0" w:color="auto"/>
        <w:right w:val="none" w:sz="0" w:space="0" w:color="auto"/>
      </w:divBdr>
    </w:div>
    <w:div w:id="692073714">
      <w:bodyDiv w:val="1"/>
      <w:marLeft w:val="0"/>
      <w:marRight w:val="0"/>
      <w:marTop w:val="0"/>
      <w:marBottom w:val="0"/>
      <w:divBdr>
        <w:top w:val="none" w:sz="0" w:space="0" w:color="auto"/>
        <w:left w:val="none" w:sz="0" w:space="0" w:color="auto"/>
        <w:bottom w:val="none" w:sz="0" w:space="0" w:color="auto"/>
        <w:right w:val="none" w:sz="0" w:space="0" w:color="auto"/>
      </w:divBdr>
    </w:div>
    <w:div w:id="695886693">
      <w:bodyDiv w:val="1"/>
      <w:marLeft w:val="0"/>
      <w:marRight w:val="0"/>
      <w:marTop w:val="0"/>
      <w:marBottom w:val="0"/>
      <w:divBdr>
        <w:top w:val="none" w:sz="0" w:space="0" w:color="auto"/>
        <w:left w:val="none" w:sz="0" w:space="0" w:color="auto"/>
        <w:bottom w:val="none" w:sz="0" w:space="0" w:color="auto"/>
        <w:right w:val="none" w:sz="0" w:space="0" w:color="auto"/>
      </w:divBdr>
    </w:div>
    <w:div w:id="696472010">
      <w:bodyDiv w:val="1"/>
      <w:marLeft w:val="0"/>
      <w:marRight w:val="0"/>
      <w:marTop w:val="0"/>
      <w:marBottom w:val="0"/>
      <w:divBdr>
        <w:top w:val="none" w:sz="0" w:space="0" w:color="auto"/>
        <w:left w:val="none" w:sz="0" w:space="0" w:color="auto"/>
        <w:bottom w:val="none" w:sz="0" w:space="0" w:color="auto"/>
        <w:right w:val="none" w:sz="0" w:space="0" w:color="auto"/>
      </w:divBdr>
    </w:div>
    <w:div w:id="701633669">
      <w:bodyDiv w:val="1"/>
      <w:marLeft w:val="0"/>
      <w:marRight w:val="0"/>
      <w:marTop w:val="0"/>
      <w:marBottom w:val="0"/>
      <w:divBdr>
        <w:top w:val="none" w:sz="0" w:space="0" w:color="auto"/>
        <w:left w:val="none" w:sz="0" w:space="0" w:color="auto"/>
        <w:bottom w:val="none" w:sz="0" w:space="0" w:color="auto"/>
        <w:right w:val="none" w:sz="0" w:space="0" w:color="auto"/>
      </w:divBdr>
    </w:div>
    <w:div w:id="703211807">
      <w:bodyDiv w:val="1"/>
      <w:marLeft w:val="0"/>
      <w:marRight w:val="0"/>
      <w:marTop w:val="0"/>
      <w:marBottom w:val="0"/>
      <w:divBdr>
        <w:top w:val="none" w:sz="0" w:space="0" w:color="auto"/>
        <w:left w:val="none" w:sz="0" w:space="0" w:color="auto"/>
        <w:bottom w:val="none" w:sz="0" w:space="0" w:color="auto"/>
        <w:right w:val="none" w:sz="0" w:space="0" w:color="auto"/>
      </w:divBdr>
    </w:div>
    <w:div w:id="707949725">
      <w:bodyDiv w:val="1"/>
      <w:marLeft w:val="0"/>
      <w:marRight w:val="0"/>
      <w:marTop w:val="0"/>
      <w:marBottom w:val="0"/>
      <w:divBdr>
        <w:top w:val="none" w:sz="0" w:space="0" w:color="auto"/>
        <w:left w:val="none" w:sz="0" w:space="0" w:color="auto"/>
        <w:bottom w:val="none" w:sz="0" w:space="0" w:color="auto"/>
        <w:right w:val="none" w:sz="0" w:space="0" w:color="auto"/>
      </w:divBdr>
    </w:div>
    <w:div w:id="708996392">
      <w:bodyDiv w:val="1"/>
      <w:marLeft w:val="0"/>
      <w:marRight w:val="0"/>
      <w:marTop w:val="0"/>
      <w:marBottom w:val="0"/>
      <w:divBdr>
        <w:top w:val="none" w:sz="0" w:space="0" w:color="auto"/>
        <w:left w:val="none" w:sz="0" w:space="0" w:color="auto"/>
        <w:bottom w:val="none" w:sz="0" w:space="0" w:color="auto"/>
        <w:right w:val="none" w:sz="0" w:space="0" w:color="auto"/>
      </w:divBdr>
    </w:div>
    <w:div w:id="720255618">
      <w:bodyDiv w:val="1"/>
      <w:marLeft w:val="0"/>
      <w:marRight w:val="0"/>
      <w:marTop w:val="0"/>
      <w:marBottom w:val="0"/>
      <w:divBdr>
        <w:top w:val="none" w:sz="0" w:space="0" w:color="auto"/>
        <w:left w:val="none" w:sz="0" w:space="0" w:color="auto"/>
        <w:bottom w:val="none" w:sz="0" w:space="0" w:color="auto"/>
        <w:right w:val="none" w:sz="0" w:space="0" w:color="auto"/>
      </w:divBdr>
    </w:div>
    <w:div w:id="723724276">
      <w:bodyDiv w:val="1"/>
      <w:marLeft w:val="0"/>
      <w:marRight w:val="0"/>
      <w:marTop w:val="0"/>
      <w:marBottom w:val="0"/>
      <w:divBdr>
        <w:top w:val="none" w:sz="0" w:space="0" w:color="auto"/>
        <w:left w:val="none" w:sz="0" w:space="0" w:color="auto"/>
        <w:bottom w:val="none" w:sz="0" w:space="0" w:color="auto"/>
        <w:right w:val="none" w:sz="0" w:space="0" w:color="auto"/>
      </w:divBdr>
    </w:div>
    <w:div w:id="728840459">
      <w:bodyDiv w:val="1"/>
      <w:marLeft w:val="0"/>
      <w:marRight w:val="0"/>
      <w:marTop w:val="0"/>
      <w:marBottom w:val="0"/>
      <w:divBdr>
        <w:top w:val="none" w:sz="0" w:space="0" w:color="auto"/>
        <w:left w:val="none" w:sz="0" w:space="0" w:color="auto"/>
        <w:bottom w:val="none" w:sz="0" w:space="0" w:color="auto"/>
        <w:right w:val="none" w:sz="0" w:space="0" w:color="auto"/>
      </w:divBdr>
    </w:div>
    <w:div w:id="729153620">
      <w:bodyDiv w:val="1"/>
      <w:marLeft w:val="0"/>
      <w:marRight w:val="0"/>
      <w:marTop w:val="0"/>
      <w:marBottom w:val="0"/>
      <w:divBdr>
        <w:top w:val="none" w:sz="0" w:space="0" w:color="auto"/>
        <w:left w:val="none" w:sz="0" w:space="0" w:color="auto"/>
        <w:bottom w:val="none" w:sz="0" w:space="0" w:color="auto"/>
        <w:right w:val="none" w:sz="0" w:space="0" w:color="auto"/>
      </w:divBdr>
    </w:div>
    <w:div w:id="733771007">
      <w:bodyDiv w:val="1"/>
      <w:marLeft w:val="0"/>
      <w:marRight w:val="0"/>
      <w:marTop w:val="0"/>
      <w:marBottom w:val="0"/>
      <w:divBdr>
        <w:top w:val="none" w:sz="0" w:space="0" w:color="auto"/>
        <w:left w:val="none" w:sz="0" w:space="0" w:color="auto"/>
        <w:bottom w:val="none" w:sz="0" w:space="0" w:color="auto"/>
        <w:right w:val="none" w:sz="0" w:space="0" w:color="auto"/>
      </w:divBdr>
    </w:div>
    <w:div w:id="739327531">
      <w:bodyDiv w:val="1"/>
      <w:marLeft w:val="0"/>
      <w:marRight w:val="0"/>
      <w:marTop w:val="0"/>
      <w:marBottom w:val="0"/>
      <w:divBdr>
        <w:top w:val="none" w:sz="0" w:space="0" w:color="auto"/>
        <w:left w:val="none" w:sz="0" w:space="0" w:color="auto"/>
        <w:bottom w:val="none" w:sz="0" w:space="0" w:color="auto"/>
        <w:right w:val="none" w:sz="0" w:space="0" w:color="auto"/>
      </w:divBdr>
    </w:div>
    <w:div w:id="746343334">
      <w:bodyDiv w:val="1"/>
      <w:marLeft w:val="0"/>
      <w:marRight w:val="0"/>
      <w:marTop w:val="0"/>
      <w:marBottom w:val="0"/>
      <w:divBdr>
        <w:top w:val="none" w:sz="0" w:space="0" w:color="auto"/>
        <w:left w:val="none" w:sz="0" w:space="0" w:color="auto"/>
        <w:bottom w:val="none" w:sz="0" w:space="0" w:color="auto"/>
        <w:right w:val="none" w:sz="0" w:space="0" w:color="auto"/>
      </w:divBdr>
    </w:div>
    <w:div w:id="747458569">
      <w:bodyDiv w:val="1"/>
      <w:marLeft w:val="0"/>
      <w:marRight w:val="0"/>
      <w:marTop w:val="0"/>
      <w:marBottom w:val="0"/>
      <w:divBdr>
        <w:top w:val="none" w:sz="0" w:space="0" w:color="auto"/>
        <w:left w:val="none" w:sz="0" w:space="0" w:color="auto"/>
        <w:bottom w:val="none" w:sz="0" w:space="0" w:color="auto"/>
        <w:right w:val="none" w:sz="0" w:space="0" w:color="auto"/>
      </w:divBdr>
    </w:div>
    <w:div w:id="749694169">
      <w:bodyDiv w:val="1"/>
      <w:marLeft w:val="0"/>
      <w:marRight w:val="0"/>
      <w:marTop w:val="0"/>
      <w:marBottom w:val="0"/>
      <w:divBdr>
        <w:top w:val="none" w:sz="0" w:space="0" w:color="auto"/>
        <w:left w:val="none" w:sz="0" w:space="0" w:color="auto"/>
        <w:bottom w:val="none" w:sz="0" w:space="0" w:color="auto"/>
        <w:right w:val="none" w:sz="0" w:space="0" w:color="auto"/>
      </w:divBdr>
    </w:div>
    <w:div w:id="749815753">
      <w:bodyDiv w:val="1"/>
      <w:marLeft w:val="0"/>
      <w:marRight w:val="0"/>
      <w:marTop w:val="0"/>
      <w:marBottom w:val="0"/>
      <w:divBdr>
        <w:top w:val="none" w:sz="0" w:space="0" w:color="auto"/>
        <w:left w:val="none" w:sz="0" w:space="0" w:color="auto"/>
        <w:bottom w:val="none" w:sz="0" w:space="0" w:color="auto"/>
        <w:right w:val="none" w:sz="0" w:space="0" w:color="auto"/>
      </w:divBdr>
    </w:div>
    <w:div w:id="755514827">
      <w:bodyDiv w:val="1"/>
      <w:marLeft w:val="0"/>
      <w:marRight w:val="0"/>
      <w:marTop w:val="0"/>
      <w:marBottom w:val="0"/>
      <w:divBdr>
        <w:top w:val="none" w:sz="0" w:space="0" w:color="auto"/>
        <w:left w:val="none" w:sz="0" w:space="0" w:color="auto"/>
        <w:bottom w:val="none" w:sz="0" w:space="0" w:color="auto"/>
        <w:right w:val="none" w:sz="0" w:space="0" w:color="auto"/>
      </w:divBdr>
    </w:div>
    <w:div w:id="757797045">
      <w:bodyDiv w:val="1"/>
      <w:marLeft w:val="0"/>
      <w:marRight w:val="0"/>
      <w:marTop w:val="0"/>
      <w:marBottom w:val="0"/>
      <w:divBdr>
        <w:top w:val="none" w:sz="0" w:space="0" w:color="auto"/>
        <w:left w:val="none" w:sz="0" w:space="0" w:color="auto"/>
        <w:bottom w:val="none" w:sz="0" w:space="0" w:color="auto"/>
        <w:right w:val="none" w:sz="0" w:space="0" w:color="auto"/>
      </w:divBdr>
    </w:div>
    <w:div w:id="758212643">
      <w:bodyDiv w:val="1"/>
      <w:marLeft w:val="0"/>
      <w:marRight w:val="0"/>
      <w:marTop w:val="0"/>
      <w:marBottom w:val="0"/>
      <w:divBdr>
        <w:top w:val="none" w:sz="0" w:space="0" w:color="auto"/>
        <w:left w:val="none" w:sz="0" w:space="0" w:color="auto"/>
        <w:bottom w:val="none" w:sz="0" w:space="0" w:color="auto"/>
        <w:right w:val="none" w:sz="0" w:space="0" w:color="auto"/>
      </w:divBdr>
    </w:div>
    <w:div w:id="758720935">
      <w:bodyDiv w:val="1"/>
      <w:marLeft w:val="0"/>
      <w:marRight w:val="0"/>
      <w:marTop w:val="0"/>
      <w:marBottom w:val="0"/>
      <w:divBdr>
        <w:top w:val="none" w:sz="0" w:space="0" w:color="auto"/>
        <w:left w:val="none" w:sz="0" w:space="0" w:color="auto"/>
        <w:bottom w:val="none" w:sz="0" w:space="0" w:color="auto"/>
        <w:right w:val="none" w:sz="0" w:space="0" w:color="auto"/>
      </w:divBdr>
    </w:div>
    <w:div w:id="758867367">
      <w:bodyDiv w:val="1"/>
      <w:marLeft w:val="0"/>
      <w:marRight w:val="0"/>
      <w:marTop w:val="0"/>
      <w:marBottom w:val="0"/>
      <w:divBdr>
        <w:top w:val="none" w:sz="0" w:space="0" w:color="auto"/>
        <w:left w:val="none" w:sz="0" w:space="0" w:color="auto"/>
        <w:bottom w:val="none" w:sz="0" w:space="0" w:color="auto"/>
        <w:right w:val="none" w:sz="0" w:space="0" w:color="auto"/>
      </w:divBdr>
    </w:div>
    <w:div w:id="759838785">
      <w:bodyDiv w:val="1"/>
      <w:marLeft w:val="0"/>
      <w:marRight w:val="0"/>
      <w:marTop w:val="0"/>
      <w:marBottom w:val="0"/>
      <w:divBdr>
        <w:top w:val="none" w:sz="0" w:space="0" w:color="auto"/>
        <w:left w:val="none" w:sz="0" w:space="0" w:color="auto"/>
        <w:bottom w:val="none" w:sz="0" w:space="0" w:color="auto"/>
        <w:right w:val="none" w:sz="0" w:space="0" w:color="auto"/>
      </w:divBdr>
    </w:div>
    <w:div w:id="760182287">
      <w:bodyDiv w:val="1"/>
      <w:marLeft w:val="0"/>
      <w:marRight w:val="0"/>
      <w:marTop w:val="0"/>
      <w:marBottom w:val="0"/>
      <w:divBdr>
        <w:top w:val="none" w:sz="0" w:space="0" w:color="auto"/>
        <w:left w:val="none" w:sz="0" w:space="0" w:color="auto"/>
        <w:bottom w:val="none" w:sz="0" w:space="0" w:color="auto"/>
        <w:right w:val="none" w:sz="0" w:space="0" w:color="auto"/>
      </w:divBdr>
    </w:div>
    <w:div w:id="761756098">
      <w:bodyDiv w:val="1"/>
      <w:marLeft w:val="0"/>
      <w:marRight w:val="0"/>
      <w:marTop w:val="0"/>
      <w:marBottom w:val="0"/>
      <w:divBdr>
        <w:top w:val="none" w:sz="0" w:space="0" w:color="auto"/>
        <w:left w:val="none" w:sz="0" w:space="0" w:color="auto"/>
        <w:bottom w:val="none" w:sz="0" w:space="0" w:color="auto"/>
        <w:right w:val="none" w:sz="0" w:space="0" w:color="auto"/>
      </w:divBdr>
    </w:div>
    <w:div w:id="762602457">
      <w:bodyDiv w:val="1"/>
      <w:marLeft w:val="0"/>
      <w:marRight w:val="0"/>
      <w:marTop w:val="0"/>
      <w:marBottom w:val="0"/>
      <w:divBdr>
        <w:top w:val="none" w:sz="0" w:space="0" w:color="auto"/>
        <w:left w:val="none" w:sz="0" w:space="0" w:color="auto"/>
        <w:bottom w:val="none" w:sz="0" w:space="0" w:color="auto"/>
        <w:right w:val="none" w:sz="0" w:space="0" w:color="auto"/>
      </w:divBdr>
    </w:div>
    <w:div w:id="768307299">
      <w:bodyDiv w:val="1"/>
      <w:marLeft w:val="0"/>
      <w:marRight w:val="0"/>
      <w:marTop w:val="0"/>
      <w:marBottom w:val="0"/>
      <w:divBdr>
        <w:top w:val="none" w:sz="0" w:space="0" w:color="auto"/>
        <w:left w:val="none" w:sz="0" w:space="0" w:color="auto"/>
        <w:bottom w:val="none" w:sz="0" w:space="0" w:color="auto"/>
        <w:right w:val="none" w:sz="0" w:space="0" w:color="auto"/>
      </w:divBdr>
    </w:div>
    <w:div w:id="770589067">
      <w:bodyDiv w:val="1"/>
      <w:marLeft w:val="0"/>
      <w:marRight w:val="0"/>
      <w:marTop w:val="0"/>
      <w:marBottom w:val="0"/>
      <w:divBdr>
        <w:top w:val="none" w:sz="0" w:space="0" w:color="auto"/>
        <w:left w:val="none" w:sz="0" w:space="0" w:color="auto"/>
        <w:bottom w:val="none" w:sz="0" w:space="0" w:color="auto"/>
        <w:right w:val="none" w:sz="0" w:space="0" w:color="auto"/>
      </w:divBdr>
    </w:div>
    <w:div w:id="771708181">
      <w:bodyDiv w:val="1"/>
      <w:marLeft w:val="0"/>
      <w:marRight w:val="0"/>
      <w:marTop w:val="0"/>
      <w:marBottom w:val="0"/>
      <w:divBdr>
        <w:top w:val="none" w:sz="0" w:space="0" w:color="auto"/>
        <w:left w:val="none" w:sz="0" w:space="0" w:color="auto"/>
        <w:bottom w:val="none" w:sz="0" w:space="0" w:color="auto"/>
        <w:right w:val="none" w:sz="0" w:space="0" w:color="auto"/>
      </w:divBdr>
    </w:div>
    <w:div w:id="776951294">
      <w:bodyDiv w:val="1"/>
      <w:marLeft w:val="0"/>
      <w:marRight w:val="0"/>
      <w:marTop w:val="0"/>
      <w:marBottom w:val="0"/>
      <w:divBdr>
        <w:top w:val="none" w:sz="0" w:space="0" w:color="auto"/>
        <w:left w:val="none" w:sz="0" w:space="0" w:color="auto"/>
        <w:bottom w:val="none" w:sz="0" w:space="0" w:color="auto"/>
        <w:right w:val="none" w:sz="0" w:space="0" w:color="auto"/>
      </w:divBdr>
    </w:div>
    <w:div w:id="777598421">
      <w:bodyDiv w:val="1"/>
      <w:marLeft w:val="0"/>
      <w:marRight w:val="0"/>
      <w:marTop w:val="0"/>
      <w:marBottom w:val="0"/>
      <w:divBdr>
        <w:top w:val="none" w:sz="0" w:space="0" w:color="auto"/>
        <w:left w:val="none" w:sz="0" w:space="0" w:color="auto"/>
        <w:bottom w:val="none" w:sz="0" w:space="0" w:color="auto"/>
        <w:right w:val="none" w:sz="0" w:space="0" w:color="auto"/>
      </w:divBdr>
    </w:div>
    <w:div w:id="778178528">
      <w:bodyDiv w:val="1"/>
      <w:marLeft w:val="0"/>
      <w:marRight w:val="0"/>
      <w:marTop w:val="0"/>
      <w:marBottom w:val="0"/>
      <w:divBdr>
        <w:top w:val="none" w:sz="0" w:space="0" w:color="auto"/>
        <w:left w:val="none" w:sz="0" w:space="0" w:color="auto"/>
        <w:bottom w:val="none" w:sz="0" w:space="0" w:color="auto"/>
        <w:right w:val="none" w:sz="0" w:space="0" w:color="auto"/>
      </w:divBdr>
    </w:div>
    <w:div w:id="783305671">
      <w:bodyDiv w:val="1"/>
      <w:marLeft w:val="0"/>
      <w:marRight w:val="0"/>
      <w:marTop w:val="0"/>
      <w:marBottom w:val="0"/>
      <w:divBdr>
        <w:top w:val="none" w:sz="0" w:space="0" w:color="auto"/>
        <w:left w:val="none" w:sz="0" w:space="0" w:color="auto"/>
        <w:bottom w:val="none" w:sz="0" w:space="0" w:color="auto"/>
        <w:right w:val="none" w:sz="0" w:space="0" w:color="auto"/>
      </w:divBdr>
    </w:div>
    <w:div w:id="785199086">
      <w:bodyDiv w:val="1"/>
      <w:marLeft w:val="0"/>
      <w:marRight w:val="0"/>
      <w:marTop w:val="0"/>
      <w:marBottom w:val="0"/>
      <w:divBdr>
        <w:top w:val="none" w:sz="0" w:space="0" w:color="auto"/>
        <w:left w:val="none" w:sz="0" w:space="0" w:color="auto"/>
        <w:bottom w:val="none" w:sz="0" w:space="0" w:color="auto"/>
        <w:right w:val="none" w:sz="0" w:space="0" w:color="auto"/>
      </w:divBdr>
    </w:div>
    <w:div w:id="792867116">
      <w:bodyDiv w:val="1"/>
      <w:marLeft w:val="0"/>
      <w:marRight w:val="0"/>
      <w:marTop w:val="0"/>
      <w:marBottom w:val="0"/>
      <w:divBdr>
        <w:top w:val="none" w:sz="0" w:space="0" w:color="auto"/>
        <w:left w:val="none" w:sz="0" w:space="0" w:color="auto"/>
        <w:bottom w:val="none" w:sz="0" w:space="0" w:color="auto"/>
        <w:right w:val="none" w:sz="0" w:space="0" w:color="auto"/>
      </w:divBdr>
    </w:div>
    <w:div w:id="793183515">
      <w:bodyDiv w:val="1"/>
      <w:marLeft w:val="0"/>
      <w:marRight w:val="0"/>
      <w:marTop w:val="0"/>
      <w:marBottom w:val="0"/>
      <w:divBdr>
        <w:top w:val="none" w:sz="0" w:space="0" w:color="auto"/>
        <w:left w:val="none" w:sz="0" w:space="0" w:color="auto"/>
        <w:bottom w:val="none" w:sz="0" w:space="0" w:color="auto"/>
        <w:right w:val="none" w:sz="0" w:space="0" w:color="auto"/>
      </w:divBdr>
    </w:div>
    <w:div w:id="795216113">
      <w:bodyDiv w:val="1"/>
      <w:marLeft w:val="0"/>
      <w:marRight w:val="0"/>
      <w:marTop w:val="0"/>
      <w:marBottom w:val="0"/>
      <w:divBdr>
        <w:top w:val="none" w:sz="0" w:space="0" w:color="auto"/>
        <w:left w:val="none" w:sz="0" w:space="0" w:color="auto"/>
        <w:bottom w:val="none" w:sz="0" w:space="0" w:color="auto"/>
        <w:right w:val="none" w:sz="0" w:space="0" w:color="auto"/>
      </w:divBdr>
    </w:div>
    <w:div w:id="798839257">
      <w:bodyDiv w:val="1"/>
      <w:marLeft w:val="0"/>
      <w:marRight w:val="0"/>
      <w:marTop w:val="0"/>
      <w:marBottom w:val="0"/>
      <w:divBdr>
        <w:top w:val="none" w:sz="0" w:space="0" w:color="auto"/>
        <w:left w:val="none" w:sz="0" w:space="0" w:color="auto"/>
        <w:bottom w:val="none" w:sz="0" w:space="0" w:color="auto"/>
        <w:right w:val="none" w:sz="0" w:space="0" w:color="auto"/>
      </w:divBdr>
    </w:div>
    <w:div w:id="799961406">
      <w:bodyDiv w:val="1"/>
      <w:marLeft w:val="0"/>
      <w:marRight w:val="0"/>
      <w:marTop w:val="0"/>
      <w:marBottom w:val="0"/>
      <w:divBdr>
        <w:top w:val="none" w:sz="0" w:space="0" w:color="auto"/>
        <w:left w:val="none" w:sz="0" w:space="0" w:color="auto"/>
        <w:bottom w:val="none" w:sz="0" w:space="0" w:color="auto"/>
        <w:right w:val="none" w:sz="0" w:space="0" w:color="auto"/>
      </w:divBdr>
    </w:div>
    <w:div w:id="804659201">
      <w:bodyDiv w:val="1"/>
      <w:marLeft w:val="0"/>
      <w:marRight w:val="0"/>
      <w:marTop w:val="0"/>
      <w:marBottom w:val="0"/>
      <w:divBdr>
        <w:top w:val="none" w:sz="0" w:space="0" w:color="auto"/>
        <w:left w:val="none" w:sz="0" w:space="0" w:color="auto"/>
        <w:bottom w:val="none" w:sz="0" w:space="0" w:color="auto"/>
        <w:right w:val="none" w:sz="0" w:space="0" w:color="auto"/>
      </w:divBdr>
    </w:div>
    <w:div w:id="806163232">
      <w:bodyDiv w:val="1"/>
      <w:marLeft w:val="0"/>
      <w:marRight w:val="0"/>
      <w:marTop w:val="0"/>
      <w:marBottom w:val="0"/>
      <w:divBdr>
        <w:top w:val="none" w:sz="0" w:space="0" w:color="auto"/>
        <w:left w:val="none" w:sz="0" w:space="0" w:color="auto"/>
        <w:bottom w:val="none" w:sz="0" w:space="0" w:color="auto"/>
        <w:right w:val="none" w:sz="0" w:space="0" w:color="auto"/>
      </w:divBdr>
    </w:div>
    <w:div w:id="806313282">
      <w:bodyDiv w:val="1"/>
      <w:marLeft w:val="0"/>
      <w:marRight w:val="0"/>
      <w:marTop w:val="0"/>
      <w:marBottom w:val="0"/>
      <w:divBdr>
        <w:top w:val="none" w:sz="0" w:space="0" w:color="auto"/>
        <w:left w:val="none" w:sz="0" w:space="0" w:color="auto"/>
        <w:bottom w:val="none" w:sz="0" w:space="0" w:color="auto"/>
        <w:right w:val="none" w:sz="0" w:space="0" w:color="auto"/>
      </w:divBdr>
    </w:div>
    <w:div w:id="816655501">
      <w:bodyDiv w:val="1"/>
      <w:marLeft w:val="0"/>
      <w:marRight w:val="0"/>
      <w:marTop w:val="0"/>
      <w:marBottom w:val="0"/>
      <w:divBdr>
        <w:top w:val="none" w:sz="0" w:space="0" w:color="auto"/>
        <w:left w:val="none" w:sz="0" w:space="0" w:color="auto"/>
        <w:bottom w:val="none" w:sz="0" w:space="0" w:color="auto"/>
        <w:right w:val="none" w:sz="0" w:space="0" w:color="auto"/>
      </w:divBdr>
    </w:div>
    <w:div w:id="823009277">
      <w:bodyDiv w:val="1"/>
      <w:marLeft w:val="0"/>
      <w:marRight w:val="0"/>
      <w:marTop w:val="0"/>
      <w:marBottom w:val="0"/>
      <w:divBdr>
        <w:top w:val="none" w:sz="0" w:space="0" w:color="auto"/>
        <w:left w:val="none" w:sz="0" w:space="0" w:color="auto"/>
        <w:bottom w:val="none" w:sz="0" w:space="0" w:color="auto"/>
        <w:right w:val="none" w:sz="0" w:space="0" w:color="auto"/>
      </w:divBdr>
    </w:div>
    <w:div w:id="829639662">
      <w:bodyDiv w:val="1"/>
      <w:marLeft w:val="0"/>
      <w:marRight w:val="0"/>
      <w:marTop w:val="0"/>
      <w:marBottom w:val="0"/>
      <w:divBdr>
        <w:top w:val="none" w:sz="0" w:space="0" w:color="auto"/>
        <w:left w:val="none" w:sz="0" w:space="0" w:color="auto"/>
        <w:bottom w:val="none" w:sz="0" w:space="0" w:color="auto"/>
        <w:right w:val="none" w:sz="0" w:space="0" w:color="auto"/>
      </w:divBdr>
    </w:div>
    <w:div w:id="830680905">
      <w:bodyDiv w:val="1"/>
      <w:marLeft w:val="0"/>
      <w:marRight w:val="0"/>
      <w:marTop w:val="0"/>
      <w:marBottom w:val="0"/>
      <w:divBdr>
        <w:top w:val="none" w:sz="0" w:space="0" w:color="auto"/>
        <w:left w:val="none" w:sz="0" w:space="0" w:color="auto"/>
        <w:bottom w:val="none" w:sz="0" w:space="0" w:color="auto"/>
        <w:right w:val="none" w:sz="0" w:space="0" w:color="auto"/>
      </w:divBdr>
    </w:div>
    <w:div w:id="833883652">
      <w:bodyDiv w:val="1"/>
      <w:marLeft w:val="0"/>
      <w:marRight w:val="0"/>
      <w:marTop w:val="0"/>
      <w:marBottom w:val="0"/>
      <w:divBdr>
        <w:top w:val="none" w:sz="0" w:space="0" w:color="auto"/>
        <w:left w:val="none" w:sz="0" w:space="0" w:color="auto"/>
        <w:bottom w:val="none" w:sz="0" w:space="0" w:color="auto"/>
        <w:right w:val="none" w:sz="0" w:space="0" w:color="auto"/>
      </w:divBdr>
    </w:div>
    <w:div w:id="835456190">
      <w:bodyDiv w:val="1"/>
      <w:marLeft w:val="0"/>
      <w:marRight w:val="0"/>
      <w:marTop w:val="0"/>
      <w:marBottom w:val="0"/>
      <w:divBdr>
        <w:top w:val="none" w:sz="0" w:space="0" w:color="auto"/>
        <w:left w:val="none" w:sz="0" w:space="0" w:color="auto"/>
        <w:bottom w:val="none" w:sz="0" w:space="0" w:color="auto"/>
        <w:right w:val="none" w:sz="0" w:space="0" w:color="auto"/>
      </w:divBdr>
    </w:div>
    <w:div w:id="838277230">
      <w:bodyDiv w:val="1"/>
      <w:marLeft w:val="0"/>
      <w:marRight w:val="0"/>
      <w:marTop w:val="0"/>
      <w:marBottom w:val="0"/>
      <w:divBdr>
        <w:top w:val="none" w:sz="0" w:space="0" w:color="auto"/>
        <w:left w:val="none" w:sz="0" w:space="0" w:color="auto"/>
        <w:bottom w:val="none" w:sz="0" w:space="0" w:color="auto"/>
        <w:right w:val="none" w:sz="0" w:space="0" w:color="auto"/>
      </w:divBdr>
    </w:div>
    <w:div w:id="839659264">
      <w:bodyDiv w:val="1"/>
      <w:marLeft w:val="0"/>
      <w:marRight w:val="0"/>
      <w:marTop w:val="0"/>
      <w:marBottom w:val="0"/>
      <w:divBdr>
        <w:top w:val="none" w:sz="0" w:space="0" w:color="auto"/>
        <w:left w:val="none" w:sz="0" w:space="0" w:color="auto"/>
        <w:bottom w:val="none" w:sz="0" w:space="0" w:color="auto"/>
        <w:right w:val="none" w:sz="0" w:space="0" w:color="auto"/>
      </w:divBdr>
    </w:div>
    <w:div w:id="846405268">
      <w:bodyDiv w:val="1"/>
      <w:marLeft w:val="0"/>
      <w:marRight w:val="0"/>
      <w:marTop w:val="0"/>
      <w:marBottom w:val="0"/>
      <w:divBdr>
        <w:top w:val="none" w:sz="0" w:space="0" w:color="auto"/>
        <w:left w:val="none" w:sz="0" w:space="0" w:color="auto"/>
        <w:bottom w:val="none" w:sz="0" w:space="0" w:color="auto"/>
        <w:right w:val="none" w:sz="0" w:space="0" w:color="auto"/>
      </w:divBdr>
    </w:div>
    <w:div w:id="847671963">
      <w:bodyDiv w:val="1"/>
      <w:marLeft w:val="0"/>
      <w:marRight w:val="0"/>
      <w:marTop w:val="0"/>
      <w:marBottom w:val="0"/>
      <w:divBdr>
        <w:top w:val="none" w:sz="0" w:space="0" w:color="auto"/>
        <w:left w:val="none" w:sz="0" w:space="0" w:color="auto"/>
        <w:bottom w:val="none" w:sz="0" w:space="0" w:color="auto"/>
        <w:right w:val="none" w:sz="0" w:space="0" w:color="auto"/>
      </w:divBdr>
    </w:div>
    <w:div w:id="848327233">
      <w:bodyDiv w:val="1"/>
      <w:marLeft w:val="0"/>
      <w:marRight w:val="0"/>
      <w:marTop w:val="0"/>
      <w:marBottom w:val="0"/>
      <w:divBdr>
        <w:top w:val="none" w:sz="0" w:space="0" w:color="auto"/>
        <w:left w:val="none" w:sz="0" w:space="0" w:color="auto"/>
        <w:bottom w:val="none" w:sz="0" w:space="0" w:color="auto"/>
        <w:right w:val="none" w:sz="0" w:space="0" w:color="auto"/>
      </w:divBdr>
    </w:div>
    <w:div w:id="850725310">
      <w:bodyDiv w:val="1"/>
      <w:marLeft w:val="0"/>
      <w:marRight w:val="0"/>
      <w:marTop w:val="0"/>
      <w:marBottom w:val="0"/>
      <w:divBdr>
        <w:top w:val="none" w:sz="0" w:space="0" w:color="auto"/>
        <w:left w:val="none" w:sz="0" w:space="0" w:color="auto"/>
        <w:bottom w:val="none" w:sz="0" w:space="0" w:color="auto"/>
        <w:right w:val="none" w:sz="0" w:space="0" w:color="auto"/>
      </w:divBdr>
    </w:div>
    <w:div w:id="853106718">
      <w:bodyDiv w:val="1"/>
      <w:marLeft w:val="0"/>
      <w:marRight w:val="0"/>
      <w:marTop w:val="0"/>
      <w:marBottom w:val="0"/>
      <w:divBdr>
        <w:top w:val="none" w:sz="0" w:space="0" w:color="auto"/>
        <w:left w:val="none" w:sz="0" w:space="0" w:color="auto"/>
        <w:bottom w:val="none" w:sz="0" w:space="0" w:color="auto"/>
        <w:right w:val="none" w:sz="0" w:space="0" w:color="auto"/>
      </w:divBdr>
    </w:div>
    <w:div w:id="857548166">
      <w:bodyDiv w:val="1"/>
      <w:marLeft w:val="0"/>
      <w:marRight w:val="0"/>
      <w:marTop w:val="0"/>
      <w:marBottom w:val="0"/>
      <w:divBdr>
        <w:top w:val="none" w:sz="0" w:space="0" w:color="auto"/>
        <w:left w:val="none" w:sz="0" w:space="0" w:color="auto"/>
        <w:bottom w:val="none" w:sz="0" w:space="0" w:color="auto"/>
        <w:right w:val="none" w:sz="0" w:space="0" w:color="auto"/>
      </w:divBdr>
    </w:div>
    <w:div w:id="861474616">
      <w:bodyDiv w:val="1"/>
      <w:marLeft w:val="0"/>
      <w:marRight w:val="0"/>
      <w:marTop w:val="0"/>
      <w:marBottom w:val="0"/>
      <w:divBdr>
        <w:top w:val="none" w:sz="0" w:space="0" w:color="auto"/>
        <w:left w:val="none" w:sz="0" w:space="0" w:color="auto"/>
        <w:bottom w:val="none" w:sz="0" w:space="0" w:color="auto"/>
        <w:right w:val="none" w:sz="0" w:space="0" w:color="auto"/>
      </w:divBdr>
    </w:div>
    <w:div w:id="873689688">
      <w:bodyDiv w:val="1"/>
      <w:marLeft w:val="0"/>
      <w:marRight w:val="0"/>
      <w:marTop w:val="0"/>
      <w:marBottom w:val="0"/>
      <w:divBdr>
        <w:top w:val="none" w:sz="0" w:space="0" w:color="auto"/>
        <w:left w:val="none" w:sz="0" w:space="0" w:color="auto"/>
        <w:bottom w:val="none" w:sz="0" w:space="0" w:color="auto"/>
        <w:right w:val="none" w:sz="0" w:space="0" w:color="auto"/>
      </w:divBdr>
    </w:div>
    <w:div w:id="874780686">
      <w:bodyDiv w:val="1"/>
      <w:marLeft w:val="0"/>
      <w:marRight w:val="0"/>
      <w:marTop w:val="0"/>
      <w:marBottom w:val="0"/>
      <w:divBdr>
        <w:top w:val="none" w:sz="0" w:space="0" w:color="auto"/>
        <w:left w:val="none" w:sz="0" w:space="0" w:color="auto"/>
        <w:bottom w:val="none" w:sz="0" w:space="0" w:color="auto"/>
        <w:right w:val="none" w:sz="0" w:space="0" w:color="auto"/>
      </w:divBdr>
    </w:div>
    <w:div w:id="875431004">
      <w:bodyDiv w:val="1"/>
      <w:marLeft w:val="0"/>
      <w:marRight w:val="0"/>
      <w:marTop w:val="0"/>
      <w:marBottom w:val="0"/>
      <w:divBdr>
        <w:top w:val="none" w:sz="0" w:space="0" w:color="auto"/>
        <w:left w:val="none" w:sz="0" w:space="0" w:color="auto"/>
        <w:bottom w:val="none" w:sz="0" w:space="0" w:color="auto"/>
        <w:right w:val="none" w:sz="0" w:space="0" w:color="auto"/>
      </w:divBdr>
    </w:div>
    <w:div w:id="878586529">
      <w:bodyDiv w:val="1"/>
      <w:marLeft w:val="0"/>
      <w:marRight w:val="0"/>
      <w:marTop w:val="0"/>
      <w:marBottom w:val="0"/>
      <w:divBdr>
        <w:top w:val="none" w:sz="0" w:space="0" w:color="auto"/>
        <w:left w:val="none" w:sz="0" w:space="0" w:color="auto"/>
        <w:bottom w:val="none" w:sz="0" w:space="0" w:color="auto"/>
        <w:right w:val="none" w:sz="0" w:space="0" w:color="auto"/>
      </w:divBdr>
    </w:div>
    <w:div w:id="881477274">
      <w:bodyDiv w:val="1"/>
      <w:marLeft w:val="0"/>
      <w:marRight w:val="0"/>
      <w:marTop w:val="0"/>
      <w:marBottom w:val="0"/>
      <w:divBdr>
        <w:top w:val="none" w:sz="0" w:space="0" w:color="auto"/>
        <w:left w:val="none" w:sz="0" w:space="0" w:color="auto"/>
        <w:bottom w:val="none" w:sz="0" w:space="0" w:color="auto"/>
        <w:right w:val="none" w:sz="0" w:space="0" w:color="auto"/>
      </w:divBdr>
    </w:div>
    <w:div w:id="886257461">
      <w:bodyDiv w:val="1"/>
      <w:marLeft w:val="0"/>
      <w:marRight w:val="0"/>
      <w:marTop w:val="0"/>
      <w:marBottom w:val="0"/>
      <w:divBdr>
        <w:top w:val="none" w:sz="0" w:space="0" w:color="auto"/>
        <w:left w:val="none" w:sz="0" w:space="0" w:color="auto"/>
        <w:bottom w:val="none" w:sz="0" w:space="0" w:color="auto"/>
        <w:right w:val="none" w:sz="0" w:space="0" w:color="auto"/>
      </w:divBdr>
    </w:div>
    <w:div w:id="888345672">
      <w:bodyDiv w:val="1"/>
      <w:marLeft w:val="0"/>
      <w:marRight w:val="0"/>
      <w:marTop w:val="0"/>
      <w:marBottom w:val="0"/>
      <w:divBdr>
        <w:top w:val="none" w:sz="0" w:space="0" w:color="auto"/>
        <w:left w:val="none" w:sz="0" w:space="0" w:color="auto"/>
        <w:bottom w:val="none" w:sz="0" w:space="0" w:color="auto"/>
        <w:right w:val="none" w:sz="0" w:space="0" w:color="auto"/>
      </w:divBdr>
    </w:div>
    <w:div w:id="889918364">
      <w:bodyDiv w:val="1"/>
      <w:marLeft w:val="0"/>
      <w:marRight w:val="0"/>
      <w:marTop w:val="0"/>
      <w:marBottom w:val="0"/>
      <w:divBdr>
        <w:top w:val="none" w:sz="0" w:space="0" w:color="auto"/>
        <w:left w:val="none" w:sz="0" w:space="0" w:color="auto"/>
        <w:bottom w:val="none" w:sz="0" w:space="0" w:color="auto"/>
        <w:right w:val="none" w:sz="0" w:space="0" w:color="auto"/>
      </w:divBdr>
    </w:div>
    <w:div w:id="899054742">
      <w:bodyDiv w:val="1"/>
      <w:marLeft w:val="0"/>
      <w:marRight w:val="0"/>
      <w:marTop w:val="0"/>
      <w:marBottom w:val="0"/>
      <w:divBdr>
        <w:top w:val="none" w:sz="0" w:space="0" w:color="auto"/>
        <w:left w:val="none" w:sz="0" w:space="0" w:color="auto"/>
        <w:bottom w:val="none" w:sz="0" w:space="0" w:color="auto"/>
        <w:right w:val="none" w:sz="0" w:space="0" w:color="auto"/>
      </w:divBdr>
    </w:div>
    <w:div w:id="899901245">
      <w:bodyDiv w:val="1"/>
      <w:marLeft w:val="0"/>
      <w:marRight w:val="0"/>
      <w:marTop w:val="0"/>
      <w:marBottom w:val="0"/>
      <w:divBdr>
        <w:top w:val="none" w:sz="0" w:space="0" w:color="auto"/>
        <w:left w:val="none" w:sz="0" w:space="0" w:color="auto"/>
        <w:bottom w:val="none" w:sz="0" w:space="0" w:color="auto"/>
        <w:right w:val="none" w:sz="0" w:space="0" w:color="auto"/>
      </w:divBdr>
    </w:div>
    <w:div w:id="903612605">
      <w:bodyDiv w:val="1"/>
      <w:marLeft w:val="0"/>
      <w:marRight w:val="0"/>
      <w:marTop w:val="0"/>
      <w:marBottom w:val="0"/>
      <w:divBdr>
        <w:top w:val="none" w:sz="0" w:space="0" w:color="auto"/>
        <w:left w:val="none" w:sz="0" w:space="0" w:color="auto"/>
        <w:bottom w:val="none" w:sz="0" w:space="0" w:color="auto"/>
        <w:right w:val="none" w:sz="0" w:space="0" w:color="auto"/>
      </w:divBdr>
    </w:div>
    <w:div w:id="903948721">
      <w:bodyDiv w:val="1"/>
      <w:marLeft w:val="0"/>
      <w:marRight w:val="0"/>
      <w:marTop w:val="0"/>
      <w:marBottom w:val="0"/>
      <w:divBdr>
        <w:top w:val="none" w:sz="0" w:space="0" w:color="auto"/>
        <w:left w:val="none" w:sz="0" w:space="0" w:color="auto"/>
        <w:bottom w:val="none" w:sz="0" w:space="0" w:color="auto"/>
        <w:right w:val="none" w:sz="0" w:space="0" w:color="auto"/>
      </w:divBdr>
    </w:div>
    <w:div w:id="910963082">
      <w:bodyDiv w:val="1"/>
      <w:marLeft w:val="0"/>
      <w:marRight w:val="0"/>
      <w:marTop w:val="0"/>
      <w:marBottom w:val="0"/>
      <w:divBdr>
        <w:top w:val="none" w:sz="0" w:space="0" w:color="auto"/>
        <w:left w:val="none" w:sz="0" w:space="0" w:color="auto"/>
        <w:bottom w:val="none" w:sz="0" w:space="0" w:color="auto"/>
        <w:right w:val="none" w:sz="0" w:space="0" w:color="auto"/>
      </w:divBdr>
    </w:div>
    <w:div w:id="911042824">
      <w:bodyDiv w:val="1"/>
      <w:marLeft w:val="0"/>
      <w:marRight w:val="0"/>
      <w:marTop w:val="0"/>
      <w:marBottom w:val="0"/>
      <w:divBdr>
        <w:top w:val="none" w:sz="0" w:space="0" w:color="auto"/>
        <w:left w:val="none" w:sz="0" w:space="0" w:color="auto"/>
        <w:bottom w:val="none" w:sz="0" w:space="0" w:color="auto"/>
        <w:right w:val="none" w:sz="0" w:space="0" w:color="auto"/>
      </w:divBdr>
    </w:div>
    <w:div w:id="916674889">
      <w:bodyDiv w:val="1"/>
      <w:marLeft w:val="0"/>
      <w:marRight w:val="0"/>
      <w:marTop w:val="0"/>
      <w:marBottom w:val="0"/>
      <w:divBdr>
        <w:top w:val="none" w:sz="0" w:space="0" w:color="auto"/>
        <w:left w:val="none" w:sz="0" w:space="0" w:color="auto"/>
        <w:bottom w:val="none" w:sz="0" w:space="0" w:color="auto"/>
        <w:right w:val="none" w:sz="0" w:space="0" w:color="auto"/>
      </w:divBdr>
    </w:div>
    <w:div w:id="916750284">
      <w:bodyDiv w:val="1"/>
      <w:marLeft w:val="0"/>
      <w:marRight w:val="0"/>
      <w:marTop w:val="0"/>
      <w:marBottom w:val="0"/>
      <w:divBdr>
        <w:top w:val="none" w:sz="0" w:space="0" w:color="auto"/>
        <w:left w:val="none" w:sz="0" w:space="0" w:color="auto"/>
        <w:bottom w:val="none" w:sz="0" w:space="0" w:color="auto"/>
        <w:right w:val="none" w:sz="0" w:space="0" w:color="auto"/>
      </w:divBdr>
    </w:div>
    <w:div w:id="924264353">
      <w:bodyDiv w:val="1"/>
      <w:marLeft w:val="0"/>
      <w:marRight w:val="0"/>
      <w:marTop w:val="0"/>
      <w:marBottom w:val="0"/>
      <w:divBdr>
        <w:top w:val="none" w:sz="0" w:space="0" w:color="auto"/>
        <w:left w:val="none" w:sz="0" w:space="0" w:color="auto"/>
        <w:bottom w:val="none" w:sz="0" w:space="0" w:color="auto"/>
        <w:right w:val="none" w:sz="0" w:space="0" w:color="auto"/>
      </w:divBdr>
    </w:div>
    <w:div w:id="930701672">
      <w:bodyDiv w:val="1"/>
      <w:marLeft w:val="0"/>
      <w:marRight w:val="0"/>
      <w:marTop w:val="0"/>
      <w:marBottom w:val="0"/>
      <w:divBdr>
        <w:top w:val="none" w:sz="0" w:space="0" w:color="auto"/>
        <w:left w:val="none" w:sz="0" w:space="0" w:color="auto"/>
        <w:bottom w:val="none" w:sz="0" w:space="0" w:color="auto"/>
        <w:right w:val="none" w:sz="0" w:space="0" w:color="auto"/>
      </w:divBdr>
    </w:div>
    <w:div w:id="939409493">
      <w:bodyDiv w:val="1"/>
      <w:marLeft w:val="0"/>
      <w:marRight w:val="0"/>
      <w:marTop w:val="0"/>
      <w:marBottom w:val="0"/>
      <w:divBdr>
        <w:top w:val="none" w:sz="0" w:space="0" w:color="auto"/>
        <w:left w:val="none" w:sz="0" w:space="0" w:color="auto"/>
        <w:bottom w:val="none" w:sz="0" w:space="0" w:color="auto"/>
        <w:right w:val="none" w:sz="0" w:space="0" w:color="auto"/>
      </w:divBdr>
    </w:div>
    <w:div w:id="939800830">
      <w:bodyDiv w:val="1"/>
      <w:marLeft w:val="0"/>
      <w:marRight w:val="0"/>
      <w:marTop w:val="0"/>
      <w:marBottom w:val="0"/>
      <w:divBdr>
        <w:top w:val="none" w:sz="0" w:space="0" w:color="auto"/>
        <w:left w:val="none" w:sz="0" w:space="0" w:color="auto"/>
        <w:bottom w:val="none" w:sz="0" w:space="0" w:color="auto"/>
        <w:right w:val="none" w:sz="0" w:space="0" w:color="auto"/>
      </w:divBdr>
    </w:div>
    <w:div w:id="948925193">
      <w:bodyDiv w:val="1"/>
      <w:marLeft w:val="0"/>
      <w:marRight w:val="0"/>
      <w:marTop w:val="0"/>
      <w:marBottom w:val="0"/>
      <w:divBdr>
        <w:top w:val="none" w:sz="0" w:space="0" w:color="auto"/>
        <w:left w:val="none" w:sz="0" w:space="0" w:color="auto"/>
        <w:bottom w:val="none" w:sz="0" w:space="0" w:color="auto"/>
        <w:right w:val="none" w:sz="0" w:space="0" w:color="auto"/>
      </w:divBdr>
    </w:div>
    <w:div w:id="951127548">
      <w:bodyDiv w:val="1"/>
      <w:marLeft w:val="0"/>
      <w:marRight w:val="0"/>
      <w:marTop w:val="0"/>
      <w:marBottom w:val="0"/>
      <w:divBdr>
        <w:top w:val="none" w:sz="0" w:space="0" w:color="auto"/>
        <w:left w:val="none" w:sz="0" w:space="0" w:color="auto"/>
        <w:bottom w:val="none" w:sz="0" w:space="0" w:color="auto"/>
        <w:right w:val="none" w:sz="0" w:space="0" w:color="auto"/>
      </w:divBdr>
    </w:div>
    <w:div w:id="953559995">
      <w:bodyDiv w:val="1"/>
      <w:marLeft w:val="0"/>
      <w:marRight w:val="0"/>
      <w:marTop w:val="0"/>
      <w:marBottom w:val="0"/>
      <w:divBdr>
        <w:top w:val="none" w:sz="0" w:space="0" w:color="auto"/>
        <w:left w:val="none" w:sz="0" w:space="0" w:color="auto"/>
        <w:bottom w:val="none" w:sz="0" w:space="0" w:color="auto"/>
        <w:right w:val="none" w:sz="0" w:space="0" w:color="auto"/>
      </w:divBdr>
    </w:div>
    <w:div w:id="961301523">
      <w:bodyDiv w:val="1"/>
      <w:marLeft w:val="0"/>
      <w:marRight w:val="0"/>
      <w:marTop w:val="0"/>
      <w:marBottom w:val="0"/>
      <w:divBdr>
        <w:top w:val="none" w:sz="0" w:space="0" w:color="auto"/>
        <w:left w:val="none" w:sz="0" w:space="0" w:color="auto"/>
        <w:bottom w:val="none" w:sz="0" w:space="0" w:color="auto"/>
        <w:right w:val="none" w:sz="0" w:space="0" w:color="auto"/>
      </w:divBdr>
    </w:div>
    <w:div w:id="964509573">
      <w:bodyDiv w:val="1"/>
      <w:marLeft w:val="0"/>
      <w:marRight w:val="0"/>
      <w:marTop w:val="0"/>
      <w:marBottom w:val="0"/>
      <w:divBdr>
        <w:top w:val="none" w:sz="0" w:space="0" w:color="auto"/>
        <w:left w:val="none" w:sz="0" w:space="0" w:color="auto"/>
        <w:bottom w:val="none" w:sz="0" w:space="0" w:color="auto"/>
        <w:right w:val="none" w:sz="0" w:space="0" w:color="auto"/>
      </w:divBdr>
    </w:div>
    <w:div w:id="964772331">
      <w:bodyDiv w:val="1"/>
      <w:marLeft w:val="0"/>
      <w:marRight w:val="0"/>
      <w:marTop w:val="0"/>
      <w:marBottom w:val="0"/>
      <w:divBdr>
        <w:top w:val="none" w:sz="0" w:space="0" w:color="auto"/>
        <w:left w:val="none" w:sz="0" w:space="0" w:color="auto"/>
        <w:bottom w:val="none" w:sz="0" w:space="0" w:color="auto"/>
        <w:right w:val="none" w:sz="0" w:space="0" w:color="auto"/>
      </w:divBdr>
    </w:div>
    <w:div w:id="972633316">
      <w:bodyDiv w:val="1"/>
      <w:marLeft w:val="0"/>
      <w:marRight w:val="0"/>
      <w:marTop w:val="0"/>
      <w:marBottom w:val="0"/>
      <w:divBdr>
        <w:top w:val="none" w:sz="0" w:space="0" w:color="auto"/>
        <w:left w:val="none" w:sz="0" w:space="0" w:color="auto"/>
        <w:bottom w:val="none" w:sz="0" w:space="0" w:color="auto"/>
        <w:right w:val="none" w:sz="0" w:space="0" w:color="auto"/>
      </w:divBdr>
    </w:div>
    <w:div w:id="973025977">
      <w:bodyDiv w:val="1"/>
      <w:marLeft w:val="0"/>
      <w:marRight w:val="0"/>
      <w:marTop w:val="0"/>
      <w:marBottom w:val="0"/>
      <w:divBdr>
        <w:top w:val="none" w:sz="0" w:space="0" w:color="auto"/>
        <w:left w:val="none" w:sz="0" w:space="0" w:color="auto"/>
        <w:bottom w:val="none" w:sz="0" w:space="0" w:color="auto"/>
        <w:right w:val="none" w:sz="0" w:space="0" w:color="auto"/>
      </w:divBdr>
    </w:div>
    <w:div w:id="974026098">
      <w:bodyDiv w:val="1"/>
      <w:marLeft w:val="0"/>
      <w:marRight w:val="0"/>
      <w:marTop w:val="0"/>
      <w:marBottom w:val="0"/>
      <w:divBdr>
        <w:top w:val="none" w:sz="0" w:space="0" w:color="auto"/>
        <w:left w:val="none" w:sz="0" w:space="0" w:color="auto"/>
        <w:bottom w:val="none" w:sz="0" w:space="0" w:color="auto"/>
        <w:right w:val="none" w:sz="0" w:space="0" w:color="auto"/>
      </w:divBdr>
    </w:div>
    <w:div w:id="977027571">
      <w:bodyDiv w:val="1"/>
      <w:marLeft w:val="0"/>
      <w:marRight w:val="0"/>
      <w:marTop w:val="0"/>
      <w:marBottom w:val="0"/>
      <w:divBdr>
        <w:top w:val="none" w:sz="0" w:space="0" w:color="auto"/>
        <w:left w:val="none" w:sz="0" w:space="0" w:color="auto"/>
        <w:bottom w:val="none" w:sz="0" w:space="0" w:color="auto"/>
        <w:right w:val="none" w:sz="0" w:space="0" w:color="auto"/>
      </w:divBdr>
    </w:div>
    <w:div w:id="977148111">
      <w:bodyDiv w:val="1"/>
      <w:marLeft w:val="0"/>
      <w:marRight w:val="0"/>
      <w:marTop w:val="0"/>
      <w:marBottom w:val="0"/>
      <w:divBdr>
        <w:top w:val="none" w:sz="0" w:space="0" w:color="auto"/>
        <w:left w:val="none" w:sz="0" w:space="0" w:color="auto"/>
        <w:bottom w:val="none" w:sz="0" w:space="0" w:color="auto"/>
        <w:right w:val="none" w:sz="0" w:space="0" w:color="auto"/>
      </w:divBdr>
    </w:div>
    <w:div w:id="977996768">
      <w:bodyDiv w:val="1"/>
      <w:marLeft w:val="0"/>
      <w:marRight w:val="0"/>
      <w:marTop w:val="0"/>
      <w:marBottom w:val="0"/>
      <w:divBdr>
        <w:top w:val="none" w:sz="0" w:space="0" w:color="auto"/>
        <w:left w:val="none" w:sz="0" w:space="0" w:color="auto"/>
        <w:bottom w:val="none" w:sz="0" w:space="0" w:color="auto"/>
        <w:right w:val="none" w:sz="0" w:space="0" w:color="auto"/>
      </w:divBdr>
    </w:div>
    <w:div w:id="978877368">
      <w:bodyDiv w:val="1"/>
      <w:marLeft w:val="0"/>
      <w:marRight w:val="0"/>
      <w:marTop w:val="0"/>
      <w:marBottom w:val="0"/>
      <w:divBdr>
        <w:top w:val="none" w:sz="0" w:space="0" w:color="auto"/>
        <w:left w:val="none" w:sz="0" w:space="0" w:color="auto"/>
        <w:bottom w:val="none" w:sz="0" w:space="0" w:color="auto"/>
        <w:right w:val="none" w:sz="0" w:space="0" w:color="auto"/>
      </w:divBdr>
    </w:div>
    <w:div w:id="988242746">
      <w:bodyDiv w:val="1"/>
      <w:marLeft w:val="0"/>
      <w:marRight w:val="0"/>
      <w:marTop w:val="0"/>
      <w:marBottom w:val="0"/>
      <w:divBdr>
        <w:top w:val="none" w:sz="0" w:space="0" w:color="auto"/>
        <w:left w:val="none" w:sz="0" w:space="0" w:color="auto"/>
        <w:bottom w:val="none" w:sz="0" w:space="0" w:color="auto"/>
        <w:right w:val="none" w:sz="0" w:space="0" w:color="auto"/>
      </w:divBdr>
    </w:div>
    <w:div w:id="989868556">
      <w:bodyDiv w:val="1"/>
      <w:marLeft w:val="0"/>
      <w:marRight w:val="0"/>
      <w:marTop w:val="0"/>
      <w:marBottom w:val="0"/>
      <w:divBdr>
        <w:top w:val="none" w:sz="0" w:space="0" w:color="auto"/>
        <w:left w:val="none" w:sz="0" w:space="0" w:color="auto"/>
        <w:bottom w:val="none" w:sz="0" w:space="0" w:color="auto"/>
        <w:right w:val="none" w:sz="0" w:space="0" w:color="auto"/>
      </w:divBdr>
    </w:div>
    <w:div w:id="990525712">
      <w:bodyDiv w:val="1"/>
      <w:marLeft w:val="0"/>
      <w:marRight w:val="0"/>
      <w:marTop w:val="0"/>
      <w:marBottom w:val="0"/>
      <w:divBdr>
        <w:top w:val="none" w:sz="0" w:space="0" w:color="auto"/>
        <w:left w:val="none" w:sz="0" w:space="0" w:color="auto"/>
        <w:bottom w:val="none" w:sz="0" w:space="0" w:color="auto"/>
        <w:right w:val="none" w:sz="0" w:space="0" w:color="auto"/>
      </w:divBdr>
    </w:div>
    <w:div w:id="993754724">
      <w:bodyDiv w:val="1"/>
      <w:marLeft w:val="0"/>
      <w:marRight w:val="0"/>
      <w:marTop w:val="0"/>
      <w:marBottom w:val="0"/>
      <w:divBdr>
        <w:top w:val="none" w:sz="0" w:space="0" w:color="auto"/>
        <w:left w:val="none" w:sz="0" w:space="0" w:color="auto"/>
        <w:bottom w:val="none" w:sz="0" w:space="0" w:color="auto"/>
        <w:right w:val="none" w:sz="0" w:space="0" w:color="auto"/>
      </w:divBdr>
    </w:div>
    <w:div w:id="999503268">
      <w:bodyDiv w:val="1"/>
      <w:marLeft w:val="0"/>
      <w:marRight w:val="0"/>
      <w:marTop w:val="0"/>
      <w:marBottom w:val="0"/>
      <w:divBdr>
        <w:top w:val="none" w:sz="0" w:space="0" w:color="auto"/>
        <w:left w:val="none" w:sz="0" w:space="0" w:color="auto"/>
        <w:bottom w:val="none" w:sz="0" w:space="0" w:color="auto"/>
        <w:right w:val="none" w:sz="0" w:space="0" w:color="auto"/>
      </w:divBdr>
    </w:div>
    <w:div w:id="1000232728">
      <w:bodyDiv w:val="1"/>
      <w:marLeft w:val="0"/>
      <w:marRight w:val="0"/>
      <w:marTop w:val="0"/>
      <w:marBottom w:val="0"/>
      <w:divBdr>
        <w:top w:val="none" w:sz="0" w:space="0" w:color="auto"/>
        <w:left w:val="none" w:sz="0" w:space="0" w:color="auto"/>
        <w:bottom w:val="none" w:sz="0" w:space="0" w:color="auto"/>
        <w:right w:val="none" w:sz="0" w:space="0" w:color="auto"/>
      </w:divBdr>
    </w:div>
    <w:div w:id="1000739917">
      <w:bodyDiv w:val="1"/>
      <w:marLeft w:val="0"/>
      <w:marRight w:val="0"/>
      <w:marTop w:val="0"/>
      <w:marBottom w:val="0"/>
      <w:divBdr>
        <w:top w:val="none" w:sz="0" w:space="0" w:color="auto"/>
        <w:left w:val="none" w:sz="0" w:space="0" w:color="auto"/>
        <w:bottom w:val="none" w:sz="0" w:space="0" w:color="auto"/>
        <w:right w:val="none" w:sz="0" w:space="0" w:color="auto"/>
      </w:divBdr>
    </w:div>
    <w:div w:id="1004632310">
      <w:bodyDiv w:val="1"/>
      <w:marLeft w:val="0"/>
      <w:marRight w:val="0"/>
      <w:marTop w:val="0"/>
      <w:marBottom w:val="0"/>
      <w:divBdr>
        <w:top w:val="none" w:sz="0" w:space="0" w:color="auto"/>
        <w:left w:val="none" w:sz="0" w:space="0" w:color="auto"/>
        <w:bottom w:val="none" w:sz="0" w:space="0" w:color="auto"/>
        <w:right w:val="none" w:sz="0" w:space="0" w:color="auto"/>
      </w:divBdr>
    </w:div>
    <w:div w:id="1004745651">
      <w:bodyDiv w:val="1"/>
      <w:marLeft w:val="0"/>
      <w:marRight w:val="0"/>
      <w:marTop w:val="0"/>
      <w:marBottom w:val="0"/>
      <w:divBdr>
        <w:top w:val="none" w:sz="0" w:space="0" w:color="auto"/>
        <w:left w:val="none" w:sz="0" w:space="0" w:color="auto"/>
        <w:bottom w:val="none" w:sz="0" w:space="0" w:color="auto"/>
        <w:right w:val="none" w:sz="0" w:space="0" w:color="auto"/>
      </w:divBdr>
    </w:div>
    <w:div w:id="1004895788">
      <w:bodyDiv w:val="1"/>
      <w:marLeft w:val="0"/>
      <w:marRight w:val="0"/>
      <w:marTop w:val="0"/>
      <w:marBottom w:val="0"/>
      <w:divBdr>
        <w:top w:val="none" w:sz="0" w:space="0" w:color="auto"/>
        <w:left w:val="none" w:sz="0" w:space="0" w:color="auto"/>
        <w:bottom w:val="none" w:sz="0" w:space="0" w:color="auto"/>
        <w:right w:val="none" w:sz="0" w:space="0" w:color="auto"/>
      </w:divBdr>
    </w:div>
    <w:div w:id="1008869969">
      <w:bodyDiv w:val="1"/>
      <w:marLeft w:val="0"/>
      <w:marRight w:val="0"/>
      <w:marTop w:val="0"/>
      <w:marBottom w:val="0"/>
      <w:divBdr>
        <w:top w:val="none" w:sz="0" w:space="0" w:color="auto"/>
        <w:left w:val="none" w:sz="0" w:space="0" w:color="auto"/>
        <w:bottom w:val="none" w:sz="0" w:space="0" w:color="auto"/>
        <w:right w:val="none" w:sz="0" w:space="0" w:color="auto"/>
      </w:divBdr>
    </w:div>
    <w:div w:id="1010257153">
      <w:bodyDiv w:val="1"/>
      <w:marLeft w:val="0"/>
      <w:marRight w:val="0"/>
      <w:marTop w:val="0"/>
      <w:marBottom w:val="0"/>
      <w:divBdr>
        <w:top w:val="none" w:sz="0" w:space="0" w:color="auto"/>
        <w:left w:val="none" w:sz="0" w:space="0" w:color="auto"/>
        <w:bottom w:val="none" w:sz="0" w:space="0" w:color="auto"/>
        <w:right w:val="none" w:sz="0" w:space="0" w:color="auto"/>
      </w:divBdr>
    </w:div>
    <w:div w:id="1011684513">
      <w:bodyDiv w:val="1"/>
      <w:marLeft w:val="0"/>
      <w:marRight w:val="0"/>
      <w:marTop w:val="0"/>
      <w:marBottom w:val="0"/>
      <w:divBdr>
        <w:top w:val="none" w:sz="0" w:space="0" w:color="auto"/>
        <w:left w:val="none" w:sz="0" w:space="0" w:color="auto"/>
        <w:bottom w:val="none" w:sz="0" w:space="0" w:color="auto"/>
        <w:right w:val="none" w:sz="0" w:space="0" w:color="auto"/>
      </w:divBdr>
    </w:div>
    <w:div w:id="1017081353">
      <w:bodyDiv w:val="1"/>
      <w:marLeft w:val="0"/>
      <w:marRight w:val="0"/>
      <w:marTop w:val="0"/>
      <w:marBottom w:val="0"/>
      <w:divBdr>
        <w:top w:val="none" w:sz="0" w:space="0" w:color="auto"/>
        <w:left w:val="none" w:sz="0" w:space="0" w:color="auto"/>
        <w:bottom w:val="none" w:sz="0" w:space="0" w:color="auto"/>
        <w:right w:val="none" w:sz="0" w:space="0" w:color="auto"/>
      </w:divBdr>
    </w:div>
    <w:div w:id="1017535190">
      <w:bodyDiv w:val="1"/>
      <w:marLeft w:val="0"/>
      <w:marRight w:val="0"/>
      <w:marTop w:val="0"/>
      <w:marBottom w:val="0"/>
      <w:divBdr>
        <w:top w:val="none" w:sz="0" w:space="0" w:color="auto"/>
        <w:left w:val="none" w:sz="0" w:space="0" w:color="auto"/>
        <w:bottom w:val="none" w:sz="0" w:space="0" w:color="auto"/>
        <w:right w:val="none" w:sz="0" w:space="0" w:color="auto"/>
      </w:divBdr>
    </w:div>
    <w:div w:id="1020427318">
      <w:bodyDiv w:val="1"/>
      <w:marLeft w:val="0"/>
      <w:marRight w:val="0"/>
      <w:marTop w:val="0"/>
      <w:marBottom w:val="0"/>
      <w:divBdr>
        <w:top w:val="none" w:sz="0" w:space="0" w:color="auto"/>
        <w:left w:val="none" w:sz="0" w:space="0" w:color="auto"/>
        <w:bottom w:val="none" w:sz="0" w:space="0" w:color="auto"/>
        <w:right w:val="none" w:sz="0" w:space="0" w:color="auto"/>
      </w:divBdr>
    </w:div>
    <w:div w:id="1023357001">
      <w:bodyDiv w:val="1"/>
      <w:marLeft w:val="0"/>
      <w:marRight w:val="0"/>
      <w:marTop w:val="0"/>
      <w:marBottom w:val="0"/>
      <w:divBdr>
        <w:top w:val="none" w:sz="0" w:space="0" w:color="auto"/>
        <w:left w:val="none" w:sz="0" w:space="0" w:color="auto"/>
        <w:bottom w:val="none" w:sz="0" w:space="0" w:color="auto"/>
        <w:right w:val="none" w:sz="0" w:space="0" w:color="auto"/>
      </w:divBdr>
    </w:div>
    <w:div w:id="1026366129">
      <w:bodyDiv w:val="1"/>
      <w:marLeft w:val="0"/>
      <w:marRight w:val="0"/>
      <w:marTop w:val="0"/>
      <w:marBottom w:val="0"/>
      <w:divBdr>
        <w:top w:val="none" w:sz="0" w:space="0" w:color="auto"/>
        <w:left w:val="none" w:sz="0" w:space="0" w:color="auto"/>
        <w:bottom w:val="none" w:sz="0" w:space="0" w:color="auto"/>
        <w:right w:val="none" w:sz="0" w:space="0" w:color="auto"/>
      </w:divBdr>
    </w:div>
    <w:div w:id="1035885637">
      <w:bodyDiv w:val="1"/>
      <w:marLeft w:val="0"/>
      <w:marRight w:val="0"/>
      <w:marTop w:val="0"/>
      <w:marBottom w:val="0"/>
      <w:divBdr>
        <w:top w:val="none" w:sz="0" w:space="0" w:color="auto"/>
        <w:left w:val="none" w:sz="0" w:space="0" w:color="auto"/>
        <w:bottom w:val="none" w:sz="0" w:space="0" w:color="auto"/>
        <w:right w:val="none" w:sz="0" w:space="0" w:color="auto"/>
      </w:divBdr>
    </w:div>
    <w:div w:id="1045254957">
      <w:bodyDiv w:val="1"/>
      <w:marLeft w:val="0"/>
      <w:marRight w:val="0"/>
      <w:marTop w:val="0"/>
      <w:marBottom w:val="0"/>
      <w:divBdr>
        <w:top w:val="none" w:sz="0" w:space="0" w:color="auto"/>
        <w:left w:val="none" w:sz="0" w:space="0" w:color="auto"/>
        <w:bottom w:val="none" w:sz="0" w:space="0" w:color="auto"/>
        <w:right w:val="none" w:sz="0" w:space="0" w:color="auto"/>
      </w:divBdr>
    </w:div>
    <w:div w:id="1047144447">
      <w:bodyDiv w:val="1"/>
      <w:marLeft w:val="0"/>
      <w:marRight w:val="0"/>
      <w:marTop w:val="0"/>
      <w:marBottom w:val="0"/>
      <w:divBdr>
        <w:top w:val="none" w:sz="0" w:space="0" w:color="auto"/>
        <w:left w:val="none" w:sz="0" w:space="0" w:color="auto"/>
        <w:bottom w:val="none" w:sz="0" w:space="0" w:color="auto"/>
        <w:right w:val="none" w:sz="0" w:space="0" w:color="auto"/>
      </w:divBdr>
    </w:div>
    <w:div w:id="1049112618">
      <w:bodyDiv w:val="1"/>
      <w:marLeft w:val="0"/>
      <w:marRight w:val="0"/>
      <w:marTop w:val="0"/>
      <w:marBottom w:val="0"/>
      <w:divBdr>
        <w:top w:val="none" w:sz="0" w:space="0" w:color="auto"/>
        <w:left w:val="none" w:sz="0" w:space="0" w:color="auto"/>
        <w:bottom w:val="none" w:sz="0" w:space="0" w:color="auto"/>
        <w:right w:val="none" w:sz="0" w:space="0" w:color="auto"/>
      </w:divBdr>
    </w:div>
    <w:div w:id="1054237432">
      <w:bodyDiv w:val="1"/>
      <w:marLeft w:val="0"/>
      <w:marRight w:val="0"/>
      <w:marTop w:val="0"/>
      <w:marBottom w:val="0"/>
      <w:divBdr>
        <w:top w:val="none" w:sz="0" w:space="0" w:color="auto"/>
        <w:left w:val="none" w:sz="0" w:space="0" w:color="auto"/>
        <w:bottom w:val="none" w:sz="0" w:space="0" w:color="auto"/>
        <w:right w:val="none" w:sz="0" w:space="0" w:color="auto"/>
      </w:divBdr>
    </w:div>
    <w:div w:id="1056852587">
      <w:bodyDiv w:val="1"/>
      <w:marLeft w:val="0"/>
      <w:marRight w:val="0"/>
      <w:marTop w:val="0"/>
      <w:marBottom w:val="0"/>
      <w:divBdr>
        <w:top w:val="none" w:sz="0" w:space="0" w:color="auto"/>
        <w:left w:val="none" w:sz="0" w:space="0" w:color="auto"/>
        <w:bottom w:val="none" w:sz="0" w:space="0" w:color="auto"/>
        <w:right w:val="none" w:sz="0" w:space="0" w:color="auto"/>
      </w:divBdr>
    </w:div>
    <w:div w:id="1059865911">
      <w:bodyDiv w:val="1"/>
      <w:marLeft w:val="0"/>
      <w:marRight w:val="0"/>
      <w:marTop w:val="0"/>
      <w:marBottom w:val="0"/>
      <w:divBdr>
        <w:top w:val="none" w:sz="0" w:space="0" w:color="auto"/>
        <w:left w:val="none" w:sz="0" w:space="0" w:color="auto"/>
        <w:bottom w:val="none" w:sz="0" w:space="0" w:color="auto"/>
        <w:right w:val="none" w:sz="0" w:space="0" w:color="auto"/>
      </w:divBdr>
    </w:div>
    <w:div w:id="1060596485">
      <w:bodyDiv w:val="1"/>
      <w:marLeft w:val="0"/>
      <w:marRight w:val="0"/>
      <w:marTop w:val="0"/>
      <w:marBottom w:val="0"/>
      <w:divBdr>
        <w:top w:val="none" w:sz="0" w:space="0" w:color="auto"/>
        <w:left w:val="none" w:sz="0" w:space="0" w:color="auto"/>
        <w:bottom w:val="none" w:sz="0" w:space="0" w:color="auto"/>
        <w:right w:val="none" w:sz="0" w:space="0" w:color="auto"/>
      </w:divBdr>
    </w:div>
    <w:div w:id="1063870961">
      <w:bodyDiv w:val="1"/>
      <w:marLeft w:val="0"/>
      <w:marRight w:val="0"/>
      <w:marTop w:val="0"/>
      <w:marBottom w:val="0"/>
      <w:divBdr>
        <w:top w:val="none" w:sz="0" w:space="0" w:color="auto"/>
        <w:left w:val="none" w:sz="0" w:space="0" w:color="auto"/>
        <w:bottom w:val="none" w:sz="0" w:space="0" w:color="auto"/>
        <w:right w:val="none" w:sz="0" w:space="0" w:color="auto"/>
      </w:divBdr>
    </w:div>
    <w:div w:id="1071392037">
      <w:bodyDiv w:val="1"/>
      <w:marLeft w:val="0"/>
      <w:marRight w:val="0"/>
      <w:marTop w:val="0"/>
      <w:marBottom w:val="0"/>
      <w:divBdr>
        <w:top w:val="none" w:sz="0" w:space="0" w:color="auto"/>
        <w:left w:val="none" w:sz="0" w:space="0" w:color="auto"/>
        <w:bottom w:val="none" w:sz="0" w:space="0" w:color="auto"/>
        <w:right w:val="none" w:sz="0" w:space="0" w:color="auto"/>
      </w:divBdr>
    </w:div>
    <w:div w:id="1071922539">
      <w:bodyDiv w:val="1"/>
      <w:marLeft w:val="0"/>
      <w:marRight w:val="0"/>
      <w:marTop w:val="0"/>
      <w:marBottom w:val="0"/>
      <w:divBdr>
        <w:top w:val="none" w:sz="0" w:space="0" w:color="auto"/>
        <w:left w:val="none" w:sz="0" w:space="0" w:color="auto"/>
        <w:bottom w:val="none" w:sz="0" w:space="0" w:color="auto"/>
        <w:right w:val="none" w:sz="0" w:space="0" w:color="auto"/>
      </w:divBdr>
    </w:div>
    <w:div w:id="1074358816">
      <w:bodyDiv w:val="1"/>
      <w:marLeft w:val="0"/>
      <w:marRight w:val="0"/>
      <w:marTop w:val="0"/>
      <w:marBottom w:val="0"/>
      <w:divBdr>
        <w:top w:val="none" w:sz="0" w:space="0" w:color="auto"/>
        <w:left w:val="none" w:sz="0" w:space="0" w:color="auto"/>
        <w:bottom w:val="none" w:sz="0" w:space="0" w:color="auto"/>
        <w:right w:val="none" w:sz="0" w:space="0" w:color="auto"/>
      </w:divBdr>
    </w:div>
    <w:div w:id="1076632592">
      <w:bodyDiv w:val="1"/>
      <w:marLeft w:val="0"/>
      <w:marRight w:val="0"/>
      <w:marTop w:val="0"/>
      <w:marBottom w:val="0"/>
      <w:divBdr>
        <w:top w:val="none" w:sz="0" w:space="0" w:color="auto"/>
        <w:left w:val="none" w:sz="0" w:space="0" w:color="auto"/>
        <w:bottom w:val="none" w:sz="0" w:space="0" w:color="auto"/>
        <w:right w:val="none" w:sz="0" w:space="0" w:color="auto"/>
      </w:divBdr>
    </w:div>
    <w:div w:id="1077871170">
      <w:bodyDiv w:val="1"/>
      <w:marLeft w:val="0"/>
      <w:marRight w:val="0"/>
      <w:marTop w:val="0"/>
      <w:marBottom w:val="0"/>
      <w:divBdr>
        <w:top w:val="none" w:sz="0" w:space="0" w:color="auto"/>
        <w:left w:val="none" w:sz="0" w:space="0" w:color="auto"/>
        <w:bottom w:val="none" w:sz="0" w:space="0" w:color="auto"/>
        <w:right w:val="none" w:sz="0" w:space="0" w:color="auto"/>
      </w:divBdr>
    </w:div>
    <w:div w:id="1079912813">
      <w:bodyDiv w:val="1"/>
      <w:marLeft w:val="0"/>
      <w:marRight w:val="0"/>
      <w:marTop w:val="0"/>
      <w:marBottom w:val="0"/>
      <w:divBdr>
        <w:top w:val="none" w:sz="0" w:space="0" w:color="auto"/>
        <w:left w:val="none" w:sz="0" w:space="0" w:color="auto"/>
        <w:bottom w:val="none" w:sz="0" w:space="0" w:color="auto"/>
        <w:right w:val="none" w:sz="0" w:space="0" w:color="auto"/>
      </w:divBdr>
    </w:div>
    <w:div w:id="1082484030">
      <w:bodyDiv w:val="1"/>
      <w:marLeft w:val="0"/>
      <w:marRight w:val="0"/>
      <w:marTop w:val="0"/>
      <w:marBottom w:val="0"/>
      <w:divBdr>
        <w:top w:val="none" w:sz="0" w:space="0" w:color="auto"/>
        <w:left w:val="none" w:sz="0" w:space="0" w:color="auto"/>
        <w:bottom w:val="none" w:sz="0" w:space="0" w:color="auto"/>
        <w:right w:val="none" w:sz="0" w:space="0" w:color="auto"/>
      </w:divBdr>
    </w:div>
    <w:div w:id="1082876910">
      <w:bodyDiv w:val="1"/>
      <w:marLeft w:val="0"/>
      <w:marRight w:val="0"/>
      <w:marTop w:val="0"/>
      <w:marBottom w:val="0"/>
      <w:divBdr>
        <w:top w:val="none" w:sz="0" w:space="0" w:color="auto"/>
        <w:left w:val="none" w:sz="0" w:space="0" w:color="auto"/>
        <w:bottom w:val="none" w:sz="0" w:space="0" w:color="auto"/>
        <w:right w:val="none" w:sz="0" w:space="0" w:color="auto"/>
      </w:divBdr>
    </w:div>
    <w:div w:id="1084491025">
      <w:bodyDiv w:val="1"/>
      <w:marLeft w:val="0"/>
      <w:marRight w:val="0"/>
      <w:marTop w:val="0"/>
      <w:marBottom w:val="0"/>
      <w:divBdr>
        <w:top w:val="none" w:sz="0" w:space="0" w:color="auto"/>
        <w:left w:val="none" w:sz="0" w:space="0" w:color="auto"/>
        <w:bottom w:val="none" w:sz="0" w:space="0" w:color="auto"/>
        <w:right w:val="none" w:sz="0" w:space="0" w:color="auto"/>
      </w:divBdr>
    </w:div>
    <w:div w:id="1089888226">
      <w:bodyDiv w:val="1"/>
      <w:marLeft w:val="0"/>
      <w:marRight w:val="0"/>
      <w:marTop w:val="0"/>
      <w:marBottom w:val="0"/>
      <w:divBdr>
        <w:top w:val="none" w:sz="0" w:space="0" w:color="auto"/>
        <w:left w:val="none" w:sz="0" w:space="0" w:color="auto"/>
        <w:bottom w:val="none" w:sz="0" w:space="0" w:color="auto"/>
        <w:right w:val="none" w:sz="0" w:space="0" w:color="auto"/>
      </w:divBdr>
    </w:div>
    <w:div w:id="1094281099">
      <w:bodyDiv w:val="1"/>
      <w:marLeft w:val="0"/>
      <w:marRight w:val="0"/>
      <w:marTop w:val="0"/>
      <w:marBottom w:val="0"/>
      <w:divBdr>
        <w:top w:val="none" w:sz="0" w:space="0" w:color="auto"/>
        <w:left w:val="none" w:sz="0" w:space="0" w:color="auto"/>
        <w:bottom w:val="none" w:sz="0" w:space="0" w:color="auto"/>
        <w:right w:val="none" w:sz="0" w:space="0" w:color="auto"/>
      </w:divBdr>
    </w:div>
    <w:div w:id="1094865677">
      <w:bodyDiv w:val="1"/>
      <w:marLeft w:val="0"/>
      <w:marRight w:val="0"/>
      <w:marTop w:val="0"/>
      <w:marBottom w:val="0"/>
      <w:divBdr>
        <w:top w:val="none" w:sz="0" w:space="0" w:color="auto"/>
        <w:left w:val="none" w:sz="0" w:space="0" w:color="auto"/>
        <w:bottom w:val="none" w:sz="0" w:space="0" w:color="auto"/>
        <w:right w:val="none" w:sz="0" w:space="0" w:color="auto"/>
      </w:divBdr>
    </w:div>
    <w:div w:id="1101145133">
      <w:bodyDiv w:val="1"/>
      <w:marLeft w:val="0"/>
      <w:marRight w:val="0"/>
      <w:marTop w:val="0"/>
      <w:marBottom w:val="0"/>
      <w:divBdr>
        <w:top w:val="none" w:sz="0" w:space="0" w:color="auto"/>
        <w:left w:val="none" w:sz="0" w:space="0" w:color="auto"/>
        <w:bottom w:val="none" w:sz="0" w:space="0" w:color="auto"/>
        <w:right w:val="none" w:sz="0" w:space="0" w:color="auto"/>
      </w:divBdr>
    </w:div>
    <w:div w:id="1104181928">
      <w:bodyDiv w:val="1"/>
      <w:marLeft w:val="0"/>
      <w:marRight w:val="0"/>
      <w:marTop w:val="0"/>
      <w:marBottom w:val="0"/>
      <w:divBdr>
        <w:top w:val="none" w:sz="0" w:space="0" w:color="auto"/>
        <w:left w:val="none" w:sz="0" w:space="0" w:color="auto"/>
        <w:bottom w:val="none" w:sz="0" w:space="0" w:color="auto"/>
        <w:right w:val="none" w:sz="0" w:space="0" w:color="auto"/>
      </w:divBdr>
    </w:div>
    <w:div w:id="1106003543">
      <w:bodyDiv w:val="1"/>
      <w:marLeft w:val="0"/>
      <w:marRight w:val="0"/>
      <w:marTop w:val="0"/>
      <w:marBottom w:val="0"/>
      <w:divBdr>
        <w:top w:val="none" w:sz="0" w:space="0" w:color="auto"/>
        <w:left w:val="none" w:sz="0" w:space="0" w:color="auto"/>
        <w:bottom w:val="none" w:sz="0" w:space="0" w:color="auto"/>
        <w:right w:val="none" w:sz="0" w:space="0" w:color="auto"/>
      </w:divBdr>
    </w:div>
    <w:div w:id="1108546142">
      <w:bodyDiv w:val="1"/>
      <w:marLeft w:val="0"/>
      <w:marRight w:val="0"/>
      <w:marTop w:val="0"/>
      <w:marBottom w:val="0"/>
      <w:divBdr>
        <w:top w:val="none" w:sz="0" w:space="0" w:color="auto"/>
        <w:left w:val="none" w:sz="0" w:space="0" w:color="auto"/>
        <w:bottom w:val="none" w:sz="0" w:space="0" w:color="auto"/>
        <w:right w:val="none" w:sz="0" w:space="0" w:color="auto"/>
      </w:divBdr>
    </w:div>
    <w:div w:id="1113671409">
      <w:bodyDiv w:val="1"/>
      <w:marLeft w:val="0"/>
      <w:marRight w:val="0"/>
      <w:marTop w:val="0"/>
      <w:marBottom w:val="0"/>
      <w:divBdr>
        <w:top w:val="none" w:sz="0" w:space="0" w:color="auto"/>
        <w:left w:val="none" w:sz="0" w:space="0" w:color="auto"/>
        <w:bottom w:val="none" w:sz="0" w:space="0" w:color="auto"/>
        <w:right w:val="none" w:sz="0" w:space="0" w:color="auto"/>
      </w:divBdr>
    </w:div>
    <w:div w:id="1117023181">
      <w:bodyDiv w:val="1"/>
      <w:marLeft w:val="0"/>
      <w:marRight w:val="0"/>
      <w:marTop w:val="0"/>
      <w:marBottom w:val="0"/>
      <w:divBdr>
        <w:top w:val="none" w:sz="0" w:space="0" w:color="auto"/>
        <w:left w:val="none" w:sz="0" w:space="0" w:color="auto"/>
        <w:bottom w:val="none" w:sz="0" w:space="0" w:color="auto"/>
        <w:right w:val="none" w:sz="0" w:space="0" w:color="auto"/>
      </w:divBdr>
    </w:div>
    <w:div w:id="1117145261">
      <w:bodyDiv w:val="1"/>
      <w:marLeft w:val="0"/>
      <w:marRight w:val="0"/>
      <w:marTop w:val="0"/>
      <w:marBottom w:val="0"/>
      <w:divBdr>
        <w:top w:val="none" w:sz="0" w:space="0" w:color="auto"/>
        <w:left w:val="none" w:sz="0" w:space="0" w:color="auto"/>
        <w:bottom w:val="none" w:sz="0" w:space="0" w:color="auto"/>
        <w:right w:val="none" w:sz="0" w:space="0" w:color="auto"/>
      </w:divBdr>
    </w:div>
    <w:div w:id="1117330639">
      <w:bodyDiv w:val="1"/>
      <w:marLeft w:val="0"/>
      <w:marRight w:val="0"/>
      <w:marTop w:val="0"/>
      <w:marBottom w:val="0"/>
      <w:divBdr>
        <w:top w:val="none" w:sz="0" w:space="0" w:color="auto"/>
        <w:left w:val="none" w:sz="0" w:space="0" w:color="auto"/>
        <w:bottom w:val="none" w:sz="0" w:space="0" w:color="auto"/>
        <w:right w:val="none" w:sz="0" w:space="0" w:color="auto"/>
      </w:divBdr>
    </w:div>
    <w:div w:id="1117527690">
      <w:bodyDiv w:val="1"/>
      <w:marLeft w:val="0"/>
      <w:marRight w:val="0"/>
      <w:marTop w:val="0"/>
      <w:marBottom w:val="0"/>
      <w:divBdr>
        <w:top w:val="none" w:sz="0" w:space="0" w:color="auto"/>
        <w:left w:val="none" w:sz="0" w:space="0" w:color="auto"/>
        <w:bottom w:val="none" w:sz="0" w:space="0" w:color="auto"/>
        <w:right w:val="none" w:sz="0" w:space="0" w:color="auto"/>
      </w:divBdr>
    </w:div>
    <w:div w:id="1120997358">
      <w:bodyDiv w:val="1"/>
      <w:marLeft w:val="0"/>
      <w:marRight w:val="0"/>
      <w:marTop w:val="0"/>
      <w:marBottom w:val="0"/>
      <w:divBdr>
        <w:top w:val="none" w:sz="0" w:space="0" w:color="auto"/>
        <w:left w:val="none" w:sz="0" w:space="0" w:color="auto"/>
        <w:bottom w:val="none" w:sz="0" w:space="0" w:color="auto"/>
        <w:right w:val="none" w:sz="0" w:space="0" w:color="auto"/>
      </w:divBdr>
    </w:div>
    <w:div w:id="1121336937">
      <w:bodyDiv w:val="1"/>
      <w:marLeft w:val="0"/>
      <w:marRight w:val="0"/>
      <w:marTop w:val="0"/>
      <w:marBottom w:val="0"/>
      <w:divBdr>
        <w:top w:val="none" w:sz="0" w:space="0" w:color="auto"/>
        <w:left w:val="none" w:sz="0" w:space="0" w:color="auto"/>
        <w:bottom w:val="none" w:sz="0" w:space="0" w:color="auto"/>
        <w:right w:val="none" w:sz="0" w:space="0" w:color="auto"/>
      </w:divBdr>
    </w:div>
    <w:div w:id="1127043109">
      <w:bodyDiv w:val="1"/>
      <w:marLeft w:val="0"/>
      <w:marRight w:val="0"/>
      <w:marTop w:val="0"/>
      <w:marBottom w:val="0"/>
      <w:divBdr>
        <w:top w:val="none" w:sz="0" w:space="0" w:color="auto"/>
        <w:left w:val="none" w:sz="0" w:space="0" w:color="auto"/>
        <w:bottom w:val="none" w:sz="0" w:space="0" w:color="auto"/>
        <w:right w:val="none" w:sz="0" w:space="0" w:color="auto"/>
      </w:divBdr>
    </w:div>
    <w:div w:id="1128398916">
      <w:bodyDiv w:val="1"/>
      <w:marLeft w:val="0"/>
      <w:marRight w:val="0"/>
      <w:marTop w:val="0"/>
      <w:marBottom w:val="0"/>
      <w:divBdr>
        <w:top w:val="none" w:sz="0" w:space="0" w:color="auto"/>
        <w:left w:val="none" w:sz="0" w:space="0" w:color="auto"/>
        <w:bottom w:val="none" w:sz="0" w:space="0" w:color="auto"/>
        <w:right w:val="none" w:sz="0" w:space="0" w:color="auto"/>
      </w:divBdr>
    </w:div>
    <w:div w:id="1128667463">
      <w:bodyDiv w:val="1"/>
      <w:marLeft w:val="0"/>
      <w:marRight w:val="0"/>
      <w:marTop w:val="0"/>
      <w:marBottom w:val="0"/>
      <w:divBdr>
        <w:top w:val="none" w:sz="0" w:space="0" w:color="auto"/>
        <w:left w:val="none" w:sz="0" w:space="0" w:color="auto"/>
        <w:bottom w:val="none" w:sz="0" w:space="0" w:color="auto"/>
        <w:right w:val="none" w:sz="0" w:space="0" w:color="auto"/>
      </w:divBdr>
    </w:div>
    <w:div w:id="1129007973">
      <w:bodyDiv w:val="1"/>
      <w:marLeft w:val="0"/>
      <w:marRight w:val="0"/>
      <w:marTop w:val="0"/>
      <w:marBottom w:val="0"/>
      <w:divBdr>
        <w:top w:val="none" w:sz="0" w:space="0" w:color="auto"/>
        <w:left w:val="none" w:sz="0" w:space="0" w:color="auto"/>
        <w:bottom w:val="none" w:sz="0" w:space="0" w:color="auto"/>
        <w:right w:val="none" w:sz="0" w:space="0" w:color="auto"/>
      </w:divBdr>
    </w:div>
    <w:div w:id="1140806183">
      <w:bodyDiv w:val="1"/>
      <w:marLeft w:val="0"/>
      <w:marRight w:val="0"/>
      <w:marTop w:val="0"/>
      <w:marBottom w:val="0"/>
      <w:divBdr>
        <w:top w:val="none" w:sz="0" w:space="0" w:color="auto"/>
        <w:left w:val="none" w:sz="0" w:space="0" w:color="auto"/>
        <w:bottom w:val="none" w:sz="0" w:space="0" w:color="auto"/>
        <w:right w:val="none" w:sz="0" w:space="0" w:color="auto"/>
      </w:divBdr>
    </w:div>
    <w:div w:id="1142037800">
      <w:bodyDiv w:val="1"/>
      <w:marLeft w:val="0"/>
      <w:marRight w:val="0"/>
      <w:marTop w:val="0"/>
      <w:marBottom w:val="0"/>
      <w:divBdr>
        <w:top w:val="none" w:sz="0" w:space="0" w:color="auto"/>
        <w:left w:val="none" w:sz="0" w:space="0" w:color="auto"/>
        <w:bottom w:val="none" w:sz="0" w:space="0" w:color="auto"/>
        <w:right w:val="none" w:sz="0" w:space="0" w:color="auto"/>
      </w:divBdr>
    </w:div>
    <w:div w:id="1145704406">
      <w:bodyDiv w:val="1"/>
      <w:marLeft w:val="0"/>
      <w:marRight w:val="0"/>
      <w:marTop w:val="0"/>
      <w:marBottom w:val="0"/>
      <w:divBdr>
        <w:top w:val="none" w:sz="0" w:space="0" w:color="auto"/>
        <w:left w:val="none" w:sz="0" w:space="0" w:color="auto"/>
        <w:bottom w:val="none" w:sz="0" w:space="0" w:color="auto"/>
        <w:right w:val="none" w:sz="0" w:space="0" w:color="auto"/>
      </w:divBdr>
    </w:div>
    <w:div w:id="1147547683">
      <w:bodyDiv w:val="1"/>
      <w:marLeft w:val="0"/>
      <w:marRight w:val="0"/>
      <w:marTop w:val="0"/>
      <w:marBottom w:val="0"/>
      <w:divBdr>
        <w:top w:val="none" w:sz="0" w:space="0" w:color="auto"/>
        <w:left w:val="none" w:sz="0" w:space="0" w:color="auto"/>
        <w:bottom w:val="none" w:sz="0" w:space="0" w:color="auto"/>
        <w:right w:val="none" w:sz="0" w:space="0" w:color="auto"/>
      </w:divBdr>
    </w:div>
    <w:div w:id="1150443958">
      <w:bodyDiv w:val="1"/>
      <w:marLeft w:val="0"/>
      <w:marRight w:val="0"/>
      <w:marTop w:val="0"/>
      <w:marBottom w:val="0"/>
      <w:divBdr>
        <w:top w:val="none" w:sz="0" w:space="0" w:color="auto"/>
        <w:left w:val="none" w:sz="0" w:space="0" w:color="auto"/>
        <w:bottom w:val="none" w:sz="0" w:space="0" w:color="auto"/>
        <w:right w:val="none" w:sz="0" w:space="0" w:color="auto"/>
      </w:divBdr>
    </w:div>
    <w:div w:id="1150515139">
      <w:bodyDiv w:val="1"/>
      <w:marLeft w:val="0"/>
      <w:marRight w:val="0"/>
      <w:marTop w:val="0"/>
      <w:marBottom w:val="0"/>
      <w:divBdr>
        <w:top w:val="none" w:sz="0" w:space="0" w:color="auto"/>
        <w:left w:val="none" w:sz="0" w:space="0" w:color="auto"/>
        <w:bottom w:val="none" w:sz="0" w:space="0" w:color="auto"/>
        <w:right w:val="none" w:sz="0" w:space="0" w:color="auto"/>
      </w:divBdr>
    </w:div>
    <w:div w:id="1159807927">
      <w:bodyDiv w:val="1"/>
      <w:marLeft w:val="0"/>
      <w:marRight w:val="0"/>
      <w:marTop w:val="0"/>
      <w:marBottom w:val="0"/>
      <w:divBdr>
        <w:top w:val="none" w:sz="0" w:space="0" w:color="auto"/>
        <w:left w:val="none" w:sz="0" w:space="0" w:color="auto"/>
        <w:bottom w:val="none" w:sz="0" w:space="0" w:color="auto"/>
        <w:right w:val="none" w:sz="0" w:space="0" w:color="auto"/>
      </w:divBdr>
    </w:div>
    <w:div w:id="1162352818">
      <w:bodyDiv w:val="1"/>
      <w:marLeft w:val="0"/>
      <w:marRight w:val="0"/>
      <w:marTop w:val="0"/>
      <w:marBottom w:val="0"/>
      <w:divBdr>
        <w:top w:val="none" w:sz="0" w:space="0" w:color="auto"/>
        <w:left w:val="none" w:sz="0" w:space="0" w:color="auto"/>
        <w:bottom w:val="none" w:sz="0" w:space="0" w:color="auto"/>
        <w:right w:val="none" w:sz="0" w:space="0" w:color="auto"/>
      </w:divBdr>
    </w:div>
    <w:div w:id="1163010405">
      <w:bodyDiv w:val="1"/>
      <w:marLeft w:val="0"/>
      <w:marRight w:val="0"/>
      <w:marTop w:val="0"/>
      <w:marBottom w:val="0"/>
      <w:divBdr>
        <w:top w:val="none" w:sz="0" w:space="0" w:color="auto"/>
        <w:left w:val="none" w:sz="0" w:space="0" w:color="auto"/>
        <w:bottom w:val="none" w:sz="0" w:space="0" w:color="auto"/>
        <w:right w:val="none" w:sz="0" w:space="0" w:color="auto"/>
      </w:divBdr>
    </w:div>
    <w:div w:id="1167135292">
      <w:bodyDiv w:val="1"/>
      <w:marLeft w:val="0"/>
      <w:marRight w:val="0"/>
      <w:marTop w:val="0"/>
      <w:marBottom w:val="0"/>
      <w:divBdr>
        <w:top w:val="none" w:sz="0" w:space="0" w:color="auto"/>
        <w:left w:val="none" w:sz="0" w:space="0" w:color="auto"/>
        <w:bottom w:val="none" w:sz="0" w:space="0" w:color="auto"/>
        <w:right w:val="none" w:sz="0" w:space="0" w:color="auto"/>
      </w:divBdr>
    </w:div>
    <w:div w:id="1169714362">
      <w:bodyDiv w:val="1"/>
      <w:marLeft w:val="0"/>
      <w:marRight w:val="0"/>
      <w:marTop w:val="0"/>
      <w:marBottom w:val="0"/>
      <w:divBdr>
        <w:top w:val="none" w:sz="0" w:space="0" w:color="auto"/>
        <w:left w:val="none" w:sz="0" w:space="0" w:color="auto"/>
        <w:bottom w:val="none" w:sz="0" w:space="0" w:color="auto"/>
        <w:right w:val="none" w:sz="0" w:space="0" w:color="auto"/>
      </w:divBdr>
    </w:div>
    <w:div w:id="1172261470">
      <w:bodyDiv w:val="1"/>
      <w:marLeft w:val="0"/>
      <w:marRight w:val="0"/>
      <w:marTop w:val="0"/>
      <w:marBottom w:val="0"/>
      <w:divBdr>
        <w:top w:val="none" w:sz="0" w:space="0" w:color="auto"/>
        <w:left w:val="none" w:sz="0" w:space="0" w:color="auto"/>
        <w:bottom w:val="none" w:sz="0" w:space="0" w:color="auto"/>
        <w:right w:val="none" w:sz="0" w:space="0" w:color="auto"/>
      </w:divBdr>
    </w:div>
    <w:div w:id="1176846087">
      <w:bodyDiv w:val="1"/>
      <w:marLeft w:val="0"/>
      <w:marRight w:val="0"/>
      <w:marTop w:val="0"/>
      <w:marBottom w:val="0"/>
      <w:divBdr>
        <w:top w:val="none" w:sz="0" w:space="0" w:color="auto"/>
        <w:left w:val="none" w:sz="0" w:space="0" w:color="auto"/>
        <w:bottom w:val="none" w:sz="0" w:space="0" w:color="auto"/>
        <w:right w:val="none" w:sz="0" w:space="0" w:color="auto"/>
      </w:divBdr>
    </w:div>
    <w:div w:id="1177769143">
      <w:bodyDiv w:val="1"/>
      <w:marLeft w:val="0"/>
      <w:marRight w:val="0"/>
      <w:marTop w:val="0"/>
      <w:marBottom w:val="0"/>
      <w:divBdr>
        <w:top w:val="none" w:sz="0" w:space="0" w:color="auto"/>
        <w:left w:val="none" w:sz="0" w:space="0" w:color="auto"/>
        <w:bottom w:val="none" w:sz="0" w:space="0" w:color="auto"/>
        <w:right w:val="none" w:sz="0" w:space="0" w:color="auto"/>
      </w:divBdr>
    </w:div>
    <w:div w:id="1177962525">
      <w:bodyDiv w:val="1"/>
      <w:marLeft w:val="0"/>
      <w:marRight w:val="0"/>
      <w:marTop w:val="0"/>
      <w:marBottom w:val="0"/>
      <w:divBdr>
        <w:top w:val="none" w:sz="0" w:space="0" w:color="auto"/>
        <w:left w:val="none" w:sz="0" w:space="0" w:color="auto"/>
        <w:bottom w:val="none" w:sz="0" w:space="0" w:color="auto"/>
        <w:right w:val="none" w:sz="0" w:space="0" w:color="auto"/>
      </w:divBdr>
    </w:div>
    <w:div w:id="1180586764">
      <w:bodyDiv w:val="1"/>
      <w:marLeft w:val="0"/>
      <w:marRight w:val="0"/>
      <w:marTop w:val="0"/>
      <w:marBottom w:val="0"/>
      <w:divBdr>
        <w:top w:val="none" w:sz="0" w:space="0" w:color="auto"/>
        <w:left w:val="none" w:sz="0" w:space="0" w:color="auto"/>
        <w:bottom w:val="none" w:sz="0" w:space="0" w:color="auto"/>
        <w:right w:val="none" w:sz="0" w:space="0" w:color="auto"/>
      </w:divBdr>
    </w:div>
    <w:div w:id="1182625143">
      <w:bodyDiv w:val="1"/>
      <w:marLeft w:val="0"/>
      <w:marRight w:val="0"/>
      <w:marTop w:val="0"/>
      <w:marBottom w:val="0"/>
      <w:divBdr>
        <w:top w:val="none" w:sz="0" w:space="0" w:color="auto"/>
        <w:left w:val="none" w:sz="0" w:space="0" w:color="auto"/>
        <w:bottom w:val="none" w:sz="0" w:space="0" w:color="auto"/>
        <w:right w:val="none" w:sz="0" w:space="0" w:color="auto"/>
      </w:divBdr>
    </w:div>
    <w:div w:id="1191605294">
      <w:bodyDiv w:val="1"/>
      <w:marLeft w:val="0"/>
      <w:marRight w:val="0"/>
      <w:marTop w:val="0"/>
      <w:marBottom w:val="0"/>
      <w:divBdr>
        <w:top w:val="none" w:sz="0" w:space="0" w:color="auto"/>
        <w:left w:val="none" w:sz="0" w:space="0" w:color="auto"/>
        <w:bottom w:val="none" w:sz="0" w:space="0" w:color="auto"/>
        <w:right w:val="none" w:sz="0" w:space="0" w:color="auto"/>
      </w:divBdr>
    </w:div>
    <w:div w:id="1191992441">
      <w:bodyDiv w:val="1"/>
      <w:marLeft w:val="0"/>
      <w:marRight w:val="0"/>
      <w:marTop w:val="0"/>
      <w:marBottom w:val="0"/>
      <w:divBdr>
        <w:top w:val="none" w:sz="0" w:space="0" w:color="auto"/>
        <w:left w:val="none" w:sz="0" w:space="0" w:color="auto"/>
        <w:bottom w:val="none" w:sz="0" w:space="0" w:color="auto"/>
        <w:right w:val="none" w:sz="0" w:space="0" w:color="auto"/>
      </w:divBdr>
    </w:div>
    <w:div w:id="1195114641">
      <w:bodyDiv w:val="1"/>
      <w:marLeft w:val="0"/>
      <w:marRight w:val="0"/>
      <w:marTop w:val="0"/>
      <w:marBottom w:val="0"/>
      <w:divBdr>
        <w:top w:val="none" w:sz="0" w:space="0" w:color="auto"/>
        <w:left w:val="none" w:sz="0" w:space="0" w:color="auto"/>
        <w:bottom w:val="none" w:sz="0" w:space="0" w:color="auto"/>
        <w:right w:val="none" w:sz="0" w:space="0" w:color="auto"/>
      </w:divBdr>
    </w:div>
    <w:div w:id="1196041308">
      <w:bodyDiv w:val="1"/>
      <w:marLeft w:val="0"/>
      <w:marRight w:val="0"/>
      <w:marTop w:val="0"/>
      <w:marBottom w:val="0"/>
      <w:divBdr>
        <w:top w:val="none" w:sz="0" w:space="0" w:color="auto"/>
        <w:left w:val="none" w:sz="0" w:space="0" w:color="auto"/>
        <w:bottom w:val="none" w:sz="0" w:space="0" w:color="auto"/>
        <w:right w:val="none" w:sz="0" w:space="0" w:color="auto"/>
      </w:divBdr>
    </w:div>
    <w:div w:id="1198393459">
      <w:bodyDiv w:val="1"/>
      <w:marLeft w:val="0"/>
      <w:marRight w:val="0"/>
      <w:marTop w:val="0"/>
      <w:marBottom w:val="0"/>
      <w:divBdr>
        <w:top w:val="none" w:sz="0" w:space="0" w:color="auto"/>
        <w:left w:val="none" w:sz="0" w:space="0" w:color="auto"/>
        <w:bottom w:val="none" w:sz="0" w:space="0" w:color="auto"/>
        <w:right w:val="none" w:sz="0" w:space="0" w:color="auto"/>
      </w:divBdr>
    </w:div>
    <w:div w:id="1202859876">
      <w:bodyDiv w:val="1"/>
      <w:marLeft w:val="0"/>
      <w:marRight w:val="0"/>
      <w:marTop w:val="0"/>
      <w:marBottom w:val="0"/>
      <w:divBdr>
        <w:top w:val="none" w:sz="0" w:space="0" w:color="auto"/>
        <w:left w:val="none" w:sz="0" w:space="0" w:color="auto"/>
        <w:bottom w:val="none" w:sz="0" w:space="0" w:color="auto"/>
        <w:right w:val="none" w:sz="0" w:space="0" w:color="auto"/>
      </w:divBdr>
    </w:div>
    <w:div w:id="1205216613">
      <w:bodyDiv w:val="1"/>
      <w:marLeft w:val="0"/>
      <w:marRight w:val="0"/>
      <w:marTop w:val="0"/>
      <w:marBottom w:val="0"/>
      <w:divBdr>
        <w:top w:val="none" w:sz="0" w:space="0" w:color="auto"/>
        <w:left w:val="none" w:sz="0" w:space="0" w:color="auto"/>
        <w:bottom w:val="none" w:sz="0" w:space="0" w:color="auto"/>
        <w:right w:val="none" w:sz="0" w:space="0" w:color="auto"/>
      </w:divBdr>
    </w:div>
    <w:div w:id="1208182155">
      <w:bodyDiv w:val="1"/>
      <w:marLeft w:val="0"/>
      <w:marRight w:val="0"/>
      <w:marTop w:val="0"/>
      <w:marBottom w:val="0"/>
      <w:divBdr>
        <w:top w:val="none" w:sz="0" w:space="0" w:color="auto"/>
        <w:left w:val="none" w:sz="0" w:space="0" w:color="auto"/>
        <w:bottom w:val="none" w:sz="0" w:space="0" w:color="auto"/>
        <w:right w:val="none" w:sz="0" w:space="0" w:color="auto"/>
      </w:divBdr>
    </w:div>
    <w:div w:id="1211187003">
      <w:bodyDiv w:val="1"/>
      <w:marLeft w:val="0"/>
      <w:marRight w:val="0"/>
      <w:marTop w:val="0"/>
      <w:marBottom w:val="0"/>
      <w:divBdr>
        <w:top w:val="none" w:sz="0" w:space="0" w:color="auto"/>
        <w:left w:val="none" w:sz="0" w:space="0" w:color="auto"/>
        <w:bottom w:val="none" w:sz="0" w:space="0" w:color="auto"/>
        <w:right w:val="none" w:sz="0" w:space="0" w:color="auto"/>
      </w:divBdr>
    </w:div>
    <w:div w:id="1216308888">
      <w:bodyDiv w:val="1"/>
      <w:marLeft w:val="0"/>
      <w:marRight w:val="0"/>
      <w:marTop w:val="0"/>
      <w:marBottom w:val="0"/>
      <w:divBdr>
        <w:top w:val="none" w:sz="0" w:space="0" w:color="auto"/>
        <w:left w:val="none" w:sz="0" w:space="0" w:color="auto"/>
        <w:bottom w:val="none" w:sz="0" w:space="0" w:color="auto"/>
        <w:right w:val="none" w:sz="0" w:space="0" w:color="auto"/>
      </w:divBdr>
    </w:div>
    <w:div w:id="1216620640">
      <w:bodyDiv w:val="1"/>
      <w:marLeft w:val="0"/>
      <w:marRight w:val="0"/>
      <w:marTop w:val="0"/>
      <w:marBottom w:val="0"/>
      <w:divBdr>
        <w:top w:val="none" w:sz="0" w:space="0" w:color="auto"/>
        <w:left w:val="none" w:sz="0" w:space="0" w:color="auto"/>
        <w:bottom w:val="none" w:sz="0" w:space="0" w:color="auto"/>
        <w:right w:val="none" w:sz="0" w:space="0" w:color="auto"/>
      </w:divBdr>
    </w:div>
    <w:div w:id="1216622108">
      <w:bodyDiv w:val="1"/>
      <w:marLeft w:val="0"/>
      <w:marRight w:val="0"/>
      <w:marTop w:val="0"/>
      <w:marBottom w:val="0"/>
      <w:divBdr>
        <w:top w:val="none" w:sz="0" w:space="0" w:color="auto"/>
        <w:left w:val="none" w:sz="0" w:space="0" w:color="auto"/>
        <w:bottom w:val="none" w:sz="0" w:space="0" w:color="auto"/>
        <w:right w:val="none" w:sz="0" w:space="0" w:color="auto"/>
      </w:divBdr>
    </w:div>
    <w:div w:id="1219128947">
      <w:bodyDiv w:val="1"/>
      <w:marLeft w:val="0"/>
      <w:marRight w:val="0"/>
      <w:marTop w:val="0"/>
      <w:marBottom w:val="0"/>
      <w:divBdr>
        <w:top w:val="none" w:sz="0" w:space="0" w:color="auto"/>
        <w:left w:val="none" w:sz="0" w:space="0" w:color="auto"/>
        <w:bottom w:val="none" w:sz="0" w:space="0" w:color="auto"/>
        <w:right w:val="none" w:sz="0" w:space="0" w:color="auto"/>
      </w:divBdr>
    </w:div>
    <w:div w:id="1224101766">
      <w:bodyDiv w:val="1"/>
      <w:marLeft w:val="0"/>
      <w:marRight w:val="0"/>
      <w:marTop w:val="0"/>
      <w:marBottom w:val="0"/>
      <w:divBdr>
        <w:top w:val="none" w:sz="0" w:space="0" w:color="auto"/>
        <w:left w:val="none" w:sz="0" w:space="0" w:color="auto"/>
        <w:bottom w:val="none" w:sz="0" w:space="0" w:color="auto"/>
        <w:right w:val="none" w:sz="0" w:space="0" w:color="auto"/>
      </w:divBdr>
    </w:div>
    <w:div w:id="1226720662">
      <w:bodyDiv w:val="1"/>
      <w:marLeft w:val="0"/>
      <w:marRight w:val="0"/>
      <w:marTop w:val="0"/>
      <w:marBottom w:val="0"/>
      <w:divBdr>
        <w:top w:val="none" w:sz="0" w:space="0" w:color="auto"/>
        <w:left w:val="none" w:sz="0" w:space="0" w:color="auto"/>
        <w:bottom w:val="none" w:sz="0" w:space="0" w:color="auto"/>
        <w:right w:val="none" w:sz="0" w:space="0" w:color="auto"/>
      </w:divBdr>
    </w:div>
    <w:div w:id="1242522388">
      <w:bodyDiv w:val="1"/>
      <w:marLeft w:val="0"/>
      <w:marRight w:val="0"/>
      <w:marTop w:val="0"/>
      <w:marBottom w:val="0"/>
      <w:divBdr>
        <w:top w:val="none" w:sz="0" w:space="0" w:color="auto"/>
        <w:left w:val="none" w:sz="0" w:space="0" w:color="auto"/>
        <w:bottom w:val="none" w:sz="0" w:space="0" w:color="auto"/>
        <w:right w:val="none" w:sz="0" w:space="0" w:color="auto"/>
      </w:divBdr>
    </w:div>
    <w:div w:id="1258560751">
      <w:bodyDiv w:val="1"/>
      <w:marLeft w:val="0"/>
      <w:marRight w:val="0"/>
      <w:marTop w:val="0"/>
      <w:marBottom w:val="0"/>
      <w:divBdr>
        <w:top w:val="none" w:sz="0" w:space="0" w:color="auto"/>
        <w:left w:val="none" w:sz="0" w:space="0" w:color="auto"/>
        <w:bottom w:val="none" w:sz="0" w:space="0" w:color="auto"/>
        <w:right w:val="none" w:sz="0" w:space="0" w:color="auto"/>
      </w:divBdr>
    </w:div>
    <w:div w:id="1263535780">
      <w:bodyDiv w:val="1"/>
      <w:marLeft w:val="0"/>
      <w:marRight w:val="0"/>
      <w:marTop w:val="0"/>
      <w:marBottom w:val="0"/>
      <w:divBdr>
        <w:top w:val="none" w:sz="0" w:space="0" w:color="auto"/>
        <w:left w:val="none" w:sz="0" w:space="0" w:color="auto"/>
        <w:bottom w:val="none" w:sz="0" w:space="0" w:color="auto"/>
        <w:right w:val="none" w:sz="0" w:space="0" w:color="auto"/>
      </w:divBdr>
    </w:div>
    <w:div w:id="1265990947">
      <w:bodyDiv w:val="1"/>
      <w:marLeft w:val="0"/>
      <w:marRight w:val="0"/>
      <w:marTop w:val="0"/>
      <w:marBottom w:val="0"/>
      <w:divBdr>
        <w:top w:val="none" w:sz="0" w:space="0" w:color="auto"/>
        <w:left w:val="none" w:sz="0" w:space="0" w:color="auto"/>
        <w:bottom w:val="none" w:sz="0" w:space="0" w:color="auto"/>
        <w:right w:val="none" w:sz="0" w:space="0" w:color="auto"/>
      </w:divBdr>
    </w:div>
    <w:div w:id="1269700526">
      <w:bodyDiv w:val="1"/>
      <w:marLeft w:val="0"/>
      <w:marRight w:val="0"/>
      <w:marTop w:val="0"/>
      <w:marBottom w:val="0"/>
      <w:divBdr>
        <w:top w:val="none" w:sz="0" w:space="0" w:color="auto"/>
        <w:left w:val="none" w:sz="0" w:space="0" w:color="auto"/>
        <w:bottom w:val="none" w:sz="0" w:space="0" w:color="auto"/>
        <w:right w:val="none" w:sz="0" w:space="0" w:color="auto"/>
      </w:divBdr>
    </w:div>
    <w:div w:id="1273784683">
      <w:bodyDiv w:val="1"/>
      <w:marLeft w:val="0"/>
      <w:marRight w:val="0"/>
      <w:marTop w:val="0"/>
      <w:marBottom w:val="0"/>
      <w:divBdr>
        <w:top w:val="none" w:sz="0" w:space="0" w:color="auto"/>
        <w:left w:val="none" w:sz="0" w:space="0" w:color="auto"/>
        <w:bottom w:val="none" w:sz="0" w:space="0" w:color="auto"/>
        <w:right w:val="none" w:sz="0" w:space="0" w:color="auto"/>
      </w:divBdr>
    </w:div>
    <w:div w:id="1276253101">
      <w:bodyDiv w:val="1"/>
      <w:marLeft w:val="0"/>
      <w:marRight w:val="0"/>
      <w:marTop w:val="0"/>
      <w:marBottom w:val="0"/>
      <w:divBdr>
        <w:top w:val="none" w:sz="0" w:space="0" w:color="auto"/>
        <w:left w:val="none" w:sz="0" w:space="0" w:color="auto"/>
        <w:bottom w:val="none" w:sz="0" w:space="0" w:color="auto"/>
        <w:right w:val="none" w:sz="0" w:space="0" w:color="auto"/>
      </w:divBdr>
    </w:div>
    <w:div w:id="1276787316">
      <w:bodyDiv w:val="1"/>
      <w:marLeft w:val="0"/>
      <w:marRight w:val="0"/>
      <w:marTop w:val="0"/>
      <w:marBottom w:val="0"/>
      <w:divBdr>
        <w:top w:val="none" w:sz="0" w:space="0" w:color="auto"/>
        <w:left w:val="none" w:sz="0" w:space="0" w:color="auto"/>
        <w:bottom w:val="none" w:sz="0" w:space="0" w:color="auto"/>
        <w:right w:val="none" w:sz="0" w:space="0" w:color="auto"/>
      </w:divBdr>
    </w:div>
    <w:div w:id="1285232891">
      <w:bodyDiv w:val="1"/>
      <w:marLeft w:val="0"/>
      <w:marRight w:val="0"/>
      <w:marTop w:val="0"/>
      <w:marBottom w:val="0"/>
      <w:divBdr>
        <w:top w:val="none" w:sz="0" w:space="0" w:color="auto"/>
        <w:left w:val="none" w:sz="0" w:space="0" w:color="auto"/>
        <w:bottom w:val="none" w:sz="0" w:space="0" w:color="auto"/>
        <w:right w:val="none" w:sz="0" w:space="0" w:color="auto"/>
      </w:divBdr>
    </w:div>
    <w:div w:id="1285380337">
      <w:bodyDiv w:val="1"/>
      <w:marLeft w:val="0"/>
      <w:marRight w:val="0"/>
      <w:marTop w:val="0"/>
      <w:marBottom w:val="0"/>
      <w:divBdr>
        <w:top w:val="none" w:sz="0" w:space="0" w:color="auto"/>
        <w:left w:val="none" w:sz="0" w:space="0" w:color="auto"/>
        <w:bottom w:val="none" w:sz="0" w:space="0" w:color="auto"/>
        <w:right w:val="none" w:sz="0" w:space="0" w:color="auto"/>
      </w:divBdr>
    </w:div>
    <w:div w:id="1286083526">
      <w:bodyDiv w:val="1"/>
      <w:marLeft w:val="0"/>
      <w:marRight w:val="0"/>
      <w:marTop w:val="0"/>
      <w:marBottom w:val="0"/>
      <w:divBdr>
        <w:top w:val="none" w:sz="0" w:space="0" w:color="auto"/>
        <w:left w:val="none" w:sz="0" w:space="0" w:color="auto"/>
        <w:bottom w:val="none" w:sz="0" w:space="0" w:color="auto"/>
        <w:right w:val="none" w:sz="0" w:space="0" w:color="auto"/>
      </w:divBdr>
    </w:div>
    <w:div w:id="1286352587">
      <w:bodyDiv w:val="1"/>
      <w:marLeft w:val="0"/>
      <w:marRight w:val="0"/>
      <w:marTop w:val="0"/>
      <w:marBottom w:val="0"/>
      <w:divBdr>
        <w:top w:val="none" w:sz="0" w:space="0" w:color="auto"/>
        <w:left w:val="none" w:sz="0" w:space="0" w:color="auto"/>
        <w:bottom w:val="none" w:sz="0" w:space="0" w:color="auto"/>
        <w:right w:val="none" w:sz="0" w:space="0" w:color="auto"/>
      </w:divBdr>
    </w:div>
    <w:div w:id="1289773451">
      <w:bodyDiv w:val="1"/>
      <w:marLeft w:val="0"/>
      <w:marRight w:val="0"/>
      <w:marTop w:val="0"/>
      <w:marBottom w:val="0"/>
      <w:divBdr>
        <w:top w:val="none" w:sz="0" w:space="0" w:color="auto"/>
        <w:left w:val="none" w:sz="0" w:space="0" w:color="auto"/>
        <w:bottom w:val="none" w:sz="0" w:space="0" w:color="auto"/>
        <w:right w:val="none" w:sz="0" w:space="0" w:color="auto"/>
      </w:divBdr>
    </w:div>
    <w:div w:id="1291666157">
      <w:bodyDiv w:val="1"/>
      <w:marLeft w:val="0"/>
      <w:marRight w:val="0"/>
      <w:marTop w:val="0"/>
      <w:marBottom w:val="0"/>
      <w:divBdr>
        <w:top w:val="none" w:sz="0" w:space="0" w:color="auto"/>
        <w:left w:val="none" w:sz="0" w:space="0" w:color="auto"/>
        <w:bottom w:val="none" w:sz="0" w:space="0" w:color="auto"/>
        <w:right w:val="none" w:sz="0" w:space="0" w:color="auto"/>
      </w:divBdr>
    </w:div>
    <w:div w:id="1292203144">
      <w:bodyDiv w:val="1"/>
      <w:marLeft w:val="0"/>
      <w:marRight w:val="0"/>
      <w:marTop w:val="0"/>
      <w:marBottom w:val="0"/>
      <w:divBdr>
        <w:top w:val="none" w:sz="0" w:space="0" w:color="auto"/>
        <w:left w:val="none" w:sz="0" w:space="0" w:color="auto"/>
        <w:bottom w:val="none" w:sz="0" w:space="0" w:color="auto"/>
        <w:right w:val="none" w:sz="0" w:space="0" w:color="auto"/>
      </w:divBdr>
    </w:div>
    <w:div w:id="1294212714">
      <w:bodyDiv w:val="1"/>
      <w:marLeft w:val="0"/>
      <w:marRight w:val="0"/>
      <w:marTop w:val="0"/>
      <w:marBottom w:val="0"/>
      <w:divBdr>
        <w:top w:val="none" w:sz="0" w:space="0" w:color="auto"/>
        <w:left w:val="none" w:sz="0" w:space="0" w:color="auto"/>
        <w:bottom w:val="none" w:sz="0" w:space="0" w:color="auto"/>
        <w:right w:val="none" w:sz="0" w:space="0" w:color="auto"/>
      </w:divBdr>
    </w:div>
    <w:div w:id="1298028493">
      <w:bodyDiv w:val="1"/>
      <w:marLeft w:val="0"/>
      <w:marRight w:val="0"/>
      <w:marTop w:val="0"/>
      <w:marBottom w:val="0"/>
      <w:divBdr>
        <w:top w:val="none" w:sz="0" w:space="0" w:color="auto"/>
        <w:left w:val="none" w:sz="0" w:space="0" w:color="auto"/>
        <w:bottom w:val="none" w:sz="0" w:space="0" w:color="auto"/>
        <w:right w:val="none" w:sz="0" w:space="0" w:color="auto"/>
      </w:divBdr>
    </w:div>
    <w:div w:id="1300381032">
      <w:bodyDiv w:val="1"/>
      <w:marLeft w:val="0"/>
      <w:marRight w:val="0"/>
      <w:marTop w:val="0"/>
      <w:marBottom w:val="0"/>
      <w:divBdr>
        <w:top w:val="none" w:sz="0" w:space="0" w:color="auto"/>
        <w:left w:val="none" w:sz="0" w:space="0" w:color="auto"/>
        <w:bottom w:val="none" w:sz="0" w:space="0" w:color="auto"/>
        <w:right w:val="none" w:sz="0" w:space="0" w:color="auto"/>
      </w:divBdr>
    </w:div>
    <w:div w:id="1306548573">
      <w:bodyDiv w:val="1"/>
      <w:marLeft w:val="0"/>
      <w:marRight w:val="0"/>
      <w:marTop w:val="0"/>
      <w:marBottom w:val="0"/>
      <w:divBdr>
        <w:top w:val="none" w:sz="0" w:space="0" w:color="auto"/>
        <w:left w:val="none" w:sz="0" w:space="0" w:color="auto"/>
        <w:bottom w:val="none" w:sz="0" w:space="0" w:color="auto"/>
        <w:right w:val="none" w:sz="0" w:space="0" w:color="auto"/>
      </w:divBdr>
    </w:div>
    <w:div w:id="1307011102">
      <w:bodyDiv w:val="1"/>
      <w:marLeft w:val="0"/>
      <w:marRight w:val="0"/>
      <w:marTop w:val="0"/>
      <w:marBottom w:val="0"/>
      <w:divBdr>
        <w:top w:val="none" w:sz="0" w:space="0" w:color="auto"/>
        <w:left w:val="none" w:sz="0" w:space="0" w:color="auto"/>
        <w:bottom w:val="none" w:sz="0" w:space="0" w:color="auto"/>
        <w:right w:val="none" w:sz="0" w:space="0" w:color="auto"/>
      </w:divBdr>
    </w:div>
    <w:div w:id="1310403242">
      <w:bodyDiv w:val="1"/>
      <w:marLeft w:val="0"/>
      <w:marRight w:val="0"/>
      <w:marTop w:val="0"/>
      <w:marBottom w:val="0"/>
      <w:divBdr>
        <w:top w:val="none" w:sz="0" w:space="0" w:color="auto"/>
        <w:left w:val="none" w:sz="0" w:space="0" w:color="auto"/>
        <w:bottom w:val="none" w:sz="0" w:space="0" w:color="auto"/>
        <w:right w:val="none" w:sz="0" w:space="0" w:color="auto"/>
      </w:divBdr>
    </w:div>
    <w:div w:id="1310983649">
      <w:bodyDiv w:val="1"/>
      <w:marLeft w:val="0"/>
      <w:marRight w:val="0"/>
      <w:marTop w:val="0"/>
      <w:marBottom w:val="0"/>
      <w:divBdr>
        <w:top w:val="none" w:sz="0" w:space="0" w:color="auto"/>
        <w:left w:val="none" w:sz="0" w:space="0" w:color="auto"/>
        <w:bottom w:val="none" w:sz="0" w:space="0" w:color="auto"/>
        <w:right w:val="none" w:sz="0" w:space="0" w:color="auto"/>
      </w:divBdr>
    </w:div>
    <w:div w:id="1311324514">
      <w:bodyDiv w:val="1"/>
      <w:marLeft w:val="0"/>
      <w:marRight w:val="0"/>
      <w:marTop w:val="0"/>
      <w:marBottom w:val="0"/>
      <w:divBdr>
        <w:top w:val="none" w:sz="0" w:space="0" w:color="auto"/>
        <w:left w:val="none" w:sz="0" w:space="0" w:color="auto"/>
        <w:bottom w:val="none" w:sz="0" w:space="0" w:color="auto"/>
        <w:right w:val="none" w:sz="0" w:space="0" w:color="auto"/>
      </w:divBdr>
    </w:div>
    <w:div w:id="1312368228">
      <w:bodyDiv w:val="1"/>
      <w:marLeft w:val="0"/>
      <w:marRight w:val="0"/>
      <w:marTop w:val="0"/>
      <w:marBottom w:val="0"/>
      <w:divBdr>
        <w:top w:val="none" w:sz="0" w:space="0" w:color="auto"/>
        <w:left w:val="none" w:sz="0" w:space="0" w:color="auto"/>
        <w:bottom w:val="none" w:sz="0" w:space="0" w:color="auto"/>
        <w:right w:val="none" w:sz="0" w:space="0" w:color="auto"/>
      </w:divBdr>
    </w:div>
    <w:div w:id="1319386635">
      <w:bodyDiv w:val="1"/>
      <w:marLeft w:val="0"/>
      <w:marRight w:val="0"/>
      <w:marTop w:val="0"/>
      <w:marBottom w:val="0"/>
      <w:divBdr>
        <w:top w:val="none" w:sz="0" w:space="0" w:color="auto"/>
        <w:left w:val="none" w:sz="0" w:space="0" w:color="auto"/>
        <w:bottom w:val="none" w:sz="0" w:space="0" w:color="auto"/>
        <w:right w:val="none" w:sz="0" w:space="0" w:color="auto"/>
      </w:divBdr>
    </w:div>
    <w:div w:id="1320380418">
      <w:bodyDiv w:val="1"/>
      <w:marLeft w:val="0"/>
      <w:marRight w:val="0"/>
      <w:marTop w:val="0"/>
      <w:marBottom w:val="0"/>
      <w:divBdr>
        <w:top w:val="none" w:sz="0" w:space="0" w:color="auto"/>
        <w:left w:val="none" w:sz="0" w:space="0" w:color="auto"/>
        <w:bottom w:val="none" w:sz="0" w:space="0" w:color="auto"/>
        <w:right w:val="none" w:sz="0" w:space="0" w:color="auto"/>
      </w:divBdr>
    </w:div>
    <w:div w:id="1324578117">
      <w:bodyDiv w:val="1"/>
      <w:marLeft w:val="0"/>
      <w:marRight w:val="0"/>
      <w:marTop w:val="0"/>
      <w:marBottom w:val="0"/>
      <w:divBdr>
        <w:top w:val="none" w:sz="0" w:space="0" w:color="auto"/>
        <w:left w:val="none" w:sz="0" w:space="0" w:color="auto"/>
        <w:bottom w:val="none" w:sz="0" w:space="0" w:color="auto"/>
        <w:right w:val="none" w:sz="0" w:space="0" w:color="auto"/>
      </w:divBdr>
    </w:div>
    <w:div w:id="1326587733">
      <w:bodyDiv w:val="1"/>
      <w:marLeft w:val="0"/>
      <w:marRight w:val="0"/>
      <w:marTop w:val="0"/>
      <w:marBottom w:val="0"/>
      <w:divBdr>
        <w:top w:val="none" w:sz="0" w:space="0" w:color="auto"/>
        <w:left w:val="none" w:sz="0" w:space="0" w:color="auto"/>
        <w:bottom w:val="none" w:sz="0" w:space="0" w:color="auto"/>
        <w:right w:val="none" w:sz="0" w:space="0" w:color="auto"/>
      </w:divBdr>
    </w:div>
    <w:div w:id="1328434102">
      <w:bodyDiv w:val="1"/>
      <w:marLeft w:val="0"/>
      <w:marRight w:val="0"/>
      <w:marTop w:val="0"/>
      <w:marBottom w:val="0"/>
      <w:divBdr>
        <w:top w:val="none" w:sz="0" w:space="0" w:color="auto"/>
        <w:left w:val="none" w:sz="0" w:space="0" w:color="auto"/>
        <w:bottom w:val="none" w:sz="0" w:space="0" w:color="auto"/>
        <w:right w:val="none" w:sz="0" w:space="0" w:color="auto"/>
      </w:divBdr>
    </w:div>
    <w:div w:id="1328441274">
      <w:bodyDiv w:val="1"/>
      <w:marLeft w:val="0"/>
      <w:marRight w:val="0"/>
      <w:marTop w:val="0"/>
      <w:marBottom w:val="0"/>
      <w:divBdr>
        <w:top w:val="none" w:sz="0" w:space="0" w:color="auto"/>
        <w:left w:val="none" w:sz="0" w:space="0" w:color="auto"/>
        <w:bottom w:val="none" w:sz="0" w:space="0" w:color="auto"/>
        <w:right w:val="none" w:sz="0" w:space="0" w:color="auto"/>
      </w:divBdr>
    </w:div>
    <w:div w:id="1330327998">
      <w:bodyDiv w:val="1"/>
      <w:marLeft w:val="0"/>
      <w:marRight w:val="0"/>
      <w:marTop w:val="0"/>
      <w:marBottom w:val="0"/>
      <w:divBdr>
        <w:top w:val="none" w:sz="0" w:space="0" w:color="auto"/>
        <w:left w:val="none" w:sz="0" w:space="0" w:color="auto"/>
        <w:bottom w:val="none" w:sz="0" w:space="0" w:color="auto"/>
        <w:right w:val="none" w:sz="0" w:space="0" w:color="auto"/>
      </w:divBdr>
    </w:div>
    <w:div w:id="1330864818">
      <w:bodyDiv w:val="1"/>
      <w:marLeft w:val="0"/>
      <w:marRight w:val="0"/>
      <w:marTop w:val="0"/>
      <w:marBottom w:val="0"/>
      <w:divBdr>
        <w:top w:val="none" w:sz="0" w:space="0" w:color="auto"/>
        <w:left w:val="none" w:sz="0" w:space="0" w:color="auto"/>
        <w:bottom w:val="none" w:sz="0" w:space="0" w:color="auto"/>
        <w:right w:val="none" w:sz="0" w:space="0" w:color="auto"/>
      </w:divBdr>
    </w:div>
    <w:div w:id="1336375958">
      <w:bodyDiv w:val="1"/>
      <w:marLeft w:val="0"/>
      <w:marRight w:val="0"/>
      <w:marTop w:val="0"/>
      <w:marBottom w:val="0"/>
      <w:divBdr>
        <w:top w:val="none" w:sz="0" w:space="0" w:color="auto"/>
        <w:left w:val="none" w:sz="0" w:space="0" w:color="auto"/>
        <w:bottom w:val="none" w:sz="0" w:space="0" w:color="auto"/>
        <w:right w:val="none" w:sz="0" w:space="0" w:color="auto"/>
      </w:divBdr>
    </w:div>
    <w:div w:id="1341858416">
      <w:bodyDiv w:val="1"/>
      <w:marLeft w:val="0"/>
      <w:marRight w:val="0"/>
      <w:marTop w:val="0"/>
      <w:marBottom w:val="0"/>
      <w:divBdr>
        <w:top w:val="none" w:sz="0" w:space="0" w:color="auto"/>
        <w:left w:val="none" w:sz="0" w:space="0" w:color="auto"/>
        <w:bottom w:val="none" w:sz="0" w:space="0" w:color="auto"/>
        <w:right w:val="none" w:sz="0" w:space="0" w:color="auto"/>
      </w:divBdr>
    </w:div>
    <w:div w:id="1342008767">
      <w:bodyDiv w:val="1"/>
      <w:marLeft w:val="0"/>
      <w:marRight w:val="0"/>
      <w:marTop w:val="0"/>
      <w:marBottom w:val="0"/>
      <w:divBdr>
        <w:top w:val="none" w:sz="0" w:space="0" w:color="auto"/>
        <w:left w:val="none" w:sz="0" w:space="0" w:color="auto"/>
        <w:bottom w:val="none" w:sz="0" w:space="0" w:color="auto"/>
        <w:right w:val="none" w:sz="0" w:space="0" w:color="auto"/>
      </w:divBdr>
    </w:div>
    <w:div w:id="1342779084">
      <w:bodyDiv w:val="1"/>
      <w:marLeft w:val="0"/>
      <w:marRight w:val="0"/>
      <w:marTop w:val="0"/>
      <w:marBottom w:val="0"/>
      <w:divBdr>
        <w:top w:val="none" w:sz="0" w:space="0" w:color="auto"/>
        <w:left w:val="none" w:sz="0" w:space="0" w:color="auto"/>
        <w:bottom w:val="none" w:sz="0" w:space="0" w:color="auto"/>
        <w:right w:val="none" w:sz="0" w:space="0" w:color="auto"/>
      </w:divBdr>
    </w:div>
    <w:div w:id="1349796636">
      <w:bodyDiv w:val="1"/>
      <w:marLeft w:val="0"/>
      <w:marRight w:val="0"/>
      <w:marTop w:val="0"/>
      <w:marBottom w:val="0"/>
      <w:divBdr>
        <w:top w:val="none" w:sz="0" w:space="0" w:color="auto"/>
        <w:left w:val="none" w:sz="0" w:space="0" w:color="auto"/>
        <w:bottom w:val="none" w:sz="0" w:space="0" w:color="auto"/>
        <w:right w:val="none" w:sz="0" w:space="0" w:color="auto"/>
      </w:divBdr>
    </w:div>
    <w:div w:id="1351955277">
      <w:bodyDiv w:val="1"/>
      <w:marLeft w:val="0"/>
      <w:marRight w:val="0"/>
      <w:marTop w:val="0"/>
      <w:marBottom w:val="0"/>
      <w:divBdr>
        <w:top w:val="none" w:sz="0" w:space="0" w:color="auto"/>
        <w:left w:val="none" w:sz="0" w:space="0" w:color="auto"/>
        <w:bottom w:val="none" w:sz="0" w:space="0" w:color="auto"/>
        <w:right w:val="none" w:sz="0" w:space="0" w:color="auto"/>
      </w:divBdr>
    </w:div>
    <w:div w:id="1352148995">
      <w:bodyDiv w:val="1"/>
      <w:marLeft w:val="0"/>
      <w:marRight w:val="0"/>
      <w:marTop w:val="0"/>
      <w:marBottom w:val="0"/>
      <w:divBdr>
        <w:top w:val="none" w:sz="0" w:space="0" w:color="auto"/>
        <w:left w:val="none" w:sz="0" w:space="0" w:color="auto"/>
        <w:bottom w:val="none" w:sz="0" w:space="0" w:color="auto"/>
        <w:right w:val="none" w:sz="0" w:space="0" w:color="auto"/>
      </w:divBdr>
    </w:div>
    <w:div w:id="1361006143">
      <w:bodyDiv w:val="1"/>
      <w:marLeft w:val="0"/>
      <w:marRight w:val="0"/>
      <w:marTop w:val="0"/>
      <w:marBottom w:val="0"/>
      <w:divBdr>
        <w:top w:val="none" w:sz="0" w:space="0" w:color="auto"/>
        <w:left w:val="none" w:sz="0" w:space="0" w:color="auto"/>
        <w:bottom w:val="none" w:sz="0" w:space="0" w:color="auto"/>
        <w:right w:val="none" w:sz="0" w:space="0" w:color="auto"/>
      </w:divBdr>
    </w:div>
    <w:div w:id="1361206421">
      <w:bodyDiv w:val="1"/>
      <w:marLeft w:val="0"/>
      <w:marRight w:val="0"/>
      <w:marTop w:val="0"/>
      <w:marBottom w:val="0"/>
      <w:divBdr>
        <w:top w:val="none" w:sz="0" w:space="0" w:color="auto"/>
        <w:left w:val="none" w:sz="0" w:space="0" w:color="auto"/>
        <w:bottom w:val="none" w:sz="0" w:space="0" w:color="auto"/>
        <w:right w:val="none" w:sz="0" w:space="0" w:color="auto"/>
      </w:divBdr>
    </w:div>
    <w:div w:id="1361584007">
      <w:bodyDiv w:val="1"/>
      <w:marLeft w:val="0"/>
      <w:marRight w:val="0"/>
      <w:marTop w:val="0"/>
      <w:marBottom w:val="0"/>
      <w:divBdr>
        <w:top w:val="none" w:sz="0" w:space="0" w:color="auto"/>
        <w:left w:val="none" w:sz="0" w:space="0" w:color="auto"/>
        <w:bottom w:val="none" w:sz="0" w:space="0" w:color="auto"/>
        <w:right w:val="none" w:sz="0" w:space="0" w:color="auto"/>
      </w:divBdr>
    </w:div>
    <w:div w:id="1365713103">
      <w:bodyDiv w:val="1"/>
      <w:marLeft w:val="0"/>
      <w:marRight w:val="0"/>
      <w:marTop w:val="0"/>
      <w:marBottom w:val="0"/>
      <w:divBdr>
        <w:top w:val="none" w:sz="0" w:space="0" w:color="auto"/>
        <w:left w:val="none" w:sz="0" w:space="0" w:color="auto"/>
        <w:bottom w:val="none" w:sz="0" w:space="0" w:color="auto"/>
        <w:right w:val="none" w:sz="0" w:space="0" w:color="auto"/>
      </w:divBdr>
    </w:div>
    <w:div w:id="1366297876">
      <w:bodyDiv w:val="1"/>
      <w:marLeft w:val="0"/>
      <w:marRight w:val="0"/>
      <w:marTop w:val="0"/>
      <w:marBottom w:val="0"/>
      <w:divBdr>
        <w:top w:val="none" w:sz="0" w:space="0" w:color="auto"/>
        <w:left w:val="none" w:sz="0" w:space="0" w:color="auto"/>
        <w:bottom w:val="none" w:sz="0" w:space="0" w:color="auto"/>
        <w:right w:val="none" w:sz="0" w:space="0" w:color="auto"/>
      </w:divBdr>
    </w:div>
    <w:div w:id="1366713442">
      <w:bodyDiv w:val="1"/>
      <w:marLeft w:val="0"/>
      <w:marRight w:val="0"/>
      <w:marTop w:val="0"/>
      <w:marBottom w:val="0"/>
      <w:divBdr>
        <w:top w:val="none" w:sz="0" w:space="0" w:color="auto"/>
        <w:left w:val="none" w:sz="0" w:space="0" w:color="auto"/>
        <w:bottom w:val="none" w:sz="0" w:space="0" w:color="auto"/>
        <w:right w:val="none" w:sz="0" w:space="0" w:color="auto"/>
      </w:divBdr>
    </w:div>
    <w:div w:id="1367289682">
      <w:bodyDiv w:val="1"/>
      <w:marLeft w:val="0"/>
      <w:marRight w:val="0"/>
      <w:marTop w:val="0"/>
      <w:marBottom w:val="0"/>
      <w:divBdr>
        <w:top w:val="none" w:sz="0" w:space="0" w:color="auto"/>
        <w:left w:val="none" w:sz="0" w:space="0" w:color="auto"/>
        <w:bottom w:val="none" w:sz="0" w:space="0" w:color="auto"/>
        <w:right w:val="none" w:sz="0" w:space="0" w:color="auto"/>
      </w:divBdr>
    </w:div>
    <w:div w:id="1370103496">
      <w:bodyDiv w:val="1"/>
      <w:marLeft w:val="0"/>
      <w:marRight w:val="0"/>
      <w:marTop w:val="0"/>
      <w:marBottom w:val="0"/>
      <w:divBdr>
        <w:top w:val="none" w:sz="0" w:space="0" w:color="auto"/>
        <w:left w:val="none" w:sz="0" w:space="0" w:color="auto"/>
        <w:bottom w:val="none" w:sz="0" w:space="0" w:color="auto"/>
        <w:right w:val="none" w:sz="0" w:space="0" w:color="auto"/>
      </w:divBdr>
    </w:div>
    <w:div w:id="1370374803">
      <w:bodyDiv w:val="1"/>
      <w:marLeft w:val="0"/>
      <w:marRight w:val="0"/>
      <w:marTop w:val="0"/>
      <w:marBottom w:val="0"/>
      <w:divBdr>
        <w:top w:val="none" w:sz="0" w:space="0" w:color="auto"/>
        <w:left w:val="none" w:sz="0" w:space="0" w:color="auto"/>
        <w:bottom w:val="none" w:sz="0" w:space="0" w:color="auto"/>
        <w:right w:val="none" w:sz="0" w:space="0" w:color="auto"/>
      </w:divBdr>
    </w:div>
    <w:div w:id="1371807887">
      <w:bodyDiv w:val="1"/>
      <w:marLeft w:val="0"/>
      <w:marRight w:val="0"/>
      <w:marTop w:val="0"/>
      <w:marBottom w:val="0"/>
      <w:divBdr>
        <w:top w:val="none" w:sz="0" w:space="0" w:color="auto"/>
        <w:left w:val="none" w:sz="0" w:space="0" w:color="auto"/>
        <w:bottom w:val="none" w:sz="0" w:space="0" w:color="auto"/>
        <w:right w:val="none" w:sz="0" w:space="0" w:color="auto"/>
      </w:divBdr>
    </w:div>
    <w:div w:id="1372344419">
      <w:bodyDiv w:val="1"/>
      <w:marLeft w:val="0"/>
      <w:marRight w:val="0"/>
      <w:marTop w:val="0"/>
      <w:marBottom w:val="0"/>
      <w:divBdr>
        <w:top w:val="none" w:sz="0" w:space="0" w:color="auto"/>
        <w:left w:val="none" w:sz="0" w:space="0" w:color="auto"/>
        <w:bottom w:val="none" w:sz="0" w:space="0" w:color="auto"/>
        <w:right w:val="none" w:sz="0" w:space="0" w:color="auto"/>
      </w:divBdr>
    </w:div>
    <w:div w:id="1377966877">
      <w:bodyDiv w:val="1"/>
      <w:marLeft w:val="0"/>
      <w:marRight w:val="0"/>
      <w:marTop w:val="0"/>
      <w:marBottom w:val="0"/>
      <w:divBdr>
        <w:top w:val="none" w:sz="0" w:space="0" w:color="auto"/>
        <w:left w:val="none" w:sz="0" w:space="0" w:color="auto"/>
        <w:bottom w:val="none" w:sz="0" w:space="0" w:color="auto"/>
        <w:right w:val="none" w:sz="0" w:space="0" w:color="auto"/>
      </w:divBdr>
    </w:div>
    <w:div w:id="1380936169">
      <w:bodyDiv w:val="1"/>
      <w:marLeft w:val="0"/>
      <w:marRight w:val="0"/>
      <w:marTop w:val="0"/>
      <w:marBottom w:val="0"/>
      <w:divBdr>
        <w:top w:val="none" w:sz="0" w:space="0" w:color="auto"/>
        <w:left w:val="none" w:sz="0" w:space="0" w:color="auto"/>
        <w:bottom w:val="none" w:sz="0" w:space="0" w:color="auto"/>
        <w:right w:val="none" w:sz="0" w:space="0" w:color="auto"/>
      </w:divBdr>
    </w:div>
    <w:div w:id="1384403861">
      <w:bodyDiv w:val="1"/>
      <w:marLeft w:val="0"/>
      <w:marRight w:val="0"/>
      <w:marTop w:val="0"/>
      <w:marBottom w:val="0"/>
      <w:divBdr>
        <w:top w:val="none" w:sz="0" w:space="0" w:color="auto"/>
        <w:left w:val="none" w:sz="0" w:space="0" w:color="auto"/>
        <w:bottom w:val="none" w:sz="0" w:space="0" w:color="auto"/>
        <w:right w:val="none" w:sz="0" w:space="0" w:color="auto"/>
      </w:divBdr>
    </w:div>
    <w:div w:id="1388068650">
      <w:bodyDiv w:val="1"/>
      <w:marLeft w:val="0"/>
      <w:marRight w:val="0"/>
      <w:marTop w:val="0"/>
      <w:marBottom w:val="0"/>
      <w:divBdr>
        <w:top w:val="none" w:sz="0" w:space="0" w:color="auto"/>
        <w:left w:val="none" w:sz="0" w:space="0" w:color="auto"/>
        <w:bottom w:val="none" w:sz="0" w:space="0" w:color="auto"/>
        <w:right w:val="none" w:sz="0" w:space="0" w:color="auto"/>
      </w:divBdr>
    </w:div>
    <w:div w:id="1391224552">
      <w:bodyDiv w:val="1"/>
      <w:marLeft w:val="0"/>
      <w:marRight w:val="0"/>
      <w:marTop w:val="0"/>
      <w:marBottom w:val="0"/>
      <w:divBdr>
        <w:top w:val="none" w:sz="0" w:space="0" w:color="auto"/>
        <w:left w:val="none" w:sz="0" w:space="0" w:color="auto"/>
        <w:bottom w:val="none" w:sz="0" w:space="0" w:color="auto"/>
        <w:right w:val="none" w:sz="0" w:space="0" w:color="auto"/>
      </w:divBdr>
    </w:div>
    <w:div w:id="1403286788">
      <w:bodyDiv w:val="1"/>
      <w:marLeft w:val="0"/>
      <w:marRight w:val="0"/>
      <w:marTop w:val="0"/>
      <w:marBottom w:val="0"/>
      <w:divBdr>
        <w:top w:val="none" w:sz="0" w:space="0" w:color="auto"/>
        <w:left w:val="none" w:sz="0" w:space="0" w:color="auto"/>
        <w:bottom w:val="none" w:sz="0" w:space="0" w:color="auto"/>
        <w:right w:val="none" w:sz="0" w:space="0" w:color="auto"/>
      </w:divBdr>
    </w:div>
    <w:div w:id="1403792881">
      <w:bodyDiv w:val="1"/>
      <w:marLeft w:val="0"/>
      <w:marRight w:val="0"/>
      <w:marTop w:val="0"/>
      <w:marBottom w:val="0"/>
      <w:divBdr>
        <w:top w:val="none" w:sz="0" w:space="0" w:color="auto"/>
        <w:left w:val="none" w:sz="0" w:space="0" w:color="auto"/>
        <w:bottom w:val="none" w:sz="0" w:space="0" w:color="auto"/>
        <w:right w:val="none" w:sz="0" w:space="0" w:color="auto"/>
      </w:divBdr>
    </w:div>
    <w:div w:id="1406610038">
      <w:bodyDiv w:val="1"/>
      <w:marLeft w:val="0"/>
      <w:marRight w:val="0"/>
      <w:marTop w:val="0"/>
      <w:marBottom w:val="0"/>
      <w:divBdr>
        <w:top w:val="none" w:sz="0" w:space="0" w:color="auto"/>
        <w:left w:val="none" w:sz="0" w:space="0" w:color="auto"/>
        <w:bottom w:val="none" w:sz="0" w:space="0" w:color="auto"/>
        <w:right w:val="none" w:sz="0" w:space="0" w:color="auto"/>
      </w:divBdr>
    </w:div>
    <w:div w:id="1410074573">
      <w:bodyDiv w:val="1"/>
      <w:marLeft w:val="0"/>
      <w:marRight w:val="0"/>
      <w:marTop w:val="0"/>
      <w:marBottom w:val="0"/>
      <w:divBdr>
        <w:top w:val="none" w:sz="0" w:space="0" w:color="auto"/>
        <w:left w:val="none" w:sz="0" w:space="0" w:color="auto"/>
        <w:bottom w:val="none" w:sz="0" w:space="0" w:color="auto"/>
        <w:right w:val="none" w:sz="0" w:space="0" w:color="auto"/>
      </w:divBdr>
    </w:div>
    <w:div w:id="1415200479">
      <w:bodyDiv w:val="1"/>
      <w:marLeft w:val="0"/>
      <w:marRight w:val="0"/>
      <w:marTop w:val="0"/>
      <w:marBottom w:val="0"/>
      <w:divBdr>
        <w:top w:val="none" w:sz="0" w:space="0" w:color="auto"/>
        <w:left w:val="none" w:sz="0" w:space="0" w:color="auto"/>
        <w:bottom w:val="none" w:sz="0" w:space="0" w:color="auto"/>
        <w:right w:val="none" w:sz="0" w:space="0" w:color="auto"/>
      </w:divBdr>
    </w:div>
    <w:div w:id="1417896491">
      <w:bodyDiv w:val="1"/>
      <w:marLeft w:val="0"/>
      <w:marRight w:val="0"/>
      <w:marTop w:val="0"/>
      <w:marBottom w:val="0"/>
      <w:divBdr>
        <w:top w:val="none" w:sz="0" w:space="0" w:color="auto"/>
        <w:left w:val="none" w:sz="0" w:space="0" w:color="auto"/>
        <w:bottom w:val="none" w:sz="0" w:space="0" w:color="auto"/>
        <w:right w:val="none" w:sz="0" w:space="0" w:color="auto"/>
      </w:divBdr>
    </w:div>
    <w:div w:id="1423257673">
      <w:bodyDiv w:val="1"/>
      <w:marLeft w:val="0"/>
      <w:marRight w:val="0"/>
      <w:marTop w:val="0"/>
      <w:marBottom w:val="0"/>
      <w:divBdr>
        <w:top w:val="none" w:sz="0" w:space="0" w:color="auto"/>
        <w:left w:val="none" w:sz="0" w:space="0" w:color="auto"/>
        <w:bottom w:val="none" w:sz="0" w:space="0" w:color="auto"/>
        <w:right w:val="none" w:sz="0" w:space="0" w:color="auto"/>
      </w:divBdr>
    </w:div>
    <w:div w:id="1429043084">
      <w:bodyDiv w:val="1"/>
      <w:marLeft w:val="0"/>
      <w:marRight w:val="0"/>
      <w:marTop w:val="0"/>
      <w:marBottom w:val="0"/>
      <w:divBdr>
        <w:top w:val="none" w:sz="0" w:space="0" w:color="auto"/>
        <w:left w:val="none" w:sz="0" w:space="0" w:color="auto"/>
        <w:bottom w:val="none" w:sz="0" w:space="0" w:color="auto"/>
        <w:right w:val="none" w:sz="0" w:space="0" w:color="auto"/>
      </w:divBdr>
    </w:div>
    <w:div w:id="1430350826">
      <w:bodyDiv w:val="1"/>
      <w:marLeft w:val="0"/>
      <w:marRight w:val="0"/>
      <w:marTop w:val="0"/>
      <w:marBottom w:val="0"/>
      <w:divBdr>
        <w:top w:val="none" w:sz="0" w:space="0" w:color="auto"/>
        <w:left w:val="none" w:sz="0" w:space="0" w:color="auto"/>
        <w:bottom w:val="none" w:sz="0" w:space="0" w:color="auto"/>
        <w:right w:val="none" w:sz="0" w:space="0" w:color="auto"/>
      </w:divBdr>
    </w:div>
    <w:div w:id="1432120452">
      <w:bodyDiv w:val="1"/>
      <w:marLeft w:val="0"/>
      <w:marRight w:val="0"/>
      <w:marTop w:val="0"/>
      <w:marBottom w:val="0"/>
      <w:divBdr>
        <w:top w:val="none" w:sz="0" w:space="0" w:color="auto"/>
        <w:left w:val="none" w:sz="0" w:space="0" w:color="auto"/>
        <w:bottom w:val="none" w:sz="0" w:space="0" w:color="auto"/>
        <w:right w:val="none" w:sz="0" w:space="0" w:color="auto"/>
      </w:divBdr>
    </w:div>
    <w:div w:id="1435203786">
      <w:bodyDiv w:val="1"/>
      <w:marLeft w:val="0"/>
      <w:marRight w:val="0"/>
      <w:marTop w:val="0"/>
      <w:marBottom w:val="0"/>
      <w:divBdr>
        <w:top w:val="none" w:sz="0" w:space="0" w:color="auto"/>
        <w:left w:val="none" w:sz="0" w:space="0" w:color="auto"/>
        <w:bottom w:val="none" w:sz="0" w:space="0" w:color="auto"/>
        <w:right w:val="none" w:sz="0" w:space="0" w:color="auto"/>
      </w:divBdr>
    </w:div>
    <w:div w:id="1438912851">
      <w:bodyDiv w:val="1"/>
      <w:marLeft w:val="0"/>
      <w:marRight w:val="0"/>
      <w:marTop w:val="0"/>
      <w:marBottom w:val="0"/>
      <w:divBdr>
        <w:top w:val="none" w:sz="0" w:space="0" w:color="auto"/>
        <w:left w:val="none" w:sz="0" w:space="0" w:color="auto"/>
        <w:bottom w:val="none" w:sz="0" w:space="0" w:color="auto"/>
        <w:right w:val="none" w:sz="0" w:space="0" w:color="auto"/>
      </w:divBdr>
    </w:div>
    <w:div w:id="1444232433">
      <w:bodyDiv w:val="1"/>
      <w:marLeft w:val="0"/>
      <w:marRight w:val="0"/>
      <w:marTop w:val="0"/>
      <w:marBottom w:val="0"/>
      <w:divBdr>
        <w:top w:val="none" w:sz="0" w:space="0" w:color="auto"/>
        <w:left w:val="none" w:sz="0" w:space="0" w:color="auto"/>
        <w:bottom w:val="none" w:sz="0" w:space="0" w:color="auto"/>
        <w:right w:val="none" w:sz="0" w:space="0" w:color="auto"/>
      </w:divBdr>
    </w:div>
    <w:div w:id="1449929797">
      <w:bodyDiv w:val="1"/>
      <w:marLeft w:val="0"/>
      <w:marRight w:val="0"/>
      <w:marTop w:val="0"/>
      <w:marBottom w:val="0"/>
      <w:divBdr>
        <w:top w:val="none" w:sz="0" w:space="0" w:color="auto"/>
        <w:left w:val="none" w:sz="0" w:space="0" w:color="auto"/>
        <w:bottom w:val="none" w:sz="0" w:space="0" w:color="auto"/>
        <w:right w:val="none" w:sz="0" w:space="0" w:color="auto"/>
      </w:divBdr>
    </w:div>
    <w:div w:id="1452671789">
      <w:bodyDiv w:val="1"/>
      <w:marLeft w:val="0"/>
      <w:marRight w:val="0"/>
      <w:marTop w:val="0"/>
      <w:marBottom w:val="0"/>
      <w:divBdr>
        <w:top w:val="none" w:sz="0" w:space="0" w:color="auto"/>
        <w:left w:val="none" w:sz="0" w:space="0" w:color="auto"/>
        <w:bottom w:val="none" w:sz="0" w:space="0" w:color="auto"/>
        <w:right w:val="none" w:sz="0" w:space="0" w:color="auto"/>
      </w:divBdr>
    </w:div>
    <w:div w:id="1463308091">
      <w:bodyDiv w:val="1"/>
      <w:marLeft w:val="0"/>
      <w:marRight w:val="0"/>
      <w:marTop w:val="0"/>
      <w:marBottom w:val="0"/>
      <w:divBdr>
        <w:top w:val="none" w:sz="0" w:space="0" w:color="auto"/>
        <w:left w:val="none" w:sz="0" w:space="0" w:color="auto"/>
        <w:bottom w:val="none" w:sz="0" w:space="0" w:color="auto"/>
        <w:right w:val="none" w:sz="0" w:space="0" w:color="auto"/>
      </w:divBdr>
    </w:div>
    <w:div w:id="1472559937">
      <w:bodyDiv w:val="1"/>
      <w:marLeft w:val="0"/>
      <w:marRight w:val="0"/>
      <w:marTop w:val="0"/>
      <w:marBottom w:val="0"/>
      <w:divBdr>
        <w:top w:val="none" w:sz="0" w:space="0" w:color="auto"/>
        <w:left w:val="none" w:sz="0" w:space="0" w:color="auto"/>
        <w:bottom w:val="none" w:sz="0" w:space="0" w:color="auto"/>
        <w:right w:val="none" w:sz="0" w:space="0" w:color="auto"/>
      </w:divBdr>
    </w:div>
    <w:div w:id="1476947880">
      <w:bodyDiv w:val="1"/>
      <w:marLeft w:val="0"/>
      <w:marRight w:val="0"/>
      <w:marTop w:val="0"/>
      <w:marBottom w:val="0"/>
      <w:divBdr>
        <w:top w:val="none" w:sz="0" w:space="0" w:color="auto"/>
        <w:left w:val="none" w:sz="0" w:space="0" w:color="auto"/>
        <w:bottom w:val="none" w:sz="0" w:space="0" w:color="auto"/>
        <w:right w:val="none" w:sz="0" w:space="0" w:color="auto"/>
      </w:divBdr>
    </w:div>
    <w:div w:id="1477718658">
      <w:bodyDiv w:val="1"/>
      <w:marLeft w:val="0"/>
      <w:marRight w:val="0"/>
      <w:marTop w:val="0"/>
      <w:marBottom w:val="0"/>
      <w:divBdr>
        <w:top w:val="none" w:sz="0" w:space="0" w:color="auto"/>
        <w:left w:val="none" w:sz="0" w:space="0" w:color="auto"/>
        <w:bottom w:val="none" w:sz="0" w:space="0" w:color="auto"/>
        <w:right w:val="none" w:sz="0" w:space="0" w:color="auto"/>
      </w:divBdr>
    </w:div>
    <w:div w:id="1478451640">
      <w:bodyDiv w:val="1"/>
      <w:marLeft w:val="0"/>
      <w:marRight w:val="0"/>
      <w:marTop w:val="0"/>
      <w:marBottom w:val="0"/>
      <w:divBdr>
        <w:top w:val="none" w:sz="0" w:space="0" w:color="auto"/>
        <w:left w:val="none" w:sz="0" w:space="0" w:color="auto"/>
        <w:bottom w:val="none" w:sz="0" w:space="0" w:color="auto"/>
        <w:right w:val="none" w:sz="0" w:space="0" w:color="auto"/>
      </w:divBdr>
    </w:div>
    <w:div w:id="1484002643">
      <w:bodyDiv w:val="1"/>
      <w:marLeft w:val="0"/>
      <w:marRight w:val="0"/>
      <w:marTop w:val="0"/>
      <w:marBottom w:val="0"/>
      <w:divBdr>
        <w:top w:val="none" w:sz="0" w:space="0" w:color="auto"/>
        <w:left w:val="none" w:sz="0" w:space="0" w:color="auto"/>
        <w:bottom w:val="none" w:sz="0" w:space="0" w:color="auto"/>
        <w:right w:val="none" w:sz="0" w:space="0" w:color="auto"/>
      </w:divBdr>
    </w:div>
    <w:div w:id="1484470099">
      <w:bodyDiv w:val="1"/>
      <w:marLeft w:val="0"/>
      <w:marRight w:val="0"/>
      <w:marTop w:val="0"/>
      <w:marBottom w:val="0"/>
      <w:divBdr>
        <w:top w:val="none" w:sz="0" w:space="0" w:color="auto"/>
        <w:left w:val="none" w:sz="0" w:space="0" w:color="auto"/>
        <w:bottom w:val="none" w:sz="0" w:space="0" w:color="auto"/>
        <w:right w:val="none" w:sz="0" w:space="0" w:color="auto"/>
      </w:divBdr>
    </w:div>
    <w:div w:id="1484856224">
      <w:bodyDiv w:val="1"/>
      <w:marLeft w:val="0"/>
      <w:marRight w:val="0"/>
      <w:marTop w:val="0"/>
      <w:marBottom w:val="0"/>
      <w:divBdr>
        <w:top w:val="none" w:sz="0" w:space="0" w:color="auto"/>
        <w:left w:val="none" w:sz="0" w:space="0" w:color="auto"/>
        <w:bottom w:val="none" w:sz="0" w:space="0" w:color="auto"/>
        <w:right w:val="none" w:sz="0" w:space="0" w:color="auto"/>
      </w:divBdr>
    </w:div>
    <w:div w:id="1485464698">
      <w:bodyDiv w:val="1"/>
      <w:marLeft w:val="0"/>
      <w:marRight w:val="0"/>
      <w:marTop w:val="0"/>
      <w:marBottom w:val="0"/>
      <w:divBdr>
        <w:top w:val="none" w:sz="0" w:space="0" w:color="auto"/>
        <w:left w:val="none" w:sz="0" w:space="0" w:color="auto"/>
        <w:bottom w:val="none" w:sz="0" w:space="0" w:color="auto"/>
        <w:right w:val="none" w:sz="0" w:space="0" w:color="auto"/>
      </w:divBdr>
    </w:div>
    <w:div w:id="1492402302">
      <w:bodyDiv w:val="1"/>
      <w:marLeft w:val="0"/>
      <w:marRight w:val="0"/>
      <w:marTop w:val="0"/>
      <w:marBottom w:val="0"/>
      <w:divBdr>
        <w:top w:val="none" w:sz="0" w:space="0" w:color="auto"/>
        <w:left w:val="none" w:sz="0" w:space="0" w:color="auto"/>
        <w:bottom w:val="none" w:sz="0" w:space="0" w:color="auto"/>
        <w:right w:val="none" w:sz="0" w:space="0" w:color="auto"/>
      </w:divBdr>
    </w:div>
    <w:div w:id="1495877560">
      <w:bodyDiv w:val="1"/>
      <w:marLeft w:val="0"/>
      <w:marRight w:val="0"/>
      <w:marTop w:val="0"/>
      <w:marBottom w:val="0"/>
      <w:divBdr>
        <w:top w:val="none" w:sz="0" w:space="0" w:color="auto"/>
        <w:left w:val="none" w:sz="0" w:space="0" w:color="auto"/>
        <w:bottom w:val="none" w:sz="0" w:space="0" w:color="auto"/>
        <w:right w:val="none" w:sz="0" w:space="0" w:color="auto"/>
      </w:divBdr>
    </w:div>
    <w:div w:id="1496192205">
      <w:bodyDiv w:val="1"/>
      <w:marLeft w:val="0"/>
      <w:marRight w:val="0"/>
      <w:marTop w:val="0"/>
      <w:marBottom w:val="0"/>
      <w:divBdr>
        <w:top w:val="none" w:sz="0" w:space="0" w:color="auto"/>
        <w:left w:val="none" w:sz="0" w:space="0" w:color="auto"/>
        <w:bottom w:val="none" w:sz="0" w:space="0" w:color="auto"/>
        <w:right w:val="none" w:sz="0" w:space="0" w:color="auto"/>
      </w:divBdr>
    </w:div>
    <w:div w:id="1498421572">
      <w:bodyDiv w:val="1"/>
      <w:marLeft w:val="0"/>
      <w:marRight w:val="0"/>
      <w:marTop w:val="0"/>
      <w:marBottom w:val="0"/>
      <w:divBdr>
        <w:top w:val="none" w:sz="0" w:space="0" w:color="auto"/>
        <w:left w:val="none" w:sz="0" w:space="0" w:color="auto"/>
        <w:bottom w:val="none" w:sz="0" w:space="0" w:color="auto"/>
        <w:right w:val="none" w:sz="0" w:space="0" w:color="auto"/>
      </w:divBdr>
    </w:div>
    <w:div w:id="1498618025">
      <w:bodyDiv w:val="1"/>
      <w:marLeft w:val="0"/>
      <w:marRight w:val="0"/>
      <w:marTop w:val="0"/>
      <w:marBottom w:val="0"/>
      <w:divBdr>
        <w:top w:val="none" w:sz="0" w:space="0" w:color="auto"/>
        <w:left w:val="none" w:sz="0" w:space="0" w:color="auto"/>
        <w:bottom w:val="none" w:sz="0" w:space="0" w:color="auto"/>
        <w:right w:val="none" w:sz="0" w:space="0" w:color="auto"/>
      </w:divBdr>
    </w:div>
    <w:div w:id="1502693028">
      <w:bodyDiv w:val="1"/>
      <w:marLeft w:val="0"/>
      <w:marRight w:val="0"/>
      <w:marTop w:val="0"/>
      <w:marBottom w:val="0"/>
      <w:divBdr>
        <w:top w:val="none" w:sz="0" w:space="0" w:color="auto"/>
        <w:left w:val="none" w:sz="0" w:space="0" w:color="auto"/>
        <w:bottom w:val="none" w:sz="0" w:space="0" w:color="auto"/>
        <w:right w:val="none" w:sz="0" w:space="0" w:color="auto"/>
      </w:divBdr>
    </w:div>
    <w:div w:id="1503428055">
      <w:bodyDiv w:val="1"/>
      <w:marLeft w:val="0"/>
      <w:marRight w:val="0"/>
      <w:marTop w:val="0"/>
      <w:marBottom w:val="0"/>
      <w:divBdr>
        <w:top w:val="none" w:sz="0" w:space="0" w:color="auto"/>
        <w:left w:val="none" w:sz="0" w:space="0" w:color="auto"/>
        <w:bottom w:val="none" w:sz="0" w:space="0" w:color="auto"/>
        <w:right w:val="none" w:sz="0" w:space="0" w:color="auto"/>
      </w:divBdr>
    </w:div>
    <w:div w:id="1506360422">
      <w:bodyDiv w:val="1"/>
      <w:marLeft w:val="0"/>
      <w:marRight w:val="0"/>
      <w:marTop w:val="0"/>
      <w:marBottom w:val="0"/>
      <w:divBdr>
        <w:top w:val="none" w:sz="0" w:space="0" w:color="auto"/>
        <w:left w:val="none" w:sz="0" w:space="0" w:color="auto"/>
        <w:bottom w:val="none" w:sz="0" w:space="0" w:color="auto"/>
        <w:right w:val="none" w:sz="0" w:space="0" w:color="auto"/>
      </w:divBdr>
    </w:div>
    <w:div w:id="1511874283">
      <w:bodyDiv w:val="1"/>
      <w:marLeft w:val="0"/>
      <w:marRight w:val="0"/>
      <w:marTop w:val="0"/>
      <w:marBottom w:val="0"/>
      <w:divBdr>
        <w:top w:val="none" w:sz="0" w:space="0" w:color="auto"/>
        <w:left w:val="none" w:sz="0" w:space="0" w:color="auto"/>
        <w:bottom w:val="none" w:sz="0" w:space="0" w:color="auto"/>
        <w:right w:val="none" w:sz="0" w:space="0" w:color="auto"/>
      </w:divBdr>
    </w:div>
    <w:div w:id="1512598782">
      <w:bodyDiv w:val="1"/>
      <w:marLeft w:val="0"/>
      <w:marRight w:val="0"/>
      <w:marTop w:val="0"/>
      <w:marBottom w:val="0"/>
      <w:divBdr>
        <w:top w:val="none" w:sz="0" w:space="0" w:color="auto"/>
        <w:left w:val="none" w:sz="0" w:space="0" w:color="auto"/>
        <w:bottom w:val="none" w:sz="0" w:space="0" w:color="auto"/>
        <w:right w:val="none" w:sz="0" w:space="0" w:color="auto"/>
      </w:divBdr>
    </w:div>
    <w:div w:id="1512840328">
      <w:bodyDiv w:val="1"/>
      <w:marLeft w:val="0"/>
      <w:marRight w:val="0"/>
      <w:marTop w:val="0"/>
      <w:marBottom w:val="0"/>
      <w:divBdr>
        <w:top w:val="none" w:sz="0" w:space="0" w:color="auto"/>
        <w:left w:val="none" w:sz="0" w:space="0" w:color="auto"/>
        <w:bottom w:val="none" w:sz="0" w:space="0" w:color="auto"/>
        <w:right w:val="none" w:sz="0" w:space="0" w:color="auto"/>
      </w:divBdr>
    </w:div>
    <w:div w:id="1514145914">
      <w:bodyDiv w:val="1"/>
      <w:marLeft w:val="0"/>
      <w:marRight w:val="0"/>
      <w:marTop w:val="0"/>
      <w:marBottom w:val="0"/>
      <w:divBdr>
        <w:top w:val="none" w:sz="0" w:space="0" w:color="auto"/>
        <w:left w:val="none" w:sz="0" w:space="0" w:color="auto"/>
        <w:bottom w:val="none" w:sz="0" w:space="0" w:color="auto"/>
        <w:right w:val="none" w:sz="0" w:space="0" w:color="auto"/>
      </w:divBdr>
    </w:div>
    <w:div w:id="1515535630">
      <w:bodyDiv w:val="1"/>
      <w:marLeft w:val="0"/>
      <w:marRight w:val="0"/>
      <w:marTop w:val="0"/>
      <w:marBottom w:val="0"/>
      <w:divBdr>
        <w:top w:val="none" w:sz="0" w:space="0" w:color="auto"/>
        <w:left w:val="none" w:sz="0" w:space="0" w:color="auto"/>
        <w:bottom w:val="none" w:sz="0" w:space="0" w:color="auto"/>
        <w:right w:val="none" w:sz="0" w:space="0" w:color="auto"/>
      </w:divBdr>
    </w:div>
    <w:div w:id="1516504093">
      <w:bodyDiv w:val="1"/>
      <w:marLeft w:val="0"/>
      <w:marRight w:val="0"/>
      <w:marTop w:val="0"/>
      <w:marBottom w:val="0"/>
      <w:divBdr>
        <w:top w:val="none" w:sz="0" w:space="0" w:color="auto"/>
        <w:left w:val="none" w:sz="0" w:space="0" w:color="auto"/>
        <w:bottom w:val="none" w:sz="0" w:space="0" w:color="auto"/>
        <w:right w:val="none" w:sz="0" w:space="0" w:color="auto"/>
      </w:divBdr>
    </w:div>
    <w:div w:id="1517574675">
      <w:bodyDiv w:val="1"/>
      <w:marLeft w:val="0"/>
      <w:marRight w:val="0"/>
      <w:marTop w:val="0"/>
      <w:marBottom w:val="0"/>
      <w:divBdr>
        <w:top w:val="none" w:sz="0" w:space="0" w:color="auto"/>
        <w:left w:val="none" w:sz="0" w:space="0" w:color="auto"/>
        <w:bottom w:val="none" w:sz="0" w:space="0" w:color="auto"/>
        <w:right w:val="none" w:sz="0" w:space="0" w:color="auto"/>
      </w:divBdr>
    </w:div>
    <w:div w:id="1518688863">
      <w:bodyDiv w:val="1"/>
      <w:marLeft w:val="0"/>
      <w:marRight w:val="0"/>
      <w:marTop w:val="0"/>
      <w:marBottom w:val="0"/>
      <w:divBdr>
        <w:top w:val="none" w:sz="0" w:space="0" w:color="auto"/>
        <w:left w:val="none" w:sz="0" w:space="0" w:color="auto"/>
        <w:bottom w:val="none" w:sz="0" w:space="0" w:color="auto"/>
        <w:right w:val="none" w:sz="0" w:space="0" w:color="auto"/>
      </w:divBdr>
    </w:div>
    <w:div w:id="1523785515">
      <w:bodyDiv w:val="1"/>
      <w:marLeft w:val="0"/>
      <w:marRight w:val="0"/>
      <w:marTop w:val="0"/>
      <w:marBottom w:val="0"/>
      <w:divBdr>
        <w:top w:val="none" w:sz="0" w:space="0" w:color="auto"/>
        <w:left w:val="none" w:sz="0" w:space="0" w:color="auto"/>
        <w:bottom w:val="none" w:sz="0" w:space="0" w:color="auto"/>
        <w:right w:val="none" w:sz="0" w:space="0" w:color="auto"/>
      </w:divBdr>
    </w:div>
    <w:div w:id="1526751741">
      <w:bodyDiv w:val="1"/>
      <w:marLeft w:val="0"/>
      <w:marRight w:val="0"/>
      <w:marTop w:val="0"/>
      <w:marBottom w:val="0"/>
      <w:divBdr>
        <w:top w:val="none" w:sz="0" w:space="0" w:color="auto"/>
        <w:left w:val="none" w:sz="0" w:space="0" w:color="auto"/>
        <w:bottom w:val="none" w:sz="0" w:space="0" w:color="auto"/>
        <w:right w:val="none" w:sz="0" w:space="0" w:color="auto"/>
      </w:divBdr>
    </w:div>
    <w:div w:id="1526946372">
      <w:bodyDiv w:val="1"/>
      <w:marLeft w:val="0"/>
      <w:marRight w:val="0"/>
      <w:marTop w:val="0"/>
      <w:marBottom w:val="0"/>
      <w:divBdr>
        <w:top w:val="none" w:sz="0" w:space="0" w:color="auto"/>
        <w:left w:val="none" w:sz="0" w:space="0" w:color="auto"/>
        <w:bottom w:val="none" w:sz="0" w:space="0" w:color="auto"/>
        <w:right w:val="none" w:sz="0" w:space="0" w:color="auto"/>
      </w:divBdr>
    </w:div>
    <w:div w:id="1530141623">
      <w:bodyDiv w:val="1"/>
      <w:marLeft w:val="0"/>
      <w:marRight w:val="0"/>
      <w:marTop w:val="0"/>
      <w:marBottom w:val="0"/>
      <w:divBdr>
        <w:top w:val="none" w:sz="0" w:space="0" w:color="auto"/>
        <w:left w:val="none" w:sz="0" w:space="0" w:color="auto"/>
        <w:bottom w:val="none" w:sz="0" w:space="0" w:color="auto"/>
        <w:right w:val="none" w:sz="0" w:space="0" w:color="auto"/>
      </w:divBdr>
    </w:div>
    <w:div w:id="1535390480">
      <w:bodyDiv w:val="1"/>
      <w:marLeft w:val="0"/>
      <w:marRight w:val="0"/>
      <w:marTop w:val="0"/>
      <w:marBottom w:val="0"/>
      <w:divBdr>
        <w:top w:val="none" w:sz="0" w:space="0" w:color="auto"/>
        <w:left w:val="none" w:sz="0" w:space="0" w:color="auto"/>
        <w:bottom w:val="none" w:sz="0" w:space="0" w:color="auto"/>
        <w:right w:val="none" w:sz="0" w:space="0" w:color="auto"/>
      </w:divBdr>
    </w:div>
    <w:div w:id="1536307962">
      <w:bodyDiv w:val="1"/>
      <w:marLeft w:val="0"/>
      <w:marRight w:val="0"/>
      <w:marTop w:val="0"/>
      <w:marBottom w:val="0"/>
      <w:divBdr>
        <w:top w:val="none" w:sz="0" w:space="0" w:color="auto"/>
        <w:left w:val="none" w:sz="0" w:space="0" w:color="auto"/>
        <w:bottom w:val="none" w:sz="0" w:space="0" w:color="auto"/>
        <w:right w:val="none" w:sz="0" w:space="0" w:color="auto"/>
      </w:divBdr>
    </w:div>
    <w:div w:id="1545485887">
      <w:bodyDiv w:val="1"/>
      <w:marLeft w:val="0"/>
      <w:marRight w:val="0"/>
      <w:marTop w:val="0"/>
      <w:marBottom w:val="0"/>
      <w:divBdr>
        <w:top w:val="none" w:sz="0" w:space="0" w:color="auto"/>
        <w:left w:val="none" w:sz="0" w:space="0" w:color="auto"/>
        <w:bottom w:val="none" w:sz="0" w:space="0" w:color="auto"/>
        <w:right w:val="none" w:sz="0" w:space="0" w:color="auto"/>
      </w:divBdr>
    </w:div>
    <w:div w:id="1552494640">
      <w:bodyDiv w:val="1"/>
      <w:marLeft w:val="0"/>
      <w:marRight w:val="0"/>
      <w:marTop w:val="0"/>
      <w:marBottom w:val="0"/>
      <w:divBdr>
        <w:top w:val="none" w:sz="0" w:space="0" w:color="auto"/>
        <w:left w:val="none" w:sz="0" w:space="0" w:color="auto"/>
        <w:bottom w:val="none" w:sz="0" w:space="0" w:color="auto"/>
        <w:right w:val="none" w:sz="0" w:space="0" w:color="auto"/>
      </w:divBdr>
    </w:div>
    <w:div w:id="1554268540">
      <w:bodyDiv w:val="1"/>
      <w:marLeft w:val="0"/>
      <w:marRight w:val="0"/>
      <w:marTop w:val="0"/>
      <w:marBottom w:val="0"/>
      <w:divBdr>
        <w:top w:val="none" w:sz="0" w:space="0" w:color="auto"/>
        <w:left w:val="none" w:sz="0" w:space="0" w:color="auto"/>
        <w:bottom w:val="none" w:sz="0" w:space="0" w:color="auto"/>
        <w:right w:val="none" w:sz="0" w:space="0" w:color="auto"/>
      </w:divBdr>
    </w:div>
    <w:div w:id="1561088278">
      <w:bodyDiv w:val="1"/>
      <w:marLeft w:val="0"/>
      <w:marRight w:val="0"/>
      <w:marTop w:val="0"/>
      <w:marBottom w:val="0"/>
      <w:divBdr>
        <w:top w:val="none" w:sz="0" w:space="0" w:color="auto"/>
        <w:left w:val="none" w:sz="0" w:space="0" w:color="auto"/>
        <w:bottom w:val="none" w:sz="0" w:space="0" w:color="auto"/>
        <w:right w:val="none" w:sz="0" w:space="0" w:color="auto"/>
      </w:divBdr>
    </w:div>
    <w:div w:id="1561793955">
      <w:bodyDiv w:val="1"/>
      <w:marLeft w:val="0"/>
      <w:marRight w:val="0"/>
      <w:marTop w:val="0"/>
      <w:marBottom w:val="0"/>
      <w:divBdr>
        <w:top w:val="none" w:sz="0" w:space="0" w:color="auto"/>
        <w:left w:val="none" w:sz="0" w:space="0" w:color="auto"/>
        <w:bottom w:val="none" w:sz="0" w:space="0" w:color="auto"/>
        <w:right w:val="none" w:sz="0" w:space="0" w:color="auto"/>
      </w:divBdr>
    </w:div>
    <w:div w:id="1563323197">
      <w:bodyDiv w:val="1"/>
      <w:marLeft w:val="0"/>
      <w:marRight w:val="0"/>
      <w:marTop w:val="0"/>
      <w:marBottom w:val="0"/>
      <w:divBdr>
        <w:top w:val="none" w:sz="0" w:space="0" w:color="auto"/>
        <w:left w:val="none" w:sz="0" w:space="0" w:color="auto"/>
        <w:bottom w:val="none" w:sz="0" w:space="0" w:color="auto"/>
        <w:right w:val="none" w:sz="0" w:space="0" w:color="auto"/>
      </w:divBdr>
    </w:div>
    <w:div w:id="1568147213">
      <w:bodyDiv w:val="1"/>
      <w:marLeft w:val="0"/>
      <w:marRight w:val="0"/>
      <w:marTop w:val="0"/>
      <w:marBottom w:val="0"/>
      <w:divBdr>
        <w:top w:val="none" w:sz="0" w:space="0" w:color="auto"/>
        <w:left w:val="none" w:sz="0" w:space="0" w:color="auto"/>
        <w:bottom w:val="none" w:sz="0" w:space="0" w:color="auto"/>
        <w:right w:val="none" w:sz="0" w:space="0" w:color="auto"/>
      </w:divBdr>
    </w:div>
    <w:div w:id="1568884216">
      <w:bodyDiv w:val="1"/>
      <w:marLeft w:val="0"/>
      <w:marRight w:val="0"/>
      <w:marTop w:val="0"/>
      <w:marBottom w:val="0"/>
      <w:divBdr>
        <w:top w:val="none" w:sz="0" w:space="0" w:color="auto"/>
        <w:left w:val="none" w:sz="0" w:space="0" w:color="auto"/>
        <w:bottom w:val="none" w:sz="0" w:space="0" w:color="auto"/>
        <w:right w:val="none" w:sz="0" w:space="0" w:color="auto"/>
      </w:divBdr>
    </w:div>
    <w:div w:id="1572234771">
      <w:bodyDiv w:val="1"/>
      <w:marLeft w:val="0"/>
      <w:marRight w:val="0"/>
      <w:marTop w:val="0"/>
      <w:marBottom w:val="0"/>
      <w:divBdr>
        <w:top w:val="none" w:sz="0" w:space="0" w:color="auto"/>
        <w:left w:val="none" w:sz="0" w:space="0" w:color="auto"/>
        <w:bottom w:val="none" w:sz="0" w:space="0" w:color="auto"/>
        <w:right w:val="none" w:sz="0" w:space="0" w:color="auto"/>
      </w:divBdr>
    </w:div>
    <w:div w:id="1572305574">
      <w:bodyDiv w:val="1"/>
      <w:marLeft w:val="0"/>
      <w:marRight w:val="0"/>
      <w:marTop w:val="0"/>
      <w:marBottom w:val="0"/>
      <w:divBdr>
        <w:top w:val="none" w:sz="0" w:space="0" w:color="auto"/>
        <w:left w:val="none" w:sz="0" w:space="0" w:color="auto"/>
        <w:bottom w:val="none" w:sz="0" w:space="0" w:color="auto"/>
        <w:right w:val="none" w:sz="0" w:space="0" w:color="auto"/>
      </w:divBdr>
    </w:div>
    <w:div w:id="1575047564">
      <w:bodyDiv w:val="1"/>
      <w:marLeft w:val="0"/>
      <w:marRight w:val="0"/>
      <w:marTop w:val="0"/>
      <w:marBottom w:val="0"/>
      <w:divBdr>
        <w:top w:val="none" w:sz="0" w:space="0" w:color="auto"/>
        <w:left w:val="none" w:sz="0" w:space="0" w:color="auto"/>
        <w:bottom w:val="none" w:sz="0" w:space="0" w:color="auto"/>
        <w:right w:val="none" w:sz="0" w:space="0" w:color="auto"/>
      </w:divBdr>
    </w:div>
    <w:div w:id="1575815742">
      <w:bodyDiv w:val="1"/>
      <w:marLeft w:val="0"/>
      <w:marRight w:val="0"/>
      <w:marTop w:val="0"/>
      <w:marBottom w:val="0"/>
      <w:divBdr>
        <w:top w:val="none" w:sz="0" w:space="0" w:color="auto"/>
        <w:left w:val="none" w:sz="0" w:space="0" w:color="auto"/>
        <w:bottom w:val="none" w:sz="0" w:space="0" w:color="auto"/>
        <w:right w:val="none" w:sz="0" w:space="0" w:color="auto"/>
      </w:divBdr>
    </w:div>
    <w:div w:id="1576545614">
      <w:bodyDiv w:val="1"/>
      <w:marLeft w:val="0"/>
      <w:marRight w:val="0"/>
      <w:marTop w:val="0"/>
      <w:marBottom w:val="0"/>
      <w:divBdr>
        <w:top w:val="none" w:sz="0" w:space="0" w:color="auto"/>
        <w:left w:val="none" w:sz="0" w:space="0" w:color="auto"/>
        <w:bottom w:val="none" w:sz="0" w:space="0" w:color="auto"/>
        <w:right w:val="none" w:sz="0" w:space="0" w:color="auto"/>
      </w:divBdr>
    </w:div>
    <w:div w:id="1578007335">
      <w:bodyDiv w:val="1"/>
      <w:marLeft w:val="0"/>
      <w:marRight w:val="0"/>
      <w:marTop w:val="0"/>
      <w:marBottom w:val="0"/>
      <w:divBdr>
        <w:top w:val="none" w:sz="0" w:space="0" w:color="auto"/>
        <w:left w:val="none" w:sz="0" w:space="0" w:color="auto"/>
        <w:bottom w:val="none" w:sz="0" w:space="0" w:color="auto"/>
        <w:right w:val="none" w:sz="0" w:space="0" w:color="auto"/>
      </w:divBdr>
    </w:div>
    <w:div w:id="1586264326">
      <w:bodyDiv w:val="1"/>
      <w:marLeft w:val="0"/>
      <w:marRight w:val="0"/>
      <w:marTop w:val="0"/>
      <w:marBottom w:val="0"/>
      <w:divBdr>
        <w:top w:val="none" w:sz="0" w:space="0" w:color="auto"/>
        <w:left w:val="none" w:sz="0" w:space="0" w:color="auto"/>
        <w:bottom w:val="none" w:sz="0" w:space="0" w:color="auto"/>
        <w:right w:val="none" w:sz="0" w:space="0" w:color="auto"/>
      </w:divBdr>
    </w:div>
    <w:div w:id="1590626369">
      <w:bodyDiv w:val="1"/>
      <w:marLeft w:val="0"/>
      <w:marRight w:val="0"/>
      <w:marTop w:val="0"/>
      <w:marBottom w:val="0"/>
      <w:divBdr>
        <w:top w:val="none" w:sz="0" w:space="0" w:color="auto"/>
        <w:left w:val="none" w:sz="0" w:space="0" w:color="auto"/>
        <w:bottom w:val="none" w:sz="0" w:space="0" w:color="auto"/>
        <w:right w:val="none" w:sz="0" w:space="0" w:color="auto"/>
      </w:divBdr>
    </w:div>
    <w:div w:id="1591743209">
      <w:bodyDiv w:val="1"/>
      <w:marLeft w:val="0"/>
      <w:marRight w:val="0"/>
      <w:marTop w:val="0"/>
      <w:marBottom w:val="0"/>
      <w:divBdr>
        <w:top w:val="none" w:sz="0" w:space="0" w:color="auto"/>
        <w:left w:val="none" w:sz="0" w:space="0" w:color="auto"/>
        <w:bottom w:val="none" w:sz="0" w:space="0" w:color="auto"/>
        <w:right w:val="none" w:sz="0" w:space="0" w:color="auto"/>
      </w:divBdr>
    </w:div>
    <w:div w:id="1591768164">
      <w:bodyDiv w:val="1"/>
      <w:marLeft w:val="0"/>
      <w:marRight w:val="0"/>
      <w:marTop w:val="0"/>
      <w:marBottom w:val="0"/>
      <w:divBdr>
        <w:top w:val="none" w:sz="0" w:space="0" w:color="auto"/>
        <w:left w:val="none" w:sz="0" w:space="0" w:color="auto"/>
        <w:bottom w:val="none" w:sz="0" w:space="0" w:color="auto"/>
        <w:right w:val="none" w:sz="0" w:space="0" w:color="auto"/>
      </w:divBdr>
    </w:div>
    <w:div w:id="1596938275">
      <w:bodyDiv w:val="1"/>
      <w:marLeft w:val="0"/>
      <w:marRight w:val="0"/>
      <w:marTop w:val="0"/>
      <w:marBottom w:val="0"/>
      <w:divBdr>
        <w:top w:val="none" w:sz="0" w:space="0" w:color="auto"/>
        <w:left w:val="none" w:sz="0" w:space="0" w:color="auto"/>
        <w:bottom w:val="none" w:sz="0" w:space="0" w:color="auto"/>
        <w:right w:val="none" w:sz="0" w:space="0" w:color="auto"/>
      </w:divBdr>
    </w:div>
    <w:div w:id="1599943653">
      <w:bodyDiv w:val="1"/>
      <w:marLeft w:val="0"/>
      <w:marRight w:val="0"/>
      <w:marTop w:val="0"/>
      <w:marBottom w:val="0"/>
      <w:divBdr>
        <w:top w:val="none" w:sz="0" w:space="0" w:color="auto"/>
        <w:left w:val="none" w:sz="0" w:space="0" w:color="auto"/>
        <w:bottom w:val="none" w:sz="0" w:space="0" w:color="auto"/>
        <w:right w:val="none" w:sz="0" w:space="0" w:color="auto"/>
      </w:divBdr>
    </w:div>
    <w:div w:id="1601569157">
      <w:bodyDiv w:val="1"/>
      <w:marLeft w:val="0"/>
      <w:marRight w:val="0"/>
      <w:marTop w:val="0"/>
      <w:marBottom w:val="0"/>
      <w:divBdr>
        <w:top w:val="none" w:sz="0" w:space="0" w:color="auto"/>
        <w:left w:val="none" w:sz="0" w:space="0" w:color="auto"/>
        <w:bottom w:val="none" w:sz="0" w:space="0" w:color="auto"/>
        <w:right w:val="none" w:sz="0" w:space="0" w:color="auto"/>
      </w:divBdr>
    </w:div>
    <w:div w:id="1602881057">
      <w:bodyDiv w:val="1"/>
      <w:marLeft w:val="0"/>
      <w:marRight w:val="0"/>
      <w:marTop w:val="0"/>
      <w:marBottom w:val="0"/>
      <w:divBdr>
        <w:top w:val="none" w:sz="0" w:space="0" w:color="auto"/>
        <w:left w:val="none" w:sz="0" w:space="0" w:color="auto"/>
        <w:bottom w:val="none" w:sz="0" w:space="0" w:color="auto"/>
        <w:right w:val="none" w:sz="0" w:space="0" w:color="auto"/>
      </w:divBdr>
    </w:div>
    <w:div w:id="1603759557">
      <w:bodyDiv w:val="1"/>
      <w:marLeft w:val="0"/>
      <w:marRight w:val="0"/>
      <w:marTop w:val="0"/>
      <w:marBottom w:val="0"/>
      <w:divBdr>
        <w:top w:val="none" w:sz="0" w:space="0" w:color="auto"/>
        <w:left w:val="none" w:sz="0" w:space="0" w:color="auto"/>
        <w:bottom w:val="none" w:sz="0" w:space="0" w:color="auto"/>
        <w:right w:val="none" w:sz="0" w:space="0" w:color="auto"/>
      </w:divBdr>
    </w:div>
    <w:div w:id="1606575300">
      <w:bodyDiv w:val="1"/>
      <w:marLeft w:val="0"/>
      <w:marRight w:val="0"/>
      <w:marTop w:val="0"/>
      <w:marBottom w:val="0"/>
      <w:divBdr>
        <w:top w:val="none" w:sz="0" w:space="0" w:color="auto"/>
        <w:left w:val="none" w:sz="0" w:space="0" w:color="auto"/>
        <w:bottom w:val="none" w:sz="0" w:space="0" w:color="auto"/>
        <w:right w:val="none" w:sz="0" w:space="0" w:color="auto"/>
      </w:divBdr>
    </w:div>
    <w:div w:id="1616326580">
      <w:bodyDiv w:val="1"/>
      <w:marLeft w:val="0"/>
      <w:marRight w:val="0"/>
      <w:marTop w:val="0"/>
      <w:marBottom w:val="0"/>
      <w:divBdr>
        <w:top w:val="none" w:sz="0" w:space="0" w:color="auto"/>
        <w:left w:val="none" w:sz="0" w:space="0" w:color="auto"/>
        <w:bottom w:val="none" w:sz="0" w:space="0" w:color="auto"/>
        <w:right w:val="none" w:sz="0" w:space="0" w:color="auto"/>
      </w:divBdr>
    </w:div>
    <w:div w:id="1616710557">
      <w:bodyDiv w:val="1"/>
      <w:marLeft w:val="0"/>
      <w:marRight w:val="0"/>
      <w:marTop w:val="0"/>
      <w:marBottom w:val="0"/>
      <w:divBdr>
        <w:top w:val="none" w:sz="0" w:space="0" w:color="auto"/>
        <w:left w:val="none" w:sz="0" w:space="0" w:color="auto"/>
        <w:bottom w:val="none" w:sz="0" w:space="0" w:color="auto"/>
        <w:right w:val="none" w:sz="0" w:space="0" w:color="auto"/>
      </w:divBdr>
    </w:div>
    <w:div w:id="1623075078">
      <w:bodyDiv w:val="1"/>
      <w:marLeft w:val="0"/>
      <w:marRight w:val="0"/>
      <w:marTop w:val="0"/>
      <w:marBottom w:val="0"/>
      <w:divBdr>
        <w:top w:val="none" w:sz="0" w:space="0" w:color="auto"/>
        <w:left w:val="none" w:sz="0" w:space="0" w:color="auto"/>
        <w:bottom w:val="none" w:sz="0" w:space="0" w:color="auto"/>
        <w:right w:val="none" w:sz="0" w:space="0" w:color="auto"/>
      </w:divBdr>
    </w:div>
    <w:div w:id="1624386969">
      <w:bodyDiv w:val="1"/>
      <w:marLeft w:val="0"/>
      <w:marRight w:val="0"/>
      <w:marTop w:val="0"/>
      <w:marBottom w:val="0"/>
      <w:divBdr>
        <w:top w:val="none" w:sz="0" w:space="0" w:color="auto"/>
        <w:left w:val="none" w:sz="0" w:space="0" w:color="auto"/>
        <w:bottom w:val="none" w:sz="0" w:space="0" w:color="auto"/>
        <w:right w:val="none" w:sz="0" w:space="0" w:color="auto"/>
      </w:divBdr>
    </w:div>
    <w:div w:id="1625186332">
      <w:bodyDiv w:val="1"/>
      <w:marLeft w:val="0"/>
      <w:marRight w:val="0"/>
      <w:marTop w:val="0"/>
      <w:marBottom w:val="0"/>
      <w:divBdr>
        <w:top w:val="none" w:sz="0" w:space="0" w:color="auto"/>
        <w:left w:val="none" w:sz="0" w:space="0" w:color="auto"/>
        <w:bottom w:val="none" w:sz="0" w:space="0" w:color="auto"/>
        <w:right w:val="none" w:sz="0" w:space="0" w:color="auto"/>
      </w:divBdr>
    </w:div>
    <w:div w:id="1625307275">
      <w:bodyDiv w:val="1"/>
      <w:marLeft w:val="0"/>
      <w:marRight w:val="0"/>
      <w:marTop w:val="0"/>
      <w:marBottom w:val="0"/>
      <w:divBdr>
        <w:top w:val="none" w:sz="0" w:space="0" w:color="auto"/>
        <w:left w:val="none" w:sz="0" w:space="0" w:color="auto"/>
        <w:bottom w:val="none" w:sz="0" w:space="0" w:color="auto"/>
        <w:right w:val="none" w:sz="0" w:space="0" w:color="auto"/>
      </w:divBdr>
    </w:div>
    <w:div w:id="1628120258">
      <w:bodyDiv w:val="1"/>
      <w:marLeft w:val="0"/>
      <w:marRight w:val="0"/>
      <w:marTop w:val="0"/>
      <w:marBottom w:val="0"/>
      <w:divBdr>
        <w:top w:val="none" w:sz="0" w:space="0" w:color="auto"/>
        <w:left w:val="none" w:sz="0" w:space="0" w:color="auto"/>
        <w:bottom w:val="none" w:sz="0" w:space="0" w:color="auto"/>
        <w:right w:val="none" w:sz="0" w:space="0" w:color="auto"/>
      </w:divBdr>
    </w:div>
    <w:div w:id="1635061841">
      <w:bodyDiv w:val="1"/>
      <w:marLeft w:val="0"/>
      <w:marRight w:val="0"/>
      <w:marTop w:val="0"/>
      <w:marBottom w:val="0"/>
      <w:divBdr>
        <w:top w:val="none" w:sz="0" w:space="0" w:color="auto"/>
        <w:left w:val="none" w:sz="0" w:space="0" w:color="auto"/>
        <w:bottom w:val="none" w:sz="0" w:space="0" w:color="auto"/>
        <w:right w:val="none" w:sz="0" w:space="0" w:color="auto"/>
      </w:divBdr>
    </w:div>
    <w:div w:id="1638727797">
      <w:bodyDiv w:val="1"/>
      <w:marLeft w:val="0"/>
      <w:marRight w:val="0"/>
      <w:marTop w:val="0"/>
      <w:marBottom w:val="0"/>
      <w:divBdr>
        <w:top w:val="none" w:sz="0" w:space="0" w:color="auto"/>
        <w:left w:val="none" w:sz="0" w:space="0" w:color="auto"/>
        <w:bottom w:val="none" w:sz="0" w:space="0" w:color="auto"/>
        <w:right w:val="none" w:sz="0" w:space="0" w:color="auto"/>
      </w:divBdr>
    </w:div>
    <w:div w:id="1639455063">
      <w:bodyDiv w:val="1"/>
      <w:marLeft w:val="0"/>
      <w:marRight w:val="0"/>
      <w:marTop w:val="0"/>
      <w:marBottom w:val="0"/>
      <w:divBdr>
        <w:top w:val="none" w:sz="0" w:space="0" w:color="auto"/>
        <w:left w:val="none" w:sz="0" w:space="0" w:color="auto"/>
        <w:bottom w:val="none" w:sz="0" w:space="0" w:color="auto"/>
        <w:right w:val="none" w:sz="0" w:space="0" w:color="auto"/>
      </w:divBdr>
    </w:div>
    <w:div w:id="1649940561">
      <w:bodyDiv w:val="1"/>
      <w:marLeft w:val="0"/>
      <w:marRight w:val="0"/>
      <w:marTop w:val="0"/>
      <w:marBottom w:val="0"/>
      <w:divBdr>
        <w:top w:val="none" w:sz="0" w:space="0" w:color="auto"/>
        <w:left w:val="none" w:sz="0" w:space="0" w:color="auto"/>
        <w:bottom w:val="none" w:sz="0" w:space="0" w:color="auto"/>
        <w:right w:val="none" w:sz="0" w:space="0" w:color="auto"/>
      </w:divBdr>
    </w:div>
    <w:div w:id="1650599376">
      <w:bodyDiv w:val="1"/>
      <w:marLeft w:val="0"/>
      <w:marRight w:val="0"/>
      <w:marTop w:val="0"/>
      <w:marBottom w:val="0"/>
      <w:divBdr>
        <w:top w:val="none" w:sz="0" w:space="0" w:color="auto"/>
        <w:left w:val="none" w:sz="0" w:space="0" w:color="auto"/>
        <w:bottom w:val="none" w:sz="0" w:space="0" w:color="auto"/>
        <w:right w:val="none" w:sz="0" w:space="0" w:color="auto"/>
      </w:divBdr>
    </w:div>
    <w:div w:id="1666126507">
      <w:bodyDiv w:val="1"/>
      <w:marLeft w:val="0"/>
      <w:marRight w:val="0"/>
      <w:marTop w:val="0"/>
      <w:marBottom w:val="0"/>
      <w:divBdr>
        <w:top w:val="none" w:sz="0" w:space="0" w:color="auto"/>
        <w:left w:val="none" w:sz="0" w:space="0" w:color="auto"/>
        <w:bottom w:val="none" w:sz="0" w:space="0" w:color="auto"/>
        <w:right w:val="none" w:sz="0" w:space="0" w:color="auto"/>
      </w:divBdr>
    </w:div>
    <w:div w:id="1673221298">
      <w:bodyDiv w:val="1"/>
      <w:marLeft w:val="0"/>
      <w:marRight w:val="0"/>
      <w:marTop w:val="0"/>
      <w:marBottom w:val="0"/>
      <w:divBdr>
        <w:top w:val="none" w:sz="0" w:space="0" w:color="auto"/>
        <w:left w:val="none" w:sz="0" w:space="0" w:color="auto"/>
        <w:bottom w:val="none" w:sz="0" w:space="0" w:color="auto"/>
        <w:right w:val="none" w:sz="0" w:space="0" w:color="auto"/>
      </w:divBdr>
    </w:div>
    <w:div w:id="1673679541">
      <w:bodyDiv w:val="1"/>
      <w:marLeft w:val="0"/>
      <w:marRight w:val="0"/>
      <w:marTop w:val="0"/>
      <w:marBottom w:val="0"/>
      <w:divBdr>
        <w:top w:val="none" w:sz="0" w:space="0" w:color="auto"/>
        <w:left w:val="none" w:sz="0" w:space="0" w:color="auto"/>
        <w:bottom w:val="none" w:sz="0" w:space="0" w:color="auto"/>
        <w:right w:val="none" w:sz="0" w:space="0" w:color="auto"/>
      </w:divBdr>
    </w:div>
    <w:div w:id="1674144454">
      <w:bodyDiv w:val="1"/>
      <w:marLeft w:val="0"/>
      <w:marRight w:val="0"/>
      <w:marTop w:val="0"/>
      <w:marBottom w:val="0"/>
      <w:divBdr>
        <w:top w:val="none" w:sz="0" w:space="0" w:color="auto"/>
        <w:left w:val="none" w:sz="0" w:space="0" w:color="auto"/>
        <w:bottom w:val="none" w:sz="0" w:space="0" w:color="auto"/>
        <w:right w:val="none" w:sz="0" w:space="0" w:color="auto"/>
      </w:divBdr>
    </w:div>
    <w:div w:id="1678580222">
      <w:bodyDiv w:val="1"/>
      <w:marLeft w:val="0"/>
      <w:marRight w:val="0"/>
      <w:marTop w:val="0"/>
      <w:marBottom w:val="0"/>
      <w:divBdr>
        <w:top w:val="none" w:sz="0" w:space="0" w:color="auto"/>
        <w:left w:val="none" w:sz="0" w:space="0" w:color="auto"/>
        <w:bottom w:val="none" w:sz="0" w:space="0" w:color="auto"/>
        <w:right w:val="none" w:sz="0" w:space="0" w:color="auto"/>
      </w:divBdr>
    </w:div>
    <w:div w:id="1679699646">
      <w:bodyDiv w:val="1"/>
      <w:marLeft w:val="0"/>
      <w:marRight w:val="0"/>
      <w:marTop w:val="0"/>
      <w:marBottom w:val="0"/>
      <w:divBdr>
        <w:top w:val="none" w:sz="0" w:space="0" w:color="auto"/>
        <w:left w:val="none" w:sz="0" w:space="0" w:color="auto"/>
        <w:bottom w:val="none" w:sz="0" w:space="0" w:color="auto"/>
        <w:right w:val="none" w:sz="0" w:space="0" w:color="auto"/>
      </w:divBdr>
    </w:div>
    <w:div w:id="1682589890">
      <w:bodyDiv w:val="1"/>
      <w:marLeft w:val="0"/>
      <w:marRight w:val="0"/>
      <w:marTop w:val="0"/>
      <w:marBottom w:val="0"/>
      <w:divBdr>
        <w:top w:val="none" w:sz="0" w:space="0" w:color="auto"/>
        <w:left w:val="none" w:sz="0" w:space="0" w:color="auto"/>
        <w:bottom w:val="none" w:sz="0" w:space="0" w:color="auto"/>
        <w:right w:val="none" w:sz="0" w:space="0" w:color="auto"/>
      </w:divBdr>
    </w:div>
    <w:div w:id="1686441193">
      <w:bodyDiv w:val="1"/>
      <w:marLeft w:val="0"/>
      <w:marRight w:val="0"/>
      <w:marTop w:val="0"/>
      <w:marBottom w:val="0"/>
      <w:divBdr>
        <w:top w:val="none" w:sz="0" w:space="0" w:color="auto"/>
        <w:left w:val="none" w:sz="0" w:space="0" w:color="auto"/>
        <w:bottom w:val="none" w:sz="0" w:space="0" w:color="auto"/>
        <w:right w:val="none" w:sz="0" w:space="0" w:color="auto"/>
      </w:divBdr>
    </w:div>
    <w:div w:id="1687515371">
      <w:bodyDiv w:val="1"/>
      <w:marLeft w:val="0"/>
      <w:marRight w:val="0"/>
      <w:marTop w:val="0"/>
      <w:marBottom w:val="0"/>
      <w:divBdr>
        <w:top w:val="none" w:sz="0" w:space="0" w:color="auto"/>
        <w:left w:val="none" w:sz="0" w:space="0" w:color="auto"/>
        <w:bottom w:val="none" w:sz="0" w:space="0" w:color="auto"/>
        <w:right w:val="none" w:sz="0" w:space="0" w:color="auto"/>
      </w:divBdr>
    </w:div>
    <w:div w:id="1693071436">
      <w:bodyDiv w:val="1"/>
      <w:marLeft w:val="0"/>
      <w:marRight w:val="0"/>
      <w:marTop w:val="0"/>
      <w:marBottom w:val="0"/>
      <w:divBdr>
        <w:top w:val="none" w:sz="0" w:space="0" w:color="auto"/>
        <w:left w:val="none" w:sz="0" w:space="0" w:color="auto"/>
        <w:bottom w:val="none" w:sz="0" w:space="0" w:color="auto"/>
        <w:right w:val="none" w:sz="0" w:space="0" w:color="auto"/>
      </w:divBdr>
    </w:div>
    <w:div w:id="1693729679">
      <w:bodyDiv w:val="1"/>
      <w:marLeft w:val="0"/>
      <w:marRight w:val="0"/>
      <w:marTop w:val="0"/>
      <w:marBottom w:val="0"/>
      <w:divBdr>
        <w:top w:val="none" w:sz="0" w:space="0" w:color="auto"/>
        <w:left w:val="none" w:sz="0" w:space="0" w:color="auto"/>
        <w:bottom w:val="none" w:sz="0" w:space="0" w:color="auto"/>
        <w:right w:val="none" w:sz="0" w:space="0" w:color="auto"/>
      </w:divBdr>
    </w:div>
    <w:div w:id="1695956531">
      <w:bodyDiv w:val="1"/>
      <w:marLeft w:val="0"/>
      <w:marRight w:val="0"/>
      <w:marTop w:val="0"/>
      <w:marBottom w:val="0"/>
      <w:divBdr>
        <w:top w:val="none" w:sz="0" w:space="0" w:color="auto"/>
        <w:left w:val="none" w:sz="0" w:space="0" w:color="auto"/>
        <w:bottom w:val="none" w:sz="0" w:space="0" w:color="auto"/>
        <w:right w:val="none" w:sz="0" w:space="0" w:color="auto"/>
      </w:divBdr>
    </w:div>
    <w:div w:id="1698694787">
      <w:bodyDiv w:val="1"/>
      <w:marLeft w:val="0"/>
      <w:marRight w:val="0"/>
      <w:marTop w:val="0"/>
      <w:marBottom w:val="0"/>
      <w:divBdr>
        <w:top w:val="none" w:sz="0" w:space="0" w:color="auto"/>
        <w:left w:val="none" w:sz="0" w:space="0" w:color="auto"/>
        <w:bottom w:val="none" w:sz="0" w:space="0" w:color="auto"/>
        <w:right w:val="none" w:sz="0" w:space="0" w:color="auto"/>
      </w:divBdr>
    </w:div>
    <w:div w:id="1700280875">
      <w:bodyDiv w:val="1"/>
      <w:marLeft w:val="0"/>
      <w:marRight w:val="0"/>
      <w:marTop w:val="0"/>
      <w:marBottom w:val="0"/>
      <w:divBdr>
        <w:top w:val="none" w:sz="0" w:space="0" w:color="auto"/>
        <w:left w:val="none" w:sz="0" w:space="0" w:color="auto"/>
        <w:bottom w:val="none" w:sz="0" w:space="0" w:color="auto"/>
        <w:right w:val="none" w:sz="0" w:space="0" w:color="auto"/>
      </w:divBdr>
    </w:div>
    <w:div w:id="1702978400">
      <w:bodyDiv w:val="1"/>
      <w:marLeft w:val="0"/>
      <w:marRight w:val="0"/>
      <w:marTop w:val="0"/>
      <w:marBottom w:val="0"/>
      <w:divBdr>
        <w:top w:val="none" w:sz="0" w:space="0" w:color="auto"/>
        <w:left w:val="none" w:sz="0" w:space="0" w:color="auto"/>
        <w:bottom w:val="none" w:sz="0" w:space="0" w:color="auto"/>
        <w:right w:val="none" w:sz="0" w:space="0" w:color="auto"/>
      </w:divBdr>
    </w:div>
    <w:div w:id="1711032444">
      <w:bodyDiv w:val="1"/>
      <w:marLeft w:val="0"/>
      <w:marRight w:val="0"/>
      <w:marTop w:val="0"/>
      <w:marBottom w:val="0"/>
      <w:divBdr>
        <w:top w:val="none" w:sz="0" w:space="0" w:color="auto"/>
        <w:left w:val="none" w:sz="0" w:space="0" w:color="auto"/>
        <w:bottom w:val="none" w:sz="0" w:space="0" w:color="auto"/>
        <w:right w:val="none" w:sz="0" w:space="0" w:color="auto"/>
      </w:divBdr>
    </w:div>
    <w:div w:id="1715540742">
      <w:bodyDiv w:val="1"/>
      <w:marLeft w:val="0"/>
      <w:marRight w:val="0"/>
      <w:marTop w:val="0"/>
      <w:marBottom w:val="0"/>
      <w:divBdr>
        <w:top w:val="none" w:sz="0" w:space="0" w:color="auto"/>
        <w:left w:val="none" w:sz="0" w:space="0" w:color="auto"/>
        <w:bottom w:val="none" w:sz="0" w:space="0" w:color="auto"/>
        <w:right w:val="none" w:sz="0" w:space="0" w:color="auto"/>
      </w:divBdr>
    </w:div>
    <w:div w:id="1718312334">
      <w:bodyDiv w:val="1"/>
      <w:marLeft w:val="0"/>
      <w:marRight w:val="0"/>
      <w:marTop w:val="0"/>
      <w:marBottom w:val="0"/>
      <w:divBdr>
        <w:top w:val="none" w:sz="0" w:space="0" w:color="auto"/>
        <w:left w:val="none" w:sz="0" w:space="0" w:color="auto"/>
        <w:bottom w:val="none" w:sz="0" w:space="0" w:color="auto"/>
        <w:right w:val="none" w:sz="0" w:space="0" w:color="auto"/>
      </w:divBdr>
    </w:div>
    <w:div w:id="1722944832">
      <w:bodyDiv w:val="1"/>
      <w:marLeft w:val="0"/>
      <w:marRight w:val="0"/>
      <w:marTop w:val="0"/>
      <w:marBottom w:val="0"/>
      <w:divBdr>
        <w:top w:val="none" w:sz="0" w:space="0" w:color="auto"/>
        <w:left w:val="none" w:sz="0" w:space="0" w:color="auto"/>
        <w:bottom w:val="none" w:sz="0" w:space="0" w:color="auto"/>
        <w:right w:val="none" w:sz="0" w:space="0" w:color="auto"/>
      </w:divBdr>
    </w:div>
    <w:div w:id="1725595467">
      <w:bodyDiv w:val="1"/>
      <w:marLeft w:val="0"/>
      <w:marRight w:val="0"/>
      <w:marTop w:val="0"/>
      <w:marBottom w:val="0"/>
      <w:divBdr>
        <w:top w:val="none" w:sz="0" w:space="0" w:color="auto"/>
        <w:left w:val="none" w:sz="0" w:space="0" w:color="auto"/>
        <w:bottom w:val="none" w:sz="0" w:space="0" w:color="auto"/>
        <w:right w:val="none" w:sz="0" w:space="0" w:color="auto"/>
      </w:divBdr>
    </w:div>
    <w:div w:id="1728603929">
      <w:bodyDiv w:val="1"/>
      <w:marLeft w:val="0"/>
      <w:marRight w:val="0"/>
      <w:marTop w:val="0"/>
      <w:marBottom w:val="0"/>
      <w:divBdr>
        <w:top w:val="none" w:sz="0" w:space="0" w:color="auto"/>
        <w:left w:val="none" w:sz="0" w:space="0" w:color="auto"/>
        <w:bottom w:val="none" w:sz="0" w:space="0" w:color="auto"/>
        <w:right w:val="none" w:sz="0" w:space="0" w:color="auto"/>
      </w:divBdr>
    </w:div>
    <w:div w:id="1732578922">
      <w:bodyDiv w:val="1"/>
      <w:marLeft w:val="0"/>
      <w:marRight w:val="0"/>
      <w:marTop w:val="0"/>
      <w:marBottom w:val="0"/>
      <w:divBdr>
        <w:top w:val="none" w:sz="0" w:space="0" w:color="auto"/>
        <w:left w:val="none" w:sz="0" w:space="0" w:color="auto"/>
        <w:bottom w:val="none" w:sz="0" w:space="0" w:color="auto"/>
        <w:right w:val="none" w:sz="0" w:space="0" w:color="auto"/>
      </w:divBdr>
    </w:div>
    <w:div w:id="1736049003">
      <w:bodyDiv w:val="1"/>
      <w:marLeft w:val="0"/>
      <w:marRight w:val="0"/>
      <w:marTop w:val="0"/>
      <w:marBottom w:val="0"/>
      <w:divBdr>
        <w:top w:val="none" w:sz="0" w:space="0" w:color="auto"/>
        <w:left w:val="none" w:sz="0" w:space="0" w:color="auto"/>
        <w:bottom w:val="none" w:sz="0" w:space="0" w:color="auto"/>
        <w:right w:val="none" w:sz="0" w:space="0" w:color="auto"/>
      </w:divBdr>
    </w:div>
    <w:div w:id="1738893891">
      <w:bodyDiv w:val="1"/>
      <w:marLeft w:val="0"/>
      <w:marRight w:val="0"/>
      <w:marTop w:val="0"/>
      <w:marBottom w:val="0"/>
      <w:divBdr>
        <w:top w:val="none" w:sz="0" w:space="0" w:color="auto"/>
        <w:left w:val="none" w:sz="0" w:space="0" w:color="auto"/>
        <w:bottom w:val="none" w:sz="0" w:space="0" w:color="auto"/>
        <w:right w:val="none" w:sz="0" w:space="0" w:color="auto"/>
      </w:divBdr>
    </w:div>
    <w:div w:id="1742022763">
      <w:bodyDiv w:val="1"/>
      <w:marLeft w:val="0"/>
      <w:marRight w:val="0"/>
      <w:marTop w:val="0"/>
      <w:marBottom w:val="0"/>
      <w:divBdr>
        <w:top w:val="none" w:sz="0" w:space="0" w:color="auto"/>
        <w:left w:val="none" w:sz="0" w:space="0" w:color="auto"/>
        <w:bottom w:val="none" w:sz="0" w:space="0" w:color="auto"/>
        <w:right w:val="none" w:sz="0" w:space="0" w:color="auto"/>
      </w:divBdr>
    </w:div>
    <w:div w:id="1745909425">
      <w:bodyDiv w:val="1"/>
      <w:marLeft w:val="0"/>
      <w:marRight w:val="0"/>
      <w:marTop w:val="0"/>
      <w:marBottom w:val="0"/>
      <w:divBdr>
        <w:top w:val="none" w:sz="0" w:space="0" w:color="auto"/>
        <w:left w:val="none" w:sz="0" w:space="0" w:color="auto"/>
        <w:bottom w:val="none" w:sz="0" w:space="0" w:color="auto"/>
        <w:right w:val="none" w:sz="0" w:space="0" w:color="auto"/>
      </w:divBdr>
    </w:div>
    <w:div w:id="1746948479">
      <w:bodyDiv w:val="1"/>
      <w:marLeft w:val="0"/>
      <w:marRight w:val="0"/>
      <w:marTop w:val="0"/>
      <w:marBottom w:val="0"/>
      <w:divBdr>
        <w:top w:val="none" w:sz="0" w:space="0" w:color="auto"/>
        <w:left w:val="none" w:sz="0" w:space="0" w:color="auto"/>
        <w:bottom w:val="none" w:sz="0" w:space="0" w:color="auto"/>
        <w:right w:val="none" w:sz="0" w:space="0" w:color="auto"/>
      </w:divBdr>
    </w:div>
    <w:div w:id="1750761300">
      <w:bodyDiv w:val="1"/>
      <w:marLeft w:val="0"/>
      <w:marRight w:val="0"/>
      <w:marTop w:val="0"/>
      <w:marBottom w:val="0"/>
      <w:divBdr>
        <w:top w:val="none" w:sz="0" w:space="0" w:color="auto"/>
        <w:left w:val="none" w:sz="0" w:space="0" w:color="auto"/>
        <w:bottom w:val="none" w:sz="0" w:space="0" w:color="auto"/>
        <w:right w:val="none" w:sz="0" w:space="0" w:color="auto"/>
      </w:divBdr>
    </w:div>
    <w:div w:id="1751149350">
      <w:bodyDiv w:val="1"/>
      <w:marLeft w:val="0"/>
      <w:marRight w:val="0"/>
      <w:marTop w:val="0"/>
      <w:marBottom w:val="0"/>
      <w:divBdr>
        <w:top w:val="none" w:sz="0" w:space="0" w:color="auto"/>
        <w:left w:val="none" w:sz="0" w:space="0" w:color="auto"/>
        <w:bottom w:val="none" w:sz="0" w:space="0" w:color="auto"/>
        <w:right w:val="none" w:sz="0" w:space="0" w:color="auto"/>
      </w:divBdr>
    </w:div>
    <w:div w:id="1751928750">
      <w:bodyDiv w:val="1"/>
      <w:marLeft w:val="0"/>
      <w:marRight w:val="0"/>
      <w:marTop w:val="0"/>
      <w:marBottom w:val="0"/>
      <w:divBdr>
        <w:top w:val="none" w:sz="0" w:space="0" w:color="auto"/>
        <w:left w:val="none" w:sz="0" w:space="0" w:color="auto"/>
        <w:bottom w:val="none" w:sz="0" w:space="0" w:color="auto"/>
        <w:right w:val="none" w:sz="0" w:space="0" w:color="auto"/>
      </w:divBdr>
    </w:div>
    <w:div w:id="1753550295">
      <w:bodyDiv w:val="1"/>
      <w:marLeft w:val="0"/>
      <w:marRight w:val="0"/>
      <w:marTop w:val="0"/>
      <w:marBottom w:val="0"/>
      <w:divBdr>
        <w:top w:val="none" w:sz="0" w:space="0" w:color="auto"/>
        <w:left w:val="none" w:sz="0" w:space="0" w:color="auto"/>
        <w:bottom w:val="none" w:sz="0" w:space="0" w:color="auto"/>
        <w:right w:val="none" w:sz="0" w:space="0" w:color="auto"/>
      </w:divBdr>
    </w:div>
    <w:div w:id="1755007129">
      <w:bodyDiv w:val="1"/>
      <w:marLeft w:val="0"/>
      <w:marRight w:val="0"/>
      <w:marTop w:val="0"/>
      <w:marBottom w:val="0"/>
      <w:divBdr>
        <w:top w:val="none" w:sz="0" w:space="0" w:color="auto"/>
        <w:left w:val="none" w:sz="0" w:space="0" w:color="auto"/>
        <w:bottom w:val="none" w:sz="0" w:space="0" w:color="auto"/>
        <w:right w:val="none" w:sz="0" w:space="0" w:color="auto"/>
      </w:divBdr>
    </w:div>
    <w:div w:id="1755466639">
      <w:bodyDiv w:val="1"/>
      <w:marLeft w:val="0"/>
      <w:marRight w:val="0"/>
      <w:marTop w:val="0"/>
      <w:marBottom w:val="0"/>
      <w:divBdr>
        <w:top w:val="none" w:sz="0" w:space="0" w:color="auto"/>
        <w:left w:val="none" w:sz="0" w:space="0" w:color="auto"/>
        <w:bottom w:val="none" w:sz="0" w:space="0" w:color="auto"/>
        <w:right w:val="none" w:sz="0" w:space="0" w:color="auto"/>
      </w:divBdr>
    </w:div>
    <w:div w:id="1756902077">
      <w:bodyDiv w:val="1"/>
      <w:marLeft w:val="0"/>
      <w:marRight w:val="0"/>
      <w:marTop w:val="0"/>
      <w:marBottom w:val="0"/>
      <w:divBdr>
        <w:top w:val="none" w:sz="0" w:space="0" w:color="auto"/>
        <w:left w:val="none" w:sz="0" w:space="0" w:color="auto"/>
        <w:bottom w:val="none" w:sz="0" w:space="0" w:color="auto"/>
        <w:right w:val="none" w:sz="0" w:space="0" w:color="auto"/>
      </w:divBdr>
    </w:div>
    <w:div w:id="1758938812">
      <w:bodyDiv w:val="1"/>
      <w:marLeft w:val="0"/>
      <w:marRight w:val="0"/>
      <w:marTop w:val="0"/>
      <w:marBottom w:val="0"/>
      <w:divBdr>
        <w:top w:val="none" w:sz="0" w:space="0" w:color="auto"/>
        <w:left w:val="none" w:sz="0" w:space="0" w:color="auto"/>
        <w:bottom w:val="none" w:sz="0" w:space="0" w:color="auto"/>
        <w:right w:val="none" w:sz="0" w:space="0" w:color="auto"/>
      </w:divBdr>
    </w:div>
    <w:div w:id="1763068359">
      <w:bodyDiv w:val="1"/>
      <w:marLeft w:val="0"/>
      <w:marRight w:val="0"/>
      <w:marTop w:val="0"/>
      <w:marBottom w:val="0"/>
      <w:divBdr>
        <w:top w:val="none" w:sz="0" w:space="0" w:color="auto"/>
        <w:left w:val="none" w:sz="0" w:space="0" w:color="auto"/>
        <w:bottom w:val="none" w:sz="0" w:space="0" w:color="auto"/>
        <w:right w:val="none" w:sz="0" w:space="0" w:color="auto"/>
      </w:divBdr>
    </w:div>
    <w:div w:id="1767534804">
      <w:bodyDiv w:val="1"/>
      <w:marLeft w:val="0"/>
      <w:marRight w:val="0"/>
      <w:marTop w:val="0"/>
      <w:marBottom w:val="0"/>
      <w:divBdr>
        <w:top w:val="none" w:sz="0" w:space="0" w:color="auto"/>
        <w:left w:val="none" w:sz="0" w:space="0" w:color="auto"/>
        <w:bottom w:val="none" w:sz="0" w:space="0" w:color="auto"/>
        <w:right w:val="none" w:sz="0" w:space="0" w:color="auto"/>
      </w:divBdr>
    </w:div>
    <w:div w:id="1770156902">
      <w:bodyDiv w:val="1"/>
      <w:marLeft w:val="0"/>
      <w:marRight w:val="0"/>
      <w:marTop w:val="0"/>
      <w:marBottom w:val="0"/>
      <w:divBdr>
        <w:top w:val="none" w:sz="0" w:space="0" w:color="auto"/>
        <w:left w:val="none" w:sz="0" w:space="0" w:color="auto"/>
        <w:bottom w:val="none" w:sz="0" w:space="0" w:color="auto"/>
        <w:right w:val="none" w:sz="0" w:space="0" w:color="auto"/>
      </w:divBdr>
    </w:div>
    <w:div w:id="1771776166">
      <w:bodyDiv w:val="1"/>
      <w:marLeft w:val="0"/>
      <w:marRight w:val="0"/>
      <w:marTop w:val="0"/>
      <w:marBottom w:val="0"/>
      <w:divBdr>
        <w:top w:val="none" w:sz="0" w:space="0" w:color="auto"/>
        <w:left w:val="none" w:sz="0" w:space="0" w:color="auto"/>
        <w:bottom w:val="none" w:sz="0" w:space="0" w:color="auto"/>
        <w:right w:val="none" w:sz="0" w:space="0" w:color="auto"/>
      </w:divBdr>
    </w:div>
    <w:div w:id="1773089998">
      <w:bodyDiv w:val="1"/>
      <w:marLeft w:val="0"/>
      <w:marRight w:val="0"/>
      <w:marTop w:val="0"/>
      <w:marBottom w:val="0"/>
      <w:divBdr>
        <w:top w:val="none" w:sz="0" w:space="0" w:color="auto"/>
        <w:left w:val="none" w:sz="0" w:space="0" w:color="auto"/>
        <w:bottom w:val="none" w:sz="0" w:space="0" w:color="auto"/>
        <w:right w:val="none" w:sz="0" w:space="0" w:color="auto"/>
      </w:divBdr>
    </w:div>
    <w:div w:id="1775663891">
      <w:bodyDiv w:val="1"/>
      <w:marLeft w:val="0"/>
      <w:marRight w:val="0"/>
      <w:marTop w:val="0"/>
      <w:marBottom w:val="0"/>
      <w:divBdr>
        <w:top w:val="none" w:sz="0" w:space="0" w:color="auto"/>
        <w:left w:val="none" w:sz="0" w:space="0" w:color="auto"/>
        <w:bottom w:val="none" w:sz="0" w:space="0" w:color="auto"/>
        <w:right w:val="none" w:sz="0" w:space="0" w:color="auto"/>
      </w:divBdr>
    </w:div>
    <w:div w:id="1776051113">
      <w:bodyDiv w:val="1"/>
      <w:marLeft w:val="0"/>
      <w:marRight w:val="0"/>
      <w:marTop w:val="0"/>
      <w:marBottom w:val="0"/>
      <w:divBdr>
        <w:top w:val="none" w:sz="0" w:space="0" w:color="auto"/>
        <w:left w:val="none" w:sz="0" w:space="0" w:color="auto"/>
        <w:bottom w:val="none" w:sz="0" w:space="0" w:color="auto"/>
        <w:right w:val="none" w:sz="0" w:space="0" w:color="auto"/>
      </w:divBdr>
    </w:div>
    <w:div w:id="1776247529">
      <w:bodyDiv w:val="1"/>
      <w:marLeft w:val="0"/>
      <w:marRight w:val="0"/>
      <w:marTop w:val="0"/>
      <w:marBottom w:val="0"/>
      <w:divBdr>
        <w:top w:val="none" w:sz="0" w:space="0" w:color="auto"/>
        <w:left w:val="none" w:sz="0" w:space="0" w:color="auto"/>
        <w:bottom w:val="none" w:sz="0" w:space="0" w:color="auto"/>
        <w:right w:val="none" w:sz="0" w:space="0" w:color="auto"/>
      </w:divBdr>
    </w:div>
    <w:div w:id="1780416979">
      <w:bodyDiv w:val="1"/>
      <w:marLeft w:val="0"/>
      <w:marRight w:val="0"/>
      <w:marTop w:val="0"/>
      <w:marBottom w:val="0"/>
      <w:divBdr>
        <w:top w:val="none" w:sz="0" w:space="0" w:color="auto"/>
        <w:left w:val="none" w:sz="0" w:space="0" w:color="auto"/>
        <w:bottom w:val="none" w:sz="0" w:space="0" w:color="auto"/>
        <w:right w:val="none" w:sz="0" w:space="0" w:color="auto"/>
      </w:divBdr>
    </w:div>
    <w:div w:id="1786002866">
      <w:bodyDiv w:val="1"/>
      <w:marLeft w:val="0"/>
      <w:marRight w:val="0"/>
      <w:marTop w:val="0"/>
      <w:marBottom w:val="0"/>
      <w:divBdr>
        <w:top w:val="none" w:sz="0" w:space="0" w:color="auto"/>
        <w:left w:val="none" w:sz="0" w:space="0" w:color="auto"/>
        <w:bottom w:val="none" w:sz="0" w:space="0" w:color="auto"/>
        <w:right w:val="none" w:sz="0" w:space="0" w:color="auto"/>
      </w:divBdr>
    </w:div>
    <w:div w:id="1787432986">
      <w:bodyDiv w:val="1"/>
      <w:marLeft w:val="0"/>
      <w:marRight w:val="0"/>
      <w:marTop w:val="0"/>
      <w:marBottom w:val="0"/>
      <w:divBdr>
        <w:top w:val="none" w:sz="0" w:space="0" w:color="auto"/>
        <w:left w:val="none" w:sz="0" w:space="0" w:color="auto"/>
        <w:bottom w:val="none" w:sz="0" w:space="0" w:color="auto"/>
        <w:right w:val="none" w:sz="0" w:space="0" w:color="auto"/>
      </w:divBdr>
    </w:div>
    <w:div w:id="1792749815">
      <w:bodyDiv w:val="1"/>
      <w:marLeft w:val="0"/>
      <w:marRight w:val="0"/>
      <w:marTop w:val="0"/>
      <w:marBottom w:val="0"/>
      <w:divBdr>
        <w:top w:val="none" w:sz="0" w:space="0" w:color="auto"/>
        <w:left w:val="none" w:sz="0" w:space="0" w:color="auto"/>
        <w:bottom w:val="none" w:sz="0" w:space="0" w:color="auto"/>
        <w:right w:val="none" w:sz="0" w:space="0" w:color="auto"/>
      </w:divBdr>
    </w:div>
    <w:div w:id="1795517305">
      <w:bodyDiv w:val="1"/>
      <w:marLeft w:val="0"/>
      <w:marRight w:val="0"/>
      <w:marTop w:val="0"/>
      <w:marBottom w:val="0"/>
      <w:divBdr>
        <w:top w:val="none" w:sz="0" w:space="0" w:color="auto"/>
        <w:left w:val="none" w:sz="0" w:space="0" w:color="auto"/>
        <w:bottom w:val="none" w:sz="0" w:space="0" w:color="auto"/>
        <w:right w:val="none" w:sz="0" w:space="0" w:color="auto"/>
      </w:divBdr>
    </w:div>
    <w:div w:id="1800344042">
      <w:bodyDiv w:val="1"/>
      <w:marLeft w:val="0"/>
      <w:marRight w:val="0"/>
      <w:marTop w:val="0"/>
      <w:marBottom w:val="0"/>
      <w:divBdr>
        <w:top w:val="none" w:sz="0" w:space="0" w:color="auto"/>
        <w:left w:val="none" w:sz="0" w:space="0" w:color="auto"/>
        <w:bottom w:val="none" w:sz="0" w:space="0" w:color="auto"/>
        <w:right w:val="none" w:sz="0" w:space="0" w:color="auto"/>
      </w:divBdr>
    </w:div>
    <w:div w:id="1806387654">
      <w:bodyDiv w:val="1"/>
      <w:marLeft w:val="0"/>
      <w:marRight w:val="0"/>
      <w:marTop w:val="0"/>
      <w:marBottom w:val="0"/>
      <w:divBdr>
        <w:top w:val="none" w:sz="0" w:space="0" w:color="auto"/>
        <w:left w:val="none" w:sz="0" w:space="0" w:color="auto"/>
        <w:bottom w:val="none" w:sz="0" w:space="0" w:color="auto"/>
        <w:right w:val="none" w:sz="0" w:space="0" w:color="auto"/>
      </w:divBdr>
    </w:div>
    <w:div w:id="1807548444">
      <w:bodyDiv w:val="1"/>
      <w:marLeft w:val="0"/>
      <w:marRight w:val="0"/>
      <w:marTop w:val="0"/>
      <w:marBottom w:val="0"/>
      <w:divBdr>
        <w:top w:val="none" w:sz="0" w:space="0" w:color="auto"/>
        <w:left w:val="none" w:sz="0" w:space="0" w:color="auto"/>
        <w:bottom w:val="none" w:sz="0" w:space="0" w:color="auto"/>
        <w:right w:val="none" w:sz="0" w:space="0" w:color="auto"/>
      </w:divBdr>
    </w:div>
    <w:div w:id="1808431398">
      <w:bodyDiv w:val="1"/>
      <w:marLeft w:val="0"/>
      <w:marRight w:val="0"/>
      <w:marTop w:val="0"/>
      <w:marBottom w:val="0"/>
      <w:divBdr>
        <w:top w:val="none" w:sz="0" w:space="0" w:color="auto"/>
        <w:left w:val="none" w:sz="0" w:space="0" w:color="auto"/>
        <w:bottom w:val="none" w:sz="0" w:space="0" w:color="auto"/>
        <w:right w:val="none" w:sz="0" w:space="0" w:color="auto"/>
      </w:divBdr>
    </w:div>
    <w:div w:id="1809584957">
      <w:bodyDiv w:val="1"/>
      <w:marLeft w:val="0"/>
      <w:marRight w:val="0"/>
      <w:marTop w:val="0"/>
      <w:marBottom w:val="0"/>
      <w:divBdr>
        <w:top w:val="none" w:sz="0" w:space="0" w:color="auto"/>
        <w:left w:val="none" w:sz="0" w:space="0" w:color="auto"/>
        <w:bottom w:val="none" w:sz="0" w:space="0" w:color="auto"/>
        <w:right w:val="none" w:sz="0" w:space="0" w:color="auto"/>
      </w:divBdr>
    </w:div>
    <w:div w:id="1814829270">
      <w:bodyDiv w:val="1"/>
      <w:marLeft w:val="0"/>
      <w:marRight w:val="0"/>
      <w:marTop w:val="0"/>
      <w:marBottom w:val="0"/>
      <w:divBdr>
        <w:top w:val="none" w:sz="0" w:space="0" w:color="auto"/>
        <w:left w:val="none" w:sz="0" w:space="0" w:color="auto"/>
        <w:bottom w:val="none" w:sz="0" w:space="0" w:color="auto"/>
        <w:right w:val="none" w:sz="0" w:space="0" w:color="auto"/>
      </w:divBdr>
    </w:div>
    <w:div w:id="1820418801">
      <w:bodyDiv w:val="1"/>
      <w:marLeft w:val="0"/>
      <w:marRight w:val="0"/>
      <w:marTop w:val="0"/>
      <w:marBottom w:val="0"/>
      <w:divBdr>
        <w:top w:val="none" w:sz="0" w:space="0" w:color="auto"/>
        <w:left w:val="none" w:sz="0" w:space="0" w:color="auto"/>
        <w:bottom w:val="none" w:sz="0" w:space="0" w:color="auto"/>
        <w:right w:val="none" w:sz="0" w:space="0" w:color="auto"/>
      </w:divBdr>
    </w:div>
    <w:div w:id="1820924439">
      <w:bodyDiv w:val="1"/>
      <w:marLeft w:val="0"/>
      <w:marRight w:val="0"/>
      <w:marTop w:val="0"/>
      <w:marBottom w:val="0"/>
      <w:divBdr>
        <w:top w:val="none" w:sz="0" w:space="0" w:color="auto"/>
        <w:left w:val="none" w:sz="0" w:space="0" w:color="auto"/>
        <w:bottom w:val="none" w:sz="0" w:space="0" w:color="auto"/>
        <w:right w:val="none" w:sz="0" w:space="0" w:color="auto"/>
      </w:divBdr>
    </w:div>
    <w:div w:id="1822190418">
      <w:bodyDiv w:val="1"/>
      <w:marLeft w:val="0"/>
      <w:marRight w:val="0"/>
      <w:marTop w:val="0"/>
      <w:marBottom w:val="0"/>
      <w:divBdr>
        <w:top w:val="none" w:sz="0" w:space="0" w:color="auto"/>
        <w:left w:val="none" w:sz="0" w:space="0" w:color="auto"/>
        <w:bottom w:val="none" w:sz="0" w:space="0" w:color="auto"/>
        <w:right w:val="none" w:sz="0" w:space="0" w:color="auto"/>
      </w:divBdr>
    </w:div>
    <w:div w:id="1823540211">
      <w:bodyDiv w:val="1"/>
      <w:marLeft w:val="0"/>
      <w:marRight w:val="0"/>
      <w:marTop w:val="0"/>
      <w:marBottom w:val="0"/>
      <w:divBdr>
        <w:top w:val="none" w:sz="0" w:space="0" w:color="auto"/>
        <w:left w:val="none" w:sz="0" w:space="0" w:color="auto"/>
        <w:bottom w:val="none" w:sz="0" w:space="0" w:color="auto"/>
        <w:right w:val="none" w:sz="0" w:space="0" w:color="auto"/>
      </w:divBdr>
    </w:div>
    <w:div w:id="1824160731">
      <w:bodyDiv w:val="1"/>
      <w:marLeft w:val="0"/>
      <w:marRight w:val="0"/>
      <w:marTop w:val="0"/>
      <w:marBottom w:val="0"/>
      <w:divBdr>
        <w:top w:val="none" w:sz="0" w:space="0" w:color="auto"/>
        <w:left w:val="none" w:sz="0" w:space="0" w:color="auto"/>
        <w:bottom w:val="none" w:sz="0" w:space="0" w:color="auto"/>
        <w:right w:val="none" w:sz="0" w:space="0" w:color="auto"/>
      </w:divBdr>
    </w:div>
    <w:div w:id="1827434420">
      <w:bodyDiv w:val="1"/>
      <w:marLeft w:val="0"/>
      <w:marRight w:val="0"/>
      <w:marTop w:val="0"/>
      <w:marBottom w:val="0"/>
      <w:divBdr>
        <w:top w:val="none" w:sz="0" w:space="0" w:color="auto"/>
        <w:left w:val="none" w:sz="0" w:space="0" w:color="auto"/>
        <w:bottom w:val="none" w:sz="0" w:space="0" w:color="auto"/>
        <w:right w:val="none" w:sz="0" w:space="0" w:color="auto"/>
      </w:divBdr>
    </w:div>
    <w:div w:id="1829126487">
      <w:bodyDiv w:val="1"/>
      <w:marLeft w:val="0"/>
      <w:marRight w:val="0"/>
      <w:marTop w:val="0"/>
      <w:marBottom w:val="0"/>
      <w:divBdr>
        <w:top w:val="none" w:sz="0" w:space="0" w:color="auto"/>
        <w:left w:val="none" w:sz="0" w:space="0" w:color="auto"/>
        <w:bottom w:val="none" w:sz="0" w:space="0" w:color="auto"/>
        <w:right w:val="none" w:sz="0" w:space="0" w:color="auto"/>
      </w:divBdr>
    </w:div>
    <w:div w:id="1829132135">
      <w:bodyDiv w:val="1"/>
      <w:marLeft w:val="0"/>
      <w:marRight w:val="0"/>
      <w:marTop w:val="0"/>
      <w:marBottom w:val="0"/>
      <w:divBdr>
        <w:top w:val="none" w:sz="0" w:space="0" w:color="auto"/>
        <w:left w:val="none" w:sz="0" w:space="0" w:color="auto"/>
        <w:bottom w:val="none" w:sz="0" w:space="0" w:color="auto"/>
        <w:right w:val="none" w:sz="0" w:space="0" w:color="auto"/>
      </w:divBdr>
    </w:div>
    <w:div w:id="1831403587">
      <w:bodyDiv w:val="1"/>
      <w:marLeft w:val="0"/>
      <w:marRight w:val="0"/>
      <w:marTop w:val="0"/>
      <w:marBottom w:val="0"/>
      <w:divBdr>
        <w:top w:val="none" w:sz="0" w:space="0" w:color="auto"/>
        <w:left w:val="none" w:sz="0" w:space="0" w:color="auto"/>
        <w:bottom w:val="none" w:sz="0" w:space="0" w:color="auto"/>
        <w:right w:val="none" w:sz="0" w:space="0" w:color="auto"/>
      </w:divBdr>
    </w:div>
    <w:div w:id="1836067968">
      <w:bodyDiv w:val="1"/>
      <w:marLeft w:val="0"/>
      <w:marRight w:val="0"/>
      <w:marTop w:val="0"/>
      <w:marBottom w:val="0"/>
      <w:divBdr>
        <w:top w:val="none" w:sz="0" w:space="0" w:color="auto"/>
        <w:left w:val="none" w:sz="0" w:space="0" w:color="auto"/>
        <w:bottom w:val="none" w:sz="0" w:space="0" w:color="auto"/>
        <w:right w:val="none" w:sz="0" w:space="0" w:color="auto"/>
      </w:divBdr>
    </w:div>
    <w:div w:id="1850557371">
      <w:bodyDiv w:val="1"/>
      <w:marLeft w:val="0"/>
      <w:marRight w:val="0"/>
      <w:marTop w:val="0"/>
      <w:marBottom w:val="0"/>
      <w:divBdr>
        <w:top w:val="none" w:sz="0" w:space="0" w:color="auto"/>
        <w:left w:val="none" w:sz="0" w:space="0" w:color="auto"/>
        <w:bottom w:val="none" w:sz="0" w:space="0" w:color="auto"/>
        <w:right w:val="none" w:sz="0" w:space="0" w:color="auto"/>
      </w:divBdr>
    </w:div>
    <w:div w:id="1851597413">
      <w:bodyDiv w:val="1"/>
      <w:marLeft w:val="0"/>
      <w:marRight w:val="0"/>
      <w:marTop w:val="0"/>
      <w:marBottom w:val="0"/>
      <w:divBdr>
        <w:top w:val="none" w:sz="0" w:space="0" w:color="auto"/>
        <w:left w:val="none" w:sz="0" w:space="0" w:color="auto"/>
        <w:bottom w:val="none" w:sz="0" w:space="0" w:color="auto"/>
        <w:right w:val="none" w:sz="0" w:space="0" w:color="auto"/>
      </w:divBdr>
    </w:div>
    <w:div w:id="1857034583">
      <w:bodyDiv w:val="1"/>
      <w:marLeft w:val="0"/>
      <w:marRight w:val="0"/>
      <w:marTop w:val="0"/>
      <w:marBottom w:val="0"/>
      <w:divBdr>
        <w:top w:val="none" w:sz="0" w:space="0" w:color="auto"/>
        <w:left w:val="none" w:sz="0" w:space="0" w:color="auto"/>
        <w:bottom w:val="none" w:sz="0" w:space="0" w:color="auto"/>
        <w:right w:val="none" w:sz="0" w:space="0" w:color="auto"/>
      </w:divBdr>
    </w:div>
    <w:div w:id="1858540416">
      <w:bodyDiv w:val="1"/>
      <w:marLeft w:val="0"/>
      <w:marRight w:val="0"/>
      <w:marTop w:val="0"/>
      <w:marBottom w:val="0"/>
      <w:divBdr>
        <w:top w:val="none" w:sz="0" w:space="0" w:color="auto"/>
        <w:left w:val="none" w:sz="0" w:space="0" w:color="auto"/>
        <w:bottom w:val="none" w:sz="0" w:space="0" w:color="auto"/>
        <w:right w:val="none" w:sz="0" w:space="0" w:color="auto"/>
      </w:divBdr>
    </w:div>
    <w:div w:id="1861353851">
      <w:bodyDiv w:val="1"/>
      <w:marLeft w:val="0"/>
      <w:marRight w:val="0"/>
      <w:marTop w:val="0"/>
      <w:marBottom w:val="0"/>
      <w:divBdr>
        <w:top w:val="none" w:sz="0" w:space="0" w:color="auto"/>
        <w:left w:val="none" w:sz="0" w:space="0" w:color="auto"/>
        <w:bottom w:val="none" w:sz="0" w:space="0" w:color="auto"/>
        <w:right w:val="none" w:sz="0" w:space="0" w:color="auto"/>
      </w:divBdr>
    </w:div>
    <w:div w:id="1863585648">
      <w:bodyDiv w:val="1"/>
      <w:marLeft w:val="0"/>
      <w:marRight w:val="0"/>
      <w:marTop w:val="0"/>
      <w:marBottom w:val="0"/>
      <w:divBdr>
        <w:top w:val="none" w:sz="0" w:space="0" w:color="auto"/>
        <w:left w:val="none" w:sz="0" w:space="0" w:color="auto"/>
        <w:bottom w:val="none" w:sz="0" w:space="0" w:color="auto"/>
        <w:right w:val="none" w:sz="0" w:space="0" w:color="auto"/>
      </w:divBdr>
    </w:div>
    <w:div w:id="1868448297">
      <w:bodyDiv w:val="1"/>
      <w:marLeft w:val="0"/>
      <w:marRight w:val="0"/>
      <w:marTop w:val="0"/>
      <w:marBottom w:val="0"/>
      <w:divBdr>
        <w:top w:val="none" w:sz="0" w:space="0" w:color="auto"/>
        <w:left w:val="none" w:sz="0" w:space="0" w:color="auto"/>
        <w:bottom w:val="none" w:sz="0" w:space="0" w:color="auto"/>
        <w:right w:val="none" w:sz="0" w:space="0" w:color="auto"/>
      </w:divBdr>
    </w:div>
    <w:div w:id="1868567178">
      <w:bodyDiv w:val="1"/>
      <w:marLeft w:val="0"/>
      <w:marRight w:val="0"/>
      <w:marTop w:val="0"/>
      <w:marBottom w:val="0"/>
      <w:divBdr>
        <w:top w:val="none" w:sz="0" w:space="0" w:color="auto"/>
        <w:left w:val="none" w:sz="0" w:space="0" w:color="auto"/>
        <w:bottom w:val="none" w:sz="0" w:space="0" w:color="auto"/>
        <w:right w:val="none" w:sz="0" w:space="0" w:color="auto"/>
      </w:divBdr>
    </w:div>
    <w:div w:id="1868787418">
      <w:bodyDiv w:val="1"/>
      <w:marLeft w:val="0"/>
      <w:marRight w:val="0"/>
      <w:marTop w:val="0"/>
      <w:marBottom w:val="0"/>
      <w:divBdr>
        <w:top w:val="none" w:sz="0" w:space="0" w:color="auto"/>
        <w:left w:val="none" w:sz="0" w:space="0" w:color="auto"/>
        <w:bottom w:val="none" w:sz="0" w:space="0" w:color="auto"/>
        <w:right w:val="none" w:sz="0" w:space="0" w:color="auto"/>
      </w:divBdr>
    </w:div>
    <w:div w:id="1868906220">
      <w:bodyDiv w:val="1"/>
      <w:marLeft w:val="0"/>
      <w:marRight w:val="0"/>
      <w:marTop w:val="0"/>
      <w:marBottom w:val="0"/>
      <w:divBdr>
        <w:top w:val="none" w:sz="0" w:space="0" w:color="auto"/>
        <w:left w:val="none" w:sz="0" w:space="0" w:color="auto"/>
        <w:bottom w:val="none" w:sz="0" w:space="0" w:color="auto"/>
        <w:right w:val="none" w:sz="0" w:space="0" w:color="auto"/>
      </w:divBdr>
    </w:div>
    <w:div w:id="1878008124">
      <w:bodyDiv w:val="1"/>
      <w:marLeft w:val="0"/>
      <w:marRight w:val="0"/>
      <w:marTop w:val="0"/>
      <w:marBottom w:val="0"/>
      <w:divBdr>
        <w:top w:val="none" w:sz="0" w:space="0" w:color="auto"/>
        <w:left w:val="none" w:sz="0" w:space="0" w:color="auto"/>
        <w:bottom w:val="none" w:sz="0" w:space="0" w:color="auto"/>
        <w:right w:val="none" w:sz="0" w:space="0" w:color="auto"/>
      </w:divBdr>
    </w:div>
    <w:div w:id="1879514690">
      <w:bodyDiv w:val="1"/>
      <w:marLeft w:val="0"/>
      <w:marRight w:val="0"/>
      <w:marTop w:val="0"/>
      <w:marBottom w:val="0"/>
      <w:divBdr>
        <w:top w:val="none" w:sz="0" w:space="0" w:color="auto"/>
        <w:left w:val="none" w:sz="0" w:space="0" w:color="auto"/>
        <w:bottom w:val="none" w:sz="0" w:space="0" w:color="auto"/>
        <w:right w:val="none" w:sz="0" w:space="0" w:color="auto"/>
      </w:divBdr>
    </w:div>
    <w:div w:id="1894385818">
      <w:bodyDiv w:val="1"/>
      <w:marLeft w:val="0"/>
      <w:marRight w:val="0"/>
      <w:marTop w:val="0"/>
      <w:marBottom w:val="0"/>
      <w:divBdr>
        <w:top w:val="none" w:sz="0" w:space="0" w:color="auto"/>
        <w:left w:val="none" w:sz="0" w:space="0" w:color="auto"/>
        <w:bottom w:val="none" w:sz="0" w:space="0" w:color="auto"/>
        <w:right w:val="none" w:sz="0" w:space="0" w:color="auto"/>
      </w:divBdr>
    </w:div>
    <w:div w:id="1899248401">
      <w:bodyDiv w:val="1"/>
      <w:marLeft w:val="0"/>
      <w:marRight w:val="0"/>
      <w:marTop w:val="0"/>
      <w:marBottom w:val="0"/>
      <w:divBdr>
        <w:top w:val="none" w:sz="0" w:space="0" w:color="auto"/>
        <w:left w:val="none" w:sz="0" w:space="0" w:color="auto"/>
        <w:bottom w:val="none" w:sz="0" w:space="0" w:color="auto"/>
        <w:right w:val="none" w:sz="0" w:space="0" w:color="auto"/>
      </w:divBdr>
    </w:div>
    <w:div w:id="1901476343">
      <w:bodyDiv w:val="1"/>
      <w:marLeft w:val="0"/>
      <w:marRight w:val="0"/>
      <w:marTop w:val="0"/>
      <w:marBottom w:val="0"/>
      <w:divBdr>
        <w:top w:val="none" w:sz="0" w:space="0" w:color="auto"/>
        <w:left w:val="none" w:sz="0" w:space="0" w:color="auto"/>
        <w:bottom w:val="none" w:sz="0" w:space="0" w:color="auto"/>
        <w:right w:val="none" w:sz="0" w:space="0" w:color="auto"/>
      </w:divBdr>
    </w:div>
    <w:div w:id="1901745522">
      <w:bodyDiv w:val="1"/>
      <w:marLeft w:val="0"/>
      <w:marRight w:val="0"/>
      <w:marTop w:val="0"/>
      <w:marBottom w:val="0"/>
      <w:divBdr>
        <w:top w:val="none" w:sz="0" w:space="0" w:color="auto"/>
        <w:left w:val="none" w:sz="0" w:space="0" w:color="auto"/>
        <w:bottom w:val="none" w:sz="0" w:space="0" w:color="auto"/>
        <w:right w:val="none" w:sz="0" w:space="0" w:color="auto"/>
      </w:divBdr>
    </w:div>
    <w:div w:id="1902208675">
      <w:bodyDiv w:val="1"/>
      <w:marLeft w:val="0"/>
      <w:marRight w:val="0"/>
      <w:marTop w:val="0"/>
      <w:marBottom w:val="0"/>
      <w:divBdr>
        <w:top w:val="none" w:sz="0" w:space="0" w:color="auto"/>
        <w:left w:val="none" w:sz="0" w:space="0" w:color="auto"/>
        <w:bottom w:val="none" w:sz="0" w:space="0" w:color="auto"/>
        <w:right w:val="none" w:sz="0" w:space="0" w:color="auto"/>
      </w:divBdr>
    </w:div>
    <w:div w:id="1905984855">
      <w:bodyDiv w:val="1"/>
      <w:marLeft w:val="0"/>
      <w:marRight w:val="0"/>
      <w:marTop w:val="0"/>
      <w:marBottom w:val="0"/>
      <w:divBdr>
        <w:top w:val="none" w:sz="0" w:space="0" w:color="auto"/>
        <w:left w:val="none" w:sz="0" w:space="0" w:color="auto"/>
        <w:bottom w:val="none" w:sz="0" w:space="0" w:color="auto"/>
        <w:right w:val="none" w:sz="0" w:space="0" w:color="auto"/>
      </w:divBdr>
    </w:div>
    <w:div w:id="1907304561">
      <w:bodyDiv w:val="1"/>
      <w:marLeft w:val="0"/>
      <w:marRight w:val="0"/>
      <w:marTop w:val="0"/>
      <w:marBottom w:val="0"/>
      <w:divBdr>
        <w:top w:val="none" w:sz="0" w:space="0" w:color="auto"/>
        <w:left w:val="none" w:sz="0" w:space="0" w:color="auto"/>
        <w:bottom w:val="none" w:sz="0" w:space="0" w:color="auto"/>
        <w:right w:val="none" w:sz="0" w:space="0" w:color="auto"/>
      </w:divBdr>
    </w:div>
    <w:div w:id="1909881948">
      <w:bodyDiv w:val="1"/>
      <w:marLeft w:val="0"/>
      <w:marRight w:val="0"/>
      <w:marTop w:val="0"/>
      <w:marBottom w:val="0"/>
      <w:divBdr>
        <w:top w:val="none" w:sz="0" w:space="0" w:color="auto"/>
        <w:left w:val="none" w:sz="0" w:space="0" w:color="auto"/>
        <w:bottom w:val="none" w:sz="0" w:space="0" w:color="auto"/>
        <w:right w:val="none" w:sz="0" w:space="0" w:color="auto"/>
      </w:divBdr>
    </w:div>
    <w:div w:id="1910917112">
      <w:bodyDiv w:val="1"/>
      <w:marLeft w:val="0"/>
      <w:marRight w:val="0"/>
      <w:marTop w:val="0"/>
      <w:marBottom w:val="0"/>
      <w:divBdr>
        <w:top w:val="none" w:sz="0" w:space="0" w:color="auto"/>
        <w:left w:val="none" w:sz="0" w:space="0" w:color="auto"/>
        <w:bottom w:val="none" w:sz="0" w:space="0" w:color="auto"/>
        <w:right w:val="none" w:sz="0" w:space="0" w:color="auto"/>
      </w:divBdr>
    </w:div>
    <w:div w:id="1911649236">
      <w:bodyDiv w:val="1"/>
      <w:marLeft w:val="0"/>
      <w:marRight w:val="0"/>
      <w:marTop w:val="0"/>
      <w:marBottom w:val="0"/>
      <w:divBdr>
        <w:top w:val="none" w:sz="0" w:space="0" w:color="auto"/>
        <w:left w:val="none" w:sz="0" w:space="0" w:color="auto"/>
        <w:bottom w:val="none" w:sz="0" w:space="0" w:color="auto"/>
        <w:right w:val="none" w:sz="0" w:space="0" w:color="auto"/>
      </w:divBdr>
    </w:div>
    <w:div w:id="1919288784">
      <w:bodyDiv w:val="1"/>
      <w:marLeft w:val="0"/>
      <w:marRight w:val="0"/>
      <w:marTop w:val="0"/>
      <w:marBottom w:val="0"/>
      <w:divBdr>
        <w:top w:val="none" w:sz="0" w:space="0" w:color="auto"/>
        <w:left w:val="none" w:sz="0" w:space="0" w:color="auto"/>
        <w:bottom w:val="none" w:sz="0" w:space="0" w:color="auto"/>
        <w:right w:val="none" w:sz="0" w:space="0" w:color="auto"/>
      </w:divBdr>
    </w:div>
    <w:div w:id="1922639284">
      <w:bodyDiv w:val="1"/>
      <w:marLeft w:val="0"/>
      <w:marRight w:val="0"/>
      <w:marTop w:val="0"/>
      <w:marBottom w:val="0"/>
      <w:divBdr>
        <w:top w:val="none" w:sz="0" w:space="0" w:color="auto"/>
        <w:left w:val="none" w:sz="0" w:space="0" w:color="auto"/>
        <w:bottom w:val="none" w:sz="0" w:space="0" w:color="auto"/>
        <w:right w:val="none" w:sz="0" w:space="0" w:color="auto"/>
      </w:divBdr>
    </w:div>
    <w:div w:id="1930846840">
      <w:bodyDiv w:val="1"/>
      <w:marLeft w:val="0"/>
      <w:marRight w:val="0"/>
      <w:marTop w:val="0"/>
      <w:marBottom w:val="0"/>
      <w:divBdr>
        <w:top w:val="none" w:sz="0" w:space="0" w:color="auto"/>
        <w:left w:val="none" w:sz="0" w:space="0" w:color="auto"/>
        <w:bottom w:val="none" w:sz="0" w:space="0" w:color="auto"/>
        <w:right w:val="none" w:sz="0" w:space="0" w:color="auto"/>
      </w:divBdr>
    </w:div>
    <w:div w:id="1931428933">
      <w:bodyDiv w:val="1"/>
      <w:marLeft w:val="0"/>
      <w:marRight w:val="0"/>
      <w:marTop w:val="0"/>
      <w:marBottom w:val="0"/>
      <w:divBdr>
        <w:top w:val="none" w:sz="0" w:space="0" w:color="auto"/>
        <w:left w:val="none" w:sz="0" w:space="0" w:color="auto"/>
        <w:bottom w:val="none" w:sz="0" w:space="0" w:color="auto"/>
        <w:right w:val="none" w:sz="0" w:space="0" w:color="auto"/>
      </w:divBdr>
    </w:div>
    <w:div w:id="1934124978">
      <w:bodyDiv w:val="1"/>
      <w:marLeft w:val="0"/>
      <w:marRight w:val="0"/>
      <w:marTop w:val="0"/>
      <w:marBottom w:val="0"/>
      <w:divBdr>
        <w:top w:val="none" w:sz="0" w:space="0" w:color="auto"/>
        <w:left w:val="none" w:sz="0" w:space="0" w:color="auto"/>
        <w:bottom w:val="none" w:sz="0" w:space="0" w:color="auto"/>
        <w:right w:val="none" w:sz="0" w:space="0" w:color="auto"/>
      </w:divBdr>
    </w:div>
    <w:div w:id="1936133537">
      <w:bodyDiv w:val="1"/>
      <w:marLeft w:val="0"/>
      <w:marRight w:val="0"/>
      <w:marTop w:val="0"/>
      <w:marBottom w:val="0"/>
      <w:divBdr>
        <w:top w:val="none" w:sz="0" w:space="0" w:color="auto"/>
        <w:left w:val="none" w:sz="0" w:space="0" w:color="auto"/>
        <w:bottom w:val="none" w:sz="0" w:space="0" w:color="auto"/>
        <w:right w:val="none" w:sz="0" w:space="0" w:color="auto"/>
      </w:divBdr>
    </w:div>
    <w:div w:id="1943535991">
      <w:bodyDiv w:val="1"/>
      <w:marLeft w:val="0"/>
      <w:marRight w:val="0"/>
      <w:marTop w:val="0"/>
      <w:marBottom w:val="0"/>
      <w:divBdr>
        <w:top w:val="none" w:sz="0" w:space="0" w:color="auto"/>
        <w:left w:val="none" w:sz="0" w:space="0" w:color="auto"/>
        <w:bottom w:val="none" w:sz="0" w:space="0" w:color="auto"/>
        <w:right w:val="none" w:sz="0" w:space="0" w:color="auto"/>
      </w:divBdr>
    </w:div>
    <w:div w:id="1944609653">
      <w:bodyDiv w:val="1"/>
      <w:marLeft w:val="0"/>
      <w:marRight w:val="0"/>
      <w:marTop w:val="0"/>
      <w:marBottom w:val="0"/>
      <w:divBdr>
        <w:top w:val="none" w:sz="0" w:space="0" w:color="auto"/>
        <w:left w:val="none" w:sz="0" w:space="0" w:color="auto"/>
        <w:bottom w:val="none" w:sz="0" w:space="0" w:color="auto"/>
        <w:right w:val="none" w:sz="0" w:space="0" w:color="auto"/>
      </w:divBdr>
    </w:div>
    <w:div w:id="1953587892">
      <w:bodyDiv w:val="1"/>
      <w:marLeft w:val="0"/>
      <w:marRight w:val="0"/>
      <w:marTop w:val="0"/>
      <w:marBottom w:val="0"/>
      <w:divBdr>
        <w:top w:val="none" w:sz="0" w:space="0" w:color="auto"/>
        <w:left w:val="none" w:sz="0" w:space="0" w:color="auto"/>
        <w:bottom w:val="none" w:sz="0" w:space="0" w:color="auto"/>
        <w:right w:val="none" w:sz="0" w:space="0" w:color="auto"/>
      </w:divBdr>
    </w:div>
    <w:div w:id="1957562254">
      <w:bodyDiv w:val="1"/>
      <w:marLeft w:val="0"/>
      <w:marRight w:val="0"/>
      <w:marTop w:val="0"/>
      <w:marBottom w:val="0"/>
      <w:divBdr>
        <w:top w:val="none" w:sz="0" w:space="0" w:color="auto"/>
        <w:left w:val="none" w:sz="0" w:space="0" w:color="auto"/>
        <w:bottom w:val="none" w:sz="0" w:space="0" w:color="auto"/>
        <w:right w:val="none" w:sz="0" w:space="0" w:color="auto"/>
      </w:divBdr>
    </w:div>
    <w:div w:id="1959797415">
      <w:bodyDiv w:val="1"/>
      <w:marLeft w:val="0"/>
      <w:marRight w:val="0"/>
      <w:marTop w:val="0"/>
      <w:marBottom w:val="0"/>
      <w:divBdr>
        <w:top w:val="none" w:sz="0" w:space="0" w:color="auto"/>
        <w:left w:val="none" w:sz="0" w:space="0" w:color="auto"/>
        <w:bottom w:val="none" w:sz="0" w:space="0" w:color="auto"/>
        <w:right w:val="none" w:sz="0" w:space="0" w:color="auto"/>
      </w:divBdr>
    </w:div>
    <w:div w:id="1965576898">
      <w:bodyDiv w:val="1"/>
      <w:marLeft w:val="0"/>
      <w:marRight w:val="0"/>
      <w:marTop w:val="0"/>
      <w:marBottom w:val="0"/>
      <w:divBdr>
        <w:top w:val="none" w:sz="0" w:space="0" w:color="auto"/>
        <w:left w:val="none" w:sz="0" w:space="0" w:color="auto"/>
        <w:bottom w:val="none" w:sz="0" w:space="0" w:color="auto"/>
        <w:right w:val="none" w:sz="0" w:space="0" w:color="auto"/>
      </w:divBdr>
    </w:div>
    <w:div w:id="1966153173">
      <w:bodyDiv w:val="1"/>
      <w:marLeft w:val="0"/>
      <w:marRight w:val="0"/>
      <w:marTop w:val="0"/>
      <w:marBottom w:val="0"/>
      <w:divBdr>
        <w:top w:val="none" w:sz="0" w:space="0" w:color="auto"/>
        <w:left w:val="none" w:sz="0" w:space="0" w:color="auto"/>
        <w:bottom w:val="none" w:sz="0" w:space="0" w:color="auto"/>
        <w:right w:val="none" w:sz="0" w:space="0" w:color="auto"/>
      </w:divBdr>
    </w:div>
    <w:div w:id="1966427985">
      <w:bodyDiv w:val="1"/>
      <w:marLeft w:val="0"/>
      <w:marRight w:val="0"/>
      <w:marTop w:val="0"/>
      <w:marBottom w:val="0"/>
      <w:divBdr>
        <w:top w:val="none" w:sz="0" w:space="0" w:color="auto"/>
        <w:left w:val="none" w:sz="0" w:space="0" w:color="auto"/>
        <w:bottom w:val="none" w:sz="0" w:space="0" w:color="auto"/>
        <w:right w:val="none" w:sz="0" w:space="0" w:color="auto"/>
      </w:divBdr>
    </w:div>
    <w:div w:id="1972131565">
      <w:bodyDiv w:val="1"/>
      <w:marLeft w:val="0"/>
      <w:marRight w:val="0"/>
      <w:marTop w:val="0"/>
      <w:marBottom w:val="0"/>
      <w:divBdr>
        <w:top w:val="none" w:sz="0" w:space="0" w:color="auto"/>
        <w:left w:val="none" w:sz="0" w:space="0" w:color="auto"/>
        <w:bottom w:val="none" w:sz="0" w:space="0" w:color="auto"/>
        <w:right w:val="none" w:sz="0" w:space="0" w:color="auto"/>
      </w:divBdr>
    </w:div>
    <w:div w:id="1975019410">
      <w:bodyDiv w:val="1"/>
      <w:marLeft w:val="0"/>
      <w:marRight w:val="0"/>
      <w:marTop w:val="0"/>
      <w:marBottom w:val="0"/>
      <w:divBdr>
        <w:top w:val="none" w:sz="0" w:space="0" w:color="auto"/>
        <w:left w:val="none" w:sz="0" w:space="0" w:color="auto"/>
        <w:bottom w:val="none" w:sz="0" w:space="0" w:color="auto"/>
        <w:right w:val="none" w:sz="0" w:space="0" w:color="auto"/>
      </w:divBdr>
    </w:div>
    <w:div w:id="1982349424">
      <w:bodyDiv w:val="1"/>
      <w:marLeft w:val="0"/>
      <w:marRight w:val="0"/>
      <w:marTop w:val="0"/>
      <w:marBottom w:val="0"/>
      <w:divBdr>
        <w:top w:val="none" w:sz="0" w:space="0" w:color="auto"/>
        <w:left w:val="none" w:sz="0" w:space="0" w:color="auto"/>
        <w:bottom w:val="none" w:sz="0" w:space="0" w:color="auto"/>
        <w:right w:val="none" w:sz="0" w:space="0" w:color="auto"/>
      </w:divBdr>
    </w:div>
    <w:div w:id="1982610200">
      <w:bodyDiv w:val="1"/>
      <w:marLeft w:val="0"/>
      <w:marRight w:val="0"/>
      <w:marTop w:val="0"/>
      <w:marBottom w:val="0"/>
      <w:divBdr>
        <w:top w:val="none" w:sz="0" w:space="0" w:color="auto"/>
        <w:left w:val="none" w:sz="0" w:space="0" w:color="auto"/>
        <w:bottom w:val="none" w:sz="0" w:space="0" w:color="auto"/>
        <w:right w:val="none" w:sz="0" w:space="0" w:color="auto"/>
      </w:divBdr>
    </w:div>
    <w:div w:id="1984189503">
      <w:bodyDiv w:val="1"/>
      <w:marLeft w:val="0"/>
      <w:marRight w:val="0"/>
      <w:marTop w:val="0"/>
      <w:marBottom w:val="0"/>
      <w:divBdr>
        <w:top w:val="none" w:sz="0" w:space="0" w:color="auto"/>
        <w:left w:val="none" w:sz="0" w:space="0" w:color="auto"/>
        <w:bottom w:val="none" w:sz="0" w:space="0" w:color="auto"/>
        <w:right w:val="none" w:sz="0" w:space="0" w:color="auto"/>
      </w:divBdr>
    </w:div>
    <w:div w:id="1989899910">
      <w:bodyDiv w:val="1"/>
      <w:marLeft w:val="0"/>
      <w:marRight w:val="0"/>
      <w:marTop w:val="0"/>
      <w:marBottom w:val="0"/>
      <w:divBdr>
        <w:top w:val="none" w:sz="0" w:space="0" w:color="auto"/>
        <w:left w:val="none" w:sz="0" w:space="0" w:color="auto"/>
        <w:bottom w:val="none" w:sz="0" w:space="0" w:color="auto"/>
        <w:right w:val="none" w:sz="0" w:space="0" w:color="auto"/>
      </w:divBdr>
    </w:div>
    <w:div w:id="1990551256">
      <w:bodyDiv w:val="1"/>
      <w:marLeft w:val="0"/>
      <w:marRight w:val="0"/>
      <w:marTop w:val="0"/>
      <w:marBottom w:val="0"/>
      <w:divBdr>
        <w:top w:val="none" w:sz="0" w:space="0" w:color="auto"/>
        <w:left w:val="none" w:sz="0" w:space="0" w:color="auto"/>
        <w:bottom w:val="none" w:sz="0" w:space="0" w:color="auto"/>
        <w:right w:val="none" w:sz="0" w:space="0" w:color="auto"/>
      </w:divBdr>
    </w:div>
    <w:div w:id="1992364676">
      <w:bodyDiv w:val="1"/>
      <w:marLeft w:val="0"/>
      <w:marRight w:val="0"/>
      <w:marTop w:val="0"/>
      <w:marBottom w:val="0"/>
      <w:divBdr>
        <w:top w:val="none" w:sz="0" w:space="0" w:color="auto"/>
        <w:left w:val="none" w:sz="0" w:space="0" w:color="auto"/>
        <w:bottom w:val="none" w:sz="0" w:space="0" w:color="auto"/>
        <w:right w:val="none" w:sz="0" w:space="0" w:color="auto"/>
      </w:divBdr>
    </w:div>
    <w:div w:id="1995602215">
      <w:bodyDiv w:val="1"/>
      <w:marLeft w:val="0"/>
      <w:marRight w:val="0"/>
      <w:marTop w:val="0"/>
      <w:marBottom w:val="0"/>
      <w:divBdr>
        <w:top w:val="none" w:sz="0" w:space="0" w:color="auto"/>
        <w:left w:val="none" w:sz="0" w:space="0" w:color="auto"/>
        <w:bottom w:val="none" w:sz="0" w:space="0" w:color="auto"/>
        <w:right w:val="none" w:sz="0" w:space="0" w:color="auto"/>
      </w:divBdr>
    </w:div>
    <w:div w:id="1999067167">
      <w:bodyDiv w:val="1"/>
      <w:marLeft w:val="0"/>
      <w:marRight w:val="0"/>
      <w:marTop w:val="0"/>
      <w:marBottom w:val="0"/>
      <w:divBdr>
        <w:top w:val="none" w:sz="0" w:space="0" w:color="auto"/>
        <w:left w:val="none" w:sz="0" w:space="0" w:color="auto"/>
        <w:bottom w:val="none" w:sz="0" w:space="0" w:color="auto"/>
        <w:right w:val="none" w:sz="0" w:space="0" w:color="auto"/>
      </w:divBdr>
    </w:div>
    <w:div w:id="2000038940">
      <w:bodyDiv w:val="1"/>
      <w:marLeft w:val="0"/>
      <w:marRight w:val="0"/>
      <w:marTop w:val="0"/>
      <w:marBottom w:val="0"/>
      <w:divBdr>
        <w:top w:val="none" w:sz="0" w:space="0" w:color="auto"/>
        <w:left w:val="none" w:sz="0" w:space="0" w:color="auto"/>
        <w:bottom w:val="none" w:sz="0" w:space="0" w:color="auto"/>
        <w:right w:val="none" w:sz="0" w:space="0" w:color="auto"/>
      </w:divBdr>
    </w:div>
    <w:div w:id="2001303111">
      <w:bodyDiv w:val="1"/>
      <w:marLeft w:val="0"/>
      <w:marRight w:val="0"/>
      <w:marTop w:val="0"/>
      <w:marBottom w:val="0"/>
      <w:divBdr>
        <w:top w:val="none" w:sz="0" w:space="0" w:color="auto"/>
        <w:left w:val="none" w:sz="0" w:space="0" w:color="auto"/>
        <w:bottom w:val="none" w:sz="0" w:space="0" w:color="auto"/>
        <w:right w:val="none" w:sz="0" w:space="0" w:color="auto"/>
      </w:divBdr>
    </w:div>
    <w:div w:id="2006779634">
      <w:bodyDiv w:val="1"/>
      <w:marLeft w:val="0"/>
      <w:marRight w:val="0"/>
      <w:marTop w:val="0"/>
      <w:marBottom w:val="0"/>
      <w:divBdr>
        <w:top w:val="none" w:sz="0" w:space="0" w:color="auto"/>
        <w:left w:val="none" w:sz="0" w:space="0" w:color="auto"/>
        <w:bottom w:val="none" w:sz="0" w:space="0" w:color="auto"/>
        <w:right w:val="none" w:sz="0" w:space="0" w:color="auto"/>
      </w:divBdr>
    </w:div>
    <w:div w:id="2009281298">
      <w:bodyDiv w:val="1"/>
      <w:marLeft w:val="0"/>
      <w:marRight w:val="0"/>
      <w:marTop w:val="0"/>
      <w:marBottom w:val="0"/>
      <w:divBdr>
        <w:top w:val="none" w:sz="0" w:space="0" w:color="auto"/>
        <w:left w:val="none" w:sz="0" w:space="0" w:color="auto"/>
        <w:bottom w:val="none" w:sz="0" w:space="0" w:color="auto"/>
        <w:right w:val="none" w:sz="0" w:space="0" w:color="auto"/>
      </w:divBdr>
    </w:div>
    <w:div w:id="2011903259">
      <w:bodyDiv w:val="1"/>
      <w:marLeft w:val="0"/>
      <w:marRight w:val="0"/>
      <w:marTop w:val="0"/>
      <w:marBottom w:val="0"/>
      <w:divBdr>
        <w:top w:val="none" w:sz="0" w:space="0" w:color="auto"/>
        <w:left w:val="none" w:sz="0" w:space="0" w:color="auto"/>
        <w:bottom w:val="none" w:sz="0" w:space="0" w:color="auto"/>
        <w:right w:val="none" w:sz="0" w:space="0" w:color="auto"/>
      </w:divBdr>
    </w:div>
    <w:div w:id="2013021981">
      <w:bodyDiv w:val="1"/>
      <w:marLeft w:val="0"/>
      <w:marRight w:val="0"/>
      <w:marTop w:val="0"/>
      <w:marBottom w:val="0"/>
      <w:divBdr>
        <w:top w:val="none" w:sz="0" w:space="0" w:color="auto"/>
        <w:left w:val="none" w:sz="0" w:space="0" w:color="auto"/>
        <w:bottom w:val="none" w:sz="0" w:space="0" w:color="auto"/>
        <w:right w:val="none" w:sz="0" w:space="0" w:color="auto"/>
      </w:divBdr>
    </w:div>
    <w:div w:id="2016836505">
      <w:bodyDiv w:val="1"/>
      <w:marLeft w:val="0"/>
      <w:marRight w:val="0"/>
      <w:marTop w:val="0"/>
      <w:marBottom w:val="0"/>
      <w:divBdr>
        <w:top w:val="none" w:sz="0" w:space="0" w:color="auto"/>
        <w:left w:val="none" w:sz="0" w:space="0" w:color="auto"/>
        <w:bottom w:val="none" w:sz="0" w:space="0" w:color="auto"/>
        <w:right w:val="none" w:sz="0" w:space="0" w:color="auto"/>
      </w:divBdr>
    </w:div>
    <w:div w:id="2019431081">
      <w:bodyDiv w:val="1"/>
      <w:marLeft w:val="0"/>
      <w:marRight w:val="0"/>
      <w:marTop w:val="0"/>
      <w:marBottom w:val="0"/>
      <w:divBdr>
        <w:top w:val="none" w:sz="0" w:space="0" w:color="auto"/>
        <w:left w:val="none" w:sz="0" w:space="0" w:color="auto"/>
        <w:bottom w:val="none" w:sz="0" w:space="0" w:color="auto"/>
        <w:right w:val="none" w:sz="0" w:space="0" w:color="auto"/>
      </w:divBdr>
    </w:div>
    <w:div w:id="2022967711">
      <w:bodyDiv w:val="1"/>
      <w:marLeft w:val="0"/>
      <w:marRight w:val="0"/>
      <w:marTop w:val="0"/>
      <w:marBottom w:val="0"/>
      <w:divBdr>
        <w:top w:val="none" w:sz="0" w:space="0" w:color="auto"/>
        <w:left w:val="none" w:sz="0" w:space="0" w:color="auto"/>
        <w:bottom w:val="none" w:sz="0" w:space="0" w:color="auto"/>
        <w:right w:val="none" w:sz="0" w:space="0" w:color="auto"/>
      </w:divBdr>
    </w:div>
    <w:div w:id="2023239819">
      <w:bodyDiv w:val="1"/>
      <w:marLeft w:val="0"/>
      <w:marRight w:val="0"/>
      <w:marTop w:val="0"/>
      <w:marBottom w:val="0"/>
      <w:divBdr>
        <w:top w:val="none" w:sz="0" w:space="0" w:color="auto"/>
        <w:left w:val="none" w:sz="0" w:space="0" w:color="auto"/>
        <w:bottom w:val="none" w:sz="0" w:space="0" w:color="auto"/>
        <w:right w:val="none" w:sz="0" w:space="0" w:color="auto"/>
      </w:divBdr>
    </w:div>
    <w:div w:id="2027050518">
      <w:bodyDiv w:val="1"/>
      <w:marLeft w:val="0"/>
      <w:marRight w:val="0"/>
      <w:marTop w:val="0"/>
      <w:marBottom w:val="0"/>
      <w:divBdr>
        <w:top w:val="none" w:sz="0" w:space="0" w:color="auto"/>
        <w:left w:val="none" w:sz="0" w:space="0" w:color="auto"/>
        <w:bottom w:val="none" w:sz="0" w:space="0" w:color="auto"/>
        <w:right w:val="none" w:sz="0" w:space="0" w:color="auto"/>
      </w:divBdr>
    </w:div>
    <w:div w:id="2035230829">
      <w:bodyDiv w:val="1"/>
      <w:marLeft w:val="0"/>
      <w:marRight w:val="0"/>
      <w:marTop w:val="0"/>
      <w:marBottom w:val="0"/>
      <w:divBdr>
        <w:top w:val="none" w:sz="0" w:space="0" w:color="auto"/>
        <w:left w:val="none" w:sz="0" w:space="0" w:color="auto"/>
        <w:bottom w:val="none" w:sz="0" w:space="0" w:color="auto"/>
        <w:right w:val="none" w:sz="0" w:space="0" w:color="auto"/>
      </w:divBdr>
    </w:div>
    <w:div w:id="2047631940">
      <w:bodyDiv w:val="1"/>
      <w:marLeft w:val="0"/>
      <w:marRight w:val="0"/>
      <w:marTop w:val="0"/>
      <w:marBottom w:val="0"/>
      <w:divBdr>
        <w:top w:val="none" w:sz="0" w:space="0" w:color="auto"/>
        <w:left w:val="none" w:sz="0" w:space="0" w:color="auto"/>
        <w:bottom w:val="none" w:sz="0" w:space="0" w:color="auto"/>
        <w:right w:val="none" w:sz="0" w:space="0" w:color="auto"/>
      </w:divBdr>
    </w:div>
    <w:div w:id="2051025350">
      <w:bodyDiv w:val="1"/>
      <w:marLeft w:val="0"/>
      <w:marRight w:val="0"/>
      <w:marTop w:val="0"/>
      <w:marBottom w:val="0"/>
      <w:divBdr>
        <w:top w:val="none" w:sz="0" w:space="0" w:color="auto"/>
        <w:left w:val="none" w:sz="0" w:space="0" w:color="auto"/>
        <w:bottom w:val="none" w:sz="0" w:space="0" w:color="auto"/>
        <w:right w:val="none" w:sz="0" w:space="0" w:color="auto"/>
      </w:divBdr>
    </w:div>
    <w:div w:id="2054647975">
      <w:bodyDiv w:val="1"/>
      <w:marLeft w:val="0"/>
      <w:marRight w:val="0"/>
      <w:marTop w:val="0"/>
      <w:marBottom w:val="0"/>
      <w:divBdr>
        <w:top w:val="none" w:sz="0" w:space="0" w:color="auto"/>
        <w:left w:val="none" w:sz="0" w:space="0" w:color="auto"/>
        <w:bottom w:val="none" w:sz="0" w:space="0" w:color="auto"/>
        <w:right w:val="none" w:sz="0" w:space="0" w:color="auto"/>
      </w:divBdr>
    </w:div>
    <w:div w:id="2055156795">
      <w:bodyDiv w:val="1"/>
      <w:marLeft w:val="0"/>
      <w:marRight w:val="0"/>
      <w:marTop w:val="0"/>
      <w:marBottom w:val="0"/>
      <w:divBdr>
        <w:top w:val="none" w:sz="0" w:space="0" w:color="auto"/>
        <w:left w:val="none" w:sz="0" w:space="0" w:color="auto"/>
        <w:bottom w:val="none" w:sz="0" w:space="0" w:color="auto"/>
        <w:right w:val="none" w:sz="0" w:space="0" w:color="auto"/>
      </w:divBdr>
    </w:div>
    <w:div w:id="2056545732">
      <w:bodyDiv w:val="1"/>
      <w:marLeft w:val="0"/>
      <w:marRight w:val="0"/>
      <w:marTop w:val="0"/>
      <w:marBottom w:val="0"/>
      <w:divBdr>
        <w:top w:val="none" w:sz="0" w:space="0" w:color="auto"/>
        <w:left w:val="none" w:sz="0" w:space="0" w:color="auto"/>
        <w:bottom w:val="none" w:sz="0" w:space="0" w:color="auto"/>
        <w:right w:val="none" w:sz="0" w:space="0" w:color="auto"/>
      </w:divBdr>
    </w:div>
    <w:div w:id="2057196536">
      <w:bodyDiv w:val="1"/>
      <w:marLeft w:val="0"/>
      <w:marRight w:val="0"/>
      <w:marTop w:val="0"/>
      <w:marBottom w:val="0"/>
      <w:divBdr>
        <w:top w:val="none" w:sz="0" w:space="0" w:color="auto"/>
        <w:left w:val="none" w:sz="0" w:space="0" w:color="auto"/>
        <w:bottom w:val="none" w:sz="0" w:space="0" w:color="auto"/>
        <w:right w:val="none" w:sz="0" w:space="0" w:color="auto"/>
      </w:divBdr>
    </w:div>
    <w:div w:id="2058162064">
      <w:bodyDiv w:val="1"/>
      <w:marLeft w:val="0"/>
      <w:marRight w:val="0"/>
      <w:marTop w:val="0"/>
      <w:marBottom w:val="0"/>
      <w:divBdr>
        <w:top w:val="none" w:sz="0" w:space="0" w:color="auto"/>
        <w:left w:val="none" w:sz="0" w:space="0" w:color="auto"/>
        <w:bottom w:val="none" w:sz="0" w:space="0" w:color="auto"/>
        <w:right w:val="none" w:sz="0" w:space="0" w:color="auto"/>
      </w:divBdr>
    </w:div>
    <w:div w:id="2060933220">
      <w:bodyDiv w:val="1"/>
      <w:marLeft w:val="0"/>
      <w:marRight w:val="0"/>
      <w:marTop w:val="0"/>
      <w:marBottom w:val="0"/>
      <w:divBdr>
        <w:top w:val="none" w:sz="0" w:space="0" w:color="auto"/>
        <w:left w:val="none" w:sz="0" w:space="0" w:color="auto"/>
        <w:bottom w:val="none" w:sz="0" w:space="0" w:color="auto"/>
        <w:right w:val="none" w:sz="0" w:space="0" w:color="auto"/>
      </w:divBdr>
    </w:div>
    <w:div w:id="2063094000">
      <w:bodyDiv w:val="1"/>
      <w:marLeft w:val="0"/>
      <w:marRight w:val="0"/>
      <w:marTop w:val="0"/>
      <w:marBottom w:val="0"/>
      <w:divBdr>
        <w:top w:val="none" w:sz="0" w:space="0" w:color="auto"/>
        <w:left w:val="none" w:sz="0" w:space="0" w:color="auto"/>
        <w:bottom w:val="none" w:sz="0" w:space="0" w:color="auto"/>
        <w:right w:val="none" w:sz="0" w:space="0" w:color="auto"/>
      </w:divBdr>
    </w:div>
    <w:div w:id="2066905606">
      <w:bodyDiv w:val="1"/>
      <w:marLeft w:val="0"/>
      <w:marRight w:val="0"/>
      <w:marTop w:val="0"/>
      <w:marBottom w:val="0"/>
      <w:divBdr>
        <w:top w:val="none" w:sz="0" w:space="0" w:color="auto"/>
        <w:left w:val="none" w:sz="0" w:space="0" w:color="auto"/>
        <w:bottom w:val="none" w:sz="0" w:space="0" w:color="auto"/>
        <w:right w:val="none" w:sz="0" w:space="0" w:color="auto"/>
      </w:divBdr>
    </w:div>
    <w:div w:id="2068457848">
      <w:bodyDiv w:val="1"/>
      <w:marLeft w:val="0"/>
      <w:marRight w:val="0"/>
      <w:marTop w:val="0"/>
      <w:marBottom w:val="0"/>
      <w:divBdr>
        <w:top w:val="none" w:sz="0" w:space="0" w:color="auto"/>
        <w:left w:val="none" w:sz="0" w:space="0" w:color="auto"/>
        <w:bottom w:val="none" w:sz="0" w:space="0" w:color="auto"/>
        <w:right w:val="none" w:sz="0" w:space="0" w:color="auto"/>
      </w:divBdr>
    </w:div>
    <w:div w:id="2072996740">
      <w:bodyDiv w:val="1"/>
      <w:marLeft w:val="0"/>
      <w:marRight w:val="0"/>
      <w:marTop w:val="0"/>
      <w:marBottom w:val="0"/>
      <w:divBdr>
        <w:top w:val="none" w:sz="0" w:space="0" w:color="auto"/>
        <w:left w:val="none" w:sz="0" w:space="0" w:color="auto"/>
        <w:bottom w:val="none" w:sz="0" w:space="0" w:color="auto"/>
        <w:right w:val="none" w:sz="0" w:space="0" w:color="auto"/>
      </w:divBdr>
    </w:div>
    <w:div w:id="2076121655">
      <w:bodyDiv w:val="1"/>
      <w:marLeft w:val="0"/>
      <w:marRight w:val="0"/>
      <w:marTop w:val="0"/>
      <w:marBottom w:val="0"/>
      <w:divBdr>
        <w:top w:val="none" w:sz="0" w:space="0" w:color="auto"/>
        <w:left w:val="none" w:sz="0" w:space="0" w:color="auto"/>
        <w:bottom w:val="none" w:sz="0" w:space="0" w:color="auto"/>
        <w:right w:val="none" w:sz="0" w:space="0" w:color="auto"/>
      </w:divBdr>
    </w:div>
    <w:div w:id="2082554308">
      <w:bodyDiv w:val="1"/>
      <w:marLeft w:val="0"/>
      <w:marRight w:val="0"/>
      <w:marTop w:val="0"/>
      <w:marBottom w:val="0"/>
      <w:divBdr>
        <w:top w:val="none" w:sz="0" w:space="0" w:color="auto"/>
        <w:left w:val="none" w:sz="0" w:space="0" w:color="auto"/>
        <w:bottom w:val="none" w:sz="0" w:space="0" w:color="auto"/>
        <w:right w:val="none" w:sz="0" w:space="0" w:color="auto"/>
      </w:divBdr>
    </w:div>
    <w:div w:id="2084790462">
      <w:bodyDiv w:val="1"/>
      <w:marLeft w:val="0"/>
      <w:marRight w:val="0"/>
      <w:marTop w:val="0"/>
      <w:marBottom w:val="0"/>
      <w:divBdr>
        <w:top w:val="none" w:sz="0" w:space="0" w:color="auto"/>
        <w:left w:val="none" w:sz="0" w:space="0" w:color="auto"/>
        <w:bottom w:val="none" w:sz="0" w:space="0" w:color="auto"/>
        <w:right w:val="none" w:sz="0" w:space="0" w:color="auto"/>
      </w:divBdr>
    </w:div>
    <w:div w:id="2085293023">
      <w:bodyDiv w:val="1"/>
      <w:marLeft w:val="0"/>
      <w:marRight w:val="0"/>
      <w:marTop w:val="0"/>
      <w:marBottom w:val="0"/>
      <w:divBdr>
        <w:top w:val="none" w:sz="0" w:space="0" w:color="auto"/>
        <w:left w:val="none" w:sz="0" w:space="0" w:color="auto"/>
        <w:bottom w:val="none" w:sz="0" w:space="0" w:color="auto"/>
        <w:right w:val="none" w:sz="0" w:space="0" w:color="auto"/>
      </w:divBdr>
    </w:div>
    <w:div w:id="2089961511">
      <w:bodyDiv w:val="1"/>
      <w:marLeft w:val="0"/>
      <w:marRight w:val="0"/>
      <w:marTop w:val="0"/>
      <w:marBottom w:val="0"/>
      <w:divBdr>
        <w:top w:val="none" w:sz="0" w:space="0" w:color="auto"/>
        <w:left w:val="none" w:sz="0" w:space="0" w:color="auto"/>
        <w:bottom w:val="none" w:sz="0" w:space="0" w:color="auto"/>
        <w:right w:val="none" w:sz="0" w:space="0" w:color="auto"/>
      </w:divBdr>
    </w:div>
    <w:div w:id="2092314556">
      <w:bodyDiv w:val="1"/>
      <w:marLeft w:val="0"/>
      <w:marRight w:val="0"/>
      <w:marTop w:val="0"/>
      <w:marBottom w:val="0"/>
      <w:divBdr>
        <w:top w:val="none" w:sz="0" w:space="0" w:color="auto"/>
        <w:left w:val="none" w:sz="0" w:space="0" w:color="auto"/>
        <w:bottom w:val="none" w:sz="0" w:space="0" w:color="auto"/>
        <w:right w:val="none" w:sz="0" w:space="0" w:color="auto"/>
      </w:divBdr>
    </w:div>
    <w:div w:id="2094618905">
      <w:bodyDiv w:val="1"/>
      <w:marLeft w:val="0"/>
      <w:marRight w:val="0"/>
      <w:marTop w:val="0"/>
      <w:marBottom w:val="0"/>
      <w:divBdr>
        <w:top w:val="none" w:sz="0" w:space="0" w:color="auto"/>
        <w:left w:val="none" w:sz="0" w:space="0" w:color="auto"/>
        <w:bottom w:val="none" w:sz="0" w:space="0" w:color="auto"/>
        <w:right w:val="none" w:sz="0" w:space="0" w:color="auto"/>
      </w:divBdr>
    </w:div>
    <w:div w:id="2098866737">
      <w:bodyDiv w:val="1"/>
      <w:marLeft w:val="0"/>
      <w:marRight w:val="0"/>
      <w:marTop w:val="0"/>
      <w:marBottom w:val="0"/>
      <w:divBdr>
        <w:top w:val="none" w:sz="0" w:space="0" w:color="auto"/>
        <w:left w:val="none" w:sz="0" w:space="0" w:color="auto"/>
        <w:bottom w:val="none" w:sz="0" w:space="0" w:color="auto"/>
        <w:right w:val="none" w:sz="0" w:space="0" w:color="auto"/>
      </w:divBdr>
    </w:div>
    <w:div w:id="2099907202">
      <w:bodyDiv w:val="1"/>
      <w:marLeft w:val="0"/>
      <w:marRight w:val="0"/>
      <w:marTop w:val="0"/>
      <w:marBottom w:val="0"/>
      <w:divBdr>
        <w:top w:val="none" w:sz="0" w:space="0" w:color="auto"/>
        <w:left w:val="none" w:sz="0" w:space="0" w:color="auto"/>
        <w:bottom w:val="none" w:sz="0" w:space="0" w:color="auto"/>
        <w:right w:val="none" w:sz="0" w:space="0" w:color="auto"/>
      </w:divBdr>
    </w:div>
    <w:div w:id="2104837787">
      <w:bodyDiv w:val="1"/>
      <w:marLeft w:val="0"/>
      <w:marRight w:val="0"/>
      <w:marTop w:val="0"/>
      <w:marBottom w:val="0"/>
      <w:divBdr>
        <w:top w:val="none" w:sz="0" w:space="0" w:color="auto"/>
        <w:left w:val="none" w:sz="0" w:space="0" w:color="auto"/>
        <w:bottom w:val="none" w:sz="0" w:space="0" w:color="auto"/>
        <w:right w:val="none" w:sz="0" w:space="0" w:color="auto"/>
      </w:divBdr>
    </w:div>
    <w:div w:id="2108502570">
      <w:bodyDiv w:val="1"/>
      <w:marLeft w:val="0"/>
      <w:marRight w:val="0"/>
      <w:marTop w:val="0"/>
      <w:marBottom w:val="0"/>
      <w:divBdr>
        <w:top w:val="none" w:sz="0" w:space="0" w:color="auto"/>
        <w:left w:val="none" w:sz="0" w:space="0" w:color="auto"/>
        <w:bottom w:val="none" w:sz="0" w:space="0" w:color="auto"/>
        <w:right w:val="none" w:sz="0" w:space="0" w:color="auto"/>
      </w:divBdr>
    </w:div>
    <w:div w:id="2111705635">
      <w:bodyDiv w:val="1"/>
      <w:marLeft w:val="0"/>
      <w:marRight w:val="0"/>
      <w:marTop w:val="0"/>
      <w:marBottom w:val="0"/>
      <w:divBdr>
        <w:top w:val="none" w:sz="0" w:space="0" w:color="auto"/>
        <w:left w:val="none" w:sz="0" w:space="0" w:color="auto"/>
        <w:bottom w:val="none" w:sz="0" w:space="0" w:color="auto"/>
        <w:right w:val="none" w:sz="0" w:space="0" w:color="auto"/>
      </w:divBdr>
    </w:div>
    <w:div w:id="2116553168">
      <w:bodyDiv w:val="1"/>
      <w:marLeft w:val="0"/>
      <w:marRight w:val="0"/>
      <w:marTop w:val="0"/>
      <w:marBottom w:val="0"/>
      <w:divBdr>
        <w:top w:val="none" w:sz="0" w:space="0" w:color="auto"/>
        <w:left w:val="none" w:sz="0" w:space="0" w:color="auto"/>
        <w:bottom w:val="none" w:sz="0" w:space="0" w:color="auto"/>
        <w:right w:val="none" w:sz="0" w:space="0" w:color="auto"/>
      </w:divBdr>
    </w:div>
    <w:div w:id="2123574557">
      <w:bodyDiv w:val="1"/>
      <w:marLeft w:val="0"/>
      <w:marRight w:val="0"/>
      <w:marTop w:val="0"/>
      <w:marBottom w:val="0"/>
      <w:divBdr>
        <w:top w:val="none" w:sz="0" w:space="0" w:color="auto"/>
        <w:left w:val="none" w:sz="0" w:space="0" w:color="auto"/>
        <w:bottom w:val="none" w:sz="0" w:space="0" w:color="auto"/>
        <w:right w:val="none" w:sz="0" w:space="0" w:color="auto"/>
      </w:divBdr>
    </w:div>
    <w:div w:id="2123720098">
      <w:bodyDiv w:val="1"/>
      <w:marLeft w:val="0"/>
      <w:marRight w:val="0"/>
      <w:marTop w:val="0"/>
      <w:marBottom w:val="0"/>
      <w:divBdr>
        <w:top w:val="none" w:sz="0" w:space="0" w:color="auto"/>
        <w:left w:val="none" w:sz="0" w:space="0" w:color="auto"/>
        <w:bottom w:val="none" w:sz="0" w:space="0" w:color="auto"/>
        <w:right w:val="none" w:sz="0" w:space="0" w:color="auto"/>
      </w:divBdr>
    </w:div>
    <w:div w:id="2132704252">
      <w:bodyDiv w:val="1"/>
      <w:marLeft w:val="0"/>
      <w:marRight w:val="0"/>
      <w:marTop w:val="0"/>
      <w:marBottom w:val="0"/>
      <w:divBdr>
        <w:top w:val="none" w:sz="0" w:space="0" w:color="auto"/>
        <w:left w:val="none" w:sz="0" w:space="0" w:color="auto"/>
        <w:bottom w:val="none" w:sz="0" w:space="0" w:color="auto"/>
        <w:right w:val="none" w:sz="0" w:space="0" w:color="auto"/>
      </w:divBdr>
    </w:div>
    <w:div w:id="2134709240">
      <w:bodyDiv w:val="1"/>
      <w:marLeft w:val="0"/>
      <w:marRight w:val="0"/>
      <w:marTop w:val="0"/>
      <w:marBottom w:val="0"/>
      <w:divBdr>
        <w:top w:val="none" w:sz="0" w:space="0" w:color="auto"/>
        <w:left w:val="none" w:sz="0" w:space="0" w:color="auto"/>
        <w:bottom w:val="none" w:sz="0" w:space="0" w:color="auto"/>
        <w:right w:val="none" w:sz="0" w:space="0" w:color="auto"/>
      </w:divBdr>
    </w:div>
    <w:div w:id="2136100775">
      <w:bodyDiv w:val="1"/>
      <w:marLeft w:val="0"/>
      <w:marRight w:val="0"/>
      <w:marTop w:val="0"/>
      <w:marBottom w:val="0"/>
      <w:divBdr>
        <w:top w:val="none" w:sz="0" w:space="0" w:color="auto"/>
        <w:left w:val="none" w:sz="0" w:space="0" w:color="auto"/>
        <w:bottom w:val="none" w:sz="0" w:space="0" w:color="auto"/>
        <w:right w:val="none" w:sz="0" w:space="0" w:color="auto"/>
      </w:divBdr>
    </w:div>
    <w:div w:id="2137020301">
      <w:bodyDiv w:val="1"/>
      <w:marLeft w:val="0"/>
      <w:marRight w:val="0"/>
      <w:marTop w:val="0"/>
      <w:marBottom w:val="0"/>
      <w:divBdr>
        <w:top w:val="none" w:sz="0" w:space="0" w:color="auto"/>
        <w:left w:val="none" w:sz="0" w:space="0" w:color="auto"/>
        <w:bottom w:val="none" w:sz="0" w:space="0" w:color="auto"/>
        <w:right w:val="none" w:sz="0" w:space="0" w:color="auto"/>
      </w:divBdr>
    </w:div>
    <w:div w:id="214519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FHK21</b:Tag>
    <b:SourceType>Book</b:SourceType>
    <b:Guid>{595F179E-4004-4BC0-ABDE-880FEF6B8B2D}</b:Guid>
    <b:Author>
      <b:Author>
        <b:NameList>
          <b:Person>
            <b:Last>Knight</b:Last>
            <b:First>F.H.</b:First>
          </b:Person>
        </b:NameList>
      </b:Author>
    </b:Author>
    <b:Title>Risk, Uncertainty and Profit</b:Title>
    <b:Year>1921</b:Year>
    <b:City>New York</b:City>
    <b:Publisher>Houghton Mifflin Company</b:Publisher>
    <b:RefOrder>1</b:RefOrder>
  </b:Source>
  <b:Source>
    <b:Tag>Cam92</b:Tag>
    <b:SourceType>JournalArticle</b:SourceType>
    <b:Guid>{8A62CDA0-3DD1-4E1C-86DB-7F22C5170EEC}</b:Guid>
    <b:Title>Recent Developments in Modeling Preferences: Uncertainty and Ambiguity</b:Title>
    <b:JournalName>Journal of Risk and Uncertainty</b:JournalName>
    <b:Year>1992</b:Year>
    <b:Pages>325-370</b:Pages>
    <b:Author>
      <b:Author>
        <b:NameList>
          <b:Person>
            <b:Last>Camerer</b:Last>
            <b:First>Colin</b:First>
          </b:Person>
          <b:Person>
            <b:Last>Weber</b:Last>
            <b:First>Martin</b:First>
          </b:Person>
        </b:NameList>
      </b:Author>
    </b:Author>
    <b:RefOrder>3</b:RefOrder>
  </b:Source>
  <b:Source>
    <b:Tag>Dan61</b:Tag>
    <b:SourceType>JournalArticle</b:SourceType>
    <b:Guid>{6431014C-DAD0-4E56-97C3-768334BBA471}</b:Guid>
    <b:Title>Risk, Ambiguity, and the Savage Axioms</b:Title>
    <b:Year>1961</b:Year>
    <b:Author>
      <b:Author>
        <b:NameList>
          <b:Person>
            <b:Last>Ellsberg</b:Last>
            <b:First>Daniel</b:First>
          </b:Person>
        </b:NameList>
      </b:Author>
    </b:Author>
    <b:JournalName>The Quarterly Journal of Economics</b:JournalName>
    <b:Pages>643-669</b:Pages>
    <b:RefOrder>4</b:RefOrder>
  </b:Source>
  <b:Source>
    <b:Tag>RMH92</b:Tag>
    <b:SourceType>JournalArticle</b:SourceType>
    <b:Guid>{23B26BB5-FE41-4F45-9A85-3CE9EA25E62E}</b:Guid>
    <b:Author>
      <b:Author>
        <b:NameList>
          <b:Person>
            <b:Last>Hogarth</b:Last>
            <b:Middle>M</b:Middle>
            <b:First>Robin</b:First>
          </b:Person>
          <b:Person>
            <b:Last>Einhorn</b:Last>
            <b:Middle>J</b:Middle>
            <b:First>Hillel</b:First>
          </b:Person>
        </b:NameList>
      </b:Author>
    </b:Author>
    <b:Title>Order effects in belief updating: The belief-adjustment model</b:Title>
    <b:JournalName>Cognitive Psychology</b:JournalName>
    <b:Year>1992</b:Year>
    <b:Pages>1-55</b:Pages>
    <b:RefOrder>5</b:RefOrder>
  </b:Source>
  <b:Source>
    <b:Tag>Hea91</b:Tag>
    <b:SourceType>JournalArticle</b:SourceType>
    <b:Guid>{ED86C33A-0BDE-4FD7-BD00-9F89A2F395F6}</b:Guid>
    <b:Title>Preference and Belief: Ambiguity and Competence in Choice under Uncertainty</b:Title>
    <b:JournalName>Journal of Risk and Uncertainty</b:JournalName>
    <b:Year>1991</b:Year>
    <b:Pages>5-28</b:Pages>
    <b:Author>
      <b:Author>
        <b:NameList>
          <b:Person>
            <b:Last>Heath</b:Last>
            <b:First>Chip</b:First>
          </b:Person>
          <b:Person>
            <b:Last>Tversky</b:Last>
            <b:First>Amos</b:First>
          </b:Person>
        </b:NameList>
      </b:Author>
    </b:Author>
    <b:RefOrder>6</b:RefOrder>
  </b:Source>
  <b:Source>
    <b:Tag>Web95</b:Tag>
    <b:SourceType>JournalArticle</b:SourceType>
    <b:Guid>{44CD7E8C-70B8-46D6-B071-C25A72E4DE6A}</b:Guid>
    <b:Title>Judged knowlege and ambiguity aversion</b:Title>
    <b:JournalName>Theory and Decision</b:JournalName>
    <b:Year>1995</b:Year>
    <b:Pages>51-77</b:Pages>
    <b:Author>
      <b:Author>
        <b:NameList>
          <b:Person>
            <b:Last>Keppe</b:Last>
            <b:First>Hans-Jürgen</b:First>
          </b:Person>
          <b:Person>
            <b:Last>Weber</b:Last>
            <b:First>Martin</b:First>
          </b:Person>
        </b:NameList>
      </b:Author>
    </b:Author>
    <b:RefOrder>7</b:RefOrder>
  </b:Source>
  <b:Source>
    <b:Tag>Rot70</b:Tag>
    <b:SourceType>JournalArticle</b:SourceType>
    <b:Guid>{76CBAF7E-20A3-472D-A2E3-36706ED82878}</b:Guid>
    <b:Title>Confidence in the prediction and postdiction of an uncertain outcome</b:Title>
    <b:JournalName>Canadian Journal of Behavioral Science</b:JournalName>
    <b:Year>1970</b:Year>
    <b:Pages>38-43</b:Pages>
    <b:Author>
      <b:Author>
        <b:NameList>
          <b:Person>
            <b:Last>Rothbart</b:Last>
            <b:First>Myron</b:First>
          </b:Person>
          <b:Person>
            <b:Last>Snyder</b:Last>
            <b:First>Mark</b:First>
          </b:Person>
        </b:NameList>
      </b:Author>
    </b:Author>
    <b:RefOrder>8</b:RefOrder>
  </b:Source>
  <b:Source>
    <b:Tag>Gou04</b:Tag>
    <b:SourceType>Book</b:SourceType>
    <b:Guid>{6C4D0873-E4A6-46D8-9FEE-9A75BC3C889F}</b:Guid>
    <b:Title>Exploring the Changing Nature of U.S. Stock Market Participation 1994-1999</b:Title>
    <b:Year>2004</b:Year>
    <b:Author>
      <b:Author>
        <b:NameList>
          <b:Person>
            <b:Last>Gouskova</b:Last>
            <b:First>Elena</b:First>
          </b:Person>
          <b:Person>
            <b:Last>Juster</b:Last>
            <b:First>Thomas</b:First>
          </b:Person>
          <b:Person>
            <b:Last>Stafford</b:Last>
            <b:First>Frank</b:First>
          </b:Person>
        </b:NameList>
      </b:Author>
    </b:Author>
    <b:JournalName>Working Paper, University of Michigan</b:JournalName>
    <b:City>University of Michigan</b:City>
    <b:Publisher>Working Paper</b:Publisher>
    <b:RefOrder>9</b:RefOrder>
  </b:Source>
  <b:Source>
    <b:Tag>Man91</b:Tag>
    <b:SourceType>JournalArticle</b:SourceType>
    <b:Guid>{E8F8E8B8-56AF-466C-9543-26C460B6F809}</b:Guid>
    <b:Title>The consumption of stockholders and nonstockholders</b:Title>
    <b:Year>1991</b:Year>
    <b:Author>
      <b:Author>
        <b:NameList>
          <b:Person>
            <b:Last>Mankiw</b:Last>
            <b:First>Gregory</b:First>
          </b:Person>
          <b:Person>
            <b:Last>Zeldes</b:Last>
            <b:First>Stephen</b:First>
          </b:Person>
        </b:NameList>
      </b:Author>
    </b:Author>
    <b:JournalName>Journal of Financial Economics</b:JournalName>
    <b:Pages>97-112</b:Pages>
    <b:RefOrder>10</b:RefOrder>
  </b:Source>
  <b:Source>
    <b:Tag>Gil89</b:Tag>
    <b:SourceType>JournalArticle</b:SourceType>
    <b:Guid>{EFCE5A12-F488-4E5B-9ECC-5A74F4DB9B88}</b:Guid>
    <b:Title>Maxmin expected utility with non-unique prior</b:Title>
    <b:JournalName>Journal of Mathematical Economics</b:JournalName>
    <b:Year>1989</b:Year>
    <b:Pages>141-153</b:Pages>
    <b:Author>
      <b:Author>
        <b:NameList>
          <b:Person>
            <b:Last>Gilboa</b:Last>
            <b:First>Itzhak</b:First>
          </b:Person>
          <b:Person>
            <b:Last>Schmeidler</b:Last>
            <b:First>David</b:First>
          </b:Person>
        </b:NameList>
      </b:Author>
    </b:Author>
    <b:RefOrder>11</b:RefOrder>
  </b:Source>
  <b:Source>
    <b:Tag>Sch89</b:Tag>
    <b:SourceType>JournalArticle</b:SourceType>
    <b:Guid>{256974B9-9F07-4D6A-BD54-0FB05CB4AE90}</b:Guid>
    <b:Title>Subjective Probability and Expected Utility without Additivity</b:Title>
    <b:JournalName>Econometrica</b:JournalName>
    <b:Year>1989</b:Year>
    <b:Pages>571-587</b:Pages>
    <b:Author>
      <b:Author>
        <b:NameList>
          <b:Person>
            <b:Last>Schmeidler</b:Last>
            <b:First>David</b:First>
          </b:Person>
        </b:NameList>
      </b:Author>
    </b:Author>
    <b:RefOrder>12</b:RefOrder>
  </b:Source>
  <b:Source>
    <b:Tag>Dow92</b:Tag>
    <b:SourceType>JournalArticle</b:SourceType>
    <b:Guid>{96293F5C-B55B-4FC8-BDEB-88C2D9F21A84}</b:Guid>
    <b:Title>Uncertainty Aversion, Risk Aversion, and the optimal choice of portfolio</b:Title>
    <b:JournalName>Econometrica</b:JournalName>
    <b:Year>1992</b:Year>
    <b:Pages>197-204</b:Pages>
    <b:Author>
      <b:Author>
        <b:NameList>
          <b:Person>
            <b:Last>Dow</b:Last>
            <b:First>James</b:First>
          </b:Person>
          <b:Person>
            <b:Last>Werlang</b:Last>
            <b:First>Sergio</b:First>
          </b:Person>
        </b:NameList>
      </b:Author>
    </b:Author>
    <b:RefOrder>13</b:RefOrder>
  </b:Source>
  <b:Source>
    <b:Tag>Eag95</b:Tag>
    <b:SourceType>JournalArticle</b:SourceType>
    <b:Guid>{04136DCF-C0E4-493D-83FE-5576978743D2}</b:Guid>
    <b:Title>The science and politics of comparing women and men</b:Title>
    <b:JournalName>American Psychologist</b:JournalName>
    <b:Year>1995</b:Year>
    <b:Pages>145-158</b:Pages>
    <b:Author>
      <b:Author>
        <b:NameList>
          <b:Person>
            <b:Last>Eagly</b:Last>
            <b:First>Alice</b:First>
          </b:Person>
        </b:NameList>
      </b:Author>
    </b:Author>
    <b:RefOrder>14</b:RefOrder>
  </b:Source>
  <b:Source>
    <b:Tag>Joh94</b:Tag>
    <b:SourceType>JournalArticle</b:SourceType>
    <b:Guid>{2DD261E9-453C-453D-8F83-C395668C56F3}</b:Guid>
    <b:Title>Decision Making, Risk and Gender: Are Managers Different?</b:Title>
    <b:JournalName>British Journal of Management</b:JournalName>
    <b:Year>1994</b:Year>
    <b:Pages>123-138</b:Pages>
    <b:Author>
      <b:Author>
        <b:NameList>
          <b:Person>
            <b:Last>Johnson</b:Last>
            <b:First>J.E.V.</b:First>
          </b:Person>
          <b:Person>
            <b:Last>Powell</b:Last>
            <b:First>P.L.</b:First>
          </b:Person>
        </b:NameList>
      </b:Author>
    </b:Author>
    <b:RefOrder>15</b:RefOrder>
  </b:Source>
  <b:Source>
    <b:Tag>Bro92</b:Tag>
    <b:SourceType>Book</b:SourceType>
    <b:Guid>{5AE48C95-B980-45CF-A006-6413397958D6}</b:Guid>
    <b:Title>Risk-Taking behavior. Wiley series in human performance and cognition.</b:Title>
    <b:Year>1992</b:Year>
    <b:Author>
      <b:Author>
        <b:NameList>
          <b:Person>
            <b:Last>Bromiley</b:Last>
            <b:First>Philip</b:First>
          </b:Person>
          <b:Person>
            <b:Last>Curley</b:Last>
            <b:First>Shawn</b:First>
          </b:Person>
        </b:NameList>
      </b:Author>
    </b:Author>
    <b:City>Oxford, England</b:City>
    <b:Publisher>John Wiley &amp; Sons</b:Publisher>
    <b:RefOrder>18</b:RefOrder>
  </b:Source>
  <b:Source>
    <b:Tag>Sch99</b:Tag>
    <b:SourceType>JournalArticle</b:SourceType>
    <b:Guid>{971C8018-49FC-406C-A05B-FB85B8E87C2A}</b:Guid>
    <b:Title>Financial Decision-Making: Are Women Really More Risk-Averse?</b:Title>
    <b:Year>1999</b:Year>
    <b:Author>
      <b:Author>
        <b:NameList>
          <b:Person>
            <b:Last>Schubert</b:Last>
            <b:First>Renate</b:First>
          </b:Person>
          <b:Person>
            <b:Last>Brown</b:Last>
            <b:First>Martin</b:First>
          </b:Person>
          <b:Person>
            <b:Last>Gysler</b:Last>
            <b:First>Mathhias</b:First>
          </b:Person>
          <b:Person>
            <b:Last>Brachinger</b:Last>
            <b:Middle>Wolfgang</b:Middle>
            <b:First>Hans</b:First>
          </b:Person>
        </b:NameList>
      </b:Author>
    </b:Author>
    <b:JournalName>The American Economic Review</b:JournalName>
    <b:Pages>381-385</b:Pages>
    <b:RefOrder>19</b:RefOrder>
  </b:Source>
  <b:Source>
    <b:Tag>Dic81</b:Tag>
    <b:SourceType>JournalArticle</b:SourceType>
    <b:Guid>{7026D21E-F62B-4053-8870-35B0CFF60C4C}</b:Guid>
    <b:Title>A comparison of attitudes towards risk among business managers</b:Title>
    <b:JournalName>Journal of Occupational Psychology</b:JournalName>
    <b:Year>1981</b:Year>
    <b:Pages>157-164</b:Pages>
    <b:Author>
      <b:Author>
        <b:NameList>
          <b:Person>
            <b:Last>Dickson</b:Last>
            <b:First>Gordon</b:First>
          </b:Person>
        </b:NameList>
      </b:Author>
    </b:Author>
    <b:RefOrder>20</b:RefOrder>
  </b:Source>
  <b:Source>
    <b:Tag>Cro09</b:Tag>
    <b:SourceType>JournalArticle</b:SourceType>
    <b:Guid>{3E685FA3-E524-4CDA-995A-2E4394B7F656}</b:Guid>
    <b:Title>Gender Differences in Preferences</b:Title>
    <b:JournalName>Journal of Economic Literature</b:JournalName>
    <b:Year>2009</b:Year>
    <b:Pages>448-474</b:Pages>
    <b:Author>
      <b:Author>
        <b:NameList>
          <b:Person>
            <b:Last>Croson</b:Last>
            <b:First>Rachel</b:First>
          </b:Person>
          <b:Person>
            <b:Last>Gneezy</b:Last>
            <b:First>Uri</b:First>
          </b:Person>
        </b:NameList>
      </b:Author>
    </b:Author>
    <b:RefOrder>16</b:RefOrder>
  </b:Source>
  <b:Source>
    <b:Tag>Nie07</b:Tag>
    <b:SourceType>JournalArticle</b:SourceType>
    <b:Guid>{C99148DD-844C-4E70-9AC4-CE4C34B6959A}</b:Guid>
    <b:Title>Do Women Shy Away from Competition? Do Men Compete Too Much?</b:Title>
    <b:JournalName>Quarterly Journal of Economics</b:JournalName>
    <b:Year>2007</b:Year>
    <b:Pages>1067-1101</b:Pages>
    <b:Author>
      <b:Author>
        <b:NameList>
          <b:Person>
            <b:Last>Niederle</b:Last>
            <b:First>Muriel</b:First>
          </b:Person>
          <b:Person>
            <b:Last>Vesterlund</b:Last>
            <b:First>Lise</b:First>
          </b:Person>
        </b:NameList>
      </b:Author>
    </b:Author>
    <b:RefOrder>21</b:RefOrder>
  </b:Source>
  <b:Source>
    <b:Tag>Ler03</b:Tag>
    <b:SourceType>JournalArticle</b:SourceType>
    <b:Guid>{204479B1-D13D-43ED-8A2F-65C2393D1C57}</b:Guid>
    <b:Title>Effects of Fear and Anger on Perceived Risks of Terrorism</b:Title>
    <b:JournalName>Psychological Science</b:JournalName>
    <b:Year>2003</b:Year>
    <b:Pages>144-150</b:Pages>
    <b:Author>
      <b:Author>
        <b:NameList>
          <b:Person>
            <b:Last>Lerner</b:Last>
            <b:First>Jennifer</b:First>
          </b:Person>
          <b:Person>
            <b:Last>Gonzalez</b:Last>
            <b:First>Roxana</b:First>
          </b:Person>
          <b:Person>
            <b:Last>Small</b:Last>
            <b:First>Deborah</b:First>
          </b:Person>
          <b:Person>
            <b:Last>Fischhoff</b:Last>
            <b:First>Baruch</b:First>
          </b:Person>
        </b:NameList>
      </b:Author>
    </b:Author>
    <b:RefOrder>22</b:RefOrder>
  </b:Source>
  <b:Source>
    <b:Tag>Pow97</b:Tag>
    <b:SourceType>JournalArticle</b:SourceType>
    <b:Guid>{1F1B6A4C-0537-428D-9EB1-719A5EFCA82E}</b:Guid>
    <b:Title>Gender differences in risk behavior in financial decision-making: An experimental analysis</b:Title>
    <b:Year>1997</b:Year>
    <b:JournalName>Journal of Economic Psychology</b:JournalName>
    <b:Pages>605-628</b:Pages>
    <b:Author>
      <b:Author>
        <b:NameList>
          <b:Person>
            <b:Last>Powell</b:Last>
            <b:First>Melanie</b:First>
          </b:Person>
          <b:Person>
            <b:Last>Ansic</b:Last>
            <b:First>David</b:First>
          </b:Person>
        </b:NameList>
      </b:Author>
    </b:Author>
    <b:RefOrder>17</b:RefOrder>
  </b:Source>
  <b:Source>
    <b:Tag>Sap09</b:Tag>
    <b:SourceType>Book</b:SourceType>
    <b:Guid>{72DA411E-6972-4323-A9CF-C05EF817BBB1}</b:Guid>
    <b:Title>Gender differences in financial risk aversion and career choices are affected by testosterone</b:Title>
    <b:Year>2009</b:Year>
    <b:Author>
      <b:Author>
        <b:NameList>
          <b:Person>
            <b:Last>Sapienza</b:Last>
            <b:First>Paola</b:First>
          </b:Person>
          <b:Person>
            <b:Last>Zingales</b:Last>
            <b:First>Luigi</b:First>
          </b:Person>
          <b:Person>
            <b:Last>Maestripieri</b:Last>
            <b:First>Dario</b:First>
          </b:Person>
        </b:NameList>
      </b:Author>
    </b:Author>
    <b:City>Chicago</b:City>
    <b:Publisher>The University of Chicago</b:Publisher>
    <b:RefOrder>23</b:RefOrder>
  </b:Source>
  <b:Source>
    <b:Tag>Dim14</b:Tag>
    <b:SourceType>JournalArticle</b:SourceType>
    <b:Guid>{A9823413-A4CB-4859-84B3-6996D177656A}</b:Guid>
    <b:Title>Ambiguity Attitudes in a Large Representative Sample</b:Title>
    <b:Year>2014</b:Year>
    <b:Author>
      <b:Author>
        <b:NameList>
          <b:Person>
            <b:Last>Dimmock</b:Last>
            <b:First>Stephen</b:First>
          </b:Person>
          <b:Person>
            <b:Last>Kouwenberg</b:Last>
            <b:First>Roy</b:First>
          </b:Person>
          <b:Person>
            <b:Last>Wakker</b:Last>
            <b:First>Peter</b:First>
          </b:Person>
        </b:NameList>
      </b:Author>
    </b:Author>
    <b:City>Rotterdam, The Netherlands</b:City>
    <b:Publisher>Working paper</b:Publisher>
    <b:JournalName>Netspar Discussion Paper</b:JournalName>
    <b:Pages>No. 06/2011-054</b:Pages>
    <b:RefOrder>2</b:RefOrder>
  </b:Source>
  <b:Source>
    <b:Tag>Sut13</b:Tag>
    <b:SourceType>JournalArticle</b:SourceType>
    <b:Guid>{5DDD3B32-DB7F-4149-A658-12EFD44A2052}</b:Guid>
    <b:Title>Impartience and Uncertainty: Expertimental Decisions Predict Adolescents' Field Behavior</b:Title>
    <b:Year>2013</b:Year>
    <b:JournalName>American Economic Review</b:JournalName>
    <b:Pages>510-531</b:Pages>
    <b:Author>
      <b:Author>
        <b:NameList>
          <b:Person>
            <b:Last>Sutter</b:Last>
            <b:First>Matthias</b:First>
          </b:Person>
          <b:Person>
            <b:Last>Kocher</b:Last>
            <b:First>Martin</b:First>
          </b:Person>
          <b:Person>
            <b:Last>Glätzle-Rüetzler</b:Last>
            <b:First>Daniela</b:First>
          </b:Person>
          <b:Person>
            <b:Last>Trautmann</b:Last>
            <b:First>Stefan</b:First>
          </b:Person>
        </b:NameList>
      </b:Author>
    </b:Author>
    <b:RefOrder>26</b:RefOrder>
  </b:Source>
  <b:Source>
    <b:Tag>Gar13</b:Tag>
    <b:SourceType>Book</b:SourceType>
    <b:Guid>{5DED316A-CB2A-48BF-B1B5-D9432971D3F8}</b:Guid>
    <b:Title>The Effect of Education on Financial Market Participation: Evidence from Chile</b:Title>
    <b:Year>2013</b:Year>
    <b:Publisher>Working Paper</b:Publisher>
    <b:City>Santiago, Chile</b:City>
    <b:Author>
      <b:Author>
        <b:NameList>
          <b:Person>
            <b:Last>García</b:Last>
            <b:First>Rodrigo</b:First>
          </b:Person>
          <b:Person>
            <b:Last>Tessada</b:Last>
            <b:First>Jose</b:First>
          </b:Person>
        </b:NameList>
      </b:Author>
    </b:Author>
    <b:RefOrder>27</b:RefOrder>
  </b:Source>
  <b:Source>
    <b:Tag>Lin12</b:Tag>
    <b:SourceType>Report</b:SourceType>
    <b:Guid>{5436DFEA-E55B-499F-B3D6-F34A502E436E}</b:Guid>
    <b:Title>Expenditure on Children by Families</b:Title>
    <b:Year>2012</b:Year>
    <b:Publisher>U.S. Department of Agriculture</b:Publisher>
    <b:City>Washington D.C.</b:City>
    <b:Author>
      <b:Author>
        <b:NameList>
          <b:Person>
            <b:Last>Lino</b:Last>
            <b:First>Mark</b:First>
          </b:Person>
        </b:NameList>
      </b:Author>
    </b:Author>
    <b:RefOrder>28</b:RefOrder>
  </b:Source>
  <b:Source>
    <b:Tag>Alm12</b:Tag>
    <b:SourceType>Book</b:SourceType>
    <b:Guid>{6A01E568-415B-4811-8EA0-697468589669}</b:Guid>
    <b:Title>Gender, Stock Market Participation and Financial Literacy</b:Title>
    <b:Year>2012</b:Year>
    <b:City>Stockholm, Sweden</b:City>
    <b:Publisher>Working Paper</b:Publisher>
    <b:Author>
      <b:Author>
        <b:NameList>
          <b:Person>
            <b:Last>Almenberg</b:Last>
            <b:First>Johan</b:First>
          </b:Person>
          <b:Person>
            <b:Last>Dreber</b:Last>
            <b:First>Anna</b:First>
          </b:Person>
        </b:NameList>
      </b:Author>
    </b:Author>
    <b:RefOrder>25</b:RefOrder>
  </b:Source>
  <b:Source>
    <b:Tag>van07</b:Tag>
    <b:SourceType>Book</b:SourceType>
    <b:Guid>{A1DE5C09-D926-400E-8BD4-33F1E6CB01B1}</b:Guid>
    <b:Title>Financial literacy and stock market participation</b:Title>
    <b:Year>2007</b:Year>
    <b:City>Frankfurt, Germany</b:City>
    <b:Publisher>Working Paper</b:Publisher>
    <b:Author>
      <b:Author>
        <b:NameList>
          <b:Person>
            <b:Last>van Rooij</b:Last>
            <b:First>Maarten</b:First>
          </b:Person>
          <b:Person>
            <b:Last>Lusardi</b:Last>
            <b:First>Annamaria</b:First>
          </b:Person>
          <b:Person>
            <b:Last>Alessie</b:Last>
            <b:First>Rob</b:First>
          </b:Person>
        </b:NameList>
      </b:Author>
    </b:Author>
    <b:RefOrder>24</b:RefOrder>
  </b:Source>
</b:Sources>
</file>

<file path=customXml/itemProps1.xml><?xml version="1.0" encoding="utf-8"?>
<ds:datastoreItem xmlns:ds="http://schemas.openxmlformats.org/officeDocument/2006/customXml" ds:itemID="{E47719F7-C517-4490-A0B8-1F0E271B9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8416</Words>
  <Characters>47976</Characters>
  <Application>Microsoft Office Word</Application>
  <DocSecurity>4</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56280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Ralistic</dc:creator>
  <cp:keywords/>
  <dc:description/>
  <cp:lastModifiedBy>Nita Ramsaransing</cp:lastModifiedBy>
  <cp:revision>2</cp:revision>
  <dcterms:created xsi:type="dcterms:W3CDTF">2015-06-23T07:01:00Z</dcterms:created>
  <dcterms:modified xsi:type="dcterms:W3CDTF">2015-06-23T07:01:00Z</dcterms:modified>
</cp:coreProperties>
</file>